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0175D9" w:rsidRPr="00B757EC" w:rsidTr="000175D9">
        <w:tc>
          <w:tcPr>
            <w:tcW w:w="4501" w:type="dxa"/>
          </w:tcPr>
          <w:p w:rsidR="000175D9" w:rsidRPr="00B757EC" w:rsidRDefault="000175D9" w:rsidP="000175D9">
            <w:pPr>
              <w:spacing w:before="240"/>
              <w:rPr>
                <w:rFonts w:cs="Arial"/>
                <w:sz w:val="19"/>
                <w:szCs w:val="19"/>
              </w:rPr>
            </w:pPr>
            <w:bookmarkStart w:id="0" w:name="_GoBack"/>
            <w:bookmarkEnd w:id="0"/>
            <w:r w:rsidRPr="00B757EC">
              <w:rPr>
                <w:rFonts w:cs="Arial"/>
                <w:sz w:val="19"/>
                <w:szCs w:val="19"/>
              </w:rPr>
              <w:t xml:space="preserve">Project Name            _______________________          </w:t>
            </w:r>
          </w:p>
        </w:tc>
        <w:tc>
          <w:tcPr>
            <w:tcW w:w="4175" w:type="dxa"/>
          </w:tcPr>
          <w:p w:rsidR="000175D9" w:rsidRPr="00B757EC" w:rsidRDefault="000175D9" w:rsidP="000175D9">
            <w:pPr>
              <w:spacing w:before="240"/>
              <w:rPr>
                <w:rFonts w:cs="Arial"/>
                <w:sz w:val="19"/>
                <w:szCs w:val="19"/>
              </w:rPr>
            </w:pPr>
          </w:p>
        </w:tc>
        <w:tc>
          <w:tcPr>
            <w:tcW w:w="4500" w:type="dxa"/>
          </w:tcPr>
          <w:p w:rsidR="000175D9" w:rsidRPr="00B757EC" w:rsidRDefault="000175D9" w:rsidP="000175D9">
            <w:pPr>
              <w:spacing w:before="240"/>
              <w:rPr>
                <w:rFonts w:cs="Arial"/>
                <w:sz w:val="19"/>
                <w:szCs w:val="19"/>
              </w:rPr>
            </w:pPr>
            <w:r w:rsidRPr="00B757EC">
              <w:rPr>
                <w:rFonts w:cs="Arial"/>
                <w:sz w:val="19"/>
                <w:szCs w:val="19"/>
              </w:rPr>
              <w:t xml:space="preserve">Checklist Draft Date </w:t>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r>
            <w:r w:rsidRPr="00B757EC">
              <w:rPr>
                <w:rFonts w:cs="Arial"/>
                <w:sz w:val="19"/>
                <w:szCs w:val="19"/>
              </w:rPr>
              <w:softHyphen/>
              <w:t>_______________________</w:t>
            </w:r>
          </w:p>
        </w:tc>
      </w:tr>
      <w:tr w:rsidR="000175D9" w:rsidRPr="00B757EC" w:rsidTr="000175D9">
        <w:tc>
          <w:tcPr>
            <w:tcW w:w="4501" w:type="dxa"/>
          </w:tcPr>
          <w:p w:rsidR="000175D9" w:rsidRPr="00B757EC" w:rsidRDefault="000175D9" w:rsidP="000175D9">
            <w:pPr>
              <w:spacing w:before="240"/>
              <w:rPr>
                <w:rFonts w:cs="Arial"/>
                <w:sz w:val="19"/>
                <w:szCs w:val="19"/>
              </w:rPr>
            </w:pPr>
            <w:r w:rsidRPr="00B757EC">
              <w:rPr>
                <w:rFonts w:cs="Arial"/>
                <w:sz w:val="19"/>
                <w:szCs w:val="19"/>
              </w:rPr>
              <w:t>FHA Project Number _______________________</w:t>
            </w:r>
          </w:p>
        </w:tc>
        <w:tc>
          <w:tcPr>
            <w:tcW w:w="4175" w:type="dxa"/>
          </w:tcPr>
          <w:p w:rsidR="000175D9" w:rsidRPr="00B757EC" w:rsidRDefault="000175D9" w:rsidP="000175D9">
            <w:pPr>
              <w:spacing w:before="240"/>
              <w:rPr>
                <w:rFonts w:cs="Arial"/>
                <w:sz w:val="19"/>
                <w:szCs w:val="19"/>
              </w:rPr>
            </w:pPr>
          </w:p>
        </w:tc>
        <w:tc>
          <w:tcPr>
            <w:tcW w:w="4500" w:type="dxa"/>
          </w:tcPr>
          <w:p w:rsidR="000175D9" w:rsidRPr="00B757EC" w:rsidRDefault="000175D9" w:rsidP="00613814">
            <w:pPr>
              <w:spacing w:before="240"/>
              <w:rPr>
                <w:rFonts w:cs="Arial"/>
                <w:sz w:val="19"/>
                <w:szCs w:val="19"/>
              </w:rPr>
            </w:pPr>
            <w:r w:rsidRPr="00B757EC">
              <w:rPr>
                <w:rFonts w:cs="Arial"/>
                <w:sz w:val="19"/>
                <w:szCs w:val="19"/>
              </w:rPr>
              <w:t xml:space="preserve">Interim Closing Date  </w:t>
            </w:r>
            <w:r w:rsidR="00613814" w:rsidRPr="00B757EC">
              <w:rPr>
                <w:rFonts w:cs="Arial"/>
                <w:sz w:val="19"/>
                <w:szCs w:val="19"/>
              </w:rPr>
              <w:t xml:space="preserve">  </w:t>
            </w:r>
            <w:r w:rsidRPr="00B757EC">
              <w:rPr>
                <w:rFonts w:cs="Arial"/>
                <w:sz w:val="19"/>
                <w:szCs w:val="19"/>
              </w:rPr>
              <w:t>______________________</w:t>
            </w:r>
          </w:p>
        </w:tc>
      </w:tr>
    </w:tbl>
    <w:p w:rsidR="000175D9" w:rsidRPr="00B757EC" w:rsidRDefault="000175D9" w:rsidP="00E64B7D">
      <w:pPr>
        <w:spacing w:before="240" w:after="0" w:line="240" w:lineRule="auto"/>
        <w:rPr>
          <w:rFonts w:cs="Arial"/>
          <w:i/>
          <w:sz w:val="19"/>
          <w:szCs w:val="19"/>
        </w:rPr>
      </w:pPr>
      <w:r w:rsidRPr="00B757EC">
        <w:rPr>
          <w:rFonts w:cs="Arial"/>
          <w:i/>
          <w:sz w:val="19"/>
          <w:szCs w:val="19"/>
        </w:rPr>
        <w:t xml:space="preserve">As discussed in the Closing Guide, workouts and interim closings are each unique and have project-specific requirements.  The following list may not be exhaustive, but includes items that may be helpful to review in preparation for an interim closing.  </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5"/>
        <w:gridCol w:w="6319"/>
        <w:gridCol w:w="7904"/>
      </w:tblGrid>
      <w:tr w:rsidR="00613814" w:rsidRPr="00B757EC" w:rsidTr="00FB27E6">
        <w:trPr>
          <w:tblHeader/>
          <w:jc w:val="center"/>
        </w:trPr>
        <w:tc>
          <w:tcPr>
            <w:tcW w:w="505" w:type="dxa"/>
            <w:tcBorders>
              <w:top w:val="nil"/>
              <w:left w:val="single" w:sz="4" w:space="0" w:color="auto"/>
              <w:bottom w:val="nil"/>
              <w:right w:val="nil"/>
            </w:tcBorders>
            <w:shd w:val="solid" w:color="auto" w:fill="auto"/>
            <w:vAlign w:val="center"/>
          </w:tcPr>
          <w:p w:rsidR="00613814" w:rsidRPr="00B757EC" w:rsidRDefault="00613814" w:rsidP="00FB27E6">
            <w:pPr>
              <w:pStyle w:val="Default"/>
              <w:rPr>
                <w:rFonts w:cs="Arial"/>
                <w:b/>
                <w:color w:val="auto"/>
              </w:rPr>
            </w:pPr>
            <w:r w:rsidRPr="00B757EC">
              <w:rPr>
                <w:rFonts w:cs="Arial"/>
                <w:i/>
                <w:sz w:val="19"/>
                <w:szCs w:val="19"/>
              </w:rPr>
              <w:t xml:space="preserve">  </w:t>
            </w:r>
            <w:r w:rsidRPr="00B757EC">
              <w:rPr>
                <w:rFonts w:cs="Arial"/>
                <w:sz w:val="19"/>
                <w:szCs w:val="19"/>
              </w:rPr>
              <w:t xml:space="preserve"> </w:t>
            </w:r>
          </w:p>
        </w:tc>
        <w:tc>
          <w:tcPr>
            <w:tcW w:w="6319" w:type="dxa"/>
            <w:tcBorders>
              <w:top w:val="nil"/>
              <w:left w:val="nil"/>
              <w:bottom w:val="nil"/>
              <w:right w:val="nil"/>
            </w:tcBorders>
            <w:shd w:val="solid" w:color="auto" w:fill="auto"/>
            <w:vAlign w:val="center"/>
          </w:tcPr>
          <w:p w:rsidR="00613814" w:rsidRPr="00B757EC" w:rsidRDefault="00613814" w:rsidP="00FB27E6">
            <w:pPr>
              <w:pStyle w:val="Default"/>
              <w:jc w:val="center"/>
              <w:rPr>
                <w:rFonts w:cs="Arial"/>
                <w:b/>
                <w:color w:val="auto"/>
              </w:rPr>
            </w:pPr>
            <w:r w:rsidRPr="00B757EC">
              <w:rPr>
                <w:rFonts w:cs="Arial"/>
                <w:b/>
                <w:color w:val="auto"/>
              </w:rPr>
              <w:t>Item</w:t>
            </w:r>
          </w:p>
        </w:tc>
        <w:tc>
          <w:tcPr>
            <w:tcW w:w="7904" w:type="dxa"/>
            <w:tcBorders>
              <w:top w:val="nil"/>
              <w:left w:val="nil"/>
              <w:bottom w:val="nil"/>
              <w:right w:val="nil"/>
            </w:tcBorders>
            <w:shd w:val="solid" w:color="auto" w:fill="auto"/>
          </w:tcPr>
          <w:p w:rsidR="00613814" w:rsidRPr="00B757EC" w:rsidRDefault="00613814" w:rsidP="00FB27E6">
            <w:pPr>
              <w:pStyle w:val="Default"/>
              <w:jc w:val="center"/>
              <w:rPr>
                <w:rFonts w:cs="Arial"/>
                <w:b/>
                <w:color w:val="auto"/>
              </w:rPr>
            </w:pPr>
            <w:r w:rsidRPr="00B757EC">
              <w:rPr>
                <w:rFonts w:cs="Arial"/>
                <w:b/>
                <w:color w:val="auto"/>
              </w:rPr>
              <w:t>Status and Comment</w:t>
            </w:r>
          </w:p>
        </w:tc>
      </w:tr>
      <w:tr w:rsidR="00613814" w:rsidRPr="00B757EC" w:rsidTr="00FB27E6">
        <w:trPr>
          <w:jc w:val="center"/>
        </w:trPr>
        <w:tc>
          <w:tcPr>
            <w:tcW w:w="505" w:type="dxa"/>
            <w:vMerge w:val="restart"/>
          </w:tcPr>
          <w:p w:rsidR="00613814" w:rsidRPr="00B757EC" w:rsidRDefault="00613814" w:rsidP="00FB27E6">
            <w:pPr>
              <w:pStyle w:val="Default"/>
              <w:rPr>
                <w:rFonts w:cs="Arial"/>
                <w:color w:val="auto"/>
              </w:rPr>
            </w:pPr>
            <w:r w:rsidRPr="00B757EC">
              <w:rPr>
                <w:rFonts w:cs="Arial"/>
                <w:color w:val="auto"/>
              </w:rPr>
              <w:t>1.</w:t>
            </w:r>
          </w:p>
        </w:tc>
        <w:tc>
          <w:tcPr>
            <w:tcW w:w="6319" w:type="dxa"/>
            <w:vAlign w:val="center"/>
          </w:tcPr>
          <w:p w:rsidR="00613814" w:rsidRPr="00B757EC" w:rsidRDefault="00613814" w:rsidP="00FB27E6">
            <w:pPr>
              <w:pStyle w:val="Default"/>
              <w:rPr>
                <w:rFonts w:cs="Arial"/>
                <w:color w:val="auto"/>
              </w:rPr>
            </w:pPr>
            <w:r w:rsidRPr="00B757EC">
              <w:rPr>
                <w:rFonts w:cs="Arial"/>
                <w:color w:val="auto"/>
              </w:rPr>
              <w:t>All proposed Settlement/Workout Agreements with or among some or all of the following</w:t>
            </w:r>
          </w:p>
        </w:tc>
        <w:tc>
          <w:tcPr>
            <w:tcW w:w="7904" w:type="dxa"/>
          </w:tcPr>
          <w:p w:rsidR="00613814" w:rsidRPr="00B757EC" w:rsidRDefault="00613814" w:rsidP="00FB27E6">
            <w:pPr>
              <w:pStyle w:val="Default"/>
              <w:rPr>
                <w:rFonts w:cs="Arial"/>
                <w:i/>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Borrower</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Borrower’s Principals </w:t>
            </w:r>
          </w:p>
        </w:tc>
        <w:tc>
          <w:tcPr>
            <w:tcW w:w="7904" w:type="dxa"/>
          </w:tcPr>
          <w:p w:rsidR="00613814" w:rsidRPr="00B757EC" w:rsidRDefault="00613814" w:rsidP="00FB27E6">
            <w:pPr>
              <w:pStyle w:val="Default"/>
              <w:rPr>
                <w:rFonts w:cs="Arial"/>
                <w:b/>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Existing General Contractor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Surety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Subcontractors and material suppliers</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Lender</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Secondary Lenders</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Grant issuers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10"/>
              </w:numPr>
              <w:rPr>
                <w:rFonts w:cs="Arial"/>
                <w:color w:val="auto"/>
              </w:rPr>
            </w:pPr>
            <w:r w:rsidRPr="00B757EC">
              <w:rPr>
                <w:rFonts w:cs="Arial"/>
                <w:color w:val="auto"/>
              </w:rPr>
              <w:t xml:space="preserve">Tax Credit issuers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2.</w:t>
            </w:r>
          </w:p>
        </w:tc>
        <w:tc>
          <w:tcPr>
            <w:tcW w:w="6319" w:type="dxa"/>
            <w:vAlign w:val="center"/>
          </w:tcPr>
          <w:p w:rsidR="00613814" w:rsidRPr="00B757EC" w:rsidRDefault="00613814" w:rsidP="00FB27E6">
            <w:pPr>
              <w:pStyle w:val="Default"/>
              <w:rPr>
                <w:rFonts w:cs="Arial"/>
                <w:color w:val="auto"/>
              </w:rPr>
            </w:pPr>
            <w:r w:rsidRPr="00B757EC">
              <w:rPr>
                <w:rFonts w:cs="Arial"/>
                <w:color w:val="auto"/>
              </w:rPr>
              <w:t>Firm Commitment and necessary amendments</w:t>
            </w:r>
          </w:p>
        </w:tc>
        <w:tc>
          <w:tcPr>
            <w:tcW w:w="7904" w:type="dxa"/>
          </w:tcPr>
          <w:p w:rsidR="00613814" w:rsidRPr="00B757EC" w:rsidRDefault="00613814" w:rsidP="00FB27E6">
            <w:pPr>
              <w:pStyle w:val="Default"/>
              <w:rPr>
                <w:rFonts w:cs="Arial"/>
                <w:i/>
                <w:color w:val="auto"/>
              </w:rPr>
            </w:pPr>
            <w:r w:rsidRPr="00B757EC">
              <w:rPr>
                <w:rFonts w:cs="Arial"/>
                <w:i/>
                <w:color w:val="auto"/>
              </w:rPr>
              <w:t xml:space="preserve">Determine which, if any, conditions that were to be fulfilled during the construction period have not yet been completed, e.g. environmental issues such as asbestos removal.   </w:t>
            </w: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3.</w:t>
            </w:r>
          </w:p>
        </w:tc>
        <w:tc>
          <w:tcPr>
            <w:tcW w:w="6319" w:type="dxa"/>
            <w:vAlign w:val="center"/>
          </w:tcPr>
          <w:p w:rsidR="00613814" w:rsidRPr="00B757EC" w:rsidRDefault="00613814" w:rsidP="00FB27E6">
            <w:pPr>
              <w:pStyle w:val="Default"/>
              <w:rPr>
                <w:rFonts w:cs="Arial"/>
                <w:color w:val="auto"/>
              </w:rPr>
            </w:pPr>
            <w:r w:rsidRPr="00B757EC">
              <w:rPr>
                <w:rFonts w:cs="Arial"/>
                <w:color w:val="auto"/>
              </w:rPr>
              <w:t>Loan Title Policy</w:t>
            </w:r>
          </w:p>
        </w:tc>
        <w:tc>
          <w:tcPr>
            <w:tcW w:w="7904" w:type="dxa"/>
          </w:tcPr>
          <w:p w:rsidR="00613814" w:rsidRPr="00B757EC" w:rsidRDefault="00613814" w:rsidP="00C95A8E">
            <w:pPr>
              <w:pStyle w:val="Default"/>
              <w:numPr>
                <w:ilvl w:val="0"/>
                <w:numId w:val="9"/>
              </w:numPr>
              <w:ind w:left="293" w:hanging="247"/>
              <w:rPr>
                <w:rFonts w:cs="Arial"/>
                <w:i/>
                <w:color w:val="auto"/>
              </w:rPr>
            </w:pPr>
            <w:r w:rsidRPr="00B757EC">
              <w:rPr>
                <w:rFonts w:cs="Arial"/>
                <w:i/>
                <w:color w:val="auto"/>
              </w:rPr>
              <w:t xml:space="preserve">All documents and amendments to documents that are intended to be placed of record should be reviewed ahead of time by the HUD Closing Attorney.  </w:t>
            </w:r>
          </w:p>
          <w:p w:rsidR="00613814" w:rsidRPr="00B757EC" w:rsidRDefault="00613814" w:rsidP="00E92CB4">
            <w:pPr>
              <w:pStyle w:val="Default"/>
              <w:numPr>
                <w:ilvl w:val="0"/>
                <w:numId w:val="9"/>
              </w:numPr>
              <w:ind w:left="293" w:hanging="247"/>
              <w:rPr>
                <w:rFonts w:cs="Arial"/>
                <w:i/>
                <w:color w:val="auto"/>
              </w:rPr>
            </w:pPr>
            <w:r w:rsidRPr="00B757EC">
              <w:rPr>
                <w:rFonts w:cs="Arial"/>
                <w:i/>
                <w:color w:val="auto"/>
              </w:rPr>
              <w:t>HUD should receive a current date-down endorsement (not a pro forma) covering the period from the cover date of the initial policy through as current a date as possible. Check to ensure that all necessary releases, stipulations, orders for litigation dismissals will be available on closing day and persons designed to have a</w:t>
            </w:r>
            <w:r w:rsidR="00E92CB4">
              <w:rPr>
                <w:rFonts w:cs="Arial"/>
                <w:i/>
                <w:color w:val="auto"/>
              </w:rPr>
              <w:t>n</w:t>
            </w:r>
            <w:r w:rsidRPr="00B757EC">
              <w:rPr>
                <w:rFonts w:cs="Arial"/>
                <w:i/>
                <w:color w:val="auto"/>
              </w:rPr>
              <w:t>y orders entered in court as needed.</w:t>
            </w: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4.</w:t>
            </w:r>
          </w:p>
        </w:tc>
        <w:tc>
          <w:tcPr>
            <w:tcW w:w="6319" w:type="dxa"/>
            <w:vAlign w:val="center"/>
          </w:tcPr>
          <w:p w:rsidR="00613814" w:rsidRPr="00B757EC" w:rsidRDefault="00613814" w:rsidP="00FB27E6">
            <w:pPr>
              <w:pStyle w:val="Default"/>
              <w:rPr>
                <w:rFonts w:cs="Arial"/>
                <w:color w:val="auto"/>
              </w:rPr>
            </w:pPr>
            <w:r w:rsidRPr="00B757EC">
              <w:rPr>
                <w:rFonts w:cs="Arial"/>
                <w:color w:val="auto"/>
              </w:rPr>
              <w:t>Proposed certification of sources and uses</w:t>
            </w:r>
          </w:p>
        </w:tc>
        <w:tc>
          <w:tcPr>
            <w:tcW w:w="7904" w:type="dxa"/>
          </w:tcPr>
          <w:p w:rsidR="00613814" w:rsidRPr="00B757EC" w:rsidRDefault="00613814" w:rsidP="00FB27E6">
            <w:pPr>
              <w:pStyle w:val="Default"/>
              <w:rPr>
                <w:rFonts w:cs="Arial"/>
                <w:i/>
                <w:color w:val="auto"/>
              </w:rPr>
            </w:pPr>
            <w:r w:rsidRPr="00B757EC">
              <w:rPr>
                <w:rFonts w:cs="Arial"/>
                <w:i/>
                <w:color w:val="auto"/>
              </w:rPr>
              <w:t>Must take into consideration the proposed settlement/workout agreements and proposed new financing, if any.</w:t>
            </w:r>
          </w:p>
        </w:tc>
      </w:tr>
      <w:tr w:rsidR="00383795" w:rsidRPr="00B757EC" w:rsidTr="00D06978">
        <w:trPr>
          <w:jc w:val="center"/>
        </w:trPr>
        <w:tc>
          <w:tcPr>
            <w:tcW w:w="505" w:type="dxa"/>
            <w:vMerge w:val="restart"/>
            <w:vAlign w:val="center"/>
          </w:tcPr>
          <w:p w:rsidR="00383795" w:rsidRPr="00B757EC" w:rsidRDefault="00383795" w:rsidP="00FB27E6">
            <w:pPr>
              <w:pStyle w:val="Default"/>
              <w:rPr>
                <w:rFonts w:cs="Arial"/>
                <w:color w:val="auto"/>
              </w:rPr>
            </w:pPr>
            <w:r w:rsidRPr="00B757EC">
              <w:rPr>
                <w:rFonts w:cs="Arial"/>
                <w:color w:val="auto"/>
              </w:rPr>
              <w:t>5.</w:t>
            </w:r>
          </w:p>
        </w:tc>
        <w:tc>
          <w:tcPr>
            <w:tcW w:w="14223" w:type="dxa"/>
            <w:gridSpan w:val="2"/>
            <w:vAlign w:val="center"/>
          </w:tcPr>
          <w:p w:rsidR="00383795" w:rsidRPr="00B757EC" w:rsidRDefault="00383795" w:rsidP="00FB27E6">
            <w:pPr>
              <w:pStyle w:val="Default"/>
              <w:rPr>
                <w:rFonts w:cs="Arial"/>
                <w:color w:val="auto"/>
              </w:rPr>
            </w:pPr>
            <w:r w:rsidRPr="00B757EC">
              <w:rPr>
                <w:rFonts w:cs="Arial"/>
                <w:color w:val="auto"/>
              </w:rPr>
              <w:t>Hub Director should check for the following possible additional costs and, if possible, factor into the reprocess</w:t>
            </w: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New design architect’s fees</w:t>
            </w:r>
          </w:p>
        </w:tc>
        <w:tc>
          <w:tcPr>
            <w:tcW w:w="7904" w:type="dxa"/>
          </w:tcPr>
          <w:p w:rsidR="00613814" w:rsidRPr="00B757EC" w:rsidRDefault="00613814" w:rsidP="00FB27E6">
            <w:pPr>
              <w:pStyle w:val="Default"/>
              <w:rPr>
                <w:rFonts w:cs="Arial"/>
                <w:i/>
                <w:color w:val="auto"/>
              </w:rPr>
            </w:pPr>
            <w:r w:rsidRPr="00B757EC">
              <w:rPr>
                <w:rFonts w:cs="Arial"/>
                <w:i/>
                <w:color w:val="auto"/>
              </w:rPr>
              <w:t xml:space="preserve">Existing plans and specs may need revision, and generate additional fees, to accommodate discoveries made during existing construction and change orders already fully agreed to under the construction </w:t>
            </w:r>
            <w:r w:rsidRPr="00B757EC">
              <w:rPr>
                <w:rFonts w:cs="Arial"/>
                <w:i/>
                <w:color w:val="auto"/>
              </w:rPr>
              <w:lastRenderedPageBreak/>
              <w:t xml:space="preserve">contract to be terminated. </w:t>
            </w: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New architects fees for observation and scope of work</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New Construction Costs</w:t>
            </w:r>
          </w:p>
        </w:tc>
        <w:tc>
          <w:tcPr>
            <w:tcW w:w="7904" w:type="dxa"/>
          </w:tcPr>
          <w:p w:rsidR="00613814" w:rsidRPr="00B757EC" w:rsidRDefault="00613814" w:rsidP="00FB27E6">
            <w:pPr>
              <w:pStyle w:val="Default"/>
              <w:rPr>
                <w:rFonts w:cs="Arial"/>
                <w:i/>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New payment and performance bonds costs</w:t>
            </w:r>
          </w:p>
        </w:tc>
        <w:tc>
          <w:tcPr>
            <w:tcW w:w="7904" w:type="dxa"/>
          </w:tcPr>
          <w:p w:rsidR="00613814" w:rsidRPr="00B757EC" w:rsidRDefault="00613814" w:rsidP="00FB27E6">
            <w:pPr>
              <w:pStyle w:val="Default"/>
              <w:rPr>
                <w:rFonts w:cs="Arial"/>
                <w:b/>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 xml:space="preserve">Additional legal fees </w:t>
            </w:r>
          </w:p>
        </w:tc>
        <w:tc>
          <w:tcPr>
            <w:tcW w:w="7904" w:type="dxa"/>
          </w:tcPr>
          <w:p w:rsidR="00613814" w:rsidRPr="00B757EC" w:rsidRDefault="00613814" w:rsidP="00FB27E6">
            <w:pPr>
              <w:pStyle w:val="Default"/>
              <w:rPr>
                <w:rFonts w:cs="Arial"/>
                <w:i/>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Additional title fees</w:t>
            </w:r>
          </w:p>
        </w:tc>
        <w:tc>
          <w:tcPr>
            <w:tcW w:w="7904" w:type="dxa"/>
          </w:tcPr>
          <w:p w:rsidR="00613814" w:rsidRPr="00B757EC" w:rsidRDefault="00613814" w:rsidP="00FB27E6">
            <w:pPr>
              <w:pStyle w:val="Default"/>
              <w:rPr>
                <w:rFonts w:cs="Arial"/>
                <w:i/>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Taxes during construction</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Insurance during construction</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Default"/>
              <w:numPr>
                <w:ilvl w:val="0"/>
                <w:numId w:val="7"/>
              </w:numPr>
              <w:rPr>
                <w:rFonts w:cs="Arial"/>
                <w:color w:val="auto"/>
              </w:rPr>
            </w:pPr>
            <w:r w:rsidRPr="00B757EC">
              <w:rPr>
                <w:rFonts w:cs="Arial"/>
                <w:color w:val="auto"/>
              </w:rPr>
              <w:t>Interest during construction</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6.</w:t>
            </w:r>
          </w:p>
        </w:tc>
        <w:tc>
          <w:tcPr>
            <w:tcW w:w="6319" w:type="dxa"/>
            <w:vAlign w:val="center"/>
          </w:tcPr>
          <w:p w:rsidR="00613814" w:rsidRPr="00B757EC" w:rsidRDefault="00613814" w:rsidP="00FB27E6">
            <w:pPr>
              <w:pStyle w:val="Default"/>
              <w:rPr>
                <w:rFonts w:cs="Arial"/>
              </w:rPr>
            </w:pPr>
            <w:r w:rsidRPr="00B757EC">
              <w:rPr>
                <w:rFonts w:cs="Arial"/>
              </w:rPr>
              <w:t>Proposed amendments to the HUD firm commitment, including financial requirements for interim closing, necessitated by the terms of the various workout and settlements, additional costs, loan increases and other additional loans and/or grants</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Align w:val="center"/>
          </w:tcPr>
          <w:p w:rsidR="00613814" w:rsidRPr="00B757EC" w:rsidRDefault="00613814" w:rsidP="00FB27E6">
            <w:pPr>
              <w:pStyle w:val="Default"/>
              <w:rPr>
                <w:rFonts w:cs="Arial"/>
                <w:color w:val="auto"/>
              </w:rPr>
            </w:pPr>
            <w:r w:rsidRPr="00B757EC">
              <w:rPr>
                <w:rFonts w:cs="Arial"/>
                <w:color w:val="auto"/>
              </w:rPr>
              <w:t>7.</w:t>
            </w:r>
          </w:p>
        </w:tc>
        <w:tc>
          <w:tcPr>
            <w:tcW w:w="6319" w:type="dxa"/>
            <w:vAlign w:val="center"/>
          </w:tcPr>
          <w:p w:rsidR="00613814" w:rsidRPr="00B757EC" w:rsidRDefault="00613814" w:rsidP="00FB27E6">
            <w:pPr>
              <w:pStyle w:val="Default"/>
              <w:rPr>
                <w:rFonts w:cs="Arial"/>
              </w:rPr>
            </w:pPr>
            <w:r w:rsidRPr="00B757EC">
              <w:rPr>
                <w:rFonts w:cs="Arial"/>
              </w:rPr>
              <w:t xml:space="preserve">Waivers </w:t>
            </w:r>
          </w:p>
        </w:tc>
        <w:tc>
          <w:tcPr>
            <w:tcW w:w="7904" w:type="dxa"/>
          </w:tcPr>
          <w:p w:rsidR="00613814" w:rsidRPr="00B757EC" w:rsidRDefault="00613814" w:rsidP="00FB27E6">
            <w:pPr>
              <w:pStyle w:val="Default"/>
              <w:rPr>
                <w:rFonts w:cs="Arial"/>
                <w:i/>
                <w:color w:val="auto"/>
              </w:rPr>
            </w:pPr>
            <w:r w:rsidRPr="00B757EC">
              <w:rPr>
                <w:rFonts w:cs="Arial"/>
                <w:i/>
                <w:color w:val="auto"/>
              </w:rPr>
              <w:t xml:space="preserve">During the HUD Closing Attorney’s participation in the workout process, it is likely a list of needed waivers will be developed. HUD Closing Attorney should obtain 3 copies from Housing for inclusion in dockets. </w:t>
            </w:r>
          </w:p>
        </w:tc>
      </w:tr>
      <w:tr w:rsidR="00613814" w:rsidRPr="00B757EC" w:rsidTr="00FB27E6">
        <w:trPr>
          <w:jc w:val="center"/>
        </w:trPr>
        <w:tc>
          <w:tcPr>
            <w:tcW w:w="505" w:type="dxa"/>
            <w:vMerge w:val="restart"/>
          </w:tcPr>
          <w:p w:rsidR="00613814" w:rsidRPr="00B757EC" w:rsidRDefault="00613814" w:rsidP="00FB27E6">
            <w:pPr>
              <w:pStyle w:val="Default"/>
              <w:rPr>
                <w:rFonts w:cs="Arial"/>
                <w:color w:val="auto"/>
              </w:rPr>
            </w:pPr>
            <w:r w:rsidRPr="00B757EC">
              <w:rPr>
                <w:rFonts w:cs="Arial"/>
                <w:color w:val="auto"/>
              </w:rPr>
              <w:t>8.</w:t>
            </w:r>
          </w:p>
        </w:tc>
        <w:tc>
          <w:tcPr>
            <w:tcW w:w="6319" w:type="dxa"/>
            <w:vAlign w:val="center"/>
          </w:tcPr>
          <w:p w:rsidR="00613814" w:rsidRPr="00B757EC" w:rsidRDefault="00613814" w:rsidP="00FB27E6">
            <w:pPr>
              <w:pStyle w:val="Default"/>
              <w:rPr>
                <w:rFonts w:cs="Arial"/>
              </w:rPr>
            </w:pPr>
            <w:r w:rsidRPr="00B757EC">
              <w:rPr>
                <w:rFonts w:cs="Arial"/>
              </w:rPr>
              <w:t>Borrower’s Organization Documents, Good Standing Certificates and Incumbency Certificates</w:t>
            </w:r>
          </w:p>
        </w:tc>
        <w:tc>
          <w:tcPr>
            <w:tcW w:w="7904" w:type="dxa"/>
          </w:tcPr>
          <w:p w:rsidR="00613814" w:rsidRPr="00B757EC" w:rsidRDefault="00613814" w:rsidP="00FB27E6">
            <w:pPr>
              <w:pStyle w:val="Default"/>
              <w:rPr>
                <w:rFonts w:cs="Arial"/>
                <w:i/>
                <w:color w:val="auto"/>
              </w:rPr>
            </w:pPr>
            <w:r w:rsidRPr="00B757EC">
              <w:rPr>
                <w:rFonts w:cs="Arial"/>
                <w:i/>
                <w:color w:val="auto"/>
              </w:rPr>
              <w:t>Can be obtained from HUD closing docket</w:t>
            </w:r>
            <w:r w:rsidR="00E92CB4">
              <w:rPr>
                <w:rFonts w:cs="Arial"/>
                <w:i/>
                <w:color w:val="auto"/>
              </w:rPr>
              <w:t>.</w:t>
            </w: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ListParagraph"/>
              <w:numPr>
                <w:ilvl w:val="0"/>
                <w:numId w:val="8"/>
              </w:numPr>
              <w:spacing w:before="0" w:after="0"/>
              <w:contextualSpacing/>
              <w:rPr>
                <w:rFonts w:cs="Arial"/>
              </w:rPr>
            </w:pPr>
            <w:r w:rsidRPr="00B757EC">
              <w:rPr>
                <w:rFonts w:cs="Arial"/>
              </w:rPr>
              <w:t xml:space="preserve">What, if any, amendments are needed to these items in order to implement the provisions of the workout/settlement agreements </w:t>
            </w:r>
          </w:p>
        </w:tc>
        <w:tc>
          <w:tcPr>
            <w:tcW w:w="7904" w:type="dxa"/>
          </w:tcPr>
          <w:p w:rsidR="00613814" w:rsidRPr="00B757EC" w:rsidRDefault="00613814" w:rsidP="00FB27E6">
            <w:pPr>
              <w:pStyle w:val="Default"/>
              <w:rPr>
                <w:rFonts w:cs="Arial"/>
                <w:i/>
                <w:color w:val="auto"/>
              </w:rPr>
            </w:pPr>
            <w:r w:rsidRPr="00B757EC">
              <w:rPr>
                <w:rFonts w:cs="Arial"/>
                <w:i/>
                <w:color w:val="auto"/>
              </w:rPr>
              <w:t>e.g. update the Capital Contributions provisions</w:t>
            </w:r>
            <w:r w:rsidR="00E92CB4">
              <w:rPr>
                <w:rFonts w:cs="Arial"/>
                <w:i/>
                <w:color w:val="auto"/>
              </w:rPr>
              <w:t>.</w:t>
            </w:r>
            <w:r w:rsidRPr="00B757EC">
              <w:rPr>
                <w:rFonts w:cs="Arial"/>
                <w:i/>
                <w:color w:val="auto"/>
              </w:rPr>
              <w:t xml:space="preserve"> </w:t>
            </w:r>
          </w:p>
        </w:tc>
      </w:tr>
      <w:tr w:rsidR="00613814" w:rsidRPr="00B757EC" w:rsidTr="00FB27E6">
        <w:trPr>
          <w:jc w:val="center"/>
        </w:trPr>
        <w:tc>
          <w:tcPr>
            <w:tcW w:w="505" w:type="dxa"/>
            <w:vMerge/>
            <w:vAlign w:val="center"/>
          </w:tcPr>
          <w:p w:rsidR="00613814" w:rsidRPr="00B757EC" w:rsidRDefault="00613814" w:rsidP="00FB27E6">
            <w:pPr>
              <w:pStyle w:val="Default"/>
              <w:rPr>
                <w:rFonts w:cs="Arial"/>
                <w:color w:val="auto"/>
              </w:rPr>
            </w:pPr>
          </w:p>
        </w:tc>
        <w:tc>
          <w:tcPr>
            <w:tcW w:w="6319" w:type="dxa"/>
            <w:vAlign w:val="center"/>
          </w:tcPr>
          <w:p w:rsidR="00613814" w:rsidRPr="00B757EC" w:rsidRDefault="00613814" w:rsidP="00C95A8E">
            <w:pPr>
              <w:pStyle w:val="ListParagraph"/>
              <w:numPr>
                <w:ilvl w:val="0"/>
                <w:numId w:val="8"/>
              </w:numPr>
              <w:spacing w:before="0" w:after="0"/>
              <w:contextualSpacing/>
              <w:rPr>
                <w:rFonts w:cs="Arial"/>
              </w:rPr>
            </w:pPr>
            <w:r w:rsidRPr="00B757EC">
              <w:rPr>
                <w:rFonts w:cs="Arial"/>
              </w:rPr>
              <w:t xml:space="preserve">Obtain incumbency certificates covering the day of interim closing </w:t>
            </w:r>
          </w:p>
        </w:tc>
        <w:tc>
          <w:tcPr>
            <w:tcW w:w="7904" w:type="dxa"/>
          </w:tcPr>
          <w:p w:rsidR="00613814" w:rsidRPr="00B757EC" w:rsidRDefault="00613814" w:rsidP="00FB27E6">
            <w:pPr>
              <w:pStyle w:val="Default"/>
              <w:rPr>
                <w:rFonts w:cs="Arial"/>
                <w:color w:val="auto"/>
              </w:rPr>
            </w:pPr>
          </w:p>
        </w:tc>
      </w:tr>
      <w:tr w:rsidR="00613814" w:rsidRPr="00B757EC" w:rsidTr="00FB27E6">
        <w:trPr>
          <w:jc w:val="center"/>
        </w:trPr>
        <w:tc>
          <w:tcPr>
            <w:tcW w:w="505" w:type="dxa"/>
            <w:vAlign w:val="center"/>
          </w:tcPr>
          <w:p w:rsidR="00613814" w:rsidRPr="00B757EC" w:rsidRDefault="00613814" w:rsidP="00FB27E6">
            <w:pPr>
              <w:pStyle w:val="Default"/>
              <w:ind w:right="-115"/>
              <w:rPr>
                <w:rFonts w:cs="Arial"/>
                <w:color w:val="auto"/>
              </w:rPr>
            </w:pPr>
            <w:r w:rsidRPr="00B757EC">
              <w:rPr>
                <w:rFonts w:cs="Arial"/>
                <w:color w:val="auto"/>
              </w:rPr>
              <w:t>9.</w:t>
            </w:r>
          </w:p>
        </w:tc>
        <w:tc>
          <w:tcPr>
            <w:tcW w:w="6319" w:type="dxa"/>
            <w:vAlign w:val="center"/>
          </w:tcPr>
          <w:p w:rsidR="00613814" w:rsidRPr="00B757EC" w:rsidRDefault="00613814" w:rsidP="00FB27E6">
            <w:pPr>
              <w:spacing w:after="0"/>
              <w:rPr>
                <w:rFonts w:cs="Arial"/>
                <w:szCs w:val="24"/>
              </w:rPr>
            </w:pPr>
            <w:r w:rsidRPr="00B757EC">
              <w:rPr>
                <w:rFonts w:cs="Arial"/>
                <w:szCs w:val="24"/>
              </w:rPr>
              <w:t>Previous Participation Certification</w:t>
            </w:r>
          </w:p>
        </w:tc>
        <w:tc>
          <w:tcPr>
            <w:tcW w:w="7904" w:type="dxa"/>
          </w:tcPr>
          <w:p w:rsidR="00613814" w:rsidRPr="00B757EC" w:rsidRDefault="00613814" w:rsidP="00FB27E6">
            <w:pPr>
              <w:pStyle w:val="Default"/>
              <w:rPr>
                <w:rFonts w:cs="Arial"/>
                <w:i/>
                <w:color w:val="auto"/>
              </w:rPr>
            </w:pPr>
            <w:r w:rsidRPr="00B757EC">
              <w:rPr>
                <w:rFonts w:cs="Arial"/>
                <w:i/>
                <w:color w:val="auto"/>
              </w:rPr>
              <w:t>Submit original to Housing for processing for new principals; copied for docket</w:t>
            </w:r>
            <w:r w:rsidR="00E92CB4">
              <w:rPr>
                <w:rFonts w:cs="Arial"/>
                <w:i/>
                <w:color w:val="auto"/>
              </w:rPr>
              <w:t>.</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10.</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Additional Byrd Amendment Certifications </w:t>
            </w:r>
          </w:p>
        </w:tc>
        <w:tc>
          <w:tcPr>
            <w:tcW w:w="7904" w:type="dxa"/>
          </w:tcPr>
          <w:p w:rsidR="00613814" w:rsidRPr="00B757EC" w:rsidRDefault="00613814" w:rsidP="00FB27E6">
            <w:pPr>
              <w:pStyle w:val="Default"/>
              <w:rPr>
                <w:rFonts w:cs="Arial"/>
                <w:i/>
                <w:color w:val="auto"/>
              </w:rPr>
            </w:pPr>
            <w:r w:rsidRPr="00B757EC">
              <w:rPr>
                <w:rFonts w:cs="Arial"/>
                <w:i/>
                <w:color w:val="auto"/>
              </w:rPr>
              <w:t>If applicable</w:t>
            </w:r>
            <w:r w:rsidR="00E92CB4">
              <w:rPr>
                <w:rFonts w:cs="Arial"/>
                <w:i/>
                <w:color w:val="auto"/>
              </w:rPr>
              <w:t>.</w:t>
            </w:r>
            <w:r w:rsidRPr="00B757EC">
              <w:rPr>
                <w:rFonts w:cs="Arial"/>
                <w:i/>
                <w:color w:val="auto"/>
              </w:rPr>
              <w:t xml:space="preserve"> </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11.</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Borrower’s Resolution </w:t>
            </w:r>
          </w:p>
        </w:tc>
        <w:tc>
          <w:tcPr>
            <w:tcW w:w="7904" w:type="dxa"/>
          </w:tcPr>
          <w:p w:rsidR="00613814" w:rsidRPr="00B757EC" w:rsidRDefault="00613814" w:rsidP="00FB27E6">
            <w:pPr>
              <w:pStyle w:val="Default"/>
              <w:rPr>
                <w:rFonts w:cs="Arial"/>
                <w:i/>
                <w:color w:val="auto"/>
              </w:rPr>
            </w:pPr>
            <w:r w:rsidRPr="00B757EC">
              <w:rPr>
                <w:rFonts w:cs="Arial"/>
                <w:i/>
                <w:color w:val="auto"/>
              </w:rPr>
              <w:t xml:space="preserve">Update the resolution to ensure that Borrower has the authority to accept and be bound under any increased and new loans and new grant documents and tat the principal who will be signing the Settlement Agreements and other interim closing documents has the necessary </w:t>
            </w:r>
            <w:r w:rsidRPr="00B757EC">
              <w:rPr>
                <w:rFonts w:cs="Arial"/>
                <w:i/>
                <w:color w:val="auto"/>
              </w:rPr>
              <w:lastRenderedPageBreak/>
              <w:t xml:space="preserve">authority to do so. </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lastRenderedPageBreak/>
              <w:t xml:space="preserve">12. </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Owner/Architect Agreement </w:t>
            </w:r>
          </w:p>
        </w:tc>
        <w:tc>
          <w:tcPr>
            <w:tcW w:w="7904" w:type="dxa"/>
          </w:tcPr>
          <w:p w:rsidR="00613814" w:rsidRPr="00B757EC" w:rsidRDefault="00613814" w:rsidP="00FB27E6">
            <w:pPr>
              <w:pStyle w:val="Default"/>
              <w:rPr>
                <w:rFonts w:cs="Arial"/>
                <w:i/>
                <w:color w:val="auto"/>
              </w:rPr>
            </w:pPr>
            <w:r w:rsidRPr="00B757EC">
              <w:rPr>
                <w:rFonts w:cs="Arial"/>
                <w:i/>
                <w:color w:val="auto"/>
              </w:rPr>
              <w:t>Amend, supplement or terminate and replace as necessary</w:t>
            </w:r>
            <w:r w:rsidR="00E92CB4">
              <w:rPr>
                <w:rFonts w:cs="Arial"/>
                <w:i/>
                <w:color w:val="auto"/>
              </w:rPr>
              <w:t>.</w:t>
            </w:r>
            <w:r w:rsidRPr="00B757EC">
              <w:rPr>
                <w:rFonts w:cs="Arial"/>
                <w:i/>
                <w:color w:val="auto"/>
              </w:rPr>
              <w:t xml:space="preserve"> </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13.</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New Certification of Architect and Engineering Fees </w:t>
            </w:r>
          </w:p>
        </w:tc>
        <w:tc>
          <w:tcPr>
            <w:tcW w:w="7904" w:type="dxa"/>
          </w:tcPr>
          <w:p w:rsidR="005A2AEF" w:rsidRDefault="00F57770">
            <w:pPr>
              <w:spacing w:after="0"/>
              <w:rPr>
                <w:rFonts w:cs="Arial"/>
                <w:i/>
                <w:szCs w:val="24"/>
              </w:rPr>
            </w:pPr>
            <w:r w:rsidRPr="00F57770">
              <w:rPr>
                <w:rFonts w:cs="Arial"/>
                <w:i/>
              </w:rPr>
              <w:t xml:space="preserve"> </w:t>
            </w:r>
            <w:r w:rsidRPr="00F57770">
              <w:rPr>
                <w:rFonts w:cs="Arial"/>
                <w:i/>
                <w:szCs w:val="24"/>
              </w:rPr>
              <w:t>See sample language in Closing Guide § 5.1</w:t>
            </w:r>
            <w:r w:rsidR="003674AE">
              <w:rPr>
                <w:rFonts w:cs="Arial"/>
                <w:i/>
                <w:szCs w:val="24"/>
              </w:rPr>
              <w:t>.</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14.</w:t>
            </w:r>
          </w:p>
        </w:tc>
        <w:tc>
          <w:tcPr>
            <w:tcW w:w="6319" w:type="dxa"/>
            <w:vAlign w:val="center"/>
          </w:tcPr>
          <w:p w:rsidR="00613814" w:rsidRPr="00B757EC" w:rsidRDefault="00613814" w:rsidP="00FB27E6">
            <w:pPr>
              <w:spacing w:after="0"/>
              <w:rPr>
                <w:rFonts w:cs="Arial"/>
                <w:szCs w:val="24"/>
              </w:rPr>
            </w:pPr>
            <w:r w:rsidRPr="00B757EC">
              <w:rPr>
                <w:rFonts w:cs="Arial"/>
                <w:szCs w:val="24"/>
              </w:rPr>
              <w:t xml:space="preserve">Escrow Agreements </w:t>
            </w:r>
          </w:p>
        </w:tc>
        <w:tc>
          <w:tcPr>
            <w:tcW w:w="7904" w:type="dxa"/>
          </w:tcPr>
          <w:p w:rsidR="00613814" w:rsidRPr="00D00F06" w:rsidRDefault="003674AE" w:rsidP="00FB27E6">
            <w:pPr>
              <w:pStyle w:val="Default"/>
              <w:ind w:left="-115" w:right="-115"/>
              <w:rPr>
                <w:rFonts w:cs="Arial"/>
                <w:i/>
                <w:color w:val="auto"/>
              </w:rPr>
            </w:pPr>
            <w:r>
              <w:rPr>
                <w:rFonts w:cs="Arial"/>
                <w:i/>
                <w:color w:val="auto"/>
              </w:rPr>
              <w:t xml:space="preserve">  </w:t>
            </w:r>
            <w:r w:rsidR="00CB7E25" w:rsidRPr="00CB7E25">
              <w:rPr>
                <w:rFonts w:cs="Arial"/>
                <w:i/>
                <w:color w:val="auto"/>
              </w:rPr>
              <w:t>As applicable.</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15.</w:t>
            </w:r>
          </w:p>
        </w:tc>
        <w:tc>
          <w:tcPr>
            <w:tcW w:w="6319" w:type="dxa"/>
            <w:vAlign w:val="center"/>
          </w:tcPr>
          <w:p w:rsidR="00613814" w:rsidRPr="00B757EC" w:rsidRDefault="00613814" w:rsidP="00FB27E6">
            <w:pPr>
              <w:spacing w:after="0"/>
              <w:rPr>
                <w:rFonts w:cs="Arial"/>
                <w:szCs w:val="24"/>
              </w:rPr>
            </w:pPr>
            <w:r w:rsidRPr="00B757EC">
              <w:rPr>
                <w:rFonts w:cs="Arial"/>
                <w:szCs w:val="24"/>
              </w:rPr>
              <w:t>Restrictive Covenants / Use Agreements</w:t>
            </w:r>
          </w:p>
        </w:tc>
        <w:tc>
          <w:tcPr>
            <w:tcW w:w="7904" w:type="dxa"/>
          </w:tcPr>
          <w:p w:rsidR="00613814" w:rsidRPr="00D00F06" w:rsidRDefault="003674AE" w:rsidP="00FB27E6">
            <w:pPr>
              <w:pStyle w:val="Default"/>
              <w:ind w:left="-115" w:right="-115"/>
              <w:rPr>
                <w:rFonts w:cs="Arial"/>
                <w:i/>
                <w:color w:val="auto"/>
              </w:rPr>
            </w:pPr>
            <w:r>
              <w:rPr>
                <w:rFonts w:cs="Arial"/>
                <w:i/>
                <w:color w:val="auto"/>
              </w:rPr>
              <w:t xml:space="preserve">  </w:t>
            </w:r>
            <w:r w:rsidR="00CB7E25" w:rsidRPr="00CB7E25">
              <w:rPr>
                <w:rFonts w:cs="Arial"/>
                <w:i/>
                <w:color w:val="auto"/>
              </w:rPr>
              <w:t>As applicable, including amendments to existing documents and/or new documents.</w:t>
            </w:r>
          </w:p>
        </w:tc>
      </w:tr>
      <w:tr w:rsidR="00613814" w:rsidRPr="00B757EC" w:rsidTr="00FB27E6">
        <w:trPr>
          <w:jc w:val="center"/>
        </w:trPr>
        <w:tc>
          <w:tcPr>
            <w:tcW w:w="505" w:type="dxa"/>
            <w:vAlign w:val="center"/>
          </w:tcPr>
          <w:p w:rsidR="00613814" w:rsidRPr="00B757EC" w:rsidRDefault="00613814" w:rsidP="00FB27E6">
            <w:pPr>
              <w:pStyle w:val="Default"/>
              <w:ind w:right="-85"/>
              <w:rPr>
                <w:rFonts w:cs="Arial"/>
                <w:color w:val="auto"/>
              </w:rPr>
            </w:pPr>
            <w:r w:rsidRPr="00B757EC">
              <w:rPr>
                <w:rFonts w:cs="Arial"/>
                <w:color w:val="auto"/>
              </w:rPr>
              <w:t>16.</w:t>
            </w:r>
          </w:p>
        </w:tc>
        <w:tc>
          <w:tcPr>
            <w:tcW w:w="6319" w:type="dxa"/>
            <w:vAlign w:val="center"/>
          </w:tcPr>
          <w:p w:rsidR="00613814" w:rsidRPr="00B757EC" w:rsidRDefault="00613814" w:rsidP="00FB27E6">
            <w:pPr>
              <w:spacing w:after="0"/>
              <w:rPr>
                <w:rFonts w:cs="Arial"/>
                <w:szCs w:val="24"/>
              </w:rPr>
            </w:pPr>
            <w:r w:rsidRPr="00B757EC">
              <w:rPr>
                <w:rFonts w:cs="Arial"/>
                <w:szCs w:val="24"/>
              </w:rPr>
              <w:t>Disbursement Agreement</w:t>
            </w:r>
          </w:p>
        </w:tc>
        <w:tc>
          <w:tcPr>
            <w:tcW w:w="7904" w:type="dxa"/>
          </w:tcPr>
          <w:p w:rsidR="00613814" w:rsidRPr="00D00F06" w:rsidRDefault="003674AE" w:rsidP="00FB27E6">
            <w:pPr>
              <w:pStyle w:val="Default"/>
              <w:ind w:left="-115" w:right="-115"/>
              <w:rPr>
                <w:rFonts w:cs="Arial"/>
                <w:i/>
                <w:color w:val="auto"/>
              </w:rPr>
            </w:pPr>
            <w:r>
              <w:rPr>
                <w:rFonts w:cs="Arial"/>
                <w:i/>
                <w:color w:val="auto"/>
              </w:rPr>
              <w:t xml:space="preserve">  </w:t>
            </w:r>
            <w:r w:rsidR="00CB7E25" w:rsidRPr="00CB7E25">
              <w:rPr>
                <w:rFonts w:cs="Arial"/>
                <w:i/>
                <w:color w:val="auto"/>
              </w:rPr>
              <w:t>As applicable.</w:t>
            </w:r>
          </w:p>
        </w:tc>
      </w:tr>
    </w:tbl>
    <w:p w:rsidR="00527870" w:rsidRDefault="00527870" w:rsidP="00FB29A8">
      <w:pPr>
        <w:tabs>
          <w:tab w:val="left" w:pos="4815"/>
        </w:tabs>
        <w:spacing w:line="240" w:lineRule="auto"/>
        <w:rPr>
          <w:rFonts w:cs="Arial"/>
        </w:rPr>
      </w:pPr>
    </w:p>
    <w:sectPr w:rsidR="00527870" w:rsidSect="00283C4A">
      <w:headerReference w:type="default" r:id="rId9"/>
      <w:footerReference w:type="default" r:id="rId10"/>
      <w:headerReference w:type="first" r:id="rId11"/>
      <w:footerReference w:type="first" r:id="rId12"/>
      <w:pgSz w:w="15840" w:h="12240" w:orient="landscape"/>
      <w:pgMar w:top="1440" w:right="1440" w:bottom="1440" w:left="1440" w:header="302" w:footer="3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F68" w:rsidRDefault="00046F68" w:rsidP="00F87F53">
      <w:pPr>
        <w:spacing w:after="0" w:line="240" w:lineRule="auto"/>
      </w:pPr>
      <w:r>
        <w:separator/>
      </w:r>
    </w:p>
  </w:endnote>
  <w:endnote w:type="continuationSeparator" w:id="0">
    <w:p w:rsidR="00046F68" w:rsidRDefault="00046F68" w:rsidP="00F8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4A" w:rsidRPr="00445374" w:rsidRDefault="00445374">
    <w:pPr>
      <w:pStyle w:val="Footer"/>
      <w:rPr>
        <w:sz w:val="20"/>
      </w:rPr>
    </w:pPr>
    <w:r>
      <w:rPr>
        <w:sz w:val="20"/>
      </w:rPr>
      <w:t xml:space="preserve">Workout / Interim Closing </w:t>
    </w:r>
    <w:r w:rsidRPr="004F1A12">
      <w:rPr>
        <w:sz w:val="20"/>
      </w:rPr>
      <w:t>Checklist</w:t>
    </w:r>
    <w:r>
      <w:rPr>
        <w:sz w:val="20"/>
      </w:rPr>
      <w:t xml:space="preserve"> (</w:t>
    </w:r>
    <w:r w:rsidRPr="008C3D23">
      <w:rPr>
        <w:i/>
        <w:sz w:val="20"/>
      </w:rPr>
      <w:t>Revised</w:t>
    </w:r>
    <w:r>
      <w:rPr>
        <w:i/>
        <w:sz w:val="20"/>
      </w:rPr>
      <w:t xml:space="preserve"> </w:t>
    </w:r>
    <w:r w:rsidRPr="008C3D23">
      <w:rPr>
        <w:i/>
        <w:sz w:val="20"/>
      </w:rPr>
      <w:t>4/2013</w:t>
    </w:r>
    <w:r>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4A" w:rsidRPr="00B82677" w:rsidRDefault="00283C4A" w:rsidP="00283C4A">
    <w:pPr>
      <w:rPr>
        <w:sz w:val="20"/>
      </w:rPr>
    </w:pPr>
    <w:r w:rsidRPr="00B82677">
      <w:rPr>
        <w:sz w:val="20"/>
      </w:rPr>
      <w:t>Workout / Interim Closing Checklist</w:t>
    </w:r>
    <w:r>
      <w:rPr>
        <w:sz w:val="20"/>
      </w:rPr>
      <w:t xml:space="preserve"> (</w:t>
    </w:r>
    <w:r w:rsidRPr="008C3D23">
      <w:rPr>
        <w:i/>
        <w:sz w:val="20"/>
      </w:rPr>
      <w:t>Revised 4/2013</w:t>
    </w:r>
    <w:r>
      <w:rPr>
        <w:sz w:val="20"/>
      </w:rPr>
      <w:t>)</w:t>
    </w:r>
  </w:p>
  <w:p w:rsidR="00283C4A" w:rsidRPr="00283C4A" w:rsidRDefault="00283C4A" w:rsidP="00283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F68" w:rsidRDefault="00046F68" w:rsidP="00F87F53">
      <w:pPr>
        <w:spacing w:after="0" w:line="240" w:lineRule="auto"/>
      </w:pPr>
      <w:r>
        <w:separator/>
      </w:r>
    </w:p>
  </w:footnote>
  <w:footnote w:type="continuationSeparator" w:id="0">
    <w:p w:rsidR="00046F68" w:rsidRDefault="00046F68" w:rsidP="00F87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4A" w:rsidRDefault="00283C4A" w:rsidP="00283C4A">
    <w:pPr>
      <w:spacing w:after="0"/>
      <w:rPr>
        <w:sz w:val="20"/>
        <w:szCs w:val="20"/>
      </w:rPr>
    </w:pPr>
    <w:r>
      <w:rPr>
        <w:sz w:val="20"/>
        <w:szCs w:val="20"/>
      </w:rPr>
      <w:t xml:space="preserve">Workout / Interim Closing Checklist </w:t>
    </w:r>
  </w:p>
  <w:p w:rsidR="00283C4A" w:rsidRDefault="00283C4A" w:rsidP="00283C4A">
    <w:pPr>
      <w:spacing w:after="0"/>
      <w:rPr>
        <w:sz w:val="20"/>
        <w:szCs w:val="20"/>
      </w:rPr>
    </w:pPr>
    <w:r>
      <w:rPr>
        <w:sz w:val="20"/>
        <w:szCs w:val="20"/>
      </w:rPr>
      <w:t>Project Name and/or Number:  _______________________</w:t>
    </w:r>
  </w:p>
  <w:p w:rsidR="00C3710E" w:rsidRPr="00B82677" w:rsidRDefault="00C3710E" w:rsidP="000175D9">
    <w:pPr>
      <w:spacing w:after="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4A" w:rsidRPr="00E92EB8" w:rsidRDefault="00283C4A" w:rsidP="00283C4A">
    <w:pPr>
      <w:spacing w:after="0"/>
      <w:jc w:val="center"/>
      <w:rPr>
        <w:rFonts w:cs="Arial"/>
        <w:sz w:val="20"/>
        <w:szCs w:val="20"/>
      </w:rPr>
    </w:pPr>
    <w:r w:rsidRPr="00E92EB8">
      <w:rPr>
        <w:rFonts w:cs="Arial"/>
        <w:sz w:val="20"/>
        <w:szCs w:val="20"/>
      </w:rPr>
      <w:t>U.S. DEPARTMENT OF HOUSING AND URBAN DEVELOPMENT</w:t>
    </w:r>
  </w:p>
  <w:p w:rsidR="00283C4A" w:rsidRPr="00CC0777" w:rsidRDefault="00283C4A" w:rsidP="00283C4A">
    <w:pPr>
      <w:spacing w:after="0"/>
      <w:jc w:val="center"/>
      <w:rPr>
        <w:rFonts w:cs="Arial"/>
        <w:sz w:val="20"/>
        <w:szCs w:val="20"/>
      </w:rPr>
    </w:pPr>
    <w:r>
      <w:rPr>
        <w:rFonts w:cs="Arial"/>
        <w:sz w:val="20"/>
        <w:szCs w:val="20"/>
      </w:rPr>
      <w:t xml:space="preserve">Sample Workout / Interim Closing Checklist </w:t>
    </w:r>
  </w:p>
  <w:p w:rsidR="00283C4A" w:rsidRDefault="00283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A4F"/>
    <w:multiLevelType w:val="hybridMultilevel"/>
    <w:tmpl w:val="28FCA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8391F"/>
    <w:multiLevelType w:val="hybridMultilevel"/>
    <w:tmpl w:val="1E306FFE"/>
    <w:lvl w:ilvl="0" w:tplc="FF420A64">
      <w:start w:val="1"/>
      <w:numFmt w:val="decimal"/>
      <w:pStyle w:val="Heading7"/>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8B550C"/>
    <w:multiLevelType w:val="hybridMultilevel"/>
    <w:tmpl w:val="0F0C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B4345"/>
    <w:multiLevelType w:val="hybridMultilevel"/>
    <w:tmpl w:val="D8A82A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DC5D83"/>
    <w:multiLevelType w:val="hybridMultilevel"/>
    <w:tmpl w:val="3D540F0E"/>
    <w:lvl w:ilvl="0" w:tplc="50622240">
      <w:start w:val="2"/>
      <w:numFmt w:val="decimal"/>
      <w:lvlText w:val="%1."/>
      <w:lvlJc w:val="left"/>
      <w:pPr>
        <w:ind w:left="45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623" w:hanging="360"/>
      </w:pPr>
    </w:lvl>
    <w:lvl w:ilvl="2" w:tplc="0409001B" w:tentative="1">
      <w:start w:val="1"/>
      <w:numFmt w:val="lowerRoman"/>
      <w:lvlText w:val="%3."/>
      <w:lvlJc w:val="right"/>
      <w:pPr>
        <w:ind w:left="1343" w:hanging="180"/>
      </w:pPr>
    </w:lvl>
    <w:lvl w:ilvl="3" w:tplc="0409000F" w:tentative="1">
      <w:start w:val="1"/>
      <w:numFmt w:val="decimal"/>
      <w:lvlText w:val="%4."/>
      <w:lvlJc w:val="left"/>
      <w:pPr>
        <w:ind w:left="2063" w:hanging="360"/>
      </w:pPr>
    </w:lvl>
    <w:lvl w:ilvl="4" w:tplc="04090019" w:tentative="1">
      <w:start w:val="1"/>
      <w:numFmt w:val="lowerLetter"/>
      <w:lvlText w:val="%5."/>
      <w:lvlJc w:val="left"/>
      <w:pPr>
        <w:ind w:left="2783" w:hanging="360"/>
      </w:pPr>
    </w:lvl>
    <w:lvl w:ilvl="5" w:tplc="0409001B" w:tentative="1">
      <w:start w:val="1"/>
      <w:numFmt w:val="lowerRoman"/>
      <w:lvlText w:val="%6."/>
      <w:lvlJc w:val="right"/>
      <w:pPr>
        <w:ind w:left="3503" w:hanging="180"/>
      </w:pPr>
    </w:lvl>
    <w:lvl w:ilvl="6" w:tplc="0409000F" w:tentative="1">
      <w:start w:val="1"/>
      <w:numFmt w:val="decimal"/>
      <w:lvlText w:val="%7."/>
      <w:lvlJc w:val="left"/>
      <w:pPr>
        <w:ind w:left="4223" w:hanging="360"/>
      </w:pPr>
    </w:lvl>
    <w:lvl w:ilvl="7" w:tplc="04090019" w:tentative="1">
      <w:start w:val="1"/>
      <w:numFmt w:val="lowerLetter"/>
      <w:lvlText w:val="%8."/>
      <w:lvlJc w:val="left"/>
      <w:pPr>
        <w:ind w:left="4943" w:hanging="360"/>
      </w:pPr>
    </w:lvl>
    <w:lvl w:ilvl="8" w:tplc="0409001B" w:tentative="1">
      <w:start w:val="1"/>
      <w:numFmt w:val="lowerRoman"/>
      <w:lvlText w:val="%9."/>
      <w:lvlJc w:val="right"/>
      <w:pPr>
        <w:ind w:left="5663" w:hanging="180"/>
      </w:pPr>
    </w:lvl>
  </w:abstractNum>
  <w:abstractNum w:abstractNumId="15">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24C61"/>
    <w:multiLevelType w:val="hybridMultilevel"/>
    <w:tmpl w:val="817CE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76242"/>
    <w:multiLevelType w:val="hybridMultilevel"/>
    <w:tmpl w:val="7E7AAA4E"/>
    <w:lvl w:ilvl="0" w:tplc="C0BEE2CC">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946DD"/>
    <w:multiLevelType w:val="hybridMultilevel"/>
    <w:tmpl w:val="B002A8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19">
      <w:start w:val="1"/>
      <w:numFmt w:val="lowerLetter"/>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C349A"/>
    <w:multiLevelType w:val="hybridMultilevel"/>
    <w:tmpl w:val="4DCE3630"/>
    <w:lvl w:ilvl="0" w:tplc="4D369BC4">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F503E2"/>
    <w:multiLevelType w:val="hybridMultilevel"/>
    <w:tmpl w:val="5E3EE6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D36482"/>
    <w:multiLevelType w:val="hybridMultilevel"/>
    <w:tmpl w:val="21E80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40544B"/>
    <w:multiLevelType w:val="hybridMultilevel"/>
    <w:tmpl w:val="FC304444"/>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4DC2519E"/>
    <w:multiLevelType w:val="hybridMultilevel"/>
    <w:tmpl w:val="7FA68DA4"/>
    <w:lvl w:ilvl="0" w:tplc="72FE1C24">
      <w:start w:val="1"/>
      <w:numFmt w:val="lowerLetter"/>
      <w:pStyle w:val="Heading5"/>
      <w:lvlText w:val="%1."/>
      <w:lvlJc w:val="left"/>
      <w:pPr>
        <w:ind w:left="12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8CD71A8"/>
    <w:multiLevelType w:val="hybridMultilevel"/>
    <w:tmpl w:val="319A2C22"/>
    <w:lvl w:ilvl="0" w:tplc="0AA4ADDE">
      <w:start w:val="6"/>
      <w:numFmt w:val="decimal"/>
      <w:lvlText w:val="5.%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841815"/>
    <w:multiLevelType w:val="hybridMultilevel"/>
    <w:tmpl w:val="05EEE2AA"/>
    <w:lvl w:ilvl="0" w:tplc="359C20A2">
      <w:start w:val="1"/>
      <w:numFmt w:val="lowerLetter"/>
      <w:lvlText w:val="%1."/>
      <w:lvlJc w:val="lef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DDA75A2">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nsid w:val="66C840B4"/>
    <w:multiLevelType w:val="hybridMultilevel"/>
    <w:tmpl w:val="0624EE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E9085F"/>
    <w:multiLevelType w:val="hybridMultilevel"/>
    <w:tmpl w:val="C018E568"/>
    <w:lvl w:ilvl="0" w:tplc="79646074">
      <w:start w:val="6"/>
      <w:numFmt w:val="upperLetter"/>
      <w:lvlText w:val="%1."/>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6">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6"/>
  </w:num>
  <w:num w:numId="2">
    <w:abstractNumId w:val="48"/>
  </w:num>
  <w:num w:numId="3">
    <w:abstractNumId w:val="37"/>
  </w:num>
  <w:num w:numId="4">
    <w:abstractNumId w:val="24"/>
  </w:num>
  <w:num w:numId="5">
    <w:abstractNumId w:val="6"/>
  </w:num>
  <w:num w:numId="6">
    <w:abstractNumId w:val="21"/>
  </w:num>
  <w:num w:numId="7">
    <w:abstractNumId w:val="45"/>
  </w:num>
  <w:num w:numId="8">
    <w:abstractNumId w:val="36"/>
  </w:num>
  <w:num w:numId="9">
    <w:abstractNumId w:val="41"/>
  </w:num>
  <w:num w:numId="10">
    <w:abstractNumId w:val="46"/>
  </w:num>
  <w:num w:numId="11">
    <w:abstractNumId w:val="23"/>
  </w:num>
  <w:num w:numId="12">
    <w:abstractNumId w:val="19"/>
  </w:num>
  <w:num w:numId="13">
    <w:abstractNumId w:val="38"/>
  </w:num>
  <w:num w:numId="14">
    <w:abstractNumId w:val="28"/>
  </w:num>
  <w:num w:numId="15">
    <w:abstractNumId w:val="20"/>
  </w:num>
  <w:num w:numId="16">
    <w:abstractNumId w:val="40"/>
  </w:num>
  <w:num w:numId="17">
    <w:abstractNumId w:val="54"/>
    <w:lvlOverride w:ilvl="0">
      <w:startOverride w:val="1"/>
    </w:lvlOverride>
  </w:num>
  <w:num w:numId="18">
    <w:abstractNumId w:val="1"/>
  </w:num>
  <w:num w:numId="19">
    <w:abstractNumId w:val="49"/>
  </w:num>
  <w:num w:numId="20">
    <w:abstractNumId w:val="3"/>
  </w:num>
  <w:num w:numId="21">
    <w:abstractNumId w:val="44"/>
  </w:num>
  <w:num w:numId="22">
    <w:abstractNumId w:val="9"/>
  </w:num>
  <w:num w:numId="23">
    <w:abstractNumId w:val="33"/>
  </w:num>
  <w:num w:numId="24">
    <w:abstractNumId w:val="11"/>
  </w:num>
  <w:num w:numId="25">
    <w:abstractNumId w:val="57"/>
  </w:num>
  <w:num w:numId="26">
    <w:abstractNumId w:val="10"/>
  </w:num>
  <w:num w:numId="27">
    <w:abstractNumId w:val="8"/>
  </w:num>
  <w:num w:numId="28">
    <w:abstractNumId w:val="15"/>
  </w:num>
  <w:num w:numId="29">
    <w:abstractNumId w:val="35"/>
  </w:num>
  <w:num w:numId="30">
    <w:abstractNumId w:val="43"/>
  </w:num>
  <w:num w:numId="31">
    <w:abstractNumId w:val="39"/>
  </w:num>
  <w:num w:numId="32">
    <w:abstractNumId w:val="13"/>
  </w:num>
  <w:num w:numId="33">
    <w:abstractNumId w:val="55"/>
  </w:num>
  <w:num w:numId="34">
    <w:abstractNumId w:val="14"/>
  </w:num>
  <w:num w:numId="35">
    <w:abstractNumId w:val="12"/>
  </w:num>
  <w:num w:numId="36">
    <w:abstractNumId w:val="47"/>
  </w:num>
  <w:num w:numId="37">
    <w:abstractNumId w:val="2"/>
  </w:num>
  <w:num w:numId="38">
    <w:abstractNumId w:val="30"/>
  </w:num>
  <w:num w:numId="39">
    <w:abstractNumId w:val="26"/>
  </w:num>
  <w:num w:numId="40">
    <w:abstractNumId w:val="27"/>
  </w:num>
  <w:num w:numId="41">
    <w:abstractNumId w:val="22"/>
  </w:num>
  <w:num w:numId="42">
    <w:abstractNumId w:val="53"/>
  </w:num>
  <w:num w:numId="43">
    <w:abstractNumId w:val="5"/>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18"/>
    <w:lvlOverride w:ilvl="0">
      <w:startOverride w:val="1"/>
    </w:lvlOverride>
  </w:num>
  <w:num w:numId="48">
    <w:abstractNumId w:val="18"/>
    <w:lvlOverride w:ilvl="0">
      <w:startOverride w:val="1"/>
    </w:lvlOverride>
  </w:num>
  <w:num w:numId="49">
    <w:abstractNumId w:val="18"/>
    <w:lvlOverride w:ilvl="0">
      <w:startOverride w:val="1"/>
    </w:lvlOverride>
  </w:num>
  <w:num w:numId="50">
    <w:abstractNumId w:val="18"/>
    <w:lvlOverride w:ilvl="0">
      <w:startOverride w:val="1"/>
    </w:lvlOverride>
  </w:num>
  <w:num w:numId="51">
    <w:abstractNumId w:val="18"/>
    <w:lvlOverride w:ilvl="0">
      <w:startOverride w:val="1"/>
    </w:lvlOverride>
  </w:num>
  <w:num w:numId="52">
    <w:abstractNumId w:val="18"/>
    <w:lvlOverride w:ilvl="0">
      <w:startOverride w:val="1"/>
    </w:lvlOverride>
  </w:num>
  <w:num w:numId="53">
    <w:abstractNumId w:val="18"/>
    <w:lvlOverride w:ilvl="0">
      <w:startOverride w:val="1"/>
    </w:lvlOverride>
  </w:num>
  <w:num w:numId="54">
    <w:abstractNumId w:val="18"/>
    <w:lvlOverride w:ilvl="0">
      <w:startOverride w:val="1"/>
    </w:lvlOverride>
  </w:num>
  <w:num w:numId="55">
    <w:abstractNumId w:val="18"/>
    <w:lvlOverride w:ilvl="0">
      <w:startOverride w:val="1"/>
    </w:lvlOverride>
  </w:num>
  <w:num w:numId="56">
    <w:abstractNumId w:val="18"/>
    <w:lvlOverride w:ilvl="0">
      <w:startOverride w:val="1"/>
    </w:lvlOverride>
  </w:num>
  <w:num w:numId="57">
    <w:abstractNumId w:val="18"/>
    <w:lvlOverride w:ilvl="0">
      <w:startOverride w:val="1"/>
    </w:lvlOverride>
  </w:num>
  <w:num w:numId="58">
    <w:abstractNumId w:val="18"/>
    <w:lvlOverride w:ilvl="0">
      <w:startOverride w:val="1"/>
    </w:lvlOverride>
  </w:num>
  <w:num w:numId="59">
    <w:abstractNumId w:val="18"/>
    <w:lvlOverride w:ilvl="0">
      <w:startOverride w:val="1"/>
    </w:lvlOverride>
  </w:num>
  <w:num w:numId="60">
    <w:abstractNumId w:val="18"/>
    <w:lvlOverride w:ilvl="0">
      <w:startOverride w:val="1"/>
    </w:lvlOverride>
  </w:num>
  <w:num w:numId="61">
    <w:abstractNumId w:val="18"/>
    <w:lvlOverride w:ilvl="0">
      <w:startOverride w:val="1"/>
    </w:lvlOverride>
  </w:num>
  <w:num w:numId="62">
    <w:abstractNumId w:val="18"/>
    <w:lvlOverride w:ilvl="0">
      <w:startOverride w:val="1"/>
    </w:lvlOverride>
  </w:num>
  <w:num w:numId="63">
    <w:abstractNumId w:val="18"/>
    <w:lvlOverride w:ilvl="0">
      <w:startOverride w:val="1"/>
    </w:lvlOverride>
  </w:num>
  <w:num w:numId="64">
    <w:abstractNumId w:val="18"/>
    <w:lvlOverride w:ilvl="0">
      <w:startOverride w:val="1"/>
    </w:lvlOverride>
  </w:num>
  <w:num w:numId="65">
    <w:abstractNumId w:val="18"/>
    <w:lvlOverride w:ilvl="0">
      <w:startOverride w:val="1"/>
    </w:lvlOverride>
  </w:num>
  <w:num w:numId="66">
    <w:abstractNumId w:val="18"/>
    <w:lvlOverride w:ilvl="0">
      <w:startOverride w:val="1"/>
    </w:lvlOverride>
  </w:num>
  <w:num w:numId="67">
    <w:abstractNumId w:val="18"/>
    <w:lvlOverride w:ilvl="0">
      <w:startOverride w:val="1"/>
    </w:lvlOverride>
  </w:num>
  <w:num w:numId="68">
    <w:abstractNumId w:val="18"/>
    <w:lvlOverride w:ilvl="0">
      <w:startOverride w:val="1"/>
    </w:lvlOverride>
  </w:num>
  <w:num w:numId="69">
    <w:abstractNumId w:val="18"/>
    <w:lvlOverride w:ilvl="0">
      <w:startOverride w:val="1"/>
    </w:lvlOverride>
  </w:num>
  <w:num w:numId="70">
    <w:abstractNumId w:val="18"/>
    <w:lvlOverride w:ilvl="0">
      <w:startOverride w:val="1"/>
    </w:lvlOverride>
  </w:num>
  <w:num w:numId="71">
    <w:abstractNumId w:val="18"/>
    <w:lvlOverride w:ilvl="0">
      <w:startOverride w:val="1"/>
    </w:lvlOverride>
  </w:num>
  <w:num w:numId="72">
    <w:abstractNumId w:val="18"/>
    <w:lvlOverride w:ilvl="0">
      <w:startOverride w:val="1"/>
    </w:lvlOverride>
  </w:num>
  <w:num w:numId="73">
    <w:abstractNumId w:val="18"/>
    <w:lvlOverride w:ilvl="0">
      <w:startOverride w:val="1"/>
    </w:lvlOverride>
  </w:num>
  <w:num w:numId="74">
    <w:abstractNumId w:val="18"/>
    <w:lvlOverride w:ilvl="0">
      <w:startOverride w:val="1"/>
    </w:lvlOverride>
  </w:num>
  <w:num w:numId="75">
    <w:abstractNumId w:val="18"/>
    <w:lvlOverride w:ilvl="0">
      <w:startOverride w:val="1"/>
    </w:lvlOverride>
  </w:num>
  <w:num w:numId="76">
    <w:abstractNumId w:val="18"/>
    <w:lvlOverride w:ilvl="0">
      <w:startOverride w:val="1"/>
    </w:lvlOverride>
  </w:num>
  <w:num w:numId="77">
    <w:abstractNumId w:val="18"/>
    <w:lvlOverride w:ilvl="0">
      <w:startOverride w:val="1"/>
    </w:lvlOverride>
  </w:num>
  <w:num w:numId="78">
    <w:abstractNumId w:val="18"/>
    <w:lvlOverride w:ilvl="0">
      <w:startOverride w:val="1"/>
    </w:lvlOverride>
  </w:num>
  <w:num w:numId="79">
    <w:abstractNumId w:val="18"/>
    <w:lvlOverride w:ilvl="0">
      <w:startOverride w:val="1"/>
    </w:lvlOverride>
  </w:num>
  <w:num w:numId="80">
    <w:abstractNumId w:val="5"/>
    <w:lvlOverride w:ilvl="0">
      <w:startOverride w:val="1"/>
    </w:lvlOverride>
  </w:num>
  <w:num w:numId="81">
    <w:abstractNumId w:val="18"/>
    <w:lvlOverride w:ilvl="0">
      <w:startOverride w:val="1"/>
    </w:lvlOverride>
  </w:num>
  <w:num w:numId="82">
    <w:abstractNumId w:val="18"/>
    <w:lvlOverride w:ilvl="0">
      <w:startOverride w:val="1"/>
    </w:lvlOverride>
  </w:num>
  <w:num w:numId="83">
    <w:abstractNumId w:val="18"/>
    <w:lvlOverride w:ilvl="0">
      <w:startOverride w:val="1"/>
    </w:lvlOverride>
  </w:num>
  <w:num w:numId="84">
    <w:abstractNumId w:val="5"/>
    <w:lvlOverride w:ilvl="0">
      <w:startOverride w:val="1"/>
    </w:lvlOverride>
  </w:num>
  <w:num w:numId="85">
    <w:abstractNumId w:val="34"/>
  </w:num>
  <w:num w:numId="86">
    <w:abstractNumId w:val="18"/>
  </w:num>
  <w:num w:numId="87">
    <w:abstractNumId w:val="18"/>
    <w:lvlOverride w:ilvl="0">
      <w:startOverride w:val="1"/>
    </w:lvlOverride>
  </w:num>
  <w:num w:numId="88">
    <w:abstractNumId w:val="34"/>
    <w:lvlOverride w:ilvl="0">
      <w:startOverride w:val="1"/>
    </w:lvlOverride>
  </w:num>
  <w:num w:numId="89">
    <w:abstractNumId w:val="34"/>
    <w:lvlOverride w:ilvl="0">
      <w:startOverride w:val="1"/>
    </w:lvlOverride>
  </w:num>
  <w:num w:numId="90">
    <w:abstractNumId w:val="34"/>
    <w:lvlOverride w:ilvl="0">
      <w:startOverride w:val="1"/>
    </w:lvlOverride>
  </w:num>
  <w:num w:numId="91">
    <w:abstractNumId w:val="34"/>
    <w:lvlOverride w:ilvl="0">
      <w:startOverride w:val="1"/>
    </w:lvlOverride>
  </w:num>
  <w:num w:numId="92">
    <w:abstractNumId w:val="34"/>
    <w:lvlOverride w:ilvl="0">
      <w:startOverride w:val="1"/>
    </w:lvlOverride>
  </w:num>
  <w:num w:numId="93">
    <w:abstractNumId w:val="34"/>
    <w:lvlOverride w:ilvl="0">
      <w:startOverride w:val="1"/>
    </w:lvlOverride>
  </w:num>
  <w:num w:numId="94">
    <w:abstractNumId w:val="18"/>
    <w:lvlOverride w:ilvl="0">
      <w:startOverride w:val="1"/>
    </w:lvlOverride>
  </w:num>
  <w:num w:numId="95">
    <w:abstractNumId w:val="35"/>
    <w:lvlOverride w:ilvl="0">
      <w:startOverride w:val="1"/>
    </w:lvlOverride>
  </w:num>
  <w:num w:numId="96">
    <w:abstractNumId w:val="35"/>
    <w:lvlOverride w:ilvl="0">
      <w:startOverride w:val="1"/>
    </w:lvlOverride>
  </w:num>
  <w:num w:numId="97">
    <w:abstractNumId w:val="35"/>
    <w:lvlOverride w:ilvl="0">
      <w:startOverride w:val="1"/>
    </w:lvlOverride>
  </w:num>
  <w:num w:numId="98">
    <w:abstractNumId w:val="35"/>
    <w:lvlOverride w:ilvl="0">
      <w:startOverride w:val="1"/>
    </w:lvlOverride>
  </w:num>
  <w:num w:numId="99">
    <w:abstractNumId w:val="35"/>
    <w:lvlOverride w:ilvl="0">
      <w:startOverride w:val="1"/>
    </w:lvlOverride>
  </w:num>
  <w:num w:numId="100">
    <w:abstractNumId w:val="35"/>
    <w:lvlOverride w:ilvl="0">
      <w:startOverride w:val="1"/>
    </w:lvlOverride>
  </w:num>
  <w:num w:numId="101">
    <w:abstractNumId w:val="34"/>
    <w:lvlOverride w:ilvl="0">
      <w:startOverride w:val="1"/>
    </w:lvlOverride>
  </w:num>
  <w:num w:numId="102">
    <w:abstractNumId w:val="34"/>
    <w:lvlOverride w:ilvl="0">
      <w:startOverride w:val="1"/>
    </w:lvlOverride>
  </w:num>
  <w:num w:numId="103">
    <w:abstractNumId w:val="34"/>
    <w:lvlOverride w:ilvl="0">
      <w:startOverride w:val="1"/>
    </w:lvlOverride>
  </w:num>
  <w:num w:numId="104">
    <w:abstractNumId w:val="35"/>
    <w:lvlOverride w:ilvl="0">
      <w:startOverride w:val="1"/>
    </w:lvlOverride>
  </w:num>
  <w:num w:numId="105">
    <w:abstractNumId w:val="34"/>
    <w:lvlOverride w:ilvl="0">
      <w:startOverride w:val="1"/>
    </w:lvlOverride>
  </w:num>
  <w:num w:numId="106">
    <w:abstractNumId w:val="35"/>
    <w:lvlOverride w:ilvl="0">
      <w:startOverride w:val="1"/>
    </w:lvlOverride>
  </w:num>
  <w:num w:numId="107">
    <w:abstractNumId w:val="34"/>
    <w:lvlOverride w:ilvl="0">
      <w:startOverride w:val="1"/>
    </w:lvlOverride>
  </w:num>
  <w:num w:numId="108">
    <w:abstractNumId w:val="34"/>
    <w:lvlOverride w:ilvl="0">
      <w:startOverride w:val="1"/>
    </w:lvlOverride>
  </w:num>
  <w:num w:numId="109">
    <w:abstractNumId w:val="34"/>
    <w:lvlOverride w:ilvl="0">
      <w:startOverride w:val="1"/>
    </w:lvlOverride>
  </w:num>
  <w:num w:numId="110">
    <w:abstractNumId w:val="35"/>
    <w:lvlOverride w:ilvl="0">
      <w:startOverride w:val="1"/>
    </w:lvlOverride>
  </w:num>
  <w:num w:numId="111">
    <w:abstractNumId w:val="34"/>
    <w:lvlOverride w:ilvl="0">
      <w:startOverride w:val="2"/>
    </w:lvlOverride>
  </w:num>
  <w:num w:numId="112">
    <w:abstractNumId w:val="35"/>
    <w:lvlOverride w:ilvl="0">
      <w:startOverride w:val="1"/>
    </w:lvlOverride>
  </w:num>
  <w:num w:numId="113">
    <w:abstractNumId w:val="34"/>
    <w:lvlOverride w:ilvl="0">
      <w:startOverride w:val="1"/>
    </w:lvlOverride>
  </w:num>
  <w:num w:numId="114">
    <w:abstractNumId w:val="35"/>
    <w:lvlOverride w:ilvl="0">
      <w:startOverride w:val="1"/>
    </w:lvlOverride>
  </w:num>
  <w:num w:numId="115">
    <w:abstractNumId w:val="34"/>
    <w:lvlOverride w:ilvl="0">
      <w:startOverride w:val="1"/>
    </w:lvlOverride>
  </w:num>
  <w:num w:numId="116">
    <w:abstractNumId w:val="34"/>
    <w:lvlOverride w:ilvl="0">
      <w:startOverride w:val="1"/>
    </w:lvlOverride>
  </w:num>
  <w:num w:numId="117">
    <w:abstractNumId w:val="35"/>
    <w:lvlOverride w:ilvl="0">
      <w:startOverride w:val="1"/>
    </w:lvlOverride>
  </w:num>
  <w:num w:numId="118">
    <w:abstractNumId w:val="34"/>
    <w:lvlOverride w:ilvl="0">
      <w:startOverride w:val="1"/>
    </w:lvlOverride>
  </w:num>
  <w:num w:numId="119">
    <w:abstractNumId w:val="34"/>
    <w:lvlOverride w:ilvl="0">
      <w:startOverride w:val="1"/>
    </w:lvlOverride>
  </w:num>
  <w:num w:numId="120">
    <w:abstractNumId w:val="35"/>
    <w:lvlOverride w:ilvl="0">
      <w:startOverride w:val="1"/>
    </w:lvlOverride>
  </w:num>
  <w:num w:numId="121">
    <w:abstractNumId w:val="34"/>
    <w:lvlOverride w:ilvl="0">
      <w:startOverride w:val="1"/>
    </w:lvlOverride>
  </w:num>
  <w:num w:numId="122">
    <w:abstractNumId w:val="34"/>
    <w:lvlOverride w:ilvl="0">
      <w:startOverride w:val="1"/>
    </w:lvlOverride>
  </w:num>
  <w:num w:numId="123">
    <w:abstractNumId w:val="35"/>
    <w:lvlOverride w:ilvl="0">
      <w:startOverride w:val="1"/>
    </w:lvlOverride>
  </w:num>
  <w:num w:numId="124">
    <w:abstractNumId w:val="34"/>
    <w:lvlOverride w:ilvl="0">
      <w:startOverride w:val="1"/>
    </w:lvlOverride>
  </w:num>
  <w:num w:numId="125">
    <w:abstractNumId w:val="35"/>
    <w:lvlOverride w:ilvl="0">
      <w:startOverride w:val="1"/>
    </w:lvlOverride>
  </w:num>
  <w:num w:numId="126">
    <w:abstractNumId w:val="34"/>
    <w:lvlOverride w:ilvl="0">
      <w:startOverride w:val="1"/>
    </w:lvlOverride>
  </w:num>
  <w:num w:numId="127">
    <w:abstractNumId w:val="34"/>
    <w:lvlOverride w:ilvl="0">
      <w:startOverride w:val="1"/>
    </w:lvlOverride>
  </w:num>
  <w:num w:numId="128">
    <w:abstractNumId w:val="34"/>
    <w:lvlOverride w:ilvl="0">
      <w:startOverride w:val="1"/>
    </w:lvlOverride>
  </w:num>
  <w:num w:numId="129">
    <w:abstractNumId w:val="34"/>
    <w:lvlOverride w:ilvl="0">
      <w:startOverride w:val="1"/>
    </w:lvlOverride>
  </w:num>
  <w:num w:numId="130">
    <w:abstractNumId w:val="34"/>
    <w:lvlOverride w:ilvl="0">
      <w:startOverride w:val="1"/>
    </w:lvlOverride>
  </w:num>
  <w:num w:numId="131">
    <w:abstractNumId w:val="35"/>
    <w:lvlOverride w:ilvl="0">
      <w:startOverride w:val="1"/>
    </w:lvlOverride>
  </w:num>
  <w:num w:numId="132">
    <w:abstractNumId w:val="34"/>
    <w:lvlOverride w:ilvl="0">
      <w:startOverride w:val="1"/>
    </w:lvlOverride>
  </w:num>
  <w:num w:numId="133">
    <w:abstractNumId w:val="34"/>
    <w:lvlOverride w:ilvl="0">
      <w:startOverride w:val="1"/>
    </w:lvlOverride>
  </w:num>
  <w:num w:numId="134">
    <w:abstractNumId w:val="34"/>
    <w:lvlOverride w:ilvl="0">
      <w:startOverride w:val="1"/>
    </w:lvlOverride>
  </w:num>
  <w:num w:numId="135">
    <w:abstractNumId w:val="34"/>
    <w:lvlOverride w:ilvl="0">
      <w:startOverride w:val="1"/>
    </w:lvlOverride>
  </w:num>
  <w:num w:numId="136">
    <w:abstractNumId w:val="34"/>
    <w:lvlOverride w:ilvl="0">
      <w:startOverride w:val="1"/>
    </w:lvlOverride>
  </w:num>
  <w:num w:numId="137">
    <w:abstractNumId w:val="35"/>
    <w:lvlOverride w:ilvl="0">
      <w:startOverride w:val="1"/>
    </w:lvlOverride>
  </w:num>
  <w:num w:numId="138">
    <w:abstractNumId w:val="34"/>
    <w:lvlOverride w:ilvl="0">
      <w:startOverride w:val="1"/>
    </w:lvlOverride>
  </w:num>
  <w:num w:numId="139">
    <w:abstractNumId w:val="35"/>
    <w:lvlOverride w:ilvl="0">
      <w:startOverride w:val="1"/>
    </w:lvlOverride>
  </w:num>
  <w:num w:numId="140">
    <w:abstractNumId w:val="34"/>
    <w:lvlOverride w:ilvl="0">
      <w:startOverride w:val="1"/>
    </w:lvlOverride>
  </w:num>
  <w:num w:numId="141">
    <w:abstractNumId w:val="35"/>
    <w:lvlOverride w:ilvl="0">
      <w:startOverride w:val="1"/>
    </w:lvlOverride>
  </w:num>
  <w:num w:numId="142">
    <w:abstractNumId w:val="34"/>
    <w:lvlOverride w:ilvl="0">
      <w:startOverride w:val="1"/>
    </w:lvlOverride>
  </w:num>
  <w:num w:numId="143">
    <w:abstractNumId w:val="34"/>
    <w:lvlOverride w:ilvl="0">
      <w:startOverride w:val="1"/>
    </w:lvlOverride>
  </w:num>
  <w:num w:numId="144">
    <w:abstractNumId w:val="34"/>
    <w:lvlOverride w:ilvl="0">
      <w:startOverride w:val="1"/>
    </w:lvlOverride>
  </w:num>
  <w:num w:numId="145">
    <w:abstractNumId w:val="34"/>
    <w:lvlOverride w:ilvl="0">
      <w:startOverride w:val="1"/>
    </w:lvlOverride>
  </w:num>
  <w:num w:numId="146">
    <w:abstractNumId w:val="34"/>
    <w:lvlOverride w:ilvl="0">
      <w:startOverride w:val="1"/>
    </w:lvlOverride>
  </w:num>
  <w:num w:numId="147">
    <w:abstractNumId w:val="34"/>
    <w:lvlOverride w:ilvl="0">
      <w:startOverride w:val="1"/>
    </w:lvlOverride>
  </w:num>
  <w:num w:numId="148">
    <w:abstractNumId w:val="34"/>
    <w:lvlOverride w:ilvl="0">
      <w:startOverride w:val="1"/>
    </w:lvlOverride>
  </w:num>
  <w:num w:numId="149">
    <w:abstractNumId w:val="34"/>
  </w:num>
  <w:num w:numId="150">
    <w:abstractNumId w:val="34"/>
    <w:lvlOverride w:ilvl="0">
      <w:startOverride w:val="1"/>
    </w:lvlOverride>
  </w:num>
  <w:num w:numId="151">
    <w:abstractNumId w:val="34"/>
    <w:lvlOverride w:ilvl="0">
      <w:startOverride w:val="1"/>
    </w:lvlOverride>
  </w:num>
  <w:num w:numId="152">
    <w:abstractNumId w:val="34"/>
    <w:lvlOverride w:ilvl="0">
      <w:startOverride w:val="1"/>
    </w:lvlOverride>
  </w:num>
  <w:num w:numId="153">
    <w:abstractNumId w:val="34"/>
    <w:lvlOverride w:ilvl="0">
      <w:startOverride w:val="1"/>
    </w:lvlOverride>
  </w:num>
  <w:num w:numId="154">
    <w:abstractNumId w:val="34"/>
    <w:lvlOverride w:ilvl="0">
      <w:startOverride w:val="1"/>
    </w:lvlOverride>
  </w:num>
  <w:num w:numId="155">
    <w:abstractNumId w:val="34"/>
    <w:lvlOverride w:ilvl="0">
      <w:startOverride w:val="1"/>
    </w:lvlOverride>
  </w:num>
  <w:num w:numId="156">
    <w:abstractNumId w:val="34"/>
    <w:lvlOverride w:ilvl="0">
      <w:startOverride w:val="1"/>
    </w:lvlOverride>
  </w:num>
  <w:num w:numId="157">
    <w:abstractNumId w:val="34"/>
    <w:lvlOverride w:ilvl="0">
      <w:startOverride w:val="1"/>
    </w:lvlOverride>
  </w:num>
  <w:num w:numId="158">
    <w:abstractNumId w:val="35"/>
    <w:lvlOverride w:ilvl="0">
      <w:startOverride w:val="1"/>
    </w:lvlOverride>
  </w:num>
  <w:num w:numId="159">
    <w:abstractNumId w:val="35"/>
    <w:lvlOverride w:ilvl="0">
      <w:startOverride w:val="1"/>
    </w:lvlOverride>
  </w:num>
  <w:num w:numId="160">
    <w:abstractNumId w:val="35"/>
    <w:lvlOverride w:ilvl="0">
      <w:startOverride w:val="1"/>
    </w:lvlOverride>
  </w:num>
  <w:num w:numId="161">
    <w:abstractNumId w:val="35"/>
    <w:lvlOverride w:ilvl="0">
      <w:startOverride w:val="1"/>
    </w:lvlOverride>
  </w:num>
  <w:num w:numId="162">
    <w:abstractNumId w:val="34"/>
    <w:lvlOverride w:ilvl="0">
      <w:startOverride w:val="1"/>
    </w:lvlOverride>
  </w:num>
  <w:num w:numId="163">
    <w:abstractNumId w:val="34"/>
    <w:lvlOverride w:ilvl="0">
      <w:startOverride w:val="1"/>
    </w:lvlOverride>
  </w:num>
  <w:num w:numId="164">
    <w:abstractNumId w:val="34"/>
    <w:lvlOverride w:ilvl="0">
      <w:startOverride w:val="1"/>
    </w:lvlOverride>
  </w:num>
  <w:num w:numId="165">
    <w:abstractNumId w:val="35"/>
    <w:lvlOverride w:ilvl="0">
      <w:startOverride w:val="1"/>
    </w:lvlOverride>
  </w:num>
  <w:num w:numId="166">
    <w:abstractNumId w:val="35"/>
    <w:lvlOverride w:ilvl="0">
      <w:startOverride w:val="1"/>
    </w:lvlOverride>
  </w:num>
  <w:num w:numId="167">
    <w:abstractNumId w:val="34"/>
    <w:lvlOverride w:ilvl="0">
      <w:startOverride w:val="1"/>
    </w:lvlOverride>
  </w:num>
  <w:num w:numId="168">
    <w:abstractNumId w:val="34"/>
    <w:lvlOverride w:ilvl="0">
      <w:startOverride w:val="1"/>
    </w:lvlOverride>
  </w:num>
  <w:num w:numId="169">
    <w:abstractNumId w:val="34"/>
    <w:lvlOverride w:ilvl="0">
      <w:startOverride w:val="1"/>
    </w:lvlOverride>
  </w:num>
  <w:num w:numId="170">
    <w:abstractNumId w:val="34"/>
    <w:lvlOverride w:ilvl="0">
      <w:startOverride w:val="1"/>
    </w:lvlOverride>
  </w:num>
  <w:num w:numId="171">
    <w:abstractNumId w:val="35"/>
    <w:lvlOverride w:ilvl="0">
      <w:startOverride w:val="1"/>
    </w:lvlOverride>
  </w:num>
  <w:num w:numId="172">
    <w:abstractNumId w:val="34"/>
    <w:lvlOverride w:ilvl="0">
      <w:startOverride w:val="1"/>
    </w:lvlOverride>
  </w:num>
  <w:num w:numId="173">
    <w:abstractNumId w:val="34"/>
    <w:lvlOverride w:ilvl="0">
      <w:startOverride w:val="1"/>
    </w:lvlOverride>
  </w:num>
  <w:num w:numId="174">
    <w:abstractNumId w:val="34"/>
    <w:lvlOverride w:ilvl="0">
      <w:startOverride w:val="1"/>
    </w:lvlOverride>
  </w:num>
  <w:num w:numId="175">
    <w:abstractNumId w:val="34"/>
    <w:lvlOverride w:ilvl="0">
      <w:startOverride w:val="1"/>
    </w:lvlOverride>
  </w:num>
  <w:num w:numId="176">
    <w:abstractNumId w:val="34"/>
    <w:lvlOverride w:ilvl="0">
      <w:startOverride w:val="1"/>
    </w:lvlOverride>
  </w:num>
  <w:num w:numId="177">
    <w:abstractNumId w:val="35"/>
    <w:lvlOverride w:ilvl="0">
      <w:startOverride w:val="1"/>
    </w:lvlOverride>
  </w:num>
  <w:num w:numId="178">
    <w:abstractNumId w:val="35"/>
    <w:lvlOverride w:ilvl="0">
      <w:startOverride w:val="1"/>
    </w:lvlOverride>
  </w:num>
  <w:num w:numId="179">
    <w:abstractNumId w:val="34"/>
    <w:lvlOverride w:ilvl="0">
      <w:startOverride w:val="1"/>
    </w:lvlOverride>
  </w:num>
  <w:num w:numId="180">
    <w:abstractNumId w:val="34"/>
    <w:lvlOverride w:ilvl="0">
      <w:startOverride w:val="1"/>
    </w:lvlOverride>
  </w:num>
  <w:num w:numId="181">
    <w:abstractNumId w:val="34"/>
    <w:lvlOverride w:ilvl="0">
      <w:startOverride w:val="1"/>
    </w:lvlOverride>
  </w:num>
  <w:num w:numId="182">
    <w:abstractNumId w:val="35"/>
    <w:lvlOverride w:ilvl="0">
      <w:startOverride w:val="1"/>
    </w:lvlOverride>
  </w:num>
  <w:num w:numId="183">
    <w:abstractNumId w:val="34"/>
    <w:lvlOverride w:ilvl="0">
      <w:startOverride w:val="1"/>
    </w:lvlOverride>
  </w:num>
  <w:num w:numId="184">
    <w:abstractNumId w:val="35"/>
    <w:lvlOverride w:ilvl="0">
      <w:startOverride w:val="1"/>
    </w:lvlOverride>
  </w:num>
  <w:num w:numId="185">
    <w:abstractNumId w:val="34"/>
    <w:lvlOverride w:ilvl="0">
      <w:startOverride w:val="1"/>
    </w:lvlOverride>
  </w:num>
  <w:num w:numId="186">
    <w:abstractNumId w:val="35"/>
    <w:lvlOverride w:ilvl="0">
      <w:startOverride w:val="1"/>
    </w:lvlOverride>
  </w:num>
  <w:num w:numId="187">
    <w:abstractNumId w:val="34"/>
    <w:lvlOverride w:ilvl="0">
      <w:startOverride w:val="1"/>
    </w:lvlOverride>
  </w:num>
  <w:num w:numId="188">
    <w:abstractNumId w:val="35"/>
    <w:lvlOverride w:ilvl="0">
      <w:startOverride w:val="1"/>
    </w:lvlOverride>
  </w:num>
  <w:num w:numId="189">
    <w:abstractNumId w:val="35"/>
    <w:lvlOverride w:ilvl="0">
      <w:startOverride w:val="1"/>
    </w:lvlOverride>
  </w:num>
  <w:num w:numId="190">
    <w:abstractNumId w:val="34"/>
    <w:lvlOverride w:ilvl="0">
      <w:startOverride w:val="1"/>
    </w:lvlOverride>
  </w:num>
  <w:num w:numId="191">
    <w:abstractNumId w:val="35"/>
    <w:lvlOverride w:ilvl="0">
      <w:startOverride w:val="1"/>
    </w:lvlOverride>
  </w:num>
  <w:num w:numId="192">
    <w:abstractNumId w:val="34"/>
    <w:lvlOverride w:ilvl="0">
      <w:startOverride w:val="1"/>
    </w:lvlOverride>
  </w:num>
  <w:num w:numId="193">
    <w:abstractNumId w:val="18"/>
    <w:lvlOverride w:ilvl="0">
      <w:startOverride w:val="1"/>
    </w:lvlOverride>
  </w:num>
  <w:num w:numId="194">
    <w:abstractNumId w:val="34"/>
    <w:lvlOverride w:ilvl="0">
      <w:startOverride w:val="1"/>
    </w:lvlOverride>
  </w:num>
  <w:num w:numId="195">
    <w:abstractNumId w:val="34"/>
    <w:lvlOverride w:ilvl="0">
      <w:startOverride w:val="1"/>
    </w:lvlOverride>
  </w:num>
  <w:num w:numId="196">
    <w:abstractNumId w:val="34"/>
    <w:lvlOverride w:ilvl="0">
      <w:startOverride w:val="1"/>
    </w:lvlOverride>
  </w:num>
  <w:num w:numId="197">
    <w:abstractNumId w:val="34"/>
    <w:lvlOverride w:ilvl="0">
      <w:startOverride w:val="1"/>
    </w:lvlOverride>
  </w:num>
  <w:num w:numId="198">
    <w:abstractNumId w:val="34"/>
    <w:lvlOverride w:ilvl="0">
      <w:startOverride w:val="1"/>
    </w:lvlOverride>
  </w:num>
  <w:num w:numId="199">
    <w:abstractNumId w:val="34"/>
    <w:lvlOverride w:ilvl="0">
      <w:startOverride w:val="1"/>
    </w:lvlOverride>
  </w:num>
  <w:num w:numId="200">
    <w:abstractNumId w:val="34"/>
    <w:lvlOverride w:ilvl="0">
      <w:startOverride w:val="1"/>
    </w:lvlOverride>
  </w:num>
  <w:num w:numId="201">
    <w:abstractNumId w:val="34"/>
    <w:lvlOverride w:ilvl="0">
      <w:startOverride w:val="1"/>
    </w:lvlOverride>
  </w:num>
  <w:num w:numId="202">
    <w:abstractNumId w:val="35"/>
    <w:lvlOverride w:ilvl="0">
      <w:startOverride w:val="1"/>
    </w:lvlOverride>
  </w:num>
  <w:num w:numId="203">
    <w:abstractNumId w:val="35"/>
    <w:lvlOverride w:ilvl="0">
      <w:startOverride w:val="1"/>
    </w:lvlOverride>
  </w:num>
  <w:num w:numId="204">
    <w:abstractNumId w:val="34"/>
    <w:lvlOverride w:ilvl="0">
      <w:startOverride w:val="1"/>
    </w:lvlOverride>
  </w:num>
  <w:num w:numId="205">
    <w:abstractNumId w:val="34"/>
    <w:lvlOverride w:ilvl="0">
      <w:startOverride w:val="1"/>
    </w:lvlOverride>
  </w:num>
  <w:num w:numId="206">
    <w:abstractNumId w:val="18"/>
    <w:lvlOverride w:ilvl="0">
      <w:startOverride w:val="1"/>
    </w:lvlOverride>
  </w:num>
  <w:num w:numId="207">
    <w:abstractNumId w:val="34"/>
    <w:lvlOverride w:ilvl="0">
      <w:startOverride w:val="1"/>
    </w:lvlOverride>
  </w:num>
  <w:num w:numId="208">
    <w:abstractNumId w:val="35"/>
    <w:lvlOverride w:ilvl="0">
      <w:startOverride w:val="1"/>
    </w:lvlOverride>
  </w:num>
  <w:num w:numId="209">
    <w:abstractNumId w:val="35"/>
    <w:lvlOverride w:ilvl="0">
      <w:startOverride w:val="1"/>
    </w:lvlOverride>
  </w:num>
  <w:num w:numId="210">
    <w:abstractNumId w:val="35"/>
    <w:lvlOverride w:ilvl="0">
      <w:startOverride w:val="1"/>
    </w:lvlOverride>
  </w:num>
  <w:num w:numId="211">
    <w:abstractNumId w:val="35"/>
    <w:lvlOverride w:ilvl="0">
      <w:startOverride w:val="1"/>
    </w:lvlOverride>
  </w:num>
  <w:num w:numId="212">
    <w:abstractNumId w:val="35"/>
    <w:lvlOverride w:ilvl="0">
      <w:startOverride w:val="1"/>
    </w:lvlOverride>
  </w:num>
  <w:num w:numId="213">
    <w:abstractNumId w:val="54"/>
    <w:lvlOverride w:ilvl="0">
      <w:startOverride w:val="1"/>
    </w:lvlOverride>
  </w:num>
  <w:num w:numId="214">
    <w:abstractNumId w:val="54"/>
  </w:num>
  <w:num w:numId="215">
    <w:abstractNumId w:val="54"/>
    <w:lvlOverride w:ilvl="0">
      <w:startOverride w:val="1"/>
    </w:lvlOverride>
  </w:num>
  <w:num w:numId="216">
    <w:abstractNumId w:val="54"/>
    <w:lvlOverride w:ilvl="0">
      <w:startOverride w:val="1"/>
    </w:lvlOverride>
  </w:num>
  <w:num w:numId="217">
    <w:abstractNumId w:val="18"/>
    <w:lvlOverride w:ilvl="0">
      <w:startOverride w:val="1"/>
    </w:lvlOverride>
  </w:num>
  <w:num w:numId="218">
    <w:abstractNumId w:val="34"/>
    <w:lvlOverride w:ilvl="0">
      <w:startOverride w:val="3"/>
    </w:lvlOverride>
  </w:num>
  <w:num w:numId="219">
    <w:abstractNumId w:val="32"/>
  </w:num>
  <w:num w:numId="220">
    <w:abstractNumId w:val="18"/>
    <w:lvlOverride w:ilvl="0">
      <w:startOverride w:val="3"/>
    </w:lvlOverride>
  </w:num>
  <w:num w:numId="221">
    <w:abstractNumId w:val="52"/>
  </w:num>
  <w:num w:numId="222">
    <w:abstractNumId w:val="51"/>
  </w:num>
  <w:num w:numId="223">
    <w:abstractNumId w:val="34"/>
    <w:lvlOverride w:ilvl="0">
      <w:startOverride w:val="1"/>
    </w:lvlOverride>
  </w:num>
  <w:num w:numId="224">
    <w:abstractNumId w:val="16"/>
  </w:num>
  <w:num w:numId="225">
    <w:abstractNumId w:val="50"/>
  </w:num>
  <w:num w:numId="226">
    <w:abstractNumId w:val="25"/>
  </w:num>
  <w:num w:numId="227">
    <w:abstractNumId w:val="0"/>
  </w:num>
  <w:num w:numId="228">
    <w:abstractNumId w:val="29"/>
  </w:num>
  <w:num w:numId="229">
    <w:abstractNumId w:val="31"/>
  </w:num>
  <w:num w:numId="230">
    <w:abstractNumId w:val="7"/>
  </w:num>
  <w:num w:numId="231">
    <w:abstractNumId w:val="4"/>
  </w:num>
  <w:num w:numId="232">
    <w:abstractNumId w:val="42"/>
  </w:num>
  <w:num w:numId="233">
    <w:abstractNumId w:val="17"/>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53"/>
    <w:rsid w:val="0000535A"/>
    <w:rsid w:val="00007800"/>
    <w:rsid w:val="00012850"/>
    <w:rsid w:val="000128A8"/>
    <w:rsid w:val="00014C78"/>
    <w:rsid w:val="000175D9"/>
    <w:rsid w:val="000212A3"/>
    <w:rsid w:val="00022661"/>
    <w:rsid w:val="00023BE8"/>
    <w:rsid w:val="000246A7"/>
    <w:rsid w:val="0002601F"/>
    <w:rsid w:val="000314D2"/>
    <w:rsid w:val="00032673"/>
    <w:rsid w:val="00035FCC"/>
    <w:rsid w:val="000362EF"/>
    <w:rsid w:val="00042AC7"/>
    <w:rsid w:val="00044930"/>
    <w:rsid w:val="00045EAA"/>
    <w:rsid w:val="00046F68"/>
    <w:rsid w:val="00047A45"/>
    <w:rsid w:val="0005009B"/>
    <w:rsid w:val="000508BB"/>
    <w:rsid w:val="00050BE9"/>
    <w:rsid w:val="000524C6"/>
    <w:rsid w:val="00052E8E"/>
    <w:rsid w:val="00053BA8"/>
    <w:rsid w:val="00054D36"/>
    <w:rsid w:val="00056C2C"/>
    <w:rsid w:val="00057CF4"/>
    <w:rsid w:val="00067B24"/>
    <w:rsid w:val="000709A7"/>
    <w:rsid w:val="00071554"/>
    <w:rsid w:val="000724C9"/>
    <w:rsid w:val="00072776"/>
    <w:rsid w:val="000727BD"/>
    <w:rsid w:val="00072F9C"/>
    <w:rsid w:val="00073C5E"/>
    <w:rsid w:val="00074693"/>
    <w:rsid w:val="00077A5C"/>
    <w:rsid w:val="000800D0"/>
    <w:rsid w:val="00081608"/>
    <w:rsid w:val="00083D7F"/>
    <w:rsid w:val="00085220"/>
    <w:rsid w:val="00085CC7"/>
    <w:rsid w:val="0008775E"/>
    <w:rsid w:val="00090683"/>
    <w:rsid w:val="000906C9"/>
    <w:rsid w:val="00092B57"/>
    <w:rsid w:val="00095EFE"/>
    <w:rsid w:val="00096168"/>
    <w:rsid w:val="000979F4"/>
    <w:rsid w:val="000A0214"/>
    <w:rsid w:val="000A0310"/>
    <w:rsid w:val="000A0359"/>
    <w:rsid w:val="000A2E4B"/>
    <w:rsid w:val="000A3213"/>
    <w:rsid w:val="000A7263"/>
    <w:rsid w:val="000B0663"/>
    <w:rsid w:val="000B0EDD"/>
    <w:rsid w:val="000B10C5"/>
    <w:rsid w:val="000B2ABA"/>
    <w:rsid w:val="000B7796"/>
    <w:rsid w:val="000C05B5"/>
    <w:rsid w:val="000C4201"/>
    <w:rsid w:val="000C54A7"/>
    <w:rsid w:val="000C55E2"/>
    <w:rsid w:val="000C6564"/>
    <w:rsid w:val="000D1BA5"/>
    <w:rsid w:val="000D2503"/>
    <w:rsid w:val="000D4362"/>
    <w:rsid w:val="000D4929"/>
    <w:rsid w:val="000D5DF2"/>
    <w:rsid w:val="000D679A"/>
    <w:rsid w:val="000D6949"/>
    <w:rsid w:val="000D6FA5"/>
    <w:rsid w:val="000E0E43"/>
    <w:rsid w:val="000E16DF"/>
    <w:rsid w:val="000E1AE0"/>
    <w:rsid w:val="000E5AB6"/>
    <w:rsid w:val="000E6698"/>
    <w:rsid w:val="000F05EF"/>
    <w:rsid w:val="000F16E4"/>
    <w:rsid w:val="000F44AE"/>
    <w:rsid w:val="000F4DCA"/>
    <w:rsid w:val="000F50B5"/>
    <w:rsid w:val="00102AC1"/>
    <w:rsid w:val="001103DE"/>
    <w:rsid w:val="001105B8"/>
    <w:rsid w:val="00111368"/>
    <w:rsid w:val="001125CB"/>
    <w:rsid w:val="00112BFF"/>
    <w:rsid w:val="00112FA2"/>
    <w:rsid w:val="00117181"/>
    <w:rsid w:val="00117D32"/>
    <w:rsid w:val="001230CC"/>
    <w:rsid w:val="0012555C"/>
    <w:rsid w:val="0012772F"/>
    <w:rsid w:val="00130AC0"/>
    <w:rsid w:val="00131FE9"/>
    <w:rsid w:val="001364EA"/>
    <w:rsid w:val="00143EDD"/>
    <w:rsid w:val="00144921"/>
    <w:rsid w:val="00145CBF"/>
    <w:rsid w:val="00145DE8"/>
    <w:rsid w:val="001462EA"/>
    <w:rsid w:val="001500F8"/>
    <w:rsid w:val="00151C0F"/>
    <w:rsid w:val="00155F03"/>
    <w:rsid w:val="00162CCD"/>
    <w:rsid w:val="0016328F"/>
    <w:rsid w:val="0016402C"/>
    <w:rsid w:val="0016417B"/>
    <w:rsid w:val="00167E25"/>
    <w:rsid w:val="00181A86"/>
    <w:rsid w:val="00183129"/>
    <w:rsid w:val="0018521A"/>
    <w:rsid w:val="00187EDD"/>
    <w:rsid w:val="0019480D"/>
    <w:rsid w:val="00197D7D"/>
    <w:rsid w:val="001A384A"/>
    <w:rsid w:val="001B0ACF"/>
    <w:rsid w:val="001B2692"/>
    <w:rsid w:val="001B3995"/>
    <w:rsid w:val="001B6764"/>
    <w:rsid w:val="001B6E27"/>
    <w:rsid w:val="001B79DE"/>
    <w:rsid w:val="001C05DC"/>
    <w:rsid w:val="001C2AEA"/>
    <w:rsid w:val="001D05E2"/>
    <w:rsid w:val="001D0822"/>
    <w:rsid w:val="001D195D"/>
    <w:rsid w:val="001D2B23"/>
    <w:rsid w:val="001D49D6"/>
    <w:rsid w:val="001D4D53"/>
    <w:rsid w:val="001D5863"/>
    <w:rsid w:val="001D6862"/>
    <w:rsid w:val="001D7BBB"/>
    <w:rsid w:val="001E4923"/>
    <w:rsid w:val="001E64B4"/>
    <w:rsid w:val="001E6960"/>
    <w:rsid w:val="001E6F91"/>
    <w:rsid w:val="001F4299"/>
    <w:rsid w:val="0020083B"/>
    <w:rsid w:val="00206DA8"/>
    <w:rsid w:val="00207A49"/>
    <w:rsid w:val="00211B5D"/>
    <w:rsid w:val="00211C75"/>
    <w:rsid w:val="002162F4"/>
    <w:rsid w:val="00221692"/>
    <w:rsid w:val="00222FC4"/>
    <w:rsid w:val="00223451"/>
    <w:rsid w:val="0023378C"/>
    <w:rsid w:val="00236041"/>
    <w:rsid w:val="00237127"/>
    <w:rsid w:val="00241225"/>
    <w:rsid w:val="00242444"/>
    <w:rsid w:val="002428C5"/>
    <w:rsid w:val="002469BE"/>
    <w:rsid w:val="002535CB"/>
    <w:rsid w:val="00263267"/>
    <w:rsid w:val="00266F43"/>
    <w:rsid w:val="00272577"/>
    <w:rsid w:val="002733E6"/>
    <w:rsid w:val="002745F2"/>
    <w:rsid w:val="002765BC"/>
    <w:rsid w:val="00277811"/>
    <w:rsid w:val="00283C4A"/>
    <w:rsid w:val="002907CF"/>
    <w:rsid w:val="00291CC5"/>
    <w:rsid w:val="002947FE"/>
    <w:rsid w:val="00297850"/>
    <w:rsid w:val="002A105D"/>
    <w:rsid w:val="002A13AC"/>
    <w:rsid w:val="002A25F5"/>
    <w:rsid w:val="002A349C"/>
    <w:rsid w:val="002A3FB1"/>
    <w:rsid w:val="002A46BF"/>
    <w:rsid w:val="002A4774"/>
    <w:rsid w:val="002A675B"/>
    <w:rsid w:val="002A7A6C"/>
    <w:rsid w:val="002B0550"/>
    <w:rsid w:val="002C08CE"/>
    <w:rsid w:val="002C0BAC"/>
    <w:rsid w:val="002C445B"/>
    <w:rsid w:val="002C516B"/>
    <w:rsid w:val="002C57DB"/>
    <w:rsid w:val="002C75F0"/>
    <w:rsid w:val="002C7E9F"/>
    <w:rsid w:val="002D36DA"/>
    <w:rsid w:val="002D4614"/>
    <w:rsid w:val="002D61BD"/>
    <w:rsid w:val="002D71DA"/>
    <w:rsid w:val="002D7C41"/>
    <w:rsid w:val="002E0609"/>
    <w:rsid w:val="002E2FEA"/>
    <w:rsid w:val="002E4543"/>
    <w:rsid w:val="002F1767"/>
    <w:rsid w:val="002F1830"/>
    <w:rsid w:val="002F1961"/>
    <w:rsid w:val="002F5C7F"/>
    <w:rsid w:val="002F62C5"/>
    <w:rsid w:val="0030090C"/>
    <w:rsid w:val="003009A0"/>
    <w:rsid w:val="00302303"/>
    <w:rsid w:val="00302909"/>
    <w:rsid w:val="0030347C"/>
    <w:rsid w:val="0030566B"/>
    <w:rsid w:val="00310CD8"/>
    <w:rsid w:val="00311EC8"/>
    <w:rsid w:val="00313AC0"/>
    <w:rsid w:val="00321382"/>
    <w:rsid w:val="003235D5"/>
    <w:rsid w:val="0032468F"/>
    <w:rsid w:val="00325A41"/>
    <w:rsid w:val="00326246"/>
    <w:rsid w:val="0033289E"/>
    <w:rsid w:val="0034100C"/>
    <w:rsid w:val="00341B70"/>
    <w:rsid w:val="0034411F"/>
    <w:rsid w:val="00344B69"/>
    <w:rsid w:val="00353AAF"/>
    <w:rsid w:val="00353C7A"/>
    <w:rsid w:val="00353DBB"/>
    <w:rsid w:val="00356576"/>
    <w:rsid w:val="00356BF4"/>
    <w:rsid w:val="00364C1B"/>
    <w:rsid w:val="003674AE"/>
    <w:rsid w:val="00370058"/>
    <w:rsid w:val="003711FC"/>
    <w:rsid w:val="00371AFE"/>
    <w:rsid w:val="0037250D"/>
    <w:rsid w:val="00373692"/>
    <w:rsid w:val="00373AF2"/>
    <w:rsid w:val="00375F1F"/>
    <w:rsid w:val="0037664E"/>
    <w:rsid w:val="00380217"/>
    <w:rsid w:val="0038092B"/>
    <w:rsid w:val="00383795"/>
    <w:rsid w:val="0038445D"/>
    <w:rsid w:val="00385C53"/>
    <w:rsid w:val="0038743D"/>
    <w:rsid w:val="00391E0C"/>
    <w:rsid w:val="00393312"/>
    <w:rsid w:val="003945B3"/>
    <w:rsid w:val="00396417"/>
    <w:rsid w:val="003968F6"/>
    <w:rsid w:val="00396D5F"/>
    <w:rsid w:val="003A3AE0"/>
    <w:rsid w:val="003B0A40"/>
    <w:rsid w:val="003B39D3"/>
    <w:rsid w:val="003B532E"/>
    <w:rsid w:val="003C0911"/>
    <w:rsid w:val="003C1D56"/>
    <w:rsid w:val="003C616C"/>
    <w:rsid w:val="003C616D"/>
    <w:rsid w:val="003D412E"/>
    <w:rsid w:val="003D56C9"/>
    <w:rsid w:val="003D5BCF"/>
    <w:rsid w:val="003D5FF3"/>
    <w:rsid w:val="003D60F0"/>
    <w:rsid w:val="003D684D"/>
    <w:rsid w:val="003D704A"/>
    <w:rsid w:val="003E41A0"/>
    <w:rsid w:val="003E7BF1"/>
    <w:rsid w:val="003F0B70"/>
    <w:rsid w:val="003F0B7B"/>
    <w:rsid w:val="003F0BAD"/>
    <w:rsid w:val="003F401B"/>
    <w:rsid w:val="003F480D"/>
    <w:rsid w:val="0040040D"/>
    <w:rsid w:val="00400B57"/>
    <w:rsid w:val="00402C85"/>
    <w:rsid w:val="00402F77"/>
    <w:rsid w:val="004060CF"/>
    <w:rsid w:val="0040706D"/>
    <w:rsid w:val="00410C6E"/>
    <w:rsid w:val="00411AEB"/>
    <w:rsid w:val="00417DE7"/>
    <w:rsid w:val="00420094"/>
    <w:rsid w:val="00422CFE"/>
    <w:rsid w:val="00423AF8"/>
    <w:rsid w:val="004240F2"/>
    <w:rsid w:val="00424878"/>
    <w:rsid w:val="004254AB"/>
    <w:rsid w:val="00427E74"/>
    <w:rsid w:val="0043005F"/>
    <w:rsid w:val="004315A1"/>
    <w:rsid w:val="0043181D"/>
    <w:rsid w:val="00435BD4"/>
    <w:rsid w:val="004420C9"/>
    <w:rsid w:val="004422DA"/>
    <w:rsid w:val="0044257A"/>
    <w:rsid w:val="00442E74"/>
    <w:rsid w:val="00445374"/>
    <w:rsid w:val="004479CB"/>
    <w:rsid w:val="00447B4D"/>
    <w:rsid w:val="0045211D"/>
    <w:rsid w:val="0045595E"/>
    <w:rsid w:val="00460737"/>
    <w:rsid w:val="00460F64"/>
    <w:rsid w:val="00461072"/>
    <w:rsid w:val="004625B9"/>
    <w:rsid w:val="00462DBD"/>
    <w:rsid w:val="00465FC8"/>
    <w:rsid w:val="00470EB1"/>
    <w:rsid w:val="00473D5F"/>
    <w:rsid w:val="004768C7"/>
    <w:rsid w:val="00476C0B"/>
    <w:rsid w:val="00476F4C"/>
    <w:rsid w:val="00480F0C"/>
    <w:rsid w:val="00482585"/>
    <w:rsid w:val="00485804"/>
    <w:rsid w:val="00487524"/>
    <w:rsid w:val="00491414"/>
    <w:rsid w:val="00491D11"/>
    <w:rsid w:val="00492B33"/>
    <w:rsid w:val="004930AC"/>
    <w:rsid w:val="0049685F"/>
    <w:rsid w:val="004A330C"/>
    <w:rsid w:val="004A4532"/>
    <w:rsid w:val="004A653C"/>
    <w:rsid w:val="004B06C1"/>
    <w:rsid w:val="004B1165"/>
    <w:rsid w:val="004B2381"/>
    <w:rsid w:val="004B2C61"/>
    <w:rsid w:val="004C099C"/>
    <w:rsid w:val="004C0FBE"/>
    <w:rsid w:val="004C2633"/>
    <w:rsid w:val="004C28EC"/>
    <w:rsid w:val="004C2B47"/>
    <w:rsid w:val="004C2D56"/>
    <w:rsid w:val="004C30C4"/>
    <w:rsid w:val="004C3D3F"/>
    <w:rsid w:val="004C4F4B"/>
    <w:rsid w:val="004C541E"/>
    <w:rsid w:val="004C5C08"/>
    <w:rsid w:val="004C731F"/>
    <w:rsid w:val="004D497A"/>
    <w:rsid w:val="004D5471"/>
    <w:rsid w:val="004D66BC"/>
    <w:rsid w:val="004D6E56"/>
    <w:rsid w:val="004D7B38"/>
    <w:rsid w:val="004E08C4"/>
    <w:rsid w:val="004E184F"/>
    <w:rsid w:val="004E2C1C"/>
    <w:rsid w:val="004F1A12"/>
    <w:rsid w:val="004F2B5A"/>
    <w:rsid w:val="004F577E"/>
    <w:rsid w:val="00500466"/>
    <w:rsid w:val="00501D3B"/>
    <w:rsid w:val="005044A3"/>
    <w:rsid w:val="00505FF3"/>
    <w:rsid w:val="00506002"/>
    <w:rsid w:val="0051136C"/>
    <w:rsid w:val="005122C3"/>
    <w:rsid w:val="005122D3"/>
    <w:rsid w:val="005133FA"/>
    <w:rsid w:val="0051544D"/>
    <w:rsid w:val="00515E35"/>
    <w:rsid w:val="00515F3E"/>
    <w:rsid w:val="00521B89"/>
    <w:rsid w:val="00523073"/>
    <w:rsid w:val="00524849"/>
    <w:rsid w:val="00527870"/>
    <w:rsid w:val="00527EF1"/>
    <w:rsid w:val="005313EB"/>
    <w:rsid w:val="00535733"/>
    <w:rsid w:val="00535DE5"/>
    <w:rsid w:val="00536122"/>
    <w:rsid w:val="0054024B"/>
    <w:rsid w:val="00544BD5"/>
    <w:rsid w:val="0055156E"/>
    <w:rsid w:val="00552C3E"/>
    <w:rsid w:val="005538F3"/>
    <w:rsid w:val="0055446D"/>
    <w:rsid w:val="00561B8B"/>
    <w:rsid w:val="00563083"/>
    <w:rsid w:val="005655ED"/>
    <w:rsid w:val="00565BFA"/>
    <w:rsid w:val="00567ACF"/>
    <w:rsid w:val="00567EE3"/>
    <w:rsid w:val="005705A4"/>
    <w:rsid w:val="00570928"/>
    <w:rsid w:val="00570C02"/>
    <w:rsid w:val="00570E6E"/>
    <w:rsid w:val="0057192C"/>
    <w:rsid w:val="005729E3"/>
    <w:rsid w:val="00572C4F"/>
    <w:rsid w:val="00573A07"/>
    <w:rsid w:val="005742C6"/>
    <w:rsid w:val="00574A18"/>
    <w:rsid w:val="00576142"/>
    <w:rsid w:val="005762D4"/>
    <w:rsid w:val="005767E2"/>
    <w:rsid w:val="005830AD"/>
    <w:rsid w:val="00585C50"/>
    <w:rsid w:val="00586725"/>
    <w:rsid w:val="005908D9"/>
    <w:rsid w:val="005908ED"/>
    <w:rsid w:val="00590B77"/>
    <w:rsid w:val="00590C33"/>
    <w:rsid w:val="00591412"/>
    <w:rsid w:val="00592DE2"/>
    <w:rsid w:val="00593166"/>
    <w:rsid w:val="00593D75"/>
    <w:rsid w:val="00594EE3"/>
    <w:rsid w:val="00595E9A"/>
    <w:rsid w:val="005964B0"/>
    <w:rsid w:val="005A2AEF"/>
    <w:rsid w:val="005A3C83"/>
    <w:rsid w:val="005A5545"/>
    <w:rsid w:val="005A6EFA"/>
    <w:rsid w:val="005A74D2"/>
    <w:rsid w:val="005B0117"/>
    <w:rsid w:val="005B0FCD"/>
    <w:rsid w:val="005B2AAF"/>
    <w:rsid w:val="005C1A3C"/>
    <w:rsid w:val="005C271A"/>
    <w:rsid w:val="005C2A37"/>
    <w:rsid w:val="005C439F"/>
    <w:rsid w:val="005C5A44"/>
    <w:rsid w:val="005D1C16"/>
    <w:rsid w:val="005D1C72"/>
    <w:rsid w:val="005D48B7"/>
    <w:rsid w:val="005D5C9B"/>
    <w:rsid w:val="005D6B4D"/>
    <w:rsid w:val="005E28CA"/>
    <w:rsid w:val="005E2A06"/>
    <w:rsid w:val="005E31C3"/>
    <w:rsid w:val="005E71B4"/>
    <w:rsid w:val="005E7EC4"/>
    <w:rsid w:val="005F087C"/>
    <w:rsid w:val="005F57CD"/>
    <w:rsid w:val="005F6CA1"/>
    <w:rsid w:val="005F751A"/>
    <w:rsid w:val="00602B37"/>
    <w:rsid w:val="00602B93"/>
    <w:rsid w:val="00604839"/>
    <w:rsid w:val="0060664F"/>
    <w:rsid w:val="00607C10"/>
    <w:rsid w:val="00610365"/>
    <w:rsid w:val="006105B2"/>
    <w:rsid w:val="00610F69"/>
    <w:rsid w:val="006121E9"/>
    <w:rsid w:val="00613814"/>
    <w:rsid w:val="0061478F"/>
    <w:rsid w:val="00620DC6"/>
    <w:rsid w:val="00624271"/>
    <w:rsid w:val="00626023"/>
    <w:rsid w:val="00627030"/>
    <w:rsid w:val="00632229"/>
    <w:rsid w:val="006322A4"/>
    <w:rsid w:val="00633447"/>
    <w:rsid w:val="00634B98"/>
    <w:rsid w:val="006401A8"/>
    <w:rsid w:val="006404A0"/>
    <w:rsid w:val="00640A73"/>
    <w:rsid w:val="00643B5E"/>
    <w:rsid w:val="006467EB"/>
    <w:rsid w:val="00647214"/>
    <w:rsid w:val="00647A4F"/>
    <w:rsid w:val="00647BD9"/>
    <w:rsid w:val="006532FB"/>
    <w:rsid w:val="00653C11"/>
    <w:rsid w:val="00660339"/>
    <w:rsid w:val="00660916"/>
    <w:rsid w:val="00662E00"/>
    <w:rsid w:val="006666EB"/>
    <w:rsid w:val="006726A4"/>
    <w:rsid w:val="006733B9"/>
    <w:rsid w:val="006740F5"/>
    <w:rsid w:val="006809B7"/>
    <w:rsid w:val="0068243D"/>
    <w:rsid w:val="00685A41"/>
    <w:rsid w:val="006878A6"/>
    <w:rsid w:val="006908E0"/>
    <w:rsid w:val="006916ED"/>
    <w:rsid w:val="006933A5"/>
    <w:rsid w:val="00694B13"/>
    <w:rsid w:val="00694DAD"/>
    <w:rsid w:val="006954F4"/>
    <w:rsid w:val="006A18CC"/>
    <w:rsid w:val="006A2A09"/>
    <w:rsid w:val="006A64E3"/>
    <w:rsid w:val="006A7B12"/>
    <w:rsid w:val="006A7B8A"/>
    <w:rsid w:val="006B256F"/>
    <w:rsid w:val="006B4058"/>
    <w:rsid w:val="006B53F9"/>
    <w:rsid w:val="006B7C13"/>
    <w:rsid w:val="006C2381"/>
    <w:rsid w:val="006C5CC0"/>
    <w:rsid w:val="006C6274"/>
    <w:rsid w:val="006D1377"/>
    <w:rsid w:val="006D3E00"/>
    <w:rsid w:val="006D60C6"/>
    <w:rsid w:val="006E14D1"/>
    <w:rsid w:val="006E4DF8"/>
    <w:rsid w:val="006E74EE"/>
    <w:rsid w:val="006F0B14"/>
    <w:rsid w:val="006F1510"/>
    <w:rsid w:val="006F2D65"/>
    <w:rsid w:val="006F55CE"/>
    <w:rsid w:val="006F6223"/>
    <w:rsid w:val="006F6A9B"/>
    <w:rsid w:val="006F6BCE"/>
    <w:rsid w:val="007016AF"/>
    <w:rsid w:val="00706B5A"/>
    <w:rsid w:val="007074F5"/>
    <w:rsid w:val="0070796F"/>
    <w:rsid w:val="00707F96"/>
    <w:rsid w:val="00714AFC"/>
    <w:rsid w:val="00714E7F"/>
    <w:rsid w:val="00716E57"/>
    <w:rsid w:val="0072261A"/>
    <w:rsid w:val="00722721"/>
    <w:rsid w:val="00722C86"/>
    <w:rsid w:val="0072353B"/>
    <w:rsid w:val="007249F8"/>
    <w:rsid w:val="00724DC6"/>
    <w:rsid w:val="0072669B"/>
    <w:rsid w:val="0072761E"/>
    <w:rsid w:val="007317D8"/>
    <w:rsid w:val="0073706E"/>
    <w:rsid w:val="007411D0"/>
    <w:rsid w:val="0074271C"/>
    <w:rsid w:val="0074343B"/>
    <w:rsid w:val="0074403B"/>
    <w:rsid w:val="00745D05"/>
    <w:rsid w:val="00750C65"/>
    <w:rsid w:val="00751D77"/>
    <w:rsid w:val="00755457"/>
    <w:rsid w:val="00757572"/>
    <w:rsid w:val="00761961"/>
    <w:rsid w:val="0076371B"/>
    <w:rsid w:val="00773AEB"/>
    <w:rsid w:val="0077495A"/>
    <w:rsid w:val="007778CC"/>
    <w:rsid w:val="00782866"/>
    <w:rsid w:val="007847E8"/>
    <w:rsid w:val="00787E19"/>
    <w:rsid w:val="00791BE5"/>
    <w:rsid w:val="007922A4"/>
    <w:rsid w:val="00792DB9"/>
    <w:rsid w:val="007A0070"/>
    <w:rsid w:val="007A4874"/>
    <w:rsid w:val="007A4E28"/>
    <w:rsid w:val="007A541D"/>
    <w:rsid w:val="007B2BAC"/>
    <w:rsid w:val="007B4C55"/>
    <w:rsid w:val="007B64C9"/>
    <w:rsid w:val="007B650A"/>
    <w:rsid w:val="007C009F"/>
    <w:rsid w:val="007C10F9"/>
    <w:rsid w:val="007C3219"/>
    <w:rsid w:val="007C3E31"/>
    <w:rsid w:val="007C401D"/>
    <w:rsid w:val="007C4A70"/>
    <w:rsid w:val="007C50C2"/>
    <w:rsid w:val="007C6F1D"/>
    <w:rsid w:val="007C72A3"/>
    <w:rsid w:val="007C779D"/>
    <w:rsid w:val="007C7C42"/>
    <w:rsid w:val="007D17D2"/>
    <w:rsid w:val="007D3B2F"/>
    <w:rsid w:val="007D6238"/>
    <w:rsid w:val="007D6AEA"/>
    <w:rsid w:val="007D724C"/>
    <w:rsid w:val="007D7C0F"/>
    <w:rsid w:val="007E0213"/>
    <w:rsid w:val="007E09B3"/>
    <w:rsid w:val="007E0BB2"/>
    <w:rsid w:val="007E2C14"/>
    <w:rsid w:val="007E34CD"/>
    <w:rsid w:val="007E402A"/>
    <w:rsid w:val="007E6180"/>
    <w:rsid w:val="007F3856"/>
    <w:rsid w:val="007F52C0"/>
    <w:rsid w:val="007F637C"/>
    <w:rsid w:val="007F7195"/>
    <w:rsid w:val="00801352"/>
    <w:rsid w:val="00802CB4"/>
    <w:rsid w:val="00803F5F"/>
    <w:rsid w:val="008057C2"/>
    <w:rsid w:val="00806C44"/>
    <w:rsid w:val="00806D9D"/>
    <w:rsid w:val="00807959"/>
    <w:rsid w:val="00814D5B"/>
    <w:rsid w:val="0081522C"/>
    <w:rsid w:val="00816775"/>
    <w:rsid w:val="00816F92"/>
    <w:rsid w:val="008201FA"/>
    <w:rsid w:val="00821364"/>
    <w:rsid w:val="00822861"/>
    <w:rsid w:val="008231AE"/>
    <w:rsid w:val="00823694"/>
    <w:rsid w:val="008243C0"/>
    <w:rsid w:val="008274AD"/>
    <w:rsid w:val="00827EFF"/>
    <w:rsid w:val="008308B3"/>
    <w:rsid w:val="00832A4B"/>
    <w:rsid w:val="00837C71"/>
    <w:rsid w:val="00841D56"/>
    <w:rsid w:val="00842684"/>
    <w:rsid w:val="00843967"/>
    <w:rsid w:val="0084589A"/>
    <w:rsid w:val="008525F8"/>
    <w:rsid w:val="00852EBE"/>
    <w:rsid w:val="00852F6C"/>
    <w:rsid w:val="00855B2D"/>
    <w:rsid w:val="008562E6"/>
    <w:rsid w:val="008577E5"/>
    <w:rsid w:val="00860F87"/>
    <w:rsid w:val="008627CA"/>
    <w:rsid w:val="008648ED"/>
    <w:rsid w:val="00864C01"/>
    <w:rsid w:val="00865D39"/>
    <w:rsid w:val="00866157"/>
    <w:rsid w:val="0086619C"/>
    <w:rsid w:val="0086674F"/>
    <w:rsid w:val="00876FC6"/>
    <w:rsid w:val="00877C81"/>
    <w:rsid w:val="00882A36"/>
    <w:rsid w:val="008830AC"/>
    <w:rsid w:val="00891344"/>
    <w:rsid w:val="0089165E"/>
    <w:rsid w:val="00892966"/>
    <w:rsid w:val="00893BA5"/>
    <w:rsid w:val="00894F6F"/>
    <w:rsid w:val="0089667E"/>
    <w:rsid w:val="008A1AB7"/>
    <w:rsid w:val="008A3195"/>
    <w:rsid w:val="008A3CE9"/>
    <w:rsid w:val="008A47DD"/>
    <w:rsid w:val="008A51DA"/>
    <w:rsid w:val="008A5755"/>
    <w:rsid w:val="008A7B6D"/>
    <w:rsid w:val="008B0EAF"/>
    <w:rsid w:val="008B1966"/>
    <w:rsid w:val="008B23A4"/>
    <w:rsid w:val="008B3786"/>
    <w:rsid w:val="008B3E9C"/>
    <w:rsid w:val="008B671E"/>
    <w:rsid w:val="008C23DA"/>
    <w:rsid w:val="008C293D"/>
    <w:rsid w:val="008C3D23"/>
    <w:rsid w:val="008C75AA"/>
    <w:rsid w:val="008D0024"/>
    <w:rsid w:val="008D095B"/>
    <w:rsid w:val="008D677B"/>
    <w:rsid w:val="008E2165"/>
    <w:rsid w:val="008E27DC"/>
    <w:rsid w:val="008E306A"/>
    <w:rsid w:val="008E317F"/>
    <w:rsid w:val="008E37BC"/>
    <w:rsid w:val="008E471D"/>
    <w:rsid w:val="008E53CD"/>
    <w:rsid w:val="008F0D5F"/>
    <w:rsid w:val="008F1BA7"/>
    <w:rsid w:val="008F4860"/>
    <w:rsid w:val="008F4AC2"/>
    <w:rsid w:val="008F4D3C"/>
    <w:rsid w:val="008F5379"/>
    <w:rsid w:val="0090079E"/>
    <w:rsid w:val="00900D00"/>
    <w:rsid w:val="009012A8"/>
    <w:rsid w:val="00901D72"/>
    <w:rsid w:val="009102D1"/>
    <w:rsid w:val="009119BB"/>
    <w:rsid w:val="00912596"/>
    <w:rsid w:val="0091602B"/>
    <w:rsid w:val="00916540"/>
    <w:rsid w:val="009170D8"/>
    <w:rsid w:val="00922732"/>
    <w:rsid w:val="00922DB8"/>
    <w:rsid w:val="00923EB9"/>
    <w:rsid w:val="0092555D"/>
    <w:rsid w:val="009266AF"/>
    <w:rsid w:val="009333DD"/>
    <w:rsid w:val="00933C54"/>
    <w:rsid w:val="00935814"/>
    <w:rsid w:val="00937003"/>
    <w:rsid w:val="00941BF9"/>
    <w:rsid w:val="00942915"/>
    <w:rsid w:val="00945678"/>
    <w:rsid w:val="009471AE"/>
    <w:rsid w:val="00950C6F"/>
    <w:rsid w:val="00950D12"/>
    <w:rsid w:val="009526F2"/>
    <w:rsid w:val="009528B6"/>
    <w:rsid w:val="0095540F"/>
    <w:rsid w:val="00955B27"/>
    <w:rsid w:val="00956050"/>
    <w:rsid w:val="00962515"/>
    <w:rsid w:val="009646FB"/>
    <w:rsid w:val="00964959"/>
    <w:rsid w:val="0097266C"/>
    <w:rsid w:val="00974F23"/>
    <w:rsid w:val="00975CE3"/>
    <w:rsid w:val="00977373"/>
    <w:rsid w:val="009779CF"/>
    <w:rsid w:val="00984B6D"/>
    <w:rsid w:val="009865A7"/>
    <w:rsid w:val="00986684"/>
    <w:rsid w:val="009870D7"/>
    <w:rsid w:val="00987770"/>
    <w:rsid w:val="0099218E"/>
    <w:rsid w:val="0099515C"/>
    <w:rsid w:val="009957F0"/>
    <w:rsid w:val="009A102B"/>
    <w:rsid w:val="009A1E63"/>
    <w:rsid w:val="009A31C4"/>
    <w:rsid w:val="009A6D23"/>
    <w:rsid w:val="009B16C1"/>
    <w:rsid w:val="009B1CA6"/>
    <w:rsid w:val="009B405B"/>
    <w:rsid w:val="009B496C"/>
    <w:rsid w:val="009B5347"/>
    <w:rsid w:val="009B62E7"/>
    <w:rsid w:val="009B738A"/>
    <w:rsid w:val="009C070F"/>
    <w:rsid w:val="009C12CA"/>
    <w:rsid w:val="009C4658"/>
    <w:rsid w:val="009C5D41"/>
    <w:rsid w:val="009C707B"/>
    <w:rsid w:val="009D4C9F"/>
    <w:rsid w:val="009D6A5B"/>
    <w:rsid w:val="009E01DF"/>
    <w:rsid w:val="009E3935"/>
    <w:rsid w:val="009E520E"/>
    <w:rsid w:val="009F0A82"/>
    <w:rsid w:val="009F3653"/>
    <w:rsid w:val="009F74AD"/>
    <w:rsid w:val="00A00C42"/>
    <w:rsid w:val="00A0224A"/>
    <w:rsid w:val="00A0658D"/>
    <w:rsid w:val="00A100C1"/>
    <w:rsid w:val="00A12FF8"/>
    <w:rsid w:val="00A17605"/>
    <w:rsid w:val="00A177C0"/>
    <w:rsid w:val="00A20A63"/>
    <w:rsid w:val="00A2173E"/>
    <w:rsid w:val="00A21FAE"/>
    <w:rsid w:val="00A22030"/>
    <w:rsid w:val="00A243C2"/>
    <w:rsid w:val="00A25601"/>
    <w:rsid w:val="00A26744"/>
    <w:rsid w:val="00A2715C"/>
    <w:rsid w:val="00A30989"/>
    <w:rsid w:val="00A33885"/>
    <w:rsid w:val="00A36D25"/>
    <w:rsid w:val="00A40170"/>
    <w:rsid w:val="00A40425"/>
    <w:rsid w:val="00A4083B"/>
    <w:rsid w:val="00A425D4"/>
    <w:rsid w:val="00A468D2"/>
    <w:rsid w:val="00A470AB"/>
    <w:rsid w:val="00A51BA9"/>
    <w:rsid w:val="00A54436"/>
    <w:rsid w:val="00A55681"/>
    <w:rsid w:val="00A56323"/>
    <w:rsid w:val="00A62F5C"/>
    <w:rsid w:val="00A71532"/>
    <w:rsid w:val="00A719E0"/>
    <w:rsid w:val="00A73A17"/>
    <w:rsid w:val="00A81384"/>
    <w:rsid w:val="00A86BED"/>
    <w:rsid w:val="00A87B09"/>
    <w:rsid w:val="00A91440"/>
    <w:rsid w:val="00A964FE"/>
    <w:rsid w:val="00AA1129"/>
    <w:rsid w:val="00AA2DEE"/>
    <w:rsid w:val="00AA4BAD"/>
    <w:rsid w:val="00AA55DD"/>
    <w:rsid w:val="00AB1F50"/>
    <w:rsid w:val="00AB3CBA"/>
    <w:rsid w:val="00AC0552"/>
    <w:rsid w:val="00AC41BA"/>
    <w:rsid w:val="00AC5556"/>
    <w:rsid w:val="00AC7BBF"/>
    <w:rsid w:val="00AD018B"/>
    <w:rsid w:val="00AD4615"/>
    <w:rsid w:val="00AD55A1"/>
    <w:rsid w:val="00AD7FAF"/>
    <w:rsid w:val="00AE159B"/>
    <w:rsid w:val="00AE19EC"/>
    <w:rsid w:val="00AE1E44"/>
    <w:rsid w:val="00AE21BC"/>
    <w:rsid w:val="00AE302F"/>
    <w:rsid w:val="00AE4DD3"/>
    <w:rsid w:val="00AE52DE"/>
    <w:rsid w:val="00AE62C2"/>
    <w:rsid w:val="00AF239B"/>
    <w:rsid w:val="00B026F6"/>
    <w:rsid w:val="00B0390B"/>
    <w:rsid w:val="00B03EED"/>
    <w:rsid w:val="00B070EB"/>
    <w:rsid w:val="00B15337"/>
    <w:rsid w:val="00B15625"/>
    <w:rsid w:val="00B1594F"/>
    <w:rsid w:val="00B21636"/>
    <w:rsid w:val="00B25D98"/>
    <w:rsid w:val="00B26BA6"/>
    <w:rsid w:val="00B301B2"/>
    <w:rsid w:val="00B32CD7"/>
    <w:rsid w:val="00B36CF7"/>
    <w:rsid w:val="00B414CF"/>
    <w:rsid w:val="00B420DC"/>
    <w:rsid w:val="00B44305"/>
    <w:rsid w:val="00B44FFE"/>
    <w:rsid w:val="00B5039B"/>
    <w:rsid w:val="00B503DE"/>
    <w:rsid w:val="00B508A8"/>
    <w:rsid w:val="00B50934"/>
    <w:rsid w:val="00B50AED"/>
    <w:rsid w:val="00B52327"/>
    <w:rsid w:val="00B526C4"/>
    <w:rsid w:val="00B53177"/>
    <w:rsid w:val="00B6066A"/>
    <w:rsid w:val="00B60C9F"/>
    <w:rsid w:val="00B6140F"/>
    <w:rsid w:val="00B62DCB"/>
    <w:rsid w:val="00B65D30"/>
    <w:rsid w:val="00B66A7D"/>
    <w:rsid w:val="00B66B25"/>
    <w:rsid w:val="00B6750C"/>
    <w:rsid w:val="00B67AE6"/>
    <w:rsid w:val="00B70E6E"/>
    <w:rsid w:val="00B757EC"/>
    <w:rsid w:val="00B77B68"/>
    <w:rsid w:val="00B81E67"/>
    <w:rsid w:val="00B8258A"/>
    <w:rsid w:val="00B82677"/>
    <w:rsid w:val="00B845CD"/>
    <w:rsid w:val="00B857FE"/>
    <w:rsid w:val="00B85CDD"/>
    <w:rsid w:val="00B86757"/>
    <w:rsid w:val="00B87600"/>
    <w:rsid w:val="00B87F91"/>
    <w:rsid w:val="00B94234"/>
    <w:rsid w:val="00BA08A5"/>
    <w:rsid w:val="00BA139E"/>
    <w:rsid w:val="00BA21C8"/>
    <w:rsid w:val="00BA2727"/>
    <w:rsid w:val="00BA4870"/>
    <w:rsid w:val="00BA4CA9"/>
    <w:rsid w:val="00BB3303"/>
    <w:rsid w:val="00BB465A"/>
    <w:rsid w:val="00BB7071"/>
    <w:rsid w:val="00BC12DC"/>
    <w:rsid w:val="00BC53B5"/>
    <w:rsid w:val="00BC5573"/>
    <w:rsid w:val="00BC6DA4"/>
    <w:rsid w:val="00BD7CB8"/>
    <w:rsid w:val="00BE254C"/>
    <w:rsid w:val="00BE35F1"/>
    <w:rsid w:val="00BE583D"/>
    <w:rsid w:val="00BF0792"/>
    <w:rsid w:val="00BF1CB9"/>
    <w:rsid w:val="00BF1D3A"/>
    <w:rsid w:val="00BF1F27"/>
    <w:rsid w:val="00BF2D8A"/>
    <w:rsid w:val="00BF341E"/>
    <w:rsid w:val="00BF445A"/>
    <w:rsid w:val="00BF4848"/>
    <w:rsid w:val="00BF7EFA"/>
    <w:rsid w:val="00C0114D"/>
    <w:rsid w:val="00C07F42"/>
    <w:rsid w:val="00C133D7"/>
    <w:rsid w:val="00C137D9"/>
    <w:rsid w:val="00C153A5"/>
    <w:rsid w:val="00C1703F"/>
    <w:rsid w:val="00C200F6"/>
    <w:rsid w:val="00C22C40"/>
    <w:rsid w:val="00C25B3D"/>
    <w:rsid w:val="00C333A4"/>
    <w:rsid w:val="00C36061"/>
    <w:rsid w:val="00C3710E"/>
    <w:rsid w:val="00C379B7"/>
    <w:rsid w:val="00C41842"/>
    <w:rsid w:val="00C41CB8"/>
    <w:rsid w:val="00C42A04"/>
    <w:rsid w:val="00C43819"/>
    <w:rsid w:val="00C43AE5"/>
    <w:rsid w:val="00C5145A"/>
    <w:rsid w:val="00C5708C"/>
    <w:rsid w:val="00C576EE"/>
    <w:rsid w:val="00C5786F"/>
    <w:rsid w:val="00C579AF"/>
    <w:rsid w:val="00C57A91"/>
    <w:rsid w:val="00C61161"/>
    <w:rsid w:val="00C615CC"/>
    <w:rsid w:val="00C61D22"/>
    <w:rsid w:val="00C64D58"/>
    <w:rsid w:val="00C657CC"/>
    <w:rsid w:val="00C704BF"/>
    <w:rsid w:val="00C72287"/>
    <w:rsid w:val="00C75F33"/>
    <w:rsid w:val="00C76E77"/>
    <w:rsid w:val="00C77320"/>
    <w:rsid w:val="00C805A2"/>
    <w:rsid w:val="00C81820"/>
    <w:rsid w:val="00C849E2"/>
    <w:rsid w:val="00C8688D"/>
    <w:rsid w:val="00C87622"/>
    <w:rsid w:val="00C9099A"/>
    <w:rsid w:val="00C9118D"/>
    <w:rsid w:val="00C9231A"/>
    <w:rsid w:val="00C943B4"/>
    <w:rsid w:val="00C9599B"/>
    <w:rsid w:val="00C95A8E"/>
    <w:rsid w:val="00C9677D"/>
    <w:rsid w:val="00CA554C"/>
    <w:rsid w:val="00CA5812"/>
    <w:rsid w:val="00CB32E2"/>
    <w:rsid w:val="00CB5C24"/>
    <w:rsid w:val="00CB78D2"/>
    <w:rsid w:val="00CB7E25"/>
    <w:rsid w:val="00CC0F5C"/>
    <w:rsid w:val="00CC2CA3"/>
    <w:rsid w:val="00CC2CCB"/>
    <w:rsid w:val="00CC527A"/>
    <w:rsid w:val="00CC7390"/>
    <w:rsid w:val="00CD0D66"/>
    <w:rsid w:val="00CD7884"/>
    <w:rsid w:val="00CE309D"/>
    <w:rsid w:val="00CE56ED"/>
    <w:rsid w:val="00CE719E"/>
    <w:rsid w:val="00CF03CA"/>
    <w:rsid w:val="00CF433F"/>
    <w:rsid w:val="00CF461B"/>
    <w:rsid w:val="00CF511E"/>
    <w:rsid w:val="00CF6FCC"/>
    <w:rsid w:val="00D00F06"/>
    <w:rsid w:val="00D01D12"/>
    <w:rsid w:val="00D021F8"/>
    <w:rsid w:val="00D032A2"/>
    <w:rsid w:val="00D04743"/>
    <w:rsid w:val="00D068C0"/>
    <w:rsid w:val="00D06978"/>
    <w:rsid w:val="00D110D1"/>
    <w:rsid w:val="00D11A45"/>
    <w:rsid w:val="00D11B6E"/>
    <w:rsid w:val="00D13E61"/>
    <w:rsid w:val="00D150F5"/>
    <w:rsid w:val="00D1538D"/>
    <w:rsid w:val="00D15C75"/>
    <w:rsid w:val="00D1770B"/>
    <w:rsid w:val="00D231BF"/>
    <w:rsid w:val="00D2363D"/>
    <w:rsid w:val="00D23730"/>
    <w:rsid w:val="00D24733"/>
    <w:rsid w:val="00D2677B"/>
    <w:rsid w:val="00D34F89"/>
    <w:rsid w:val="00D358FA"/>
    <w:rsid w:val="00D36A17"/>
    <w:rsid w:val="00D37944"/>
    <w:rsid w:val="00D420C6"/>
    <w:rsid w:val="00D43877"/>
    <w:rsid w:val="00D441C3"/>
    <w:rsid w:val="00D518A7"/>
    <w:rsid w:val="00D541FC"/>
    <w:rsid w:val="00D5455F"/>
    <w:rsid w:val="00D5503C"/>
    <w:rsid w:val="00D56686"/>
    <w:rsid w:val="00D56CC6"/>
    <w:rsid w:val="00D57020"/>
    <w:rsid w:val="00D57F8E"/>
    <w:rsid w:val="00D63201"/>
    <w:rsid w:val="00D63451"/>
    <w:rsid w:val="00D650A3"/>
    <w:rsid w:val="00D6604E"/>
    <w:rsid w:val="00D7736C"/>
    <w:rsid w:val="00D818C6"/>
    <w:rsid w:val="00D83F83"/>
    <w:rsid w:val="00D86B37"/>
    <w:rsid w:val="00D91DA6"/>
    <w:rsid w:val="00D91F11"/>
    <w:rsid w:val="00D933AF"/>
    <w:rsid w:val="00D9376B"/>
    <w:rsid w:val="00DA1FFA"/>
    <w:rsid w:val="00DA2919"/>
    <w:rsid w:val="00DA38A7"/>
    <w:rsid w:val="00DA3BF3"/>
    <w:rsid w:val="00DA549B"/>
    <w:rsid w:val="00DA5F1F"/>
    <w:rsid w:val="00DA782F"/>
    <w:rsid w:val="00DB126A"/>
    <w:rsid w:val="00DB3847"/>
    <w:rsid w:val="00DC2B60"/>
    <w:rsid w:val="00DC37AF"/>
    <w:rsid w:val="00DC3C44"/>
    <w:rsid w:val="00DC5B59"/>
    <w:rsid w:val="00DD1591"/>
    <w:rsid w:val="00DD1B96"/>
    <w:rsid w:val="00DD1D7D"/>
    <w:rsid w:val="00DD5C70"/>
    <w:rsid w:val="00DE15F9"/>
    <w:rsid w:val="00DE351B"/>
    <w:rsid w:val="00DE3F26"/>
    <w:rsid w:val="00DF3594"/>
    <w:rsid w:val="00DF432D"/>
    <w:rsid w:val="00DF4F4A"/>
    <w:rsid w:val="00DF7281"/>
    <w:rsid w:val="00E03E56"/>
    <w:rsid w:val="00E03F77"/>
    <w:rsid w:val="00E064EF"/>
    <w:rsid w:val="00E07818"/>
    <w:rsid w:val="00E1088D"/>
    <w:rsid w:val="00E10D60"/>
    <w:rsid w:val="00E11CF5"/>
    <w:rsid w:val="00E15F44"/>
    <w:rsid w:val="00E22484"/>
    <w:rsid w:val="00E22D12"/>
    <w:rsid w:val="00E23BC5"/>
    <w:rsid w:val="00E262FE"/>
    <w:rsid w:val="00E26E64"/>
    <w:rsid w:val="00E27DBA"/>
    <w:rsid w:val="00E32AB9"/>
    <w:rsid w:val="00E34068"/>
    <w:rsid w:val="00E3487A"/>
    <w:rsid w:val="00E45114"/>
    <w:rsid w:val="00E469BB"/>
    <w:rsid w:val="00E471D0"/>
    <w:rsid w:val="00E50DC5"/>
    <w:rsid w:val="00E52551"/>
    <w:rsid w:val="00E532F6"/>
    <w:rsid w:val="00E547B6"/>
    <w:rsid w:val="00E64B7D"/>
    <w:rsid w:val="00E73678"/>
    <w:rsid w:val="00E84963"/>
    <w:rsid w:val="00E858C9"/>
    <w:rsid w:val="00E871AB"/>
    <w:rsid w:val="00E8783D"/>
    <w:rsid w:val="00E92CB4"/>
    <w:rsid w:val="00E94552"/>
    <w:rsid w:val="00E949DA"/>
    <w:rsid w:val="00E94A7C"/>
    <w:rsid w:val="00E97A83"/>
    <w:rsid w:val="00EA1B91"/>
    <w:rsid w:val="00EA2E25"/>
    <w:rsid w:val="00EA356A"/>
    <w:rsid w:val="00EA39E4"/>
    <w:rsid w:val="00EA7012"/>
    <w:rsid w:val="00EB1D01"/>
    <w:rsid w:val="00EB25FF"/>
    <w:rsid w:val="00EB2ED1"/>
    <w:rsid w:val="00EB5612"/>
    <w:rsid w:val="00EB72EA"/>
    <w:rsid w:val="00EC0117"/>
    <w:rsid w:val="00EC32A0"/>
    <w:rsid w:val="00EC4519"/>
    <w:rsid w:val="00EC79D8"/>
    <w:rsid w:val="00ED132A"/>
    <w:rsid w:val="00ED1E16"/>
    <w:rsid w:val="00ED23F1"/>
    <w:rsid w:val="00ED52CF"/>
    <w:rsid w:val="00ED60A7"/>
    <w:rsid w:val="00EE06FD"/>
    <w:rsid w:val="00EE1D4C"/>
    <w:rsid w:val="00EE2452"/>
    <w:rsid w:val="00EE3E24"/>
    <w:rsid w:val="00EE747A"/>
    <w:rsid w:val="00EF30F2"/>
    <w:rsid w:val="00EF3DC5"/>
    <w:rsid w:val="00EF6A21"/>
    <w:rsid w:val="00F00BA3"/>
    <w:rsid w:val="00F023EB"/>
    <w:rsid w:val="00F05609"/>
    <w:rsid w:val="00F103A3"/>
    <w:rsid w:val="00F10C56"/>
    <w:rsid w:val="00F1225E"/>
    <w:rsid w:val="00F14ECE"/>
    <w:rsid w:val="00F20623"/>
    <w:rsid w:val="00F21832"/>
    <w:rsid w:val="00F246D6"/>
    <w:rsid w:val="00F24B5B"/>
    <w:rsid w:val="00F255E6"/>
    <w:rsid w:val="00F26421"/>
    <w:rsid w:val="00F27156"/>
    <w:rsid w:val="00F331A1"/>
    <w:rsid w:val="00F35216"/>
    <w:rsid w:val="00F352E5"/>
    <w:rsid w:val="00F4184D"/>
    <w:rsid w:val="00F422FE"/>
    <w:rsid w:val="00F4253A"/>
    <w:rsid w:val="00F431E3"/>
    <w:rsid w:val="00F47183"/>
    <w:rsid w:val="00F512A6"/>
    <w:rsid w:val="00F52A2F"/>
    <w:rsid w:val="00F5421D"/>
    <w:rsid w:val="00F54305"/>
    <w:rsid w:val="00F54E8E"/>
    <w:rsid w:val="00F57770"/>
    <w:rsid w:val="00F577DF"/>
    <w:rsid w:val="00F63AE9"/>
    <w:rsid w:val="00F63D04"/>
    <w:rsid w:val="00F64977"/>
    <w:rsid w:val="00F67EDE"/>
    <w:rsid w:val="00F707A1"/>
    <w:rsid w:val="00F70891"/>
    <w:rsid w:val="00F74EF5"/>
    <w:rsid w:val="00F75BCF"/>
    <w:rsid w:val="00F7722D"/>
    <w:rsid w:val="00F80C1A"/>
    <w:rsid w:val="00F80D0C"/>
    <w:rsid w:val="00F867F1"/>
    <w:rsid w:val="00F8776A"/>
    <w:rsid w:val="00F87E8F"/>
    <w:rsid w:val="00F87F53"/>
    <w:rsid w:val="00F905D8"/>
    <w:rsid w:val="00F935CD"/>
    <w:rsid w:val="00F95F1D"/>
    <w:rsid w:val="00FA0364"/>
    <w:rsid w:val="00FA12BF"/>
    <w:rsid w:val="00FA3FB1"/>
    <w:rsid w:val="00FA5512"/>
    <w:rsid w:val="00FB1086"/>
    <w:rsid w:val="00FB1E1F"/>
    <w:rsid w:val="00FB27E6"/>
    <w:rsid w:val="00FB29A8"/>
    <w:rsid w:val="00FB5704"/>
    <w:rsid w:val="00FC039A"/>
    <w:rsid w:val="00FC1E95"/>
    <w:rsid w:val="00FC432F"/>
    <w:rsid w:val="00FC6BE5"/>
    <w:rsid w:val="00FC75BA"/>
    <w:rsid w:val="00FC7855"/>
    <w:rsid w:val="00FC7EBF"/>
    <w:rsid w:val="00FD13CF"/>
    <w:rsid w:val="00FD50F7"/>
    <w:rsid w:val="00FE5C1D"/>
    <w:rsid w:val="00FE5C79"/>
    <w:rsid w:val="00FF0D94"/>
    <w:rsid w:val="00FF3525"/>
    <w:rsid w:val="00FF46BC"/>
    <w:rsid w:val="00FF499C"/>
    <w:rsid w:val="00FF5409"/>
    <w:rsid w:val="00FF60C4"/>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032673"/>
    <w:pPr>
      <w:keepNext/>
      <w:outlineLvl w:val="1"/>
    </w:pPr>
    <w:rPr>
      <w:b/>
      <w:color w:val="auto"/>
      <w:sz w:val="28"/>
    </w:rPr>
  </w:style>
  <w:style w:type="paragraph" w:styleId="Heading3">
    <w:name w:val="heading 3"/>
    <w:aliases w:val="A.B.C."/>
    <w:basedOn w:val="List"/>
    <w:next w:val="Default"/>
    <w:link w:val="Heading3Char"/>
    <w:qFormat/>
    <w:rsid w:val="00B757EC"/>
    <w:pPr>
      <w:numPr>
        <w:numId w:val="86"/>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9"/>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032673"/>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semiHidden/>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D34F89"/>
    <w:pPr>
      <w:widowControl w:val="0"/>
      <w:tabs>
        <w:tab w:val="left" w:pos="900"/>
        <w:tab w:val="right" w:leader="dot" w:pos="9350"/>
      </w:tabs>
      <w:autoSpaceDE w:val="0"/>
      <w:autoSpaceDN w:val="0"/>
      <w:adjustRightInd w:val="0"/>
      <w:spacing w:before="80" w:after="100" w:line="240" w:lineRule="auto"/>
      <w:ind w:left="2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14"/>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032673"/>
    <w:pPr>
      <w:keepNext/>
      <w:outlineLvl w:val="1"/>
    </w:pPr>
    <w:rPr>
      <w:b/>
      <w:color w:val="auto"/>
      <w:sz w:val="28"/>
    </w:rPr>
  </w:style>
  <w:style w:type="paragraph" w:styleId="Heading3">
    <w:name w:val="heading 3"/>
    <w:aliases w:val="A.B.C."/>
    <w:basedOn w:val="List"/>
    <w:next w:val="Default"/>
    <w:link w:val="Heading3Char"/>
    <w:qFormat/>
    <w:rsid w:val="00B757EC"/>
    <w:pPr>
      <w:numPr>
        <w:numId w:val="86"/>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9"/>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032673"/>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semiHidden/>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D34F89"/>
    <w:pPr>
      <w:widowControl w:val="0"/>
      <w:tabs>
        <w:tab w:val="left" w:pos="900"/>
        <w:tab w:val="right" w:leader="dot" w:pos="9350"/>
      </w:tabs>
      <w:autoSpaceDE w:val="0"/>
      <w:autoSpaceDN w:val="0"/>
      <w:adjustRightInd w:val="0"/>
      <w:spacing w:before="80" w:after="100" w:line="240" w:lineRule="auto"/>
      <w:ind w:left="2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14"/>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A6E4-5B38-4C03-8559-CD4B8DD6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James Wright</dc:creator>
  <cp:lastModifiedBy>Betty Turner</cp:lastModifiedBy>
  <cp:revision>2</cp:revision>
  <cp:lastPrinted>2012-06-26T22:38:00Z</cp:lastPrinted>
  <dcterms:created xsi:type="dcterms:W3CDTF">2013-06-06T14:03:00Z</dcterms:created>
  <dcterms:modified xsi:type="dcterms:W3CDTF">2013-06-06T14:03:00Z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-377102424</vt:i4>
  </property>
  <property fmtid="{D5CDD505-2E9C-101B-9397-08002B2CF9AE}" pid="3" name="_NewReviewCycle">
    <vt:lpwstr/>
  </property>
  <property fmtid="{D5CDD505-2E9C-101B-9397-08002B2CF9AE}" pid="4" name="_EmailSubject">
    <vt:lpwstr>Update to external website</vt:lpwstr>
  </property>
  <property fmtid="{D5CDD505-2E9C-101B-9397-08002B2CF9AE}" pid="5" name="_AuthorEmail">
    <vt:lpwstr>Betty.Turner@hud.gov</vt:lpwstr>
  </property>
  <property fmtid="{D5CDD505-2E9C-101B-9397-08002B2CF9AE}" pid="6" name="_AuthorEmailDisplayName">
    <vt:lpwstr>Turner, Betty</vt:lpwstr>
  </property>
  <property fmtid="{D5CDD505-2E9C-101B-9397-08002B2CF9AE}" pid="7" name="_PreviousAdHocReviewCycleID">
    <vt:i4>-1350763836</vt:i4>
  </property>
</Properties>
</file>