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2925"/>
        <w:gridCol w:w="720"/>
        <w:gridCol w:w="3014"/>
      </w:tblGrid>
      <w:tr w:rsidR="00557A86" w:rsidRPr="0053759E" w14:paraId="2A8D997B" w14:textId="77777777" w:rsidTr="001029F9">
        <w:trPr>
          <w:cantSplit/>
        </w:trPr>
        <w:tc>
          <w:tcPr>
            <w:tcW w:w="9468" w:type="dxa"/>
            <w:gridSpan w:val="4"/>
          </w:tcPr>
          <w:p w14:paraId="4CAD2C69" w14:textId="5FC386DB" w:rsidR="00557A86" w:rsidRPr="001678C8" w:rsidRDefault="00557A86" w:rsidP="00460748">
            <w:pPr>
              <w:jc w:val="center"/>
              <w:rPr>
                <w:b/>
              </w:rPr>
            </w:pPr>
            <w:r w:rsidRPr="001678C8">
              <w:rPr>
                <w:b/>
              </w:rPr>
              <w:t xml:space="preserve">Guide for Review of </w:t>
            </w:r>
            <w:r w:rsidR="004E0847">
              <w:rPr>
                <w:b/>
              </w:rPr>
              <w:t xml:space="preserve">ESG </w:t>
            </w:r>
            <w:r w:rsidR="00722C07" w:rsidRPr="001678C8">
              <w:rPr>
                <w:b/>
              </w:rPr>
              <w:t>Subr</w:t>
            </w:r>
            <w:r w:rsidR="00835790" w:rsidRPr="001678C8">
              <w:rPr>
                <w:b/>
              </w:rPr>
              <w:t xml:space="preserve">ecipient </w:t>
            </w:r>
            <w:r w:rsidR="008B29FE" w:rsidRPr="001678C8">
              <w:rPr>
                <w:b/>
              </w:rPr>
              <w:t xml:space="preserve">Grant </w:t>
            </w:r>
            <w:r w:rsidRPr="001678C8">
              <w:rPr>
                <w:b/>
              </w:rPr>
              <w:t>Management</w:t>
            </w:r>
          </w:p>
        </w:tc>
      </w:tr>
      <w:tr w:rsidR="004F3212" w:rsidRPr="0053759E" w14:paraId="6FF2463B" w14:textId="77777777" w:rsidTr="001029F9">
        <w:trPr>
          <w:cantSplit/>
        </w:trPr>
        <w:tc>
          <w:tcPr>
            <w:tcW w:w="9468" w:type="dxa"/>
            <w:gridSpan w:val="4"/>
          </w:tcPr>
          <w:p w14:paraId="1515BC83" w14:textId="77777777" w:rsidR="004F3212" w:rsidRDefault="004F3212" w:rsidP="003900F8">
            <w:pPr>
              <w:rPr>
                <w:bCs/>
              </w:rPr>
            </w:pPr>
            <w:r w:rsidRPr="001678C8">
              <w:rPr>
                <w:b/>
                <w:bCs/>
              </w:rPr>
              <w:t>Name of Recipient:</w:t>
            </w:r>
            <w:r w:rsidRPr="0053759E">
              <w:rPr>
                <w:bCs/>
              </w:rPr>
              <w:fldChar w:fldCharType="begin">
                <w:ffData>
                  <w:name w:val="Text1"/>
                  <w:enabled/>
                  <w:calcOnExit w:val="0"/>
                  <w:textInput/>
                </w:ffData>
              </w:fldChar>
            </w:r>
            <w:r w:rsidRPr="0053759E">
              <w:rPr>
                <w:bCs/>
              </w:rPr>
              <w:instrText xml:space="preserve"> FORMTEXT </w:instrText>
            </w:r>
            <w:r w:rsidRPr="0053759E">
              <w:rPr>
                <w:bCs/>
              </w:rPr>
            </w:r>
            <w:r w:rsidRPr="0053759E">
              <w:rPr>
                <w:bCs/>
              </w:rPr>
              <w:fldChar w:fldCharType="separate"/>
            </w:r>
            <w:r w:rsidRPr="0053759E">
              <w:rPr>
                <w:bCs/>
                <w:noProof/>
              </w:rPr>
              <w:t> </w:t>
            </w:r>
            <w:r w:rsidRPr="0053759E">
              <w:rPr>
                <w:bCs/>
                <w:noProof/>
              </w:rPr>
              <w:t> </w:t>
            </w:r>
            <w:r w:rsidRPr="0053759E">
              <w:rPr>
                <w:bCs/>
                <w:noProof/>
              </w:rPr>
              <w:t> </w:t>
            </w:r>
            <w:r w:rsidRPr="0053759E">
              <w:rPr>
                <w:bCs/>
                <w:noProof/>
              </w:rPr>
              <w:t> </w:t>
            </w:r>
            <w:r w:rsidRPr="0053759E">
              <w:rPr>
                <w:bCs/>
                <w:noProof/>
              </w:rPr>
              <w:t> </w:t>
            </w:r>
            <w:r w:rsidRPr="0053759E">
              <w:rPr>
                <w:bCs/>
              </w:rPr>
              <w:fldChar w:fldCharType="end"/>
            </w:r>
          </w:p>
          <w:p w14:paraId="31BB0D19" w14:textId="6A2BE63B" w:rsidR="003900F8" w:rsidRPr="0053759E" w:rsidRDefault="003900F8" w:rsidP="003900F8">
            <w:pPr>
              <w:spacing w:line="120" w:lineRule="auto"/>
            </w:pPr>
          </w:p>
        </w:tc>
      </w:tr>
      <w:tr w:rsidR="00882AF1" w:rsidRPr="0053759E" w14:paraId="29BD9461" w14:textId="77777777" w:rsidTr="001029F9">
        <w:trPr>
          <w:cantSplit/>
        </w:trPr>
        <w:tc>
          <w:tcPr>
            <w:tcW w:w="9468" w:type="dxa"/>
            <w:gridSpan w:val="4"/>
          </w:tcPr>
          <w:p w14:paraId="6A6EF20C" w14:textId="77777777" w:rsidR="00C876DB" w:rsidRDefault="00882AF1" w:rsidP="003900F8">
            <w:pPr>
              <w:rPr>
                <w:bCs/>
              </w:rPr>
            </w:pPr>
            <w:r>
              <w:rPr>
                <w:b/>
                <w:bCs/>
              </w:rPr>
              <w:t>Name of Subrecipient</w:t>
            </w:r>
            <w:r w:rsidR="00C876DB">
              <w:rPr>
                <w:b/>
                <w:bCs/>
              </w:rPr>
              <w:t>(s)</w:t>
            </w:r>
            <w:r>
              <w:rPr>
                <w:b/>
                <w:bCs/>
              </w:rPr>
              <w:t>:</w:t>
            </w:r>
            <w:r w:rsidR="000118A8" w:rsidRPr="0053759E">
              <w:rPr>
                <w:bCs/>
              </w:rPr>
              <w:fldChar w:fldCharType="begin">
                <w:ffData>
                  <w:name w:val="Text1"/>
                  <w:enabled/>
                  <w:calcOnExit w:val="0"/>
                  <w:textInput/>
                </w:ffData>
              </w:fldChar>
            </w:r>
            <w:r w:rsidR="000118A8" w:rsidRPr="0053759E">
              <w:rPr>
                <w:bCs/>
              </w:rPr>
              <w:instrText xml:space="preserve"> FORMTEXT </w:instrText>
            </w:r>
            <w:r w:rsidR="000118A8" w:rsidRPr="0053759E">
              <w:rPr>
                <w:bCs/>
              </w:rPr>
            </w:r>
            <w:r w:rsidR="000118A8" w:rsidRPr="0053759E">
              <w:rPr>
                <w:bCs/>
              </w:rPr>
              <w:fldChar w:fldCharType="separate"/>
            </w:r>
            <w:r w:rsidR="000118A8" w:rsidRPr="0053759E">
              <w:rPr>
                <w:bCs/>
                <w:noProof/>
              </w:rPr>
              <w:t> </w:t>
            </w:r>
            <w:r w:rsidR="000118A8" w:rsidRPr="0053759E">
              <w:rPr>
                <w:bCs/>
                <w:noProof/>
              </w:rPr>
              <w:t> </w:t>
            </w:r>
            <w:r w:rsidR="000118A8" w:rsidRPr="0053759E">
              <w:rPr>
                <w:bCs/>
                <w:noProof/>
              </w:rPr>
              <w:t> </w:t>
            </w:r>
            <w:r w:rsidR="000118A8" w:rsidRPr="0053759E">
              <w:rPr>
                <w:bCs/>
                <w:noProof/>
              </w:rPr>
              <w:t> </w:t>
            </w:r>
            <w:r w:rsidR="000118A8" w:rsidRPr="0053759E">
              <w:rPr>
                <w:bCs/>
                <w:noProof/>
              </w:rPr>
              <w:t> </w:t>
            </w:r>
            <w:r w:rsidR="000118A8" w:rsidRPr="0053759E">
              <w:rPr>
                <w:bCs/>
              </w:rPr>
              <w:fldChar w:fldCharType="end"/>
            </w:r>
          </w:p>
          <w:p w14:paraId="3C7D3095" w14:textId="312C6064" w:rsidR="003900F8" w:rsidRPr="00F10167" w:rsidRDefault="003900F8" w:rsidP="003900F8">
            <w:pPr>
              <w:spacing w:line="120" w:lineRule="auto"/>
              <w:rPr>
                <w:b/>
                <w:bCs/>
              </w:rPr>
            </w:pPr>
          </w:p>
        </w:tc>
      </w:tr>
      <w:tr w:rsidR="004F3212" w:rsidRPr="0053759E" w14:paraId="778AF77D" w14:textId="77777777" w:rsidTr="001029F9">
        <w:trPr>
          <w:cantSplit/>
        </w:trPr>
        <w:tc>
          <w:tcPr>
            <w:tcW w:w="9468" w:type="dxa"/>
            <w:gridSpan w:val="4"/>
          </w:tcPr>
          <w:p w14:paraId="0A55563B" w14:textId="77777777" w:rsidR="004F3212" w:rsidRDefault="004F3212" w:rsidP="003900F8">
            <w:pPr>
              <w:rPr>
                <w:bCs/>
              </w:rPr>
            </w:pPr>
            <w:r w:rsidRPr="00F10167">
              <w:rPr>
                <w:b/>
                <w:bCs/>
              </w:rPr>
              <w:t>Staff Consulted:</w:t>
            </w:r>
            <w:r w:rsidRPr="0053759E">
              <w:rPr>
                <w:bCs/>
              </w:rPr>
              <w:fldChar w:fldCharType="begin">
                <w:ffData>
                  <w:name w:val="Text1"/>
                  <w:enabled/>
                  <w:calcOnExit w:val="0"/>
                  <w:textInput/>
                </w:ffData>
              </w:fldChar>
            </w:r>
            <w:r w:rsidRPr="0053759E">
              <w:rPr>
                <w:bCs/>
              </w:rPr>
              <w:instrText xml:space="preserve"> FORMTEXT </w:instrText>
            </w:r>
            <w:r w:rsidRPr="0053759E">
              <w:rPr>
                <w:bCs/>
              </w:rPr>
            </w:r>
            <w:r w:rsidRPr="0053759E">
              <w:rPr>
                <w:bCs/>
              </w:rPr>
              <w:fldChar w:fldCharType="separate"/>
            </w:r>
            <w:r w:rsidRPr="0053759E">
              <w:rPr>
                <w:bCs/>
                <w:noProof/>
              </w:rPr>
              <w:t> </w:t>
            </w:r>
            <w:r w:rsidRPr="0053759E">
              <w:rPr>
                <w:bCs/>
                <w:noProof/>
              </w:rPr>
              <w:t> </w:t>
            </w:r>
            <w:r w:rsidRPr="0053759E">
              <w:rPr>
                <w:bCs/>
                <w:noProof/>
              </w:rPr>
              <w:t> </w:t>
            </w:r>
            <w:r w:rsidRPr="0053759E">
              <w:rPr>
                <w:bCs/>
                <w:noProof/>
              </w:rPr>
              <w:t> </w:t>
            </w:r>
            <w:r w:rsidRPr="0053759E">
              <w:rPr>
                <w:bCs/>
                <w:noProof/>
              </w:rPr>
              <w:t> </w:t>
            </w:r>
            <w:r w:rsidRPr="0053759E">
              <w:rPr>
                <w:bCs/>
              </w:rPr>
              <w:fldChar w:fldCharType="end"/>
            </w:r>
          </w:p>
          <w:p w14:paraId="2A28BA97" w14:textId="0E7AB8F1" w:rsidR="003900F8" w:rsidRPr="0053759E" w:rsidRDefault="003900F8" w:rsidP="003900F8">
            <w:pPr>
              <w:spacing w:line="120" w:lineRule="auto"/>
              <w:rPr>
                <w:bCs/>
              </w:rPr>
            </w:pPr>
          </w:p>
        </w:tc>
      </w:tr>
      <w:tr w:rsidR="004F3212" w:rsidRPr="0053759E" w14:paraId="73A5C78C" w14:textId="77777777" w:rsidTr="003900F8">
        <w:tc>
          <w:tcPr>
            <w:tcW w:w="2718" w:type="dxa"/>
          </w:tcPr>
          <w:p w14:paraId="29455EF0" w14:textId="77777777" w:rsidR="004F3212" w:rsidRPr="00F10167" w:rsidRDefault="004F3212">
            <w:pPr>
              <w:rPr>
                <w:b/>
              </w:rPr>
            </w:pPr>
            <w:r w:rsidRPr="00F10167">
              <w:rPr>
                <w:b/>
                <w:bCs/>
              </w:rPr>
              <w:t>Name(s) of Reviewer(s)</w:t>
            </w:r>
          </w:p>
        </w:tc>
        <w:tc>
          <w:tcPr>
            <w:tcW w:w="2970" w:type="dxa"/>
          </w:tcPr>
          <w:p w14:paraId="1F4751D6" w14:textId="77777777" w:rsidR="004F3212" w:rsidRDefault="004F3212">
            <w:pPr>
              <w:rPr>
                <w:bCs/>
              </w:rPr>
            </w:pPr>
            <w:r w:rsidRPr="0053759E">
              <w:rPr>
                <w:bCs/>
              </w:rPr>
              <w:fldChar w:fldCharType="begin">
                <w:ffData>
                  <w:name w:val="Text1"/>
                  <w:enabled/>
                  <w:calcOnExit w:val="0"/>
                  <w:textInput/>
                </w:ffData>
              </w:fldChar>
            </w:r>
            <w:r w:rsidRPr="0053759E">
              <w:rPr>
                <w:bCs/>
              </w:rPr>
              <w:instrText xml:space="preserve"> FORMTEXT </w:instrText>
            </w:r>
            <w:r w:rsidRPr="0053759E">
              <w:rPr>
                <w:bCs/>
              </w:rPr>
            </w:r>
            <w:r w:rsidRPr="0053759E">
              <w:rPr>
                <w:bCs/>
              </w:rPr>
              <w:fldChar w:fldCharType="separate"/>
            </w:r>
            <w:r w:rsidRPr="0053759E">
              <w:rPr>
                <w:bCs/>
                <w:noProof/>
              </w:rPr>
              <w:t> </w:t>
            </w:r>
            <w:r w:rsidRPr="0053759E">
              <w:rPr>
                <w:bCs/>
                <w:noProof/>
              </w:rPr>
              <w:t> </w:t>
            </w:r>
            <w:r w:rsidRPr="0053759E">
              <w:rPr>
                <w:bCs/>
                <w:noProof/>
              </w:rPr>
              <w:t> </w:t>
            </w:r>
            <w:r w:rsidRPr="0053759E">
              <w:rPr>
                <w:bCs/>
                <w:noProof/>
              </w:rPr>
              <w:t> </w:t>
            </w:r>
            <w:r w:rsidRPr="0053759E">
              <w:rPr>
                <w:bCs/>
                <w:noProof/>
              </w:rPr>
              <w:t> </w:t>
            </w:r>
            <w:r w:rsidRPr="0053759E">
              <w:rPr>
                <w:bCs/>
              </w:rPr>
              <w:fldChar w:fldCharType="end"/>
            </w:r>
          </w:p>
          <w:p w14:paraId="6557DFA6" w14:textId="77777777" w:rsidR="003900F8" w:rsidRPr="0053759E" w:rsidRDefault="003900F8" w:rsidP="003900F8">
            <w:pPr>
              <w:spacing w:line="120" w:lineRule="auto"/>
            </w:pPr>
          </w:p>
        </w:tc>
        <w:tc>
          <w:tcPr>
            <w:tcW w:w="720" w:type="dxa"/>
          </w:tcPr>
          <w:p w14:paraId="772BC190" w14:textId="77777777" w:rsidR="004F3212" w:rsidRPr="00F10167" w:rsidRDefault="004F3212">
            <w:pPr>
              <w:rPr>
                <w:b/>
              </w:rPr>
            </w:pPr>
            <w:r w:rsidRPr="00F10167">
              <w:rPr>
                <w:b/>
                <w:bCs/>
              </w:rPr>
              <w:t>Date</w:t>
            </w:r>
          </w:p>
        </w:tc>
        <w:tc>
          <w:tcPr>
            <w:tcW w:w="3060" w:type="dxa"/>
          </w:tcPr>
          <w:p w14:paraId="64AD9E7B" w14:textId="77777777" w:rsidR="004F3212" w:rsidRPr="0053759E" w:rsidRDefault="004F3212">
            <w:pPr>
              <w:pStyle w:val="Header"/>
              <w:tabs>
                <w:tab w:val="clear" w:pos="4320"/>
                <w:tab w:val="clear" w:pos="8640"/>
              </w:tabs>
            </w:pPr>
            <w:r w:rsidRPr="0053759E">
              <w:rPr>
                <w:bCs/>
              </w:rPr>
              <w:fldChar w:fldCharType="begin">
                <w:ffData>
                  <w:name w:val=""/>
                  <w:enabled/>
                  <w:calcOnExit w:val="0"/>
                  <w:textInput>
                    <w:type w:val="date"/>
                    <w:format w:val="M/d/yyyy"/>
                  </w:textInput>
                </w:ffData>
              </w:fldChar>
            </w:r>
            <w:r w:rsidRPr="0053759E">
              <w:rPr>
                <w:bCs/>
              </w:rPr>
              <w:instrText xml:space="preserve"> FORMTEXT </w:instrText>
            </w:r>
            <w:r w:rsidRPr="0053759E">
              <w:rPr>
                <w:bCs/>
              </w:rPr>
            </w:r>
            <w:r w:rsidRPr="0053759E">
              <w:rPr>
                <w:bCs/>
              </w:rPr>
              <w:fldChar w:fldCharType="separate"/>
            </w:r>
            <w:r w:rsidRPr="0053759E">
              <w:rPr>
                <w:bCs/>
                <w:noProof/>
              </w:rPr>
              <w:t> </w:t>
            </w:r>
            <w:r w:rsidRPr="0053759E">
              <w:rPr>
                <w:bCs/>
                <w:noProof/>
              </w:rPr>
              <w:t> </w:t>
            </w:r>
            <w:r w:rsidRPr="0053759E">
              <w:rPr>
                <w:bCs/>
                <w:noProof/>
              </w:rPr>
              <w:t> </w:t>
            </w:r>
            <w:r w:rsidRPr="0053759E">
              <w:rPr>
                <w:bCs/>
                <w:noProof/>
              </w:rPr>
              <w:t> </w:t>
            </w:r>
            <w:r w:rsidRPr="0053759E">
              <w:rPr>
                <w:bCs/>
                <w:noProof/>
              </w:rPr>
              <w:t> </w:t>
            </w:r>
            <w:r w:rsidRPr="0053759E">
              <w:rPr>
                <w:bCs/>
              </w:rPr>
              <w:fldChar w:fldCharType="end"/>
            </w:r>
          </w:p>
        </w:tc>
      </w:tr>
    </w:tbl>
    <w:p w14:paraId="39E53128" w14:textId="77777777" w:rsidR="00F10167" w:rsidRDefault="00F10167" w:rsidP="007A566F">
      <w:pPr>
        <w:pStyle w:val="BodyTextIndent"/>
        <w:widowControl w:val="0"/>
        <w:ind w:left="864" w:hanging="864"/>
        <w:contextualSpacing/>
        <w:rPr>
          <w:bCs/>
          <w:sz w:val="24"/>
        </w:rPr>
      </w:pPr>
    </w:p>
    <w:p w14:paraId="289BA991" w14:textId="6026A53C" w:rsidR="0053759E" w:rsidRPr="00F10167" w:rsidRDefault="0053759E" w:rsidP="007C5663">
      <w:pPr>
        <w:pStyle w:val="BodyTextIndent"/>
        <w:widowControl w:val="0"/>
        <w:ind w:left="864" w:hanging="864"/>
        <w:contextualSpacing/>
        <w:rPr>
          <w:sz w:val="22"/>
          <w:szCs w:val="22"/>
        </w:rPr>
      </w:pPr>
      <w:r w:rsidRPr="00CF488E">
        <w:rPr>
          <w:b/>
          <w:bCs/>
          <w:sz w:val="22"/>
          <w:szCs w:val="22"/>
        </w:rPr>
        <w:t>NOTE:</w:t>
      </w:r>
      <w:r w:rsidRPr="00F10167">
        <w:rPr>
          <w:sz w:val="22"/>
          <w:szCs w:val="22"/>
        </w:rPr>
        <w:t xml:space="preserve">  </w:t>
      </w:r>
      <w:r w:rsidR="00F10167">
        <w:rPr>
          <w:sz w:val="22"/>
          <w:szCs w:val="22"/>
        </w:rPr>
        <w:t xml:space="preserve"> </w:t>
      </w:r>
      <w:r w:rsidRPr="00F10167">
        <w:rPr>
          <w:sz w:val="22"/>
          <w:szCs w:val="22"/>
        </w:rPr>
        <w:t xml:space="preserve">All questions that address requirements contain the citation for the source of the requirement (statute, regulation, or grant agreement).  If the requirement is not met, </w:t>
      </w:r>
      <w:r w:rsidR="00D74E63">
        <w:rPr>
          <w:sz w:val="22"/>
          <w:szCs w:val="20"/>
        </w:rPr>
        <w:t>HUD must select “NO” in response to the question and make a finding of noncompliance</w:t>
      </w:r>
      <w:r w:rsidRPr="00F10167">
        <w:rPr>
          <w:sz w:val="22"/>
          <w:szCs w:val="22"/>
        </w:rPr>
        <w:t xml:space="preserve">.  All other questions that do not contain the citation for the requirement do not address requirements, but are included to assist the reviewer in understanding the participant's program more fully and/or to identify issues that, if not properly addressed, could result in deficient performance.  Negative conclusions to these questions may result in a "concern" being raised, but not a </w:t>
      </w:r>
      <w:r w:rsidRPr="00F10167">
        <w:rPr>
          <w:bCs/>
          <w:sz w:val="22"/>
          <w:szCs w:val="22"/>
        </w:rPr>
        <w:t>"</w:t>
      </w:r>
      <w:r w:rsidRPr="00D76806">
        <w:rPr>
          <w:b/>
          <w:bCs/>
          <w:sz w:val="22"/>
          <w:szCs w:val="22"/>
        </w:rPr>
        <w:t>finding</w:t>
      </w:r>
      <w:r w:rsidRPr="00F10167">
        <w:rPr>
          <w:bCs/>
          <w:sz w:val="22"/>
          <w:szCs w:val="22"/>
        </w:rPr>
        <w:t>.</w:t>
      </w:r>
      <w:r w:rsidRPr="00F10167">
        <w:rPr>
          <w:sz w:val="22"/>
          <w:szCs w:val="22"/>
        </w:rPr>
        <w:t xml:space="preserve">"  </w:t>
      </w:r>
    </w:p>
    <w:p w14:paraId="76C4F7F0" w14:textId="77777777" w:rsidR="00835790" w:rsidRPr="0053759E" w:rsidRDefault="00835790" w:rsidP="007A566F">
      <w:pPr>
        <w:pStyle w:val="BodyTextIndent"/>
        <w:widowControl w:val="0"/>
        <w:ind w:left="864" w:hanging="864"/>
        <w:rPr>
          <w:bCs/>
          <w:sz w:val="24"/>
        </w:rPr>
      </w:pPr>
    </w:p>
    <w:p w14:paraId="7D68B156" w14:textId="3AFDB8F5" w:rsidR="00557A86" w:rsidRDefault="00557A86" w:rsidP="007C5663">
      <w:pPr>
        <w:widowControl w:val="0"/>
        <w:rPr>
          <w:rFonts w:eastAsia="Calibri"/>
        </w:rPr>
      </w:pPr>
      <w:r w:rsidRPr="00CF488E">
        <w:rPr>
          <w:rFonts w:eastAsia="Calibri"/>
          <w:b/>
          <w:bCs/>
          <w:u w:val="single"/>
        </w:rPr>
        <w:t>Instructions</w:t>
      </w:r>
      <w:r w:rsidRPr="00CF488E">
        <w:rPr>
          <w:rFonts w:eastAsia="Calibri"/>
          <w:b/>
          <w:bCs/>
        </w:rPr>
        <w:t>:</w:t>
      </w:r>
      <w:r w:rsidRPr="0053759E">
        <w:rPr>
          <w:bCs/>
        </w:rPr>
        <w:t xml:space="preserve"> </w:t>
      </w:r>
      <w:r w:rsidR="002D7359" w:rsidRPr="0053759E">
        <w:rPr>
          <w:bCs/>
        </w:rPr>
        <w:t xml:space="preserve"> </w:t>
      </w:r>
      <w:r w:rsidRPr="0053759E">
        <w:rPr>
          <w:rFonts w:eastAsia="Calibri"/>
        </w:rPr>
        <w:t xml:space="preserve">This Exhibit is designed to </w:t>
      </w:r>
      <w:r w:rsidR="004F3212" w:rsidRPr="0053759E">
        <w:rPr>
          <w:rFonts w:eastAsia="Calibri"/>
        </w:rPr>
        <w:t xml:space="preserve">assess the recipient’s compliance with </w:t>
      </w:r>
      <w:r w:rsidR="00722C07" w:rsidRPr="0053759E">
        <w:rPr>
          <w:rFonts w:eastAsia="Calibri"/>
        </w:rPr>
        <w:t>subrecipient</w:t>
      </w:r>
      <w:r w:rsidR="004F3212" w:rsidRPr="0053759E">
        <w:rPr>
          <w:rFonts w:eastAsia="Calibri"/>
        </w:rPr>
        <w:t xml:space="preserve"> grant management </w:t>
      </w:r>
      <w:r w:rsidR="008B29FE" w:rsidRPr="0053759E">
        <w:rPr>
          <w:rFonts w:eastAsia="Calibri"/>
        </w:rPr>
        <w:t xml:space="preserve">requirements of the </w:t>
      </w:r>
      <w:r w:rsidRPr="0053759E">
        <w:rPr>
          <w:rFonts w:eastAsia="Calibri"/>
        </w:rPr>
        <w:t>Emergency S</w:t>
      </w:r>
      <w:r w:rsidR="008B29FE" w:rsidRPr="0053759E">
        <w:rPr>
          <w:rFonts w:eastAsia="Calibri"/>
        </w:rPr>
        <w:t>olutions Grants (ESG) program</w:t>
      </w:r>
      <w:r w:rsidRPr="0053759E">
        <w:rPr>
          <w:rFonts w:eastAsia="Calibri"/>
        </w:rPr>
        <w:t xml:space="preserve">.  </w:t>
      </w:r>
      <w:r w:rsidR="008B29FE" w:rsidRPr="0053759E">
        <w:rPr>
          <w:rFonts w:eastAsia="Calibri"/>
        </w:rPr>
        <w:t>HUD reviewers should use a</w:t>
      </w:r>
      <w:r w:rsidRPr="0053759E">
        <w:rPr>
          <w:rFonts w:eastAsia="Calibri"/>
        </w:rPr>
        <w:t xml:space="preserve"> combination of the information in </w:t>
      </w:r>
      <w:r w:rsidR="0080004C" w:rsidRPr="0053759E">
        <w:rPr>
          <w:rFonts w:eastAsia="Calibri"/>
        </w:rPr>
        <w:t xml:space="preserve">program </w:t>
      </w:r>
      <w:r w:rsidRPr="0053759E">
        <w:rPr>
          <w:rFonts w:eastAsia="Calibri"/>
        </w:rPr>
        <w:t>file</w:t>
      </w:r>
      <w:r w:rsidR="008B29FE" w:rsidRPr="0053759E">
        <w:rPr>
          <w:rFonts w:eastAsia="Calibri"/>
        </w:rPr>
        <w:t>s</w:t>
      </w:r>
      <w:r w:rsidRPr="0053759E">
        <w:rPr>
          <w:rFonts w:eastAsia="Calibri"/>
        </w:rPr>
        <w:t xml:space="preserve"> and </w:t>
      </w:r>
      <w:r w:rsidR="00722C07" w:rsidRPr="0053759E">
        <w:rPr>
          <w:rFonts w:eastAsia="Calibri"/>
        </w:rPr>
        <w:t>sub</w:t>
      </w:r>
      <w:r w:rsidR="008B29FE" w:rsidRPr="0053759E">
        <w:rPr>
          <w:rFonts w:eastAsia="Calibri"/>
        </w:rPr>
        <w:t>recipient</w:t>
      </w:r>
      <w:r w:rsidRPr="0053759E">
        <w:rPr>
          <w:rFonts w:eastAsia="Calibri"/>
        </w:rPr>
        <w:t xml:space="preserve"> staff interviews to answer the questions below.</w:t>
      </w:r>
      <w:r w:rsidR="006066BF">
        <w:rPr>
          <w:rFonts w:eastAsia="Calibri"/>
        </w:rPr>
        <w:t xml:space="preserve"> </w:t>
      </w:r>
      <w:r w:rsidR="00557E17">
        <w:rPr>
          <w:rFonts w:eastAsia="Calibri"/>
        </w:rPr>
        <w:t xml:space="preserve"> </w:t>
      </w:r>
      <w:r w:rsidR="008B29FE" w:rsidRPr="0053759E">
        <w:rPr>
          <w:rFonts w:eastAsia="Calibri"/>
        </w:rPr>
        <w:t xml:space="preserve">The </w:t>
      </w:r>
      <w:r w:rsidR="00807487">
        <w:rPr>
          <w:rFonts w:eastAsia="Calibri"/>
        </w:rPr>
        <w:t>E</w:t>
      </w:r>
      <w:r w:rsidR="008B29FE" w:rsidRPr="0053759E">
        <w:rPr>
          <w:rFonts w:eastAsia="Calibri"/>
        </w:rPr>
        <w:t>xhibit is</w:t>
      </w:r>
      <w:r w:rsidR="00807487">
        <w:rPr>
          <w:rFonts w:eastAsia="Calibri"/>
        </w:rPr>
        <w:t xml:space="preserve"> divided </w:t>
      </w:r>
      <w:r w:rsidR="00756B35" w:rsidRPr="0053759E">
        <w:rPr>
          <w:rFonts w:eastAsia="Calibri"/>
        </w:rPr>
        <w:t>into</w:t>
      </w:r>
      <w:r w:rsidR="00D75416" w:rsidRPr="0053759E">
        <w:rPr>
          <w:rFonts w:eastAsia="Calibri"/>
        </w:rPr>
        <w:t xml:space="preserve"> </w:t>
      </w:r>
      <w:r w:rsidR="000E552E">
        <w:rPr>
          <w:rFonts w:eastAsia="Calibri"/>
        </w:rPr>
        <w:t>eight</w:t>
      </w:r>
      <w:r w:rsidR="00AD78E2" w:rsidRPr="0053759E">
        <w:rPr>
          <w:rFonts w:eastAsia="Calibri"/>
        </w:rPr>
        <w:t xml:space="preserve"> </w:t>
      </w:r>
      <w:r w:rsidR="00756B35" w:rsidRPr="0053759E">
        <w:rPr>
          <w:rFonts w:eastAsia="Calibri"/>
        </w:rPr>
        <w:t xml:space="preserve">sections: </w:t>
      </w:r>
      <w:r w:rsidR="002D7359" w:rsidRPr="0053759E">
        <w:rPr>
          <w:rFonts w:eastAsia="Calibri"/>
        </w:rPr>
        <w:t xml:space="preserve"> </w:t>
      </w:r>
      <w:r w:rsidR="001D5EA7">
        <w:rPr>
          <w:rFonts w:eastAsia="Calibri"/>
        </w:rPr>
        <w:t>Subg</w:t>
      </w:r>
      <w:r w:rsidR="005D7916" w:rsidRPr="0053759E">
        <w:rPr>
          <w:rFonts w:eastAsia="Calibri"/>
        </w:rPr>
        <w:t>rants Management</w:t>
      </w:r>
      <w:r w:rsidR="00B075AA">
        <w:rPr>
          <w:rFonts w:eastAsia="Calibri"/>
        </w:rPr>
        <w:t xml:space="preserve"> and Oversight</w:t>
      </w:r>
      <w:r w:rsidR="006066BF">
        <w:rPr>
          <w:rFonts w:eastAsia="Calibri"/>
        </w:rPr>
        <w:t xml:space="preserve">; </w:t>
      </w:r>
      <w:r w:rsidR="00F937C1" w:rsidRPr="0053759E">
        <w:rPr>
          <w:rFonts w:eastAsia="Calibri"/>
        </w:rPr>
        <w:t>Systems Coordination Requirements</w:t>
      </w:r>
      <w:r w:rsidR="006066BF">
        <w:rPr>
          <w:rFonts w:eastAsia="Calibri"/>
        </w:rPr>
        <w:t xml:space="preserve">; </w:t>
      </w:r>
      <w:r w:rsidR="00D75416" w:rsidRPr="0053759E">
        <w:rPr>
          <w:rFonts w:eastAsia="Calibri"/>
        </w:rPr>
        <w:t>Recordkeeping</w:t>
      </w:r>
      <w:r w:rsidR="006066BF">
        <w:rPr>
          <w:rFonts w:eastAsia="Calibri"/>
        </w:rPr>
        <w:t>;</w:t>
      </w:r>
      <w:r w:rsidR="005D7916" w:rsidRPr="0053759E">
        <w:rPr>
          <w:rFonts w:eastAsia="Calibri"/>
        </w:rPr>
        <w:t xml:space="preserve"> </w:t>
      </w:r>
      <w:r w:rsidR="00CA6527" w:rsidRPr="0053759E">
        <w:rPr>
          <w:rFonts w:eastAsia="Calibri"/>
        </w:rPr>
        <w:t>H</w:t>
      </w:r>
      <w:r w:rsidR="005463FA">
        <w:rPr>
          <w:rFonts w:eastAsia="Calibri"/>
        </w:rPr>
        <w:t>omeless Management Information System (H</w:t>
      </w:r>
      <w:r w:rsidR="00CA6527" w:rsidRPr="0053759E">
        <w:rPr>
          <w:rFonts w:eastAsia="Calibri"/>
        </w:rPr>
        <w:t>MIS</w:t>
      </w:r>
      <w:r w:rsidR="005463FA">
        <w:rPr>
          <w:rFonts w:eastAsia="Calibri"/>
        </w:rPr>
        <w:t>)</w:t>
      </w:r>
      <w:r w:rsidR="006066BF">
        <w:rPr>
          <w:rFonts w:eastAsia="Calibri"/>
        </w:rPr>
        <w:t>;</w:t>
      </w:r>
      <w:r w:rsidR="00CA6527" w:rsidRPr="0053759E">
        <w:rPr>
          <w:rFonts w:eastAsia="Calibri"/>
        </w:rPr>
        <w:t xml:space="preserve"> </w:t>
      </w:r>
      <w:r w:rsidR="006066BF">
        <w:rPr>
          <w:rFonts w:eastAsia="Calibri"/>
        </w:rPr>
        <w:t>Other</w:t>
      </w:r>
      <w:r w:rsidR="00C45495">
        <w:rPr>
          <w:rFonts w:eastAsia="Calibri"/>
        </w:rPr>
        <w:t xml:space="preserve"> ESG-Specific</w:t>
      </w:r>
      <w:r w:rsidR="006066BF">
        <w:rPr>
          <w:rFonts w:eastAsia="Calibri"/>
        </w:rPr>
        <w:t xml:space="preserve"> Requirements;</w:t>
      </w:r>
      <w:r w:rsidR="00D75416" w:rsidRPr="0053759E">
        <w:rPr>
          <w:rFonts w:eastAsia="Calibri"/>
        </w:rPr>
        <w:t xml:space="preserve"> </w:t>
      </w:r>
      <w:r w:rsidR="001D0A10">
        <w:rPr>
          <w:rFonts w:eastAsia="Calibri"/>
        </w:rPr>
        <w:t xml:space="preserve">Administrative Costs and </w:t>
      </w:r>
      <w:r w:rsidR="005D7916" w:rsidRPr="0053759E">
        <w:rPr>
          <w:rFonts w:eastAsia="Calibri"/>
        </w:rPr>
        <w:t>Financial Mana</w:t>
      </w:r>
      <w:r w:rsidR="00722C07" w:rsidRPr="0053759E">
        <w:rPr>
          <w:rFonts w:eastAsia="Calibri"/>
        </w:rPr>
        <w:t>gement</w:t>
      </w:r>
      <w:r w:rsidR="00AD78E2">
        <w:rPr>
          <w:rFonts w:eastAsia="Calibri"/>
        </w:rPr>
        <w:t>; Other Federal Requirements</w:t>
      </w:r>
      <w:r w:rsidR="00A45806">
        <w:rPr>
          <w:rFonts w:eastAsia="Calibri"/>
        </w:rPr>
        <w:t>; and Additional 2 CFR 200 Review</w:t>
      </w:r>
      <w:r w:rsidR="003508F4">
        <w:rPr>
          <w:rFonts w:eastAsia="Calibri"/>
        </w:rPr>
        <w:t xml:space="preserve"> for Sub-Subawards</w:t>
      </w:r>
      <w:r w:rsidR="00A45806">
        <w:rPr>
          <w:rFonts w:eastAsia="Calibri"/>
        </w:rPr>
        <w:t>.</w:t>
      </w:r>
      <w:r w:rsidRPr="0053759E">
        <w:rPr>
          <w:rFonts w:eastAsia="Calibri"/>
        </w:rPr>
        <w:t xml:space="preserve">  </w:t>
      </w:r>
    </w:p>
    <w:p w14:paraId="17B18CFF" w14:textId="77777777" w:rsidR="007C2C29" w:rsidRDefault="007C2C29" w:rsidP="007C5663">
      <w:pPr>
        <w:widowControl w:val="0"/>
        <w:spacing w:line="120" w:lineRule="auto"/>
        <w:ind w:right="-360"/>
        <w:rPr>
          <w:rFonts w:eastAsia="Calibri"/>
        </w:rPr>
      </w:pPr>
    </w:p>
    <w:p w14:paraId="546E6779" w14:textId="4A340083" w:rsidR="00D76ECF" w:rsidRDefault="002C309E" w:rsidP="004F3904">
      <w:pPr>
        <w:widowControl w:val="0"/>
        <w:ind w:right="-270"/>
      </w:pPr>
      <w:r>
        <w:t>As previously noted, the ESG rule at 24 CFR p</w:t>
      </w:r>
      <w:r w:rsidRPr="002C309E">
        <w:t xml:space="preserve">art 576 generally incorporates the uniform administrative requirements, cost principles, and audit requirements, which were recently revised and codified at 2 CFR part 200.  This </w:t>
      </w:r>
      <w:r w:rsidR="00FF671C">
        <w:t>E</w:t>
      </w:r>
      <w:r>
        <w:t xml:space="preserve">xhibit </w:t>
      </w:r>
      <w:r w:rsidRPr="002C309E">
        <w:t>contains both questions to monitor compliance with 2 CFR part 200 and questions to monitor compliance with the former uniform administrative requirements, cost principles, and audit requirements (i.e., 24 CFR parts 84 and 85 (2013), 2 CFR 225 and 230 (2013), OMB Circular A-133).  For HUD</w:t>
      </w:r>
      <w:r>
        <w:t>’s expectations</w:t>
      </w:r>
      <w:r w:rsidRPr="002C309E">
        <w:t xml:space="preserve"> on monitoring for compliance with the uniform administrative requirements, cost principles, and audit requirements during th</w:t>
      </w:r>
      <w:r w:rsidR="00FF671C">
        <w:t>e</w:t>
      </w:r>
      <w:r w:rsidRPr="002C309E">
        <w:t xml:space="preserve"> period of transition to 2 CFR part 200, please see HUD’s April 13, 2016</w:t>
      </w:r>
      <w:r w:rsidR="004F3904">
        <w:t>, N</w:t>
      </w:r>
      <w:r w:rsidRPr="002C309E">
        <w:t>otice CPD-16-04 (</w:t>
      </w:r>
      <w:hyperlink r:id="rId8" w:history="1">
        <w:r w:rsidR="004F3904" w:rsidRPr="008521C4">
          <w:rPr>
            <w:rStyle w:val="Hyperlink"/>
          </w:rPr>
          <w:t>http://portal.hud.gov/hudportal/documents/huddoc?id=16-04cpdn.pdf</w:t>
        </w:r>
      </w:hyperlink>
      <w:r w:rsidRPr="002C309E">
        <w:t>).</w:t>
      </w:r>
    </w:p>
    <w:p w14:paraId="3B621D93" w14:textId="77777777" w:rsidR="002C309E" w:rsidRDefault="002C309E" w:rsidP="00557E17">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line="120" w:lineRule="auto"/>
      </w:pPr>
    </w:p>
    <w:p w14:paraId="2A846E4A" w14:textId="559E3713" w:rsidR="00D76ECF" w:rsidRDefault="002C309E"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t>The</w:t>
      </w:r>
      <w:r w:rsidR="00D76ECF">
        <w:t xml:space="preserve"> HUD</w:t>
      </w:r>
      <w:r w:rsidR="004F3904">
        <w:t xml:space="preserve"> reviewer must supplement this E</w:t>
      </w:r>
      <w:r w:rsidR="00D76ECF">
        <w:t>xhibit with Exhibit 2</w:t>
      </w:r>
      <w:r w:rsidR="00B10268">
        <w:t>8-</w:t>
      </w:r>
      <w:r w:rsidR="00D76ECF">
        <w:t>9</w:t>
      </w:r>
      <w:bookmarkStart w:id="0" w:name="_GoBack"/>
      <w:bookmarkEnd w:id="0"/>
      <w:r w:rsidR="00D76ECF">
        <w:t xml:space="preserve"> (covering the procurement requirements in 24 CFR parts 85 and 84) and Exhibit 3</w:t>
      </w:r>
      <w:r w:rsidR="00BF6E56">
        <w:t>4</w:t>
      </w:r>
      <w:r w:rsidR="00D76ECF">
        <w:t xml:space="preserve">-3 (covering the procurement </w:t>
      </w:r>
      <w:r>
        <w:t xml:space="preserve">requirements in 2 CFR part 200), as applicable. </w:t>
      </w:r>
      <w:r w:rsidR="00D76ECF">
        <w:t xml:space="preserve"> </w:t>
      </w:r>
    </w:p>
    <w:p w14:paraId="3587E4D9" w14:textId="77777777" w:rsidR="00D76ECF" w:rsidRDefault="00D76ECF" w:rsidP="00FF671C">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line="120" w:lineRule="auto"/>
      </w:pPr>
    </w:p>
    <w:p w14:paraId="780A3782" w14:textId="114C210E" w:rsidR="007C2C29" w:rsidRDefault="00D76ECF" w:rsidP="007C5663">
      <w:pPr>
        <w:widowControl w:val="0"/>
        <w:ind w:right="-360"/>
      </w:pPr>
      <w:r>
        <w:t>Where ESG funds were used for rental assistance or services, the HUD reviewer MUST complete the applicable Exhibits in Chapter 24 of this Handbook</w:t>
      </w:r>
      <w:r w:rsidR="00F36F59">
        <w:t xml:space="preserve">, </w:t>
      </w:r>
      <w:r w:rsidR="00F36F59" w:rsidRPr="00F36F59">
        <w:rPr>
          <w:i/>
        </w:rPr>
        <w:t>Lead-Based Paint Compliance</w:t>
      </w:r>
      <w:r w:rsidR="002C309E">
        <w:t>.</w:t>
      </w:r>
      <w:r w:rsidR="00F36F59">
        <w:t xml:space="preserve"> </w:t>
      </w:r>
      <w:r w:rsidR="002C309E">
        <w:t xml:space="preserve"> NOTE: </w:t>
      </w:r>
      <w:r w:rsidR="00F36F59">
        <w:t xml:space="preserve"> See </w:t>
      </w:r>
      <w:r w:rsidR="002C309E">
        <w:t>Exhibit 24-2 (</w:t>
      </w:r>
      <w:r>
        <w:t>Services), Exhibit 24-3 (Tenant-</w:t>
      </w:r>
      <w:r w:rsidR="00F36F59">
        <w:t>B</w:t>
      </w:r>
      <w:r>
        <w:t xml:space="preserve">ased </w:t>
      </w:r>
      <w:r w:rsidR="00F36F59">
        <w:t>R</w:t>
      </w:r>
      <w:r>
        <w:t xml:space="preserve">ental </w:t>
      </w:r>
      <w:r w:rsidR="00F36F59">
        <w:t>A</w:t>
      </w:r>
      <w:r>
        <w:t>ssistance), or Exhibit 24-4 (Proj</w:t>
      </w:r>
      <w:r w:rsidR="00F36F59">
        <w:t>ect-</w:t>
      </w:r>
      <w:r w:rsidR="007A566F">
        <w:t>B</w:t>
      </w:r>
      <w:r w:rsidR="00F36F59">
        <w:t xml:space="preserve">ased </w:t>
      </w:r>
      <w:r w:rsidR="007A566F">
        <w:t>R</w:t>
      </w:r>
      <w:r w:rsidR="00F36F59">
        <w:t xml:space="preserve">ental </w:t>
      </w:r>
      <w:r w:rsidR="007A566F">
        <w:t>A</w:t>
      </w:r>
      <w:r w:rsidR="00F36F59">
        <w:t>ssistance).</w:t>
      </w:r>
    </w:p>
    <w:p w14:paraId="7EC417BE" w14:textId="77777777" w:rsidR="00B95C72" w:rsidRDefault="00B95C72" w:rsidP="00FF671C">
      <w:pPr>
        <w:widowControl w:val="0"/>
        <w:spacing w:line="120" w:lineRule="auto"/>
        <w:ind w:right="-360"/>
        <w:rPr>
          <w:rFonts w:eastAsia="Calibri"/>
        </w:rPr>
      </w:pPr>
    </w:p>
    <w:p w14:paraId="1A18746B" w14:textId="1928C0F5" w:rsidR="00C87406" w:rsidRDefault="00C87406" w:rsidP="007C5663">
      <w:pPr>
        <w:widowControl w:val="0"/>
        <w:rPr>
          <w:rFonts w:eastAsia="Calibri"/>
        </w:rPr>
      </w:pPr>
      <w:r>
        <w:rPr>
          <w:rFonts w:eastAsia="Calibri"/>
        </w:rPr>
        <w:t>This Exhibit can be used to either monitor a single subrecipient or multiple subrecipients.  It is the responsibility of the HUD reviewer to ensure that the responses provide sufficient documentation to support the basis for the conclusions.  Keep in mind that, if multiple entities are reviewed and a deficiency is identified for a single entity, a “No” response is required.</w:t>
      </w:r>
    </w:p>
    <w:p w14:paraId="24673F42" w14:textId="77777777" w:rsidR="002148CD" w:rsidRDefault="002148CD" w:rsidP="007C5663">
      <w:pPr>
        <w:widowControl w:val="0"/>
        <w:rPr>
          <w:rFonts w:eastAsia="Calibri"/>
        </w:rPr>
      </w:pPr>
    </w:p>
    <w:p w14:paraId="1D8186DE" w14:textId="77777777" w:rsidR="00A25F28" w:rsidRDefault="008557F0" w:rsidP="007C5663">
      <w:pPr>
        <w:widowControl w:val="0"/>
        <w:rPr>
          <w:rFonts w:eastAsia="Calibri"/>
          <w:b/>
          <w:u w:val="single"/>
        </w:rPr>
      </w:pPr>
      <w:r>
        <w:rPr>
          <w:rFonts w:eastAsia="Calibri"/>
          <w:b/>
          <w:u w:val="single"/>
        </w:rPr>
        <w:lastRenderedPageBreak/>
        <w:t>Questions:</w:t>
      </w:r>
    </w:p>
    <w:p w14:paraId="671B33B2" w14:textId="77777777" w:rsidR="00136B28" w:rsidRDefault="00136B28" w:rsidP="007C5663">
      <w:pPr>
        <w:pStyle w:val="Level1"/>
        <w:widowControl w:val="0"/>
        <w:tabs>
          <w:tab w:val="clear" w:pos="4320"/>
          <w:tab w:val="clear" w:pos="8640"/>
        </w:tabs>
        <w:rPr>
          <w:u w:val="single"/>
        </w:rPr>
      </w:pPr>
    </w:p>
    <w:p w14:paraId="15DB2145" w14:textId="77AC71A4" w:rsidR="00BC0D68" w:rsidRPr="008557F0" w:rsidRDefault="00DB7511" w:rsidP="007C5663">
      <w:pPr>
        <w:pStyle w:val="Level1"/>
        <w:widowControl w:val="0"/>
        <w:tabs>
          <w:tab w:val="clear" w:pos="4320"/>
          <w:tab w:val="clear" w:pos="8640"/>
        </w:tabs>
      </w:pPr>
      <w:r>
        <w:rPr>
          <w:u w:val="single"/>
        </w:rPr>
        <w:t xml:space="preserve">A.  </w:t>
      </w:r>
      <w:r w:rsidR="00A45806">
        <w:rPr>
          <w:u w:val="single"/>
        </w:rPr>
        <w:t>SUB</w:t>
      </w:r>
      <w:r w:rsidR="00BC0D68">
        <w:rPr>
          <w:u w:val="single"/>
        </w:rPr>
        <w:t>GRANTS MANAGEMENT AND OVERSIGHT</w:t>
      </w:r>
    </w:p>
    <w:p w14:paraId="7AE0427F" w14:textId="77777777" w:rsidR="00136B28" w:rsidRDefault="00136B28" w:rsidP="007C5663">
      <w:pPr>
        <w:pStyle w:val="ListParagraph"/>
        <w:widowControl w:val="0"/>
        <w:ind w:left="0"/>
        <w:rPr>
          <w:rFonts w:ascii="Times New Roman" w:hAnsi="Times New Roman"/>
          <w:sz w:val="24"/>
          <w:szCs w:val="24"/>
        </w:rPr>
      </w:pPr>
    </w:p>
    <w:p w14:paraId="6DD64C1F" w14:textId="2F91791E" w:rsidR="00BC0D68" w:rsidRDefault="00BC0D68" w:rsidP="007C5663">
      <w:pPr>
        <w:pStyle w:val="ListParagraph"/>
        <w:widowControl w:val="0"/>
        <w:ind w:left="0"/>
        <w:rPr>
          <w:rFonts w:ascii="Times New Roman" w:hAnsi="Times New Roman"/>
          <w:sz w:val="24"/>
          <w:szCs w:val="24"/>
        </w:rPr>
      </w:pPr>
      <w:r>
        <w:rPr>
          <w:rFonts w:ascii="Times New Roman" w:hAnsi="Times New Roman"/>
          <w:sz w:val="24"/>
          <w:szCs w:val="24"/>
        </w:rPr>
        <w:t>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7F571740" w14:textId="77777777" w:rsidTr="00BC0D68">
        <w:trPr>
          <w:trHeight w:val="773"/>
        </w:trPr>
        <w:tc>
          <w:tcPr>
            <w:tcW w:w="7385" w:type="dxa"/>
            <w:tcBorders>
              <w:bottom w:val="single" w:sz="4" w:space="0" w:color="auto"/>
            </w:tcBorders>
          </w:tcPr>
          <w:p w14:paraId="513339BF" w14:textId="77777777" w:rsidR="002C722F" w:rsidRDefault="00A25F28" w:rsidP="007C5663">
            <w:pPr>
              <w:widowControl w:val="0"/>
            </w:pPr>
            <w:r w:rsidRPr="0053759E">
              <w:rPr>
                <w:u w:val="single"/>
              </w:rPr>
              <w:t>Eligible Subrecipients</w:t>
            </w:r>
            <w:r w:rsidRPr="0053759E">
              <w:t xml:space="preserve">:  </w:t>
            </w:r>
          </w:p>
          <w:p w14:paraId="353B3139" w14:textId="5E7CEE32" w:rsidR="002C722F" w:rsidRDefault="00A25F28" w:rsidP="007C5663">
            <w:pPr>
              <w:widowControl w:val="0"/>
              <w:numPr>
                <w:ilvl w:val="0"/>
                <w:numId w:val="39"/>
              </w:numPr>
            </w:pPr>
            <w:r w:rsidRPr="0053759E">
              <w:t xml:space="preserve">If the organization is a subrecipient of a state, is it a unit of general purpose local government </w:t>
            </w:r>
            <w:r w:rsidR="00E72697" w:rsidRPr="00CE1D39">
              <w:t>(which can include a metropolitan city or urban county that receives ESG funds directly from HUD</w:t>
            </w:r>
            <w:r w:rsidR="00787D61">
              <w:t>,</w:t>
            </w:r>
            <w:r w:rsidR="00E72697" w:rsidRPr="00CE1D39">
              <w:t xml:space="preserve"> or a combination of general purpose local governments recognized by HUD)</w:t>
            </w:r>
            <w:r w:rsidR="00787D61">
              <w:t>,</w:t>
            </w:r>
            <w:r w:rsidR="00E72697">
              <w:t xml:space="preserve"> </w:t>
            </w:r>
            <w:r w:rsidRPr="0053759E">
              <w:t xml:space="preserve">or </w:t>
            </w:r>
            <w:r w:rsidR="00E72697">
              <w:t xml:space="preserve">a </w:t>
            </w:r>
            <w:r w:rsidRPr="0053759E">
              <w:t>private nonprofit organization</w:t>
            </w:r>
            <w:r w:rsidR="00E72697">
              <w:t xml:space="preserve"> within the state; or</w:t>
            </w:r>
          </w:p>
          <w:p w14:paraId="3ADC3392" w14:textId="6294E707" w:rsidR="00A25F28" w:rsidRDefault="00A25F28" w:rsidP="007C5663">
            <w:pPr>
              <w:widowControl w:val="0"/>
              <w:numPr>
                <w:ilvl w:val="0"/>
                <w:numId w:val="39"/>
              </w:numPr>
            </w:pPr>
            <w:r w:rsidRPr="0053759E">
              <w:t xml:space="preserve">If the organization is a subrecipient of a metropolitan city, urban county, or territory, is it a private nonprofit organization?  </w:t>
            </w:r>
          </w:p>
          <w:p w14:paraId="722CFAD7" w14:textId="41A87842" w:rsidR="008B4134" w:rsidRPr="005463FA" w:rsidRDefault="005463FA" w:rsidP="007C5663">
            <w:pPr>
              <w:widowControl w:val="0"/>
              <w:autoSpaceDE w:val="0"/>
              <w:autoSpaceDN w:val="0"/>
              <w:adjustRightInd w:val="0"/>
              <w:ind w:left="275"/>
            </w:pPr>
            <w:r w:rsidRPr="00787D61">
              <w:rPr>
                <w:b/>
              </w:rPr>
              <w:t>NOTE</w:t>
            </w:r>
            <w:r w:rsidRPr="005463FA">
              <w:t>:</w:t>
            </w:r>
            <w:r w:rsidR="008B4134" w:rsidRPr="005463FA">
              <w:t xml:space="preserve">  A private nonprofit organization does not include a governmental organization, such as a public housing agency or housing finance agency.</w:t>
            </w:r>
          </w:p>
          <w:p w14:paraId="42A008CF" w14:textId="30A28E38" w:rsidR="00BC0D68" w:rsidRDefault="00A25F28" w:rsidP="007C5663">
            <w:pPr>
              <w:pStyle w:val="Level1"/>
              <w:widowControl w:val="0"/>
              <w:tabs>
                <w:tab w:val="left" w:pos="720"/>
                <w:tab w:val="left" w:pos="1440"/>
                <w:tab w:val="left" w:pos="2160"/>
                <w:tab w:val="left" w:pos="2880"/>
                <w:tab w:val="left" w:pos="3600"/>
                <w:tab w:val="left" w:pos="5040"/>
                <w:tab w:val="left" w:pos="5760"/>
                <w:tab w:val="left" w:pos="6480"/>
              </w:tabs>
            </w:pPr>
            <w:r w:rsidRPr="005463FA">
              <w:t>[</w:t>
            </w:r>
            <w:r w:rsidR="00E72697" w:rsidRPr="005463FA">
              <w:t>24 CFR 576.2</w:t>
            </w:r>
            <w:r w:rsidR="001D59AA">
              <w:t>;</w:t>
            </w:r>
            <w:r w:rsidR="00E72697" w:rsidRPr="005463FA">
              <w:t xml:space="preserve"> </w:t>
            </w:r>
            <w:r w:rsidRPr="005463FA">
              <w:t>24 CFR 576.202]</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413DFF18" w14:textId="77777777" w:rsidTr="00BC0D68">
              <w:trPr>
                <w:trHeight w:val="170"/>
              </w:trPr>
              <w:tc>
                <w:tcPr>
                  <w:tcW w:w="425" w:type="dxa"/>
                </w:tcPr>
                <w:p w14:paraId="107ECD0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6B8C91F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0AC84CF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6E498F72" w14:textId="77777777" w:rsidTr="00BC0D68">
              <w:trPr>
                <w:trHeight w:val="225"/>
              </w:trPr>
              <w:tc>
                <w:tcPr>
                  <w:tcW w:w="425" w:type="dxa"/>
                </w:tcPr>
                <w:p w14:paraId="0270014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DECE3A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3E6F4C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710ECB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DD9B54C" w14:textId="77777777" w:rsidTr="00BC0D68">
        <w:trPr>
          <w:cantSplit/>
        </w:trPr>
        <w:tc>
          <w:tcPr>
            <w:tcW w:w="9010" w:type="dxa"/>
            <w:gridSpan w:val="2"/>
            <w:tcBorders>
              <w:bottom w:val="nil"/>
            </w:tcBorders>
          </w:tcPr>
          <w:p w14:paraId="4B23F77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64D2C5BC" w14:textId="77777777" w:rsidTr="00BC0D68">
        <w:trPr>
          <w:cantSplit/>
        </w:trPr>
        <w:tc>
          <w:tcPr>
            <w:tcW w:w="9010" w:type="dxa"/>
            <w:gridSpan w:val="2"/>
            <w:tcBorders>
              <w:top w:val="nil"/>
            </w:tcBorders>
          </w:tcPr>
          <w:p w14:paraId="4CB8F3A1" w14:textId="77777777" w:rsidR="00C87406"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bookmarkStart w:id="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28DCBDE" w14:textId="7FA0891C" w:rsidR="006F2CC0" w:rsidRDefault="006F2CC0"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388DBCC7" w14:textId="77777777" w:rsidR="00756B35" w:rsidRDefault="00BC0D68" w:rsidP="007C5663">
      <w:pPr>
        <w:pStyle w:val="ListParagraph"/>
        <w:widowControl w:val="0"/>
        <w:ind w:left="0"/>
        <w:rPr>
          <w:rFonts w:ascii="Times New Roman" w:hAnsi="Times New Roman"/>
          <w:sz w:val="24"/>
          <w:szCs w:val="24"/>
        </w:rPr>
      </w:pPr>
      <w:r>
        <w:rPr>
          <w:rFonts w:ascii="Times New Roman" w:hAnsi="Times New Roman"/>
          <w:sz w:val="24"/>
          <w:szCs w:val="24"/>
        </w:rPr>
        <w:t>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3E7223D2" w14:textId="77777777" w:rsidTr="00BC0D68">
        <w:trPr>
          <w:trHeight w:val="773"/>
        </w:trPr>
        <w:tc>
          <w:tcPr>
            <w:tcW w:w="7385" w:type="dxa"/>
            <w:tcBorders>
              <w:bottom w:val="single" w:sz="4" w:space="0" w:color="auto"/>
            </w:tcBorders>
          </w:tcPr>
          <w:p w14:paraId="308FF463" w14:textId="60226E24" w:rsidR="00A25F28" w:rsidRPr="0053759E" w:rsidRDefault="007C1B99" w:rsidP="007C5663">
            <w:pPr>
              <w:widowControl w:val="0"/>
            </w:pPr>
            <w:r>
              <w:rPr>
                <w:u w:val="single"/>
              </w:rPr>
              <w:t>Obligation Requirements (State s</w:t>
            </w:r>
            <w:r w:rsidR="00A25F28" w:rsidRPr="0053759E">
              <w:rPr>
                <w:u w:val="single"/>
              </w:rPr>
              <w:t>ubrecipients that are units of general purpose local government)</w:t>
            </w:r>
            <w:r w:rsidR="00A25F28" w:rsidRPr="0053759E">
              <w:t>:  Within 120 days after the date the state obligated its funds to a unit of general purpose local government, did the subrecipient obligate all of those funds by</w:t>
            </w:r>
            <w:r w:rsidR="00C87406">
              <w:t>:</w:t>
            </w:r>
            <w:r w:rsidR="00A25F28" w:rsidRPr="0053759E">
              <w:t xml:space="preserve"> a subgrant agreement with, or a letter of award requiring payment to, a private nonprofit organization; a procurement contract; </w:t>
            </w:r>
            <w:r w:rsidR="00C87406">
              <w:t>and/</w:t>
            </w:r>
            <w:r w:rsidR="00A25F28" w:rsidRPr="0053759E">
              <w:t xml:space="preserve">or the written designation of a department within the government of the subrecipient to directly carry out an eligible activity? </w:t>
            </w:r>
          </w:p>
          <w:p w14:paraId="1D9F487E" w14:textId="77777777" w:rsidR="00BC0D68" w:rsidRDefault="00A25F28"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576.203(a)(1)(ii)]</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3200AA2A" w14:textId="77777777" w:rsidTr="00BC0D68">
              <w:trPr>
                <w:trHeight w:val="170"/>
              </w:trPr>
              <w:tc>
                <w:tcPr>
                  <w:tcW w:w="425" w:type="dxa"/>
                </w:tcPr>
                <w:p w14:paraId="02ACCB0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39F5FA2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2C89800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26A903CA" w14:textId="77777777" w:rsidTr="00BC0D68">
              <w:trPr>
                <w:trHeight w:val="225"/>
              </w:trPr>
              <w:tc>
                <w:tcPr>
                  <w:tcW w:w="425" w:type="dxa"/>
                </w:tcPr>
                <w:p w14:paraId="5E8CD42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BB33C7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623CE2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D0330C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75D1F3E9" w14:textId="77777777" w:rsidTr="00BC0D68">
        <w:trPr>
          <w:cantSplit/>
        </w:trPr>
        <w:tc>
          <w:tcPr>
            <w:tcW w:w="9010" w:type="dxa"/>
            <w:gridSpan w:val="2"/>
            <w:tcBorders>
              <w:bottom w:val="nil"/>
            </w:tcBorders>
          </w:tcPr>
          <w:p w14:paraId="3BD5029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63BBEFC1" w14:textId="77777777" w:rsidTr="00BC0D68">
        <w:trPr>
          <w:cantSplit/>
        </w:trPr>
        <w:tc>
          <w:tcPr>
            <w:tcW w:w="9010" w:type="dxa"/>
            <w:gridSpan w:val="2"/>
            <w:tcBorders>
              <w:top w:val="nil"/>
            </w:tcBorders>
          </w:tcPr>
          <w:p w14:paraId="7490D981" w14:textId="46210208" w:rsidR="00C807B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57BF8D" w14:textId="77777777" w:rsidR="006F2CC0" w:rsidRDefault="006F2CC0" w:rsidP="007C5663">
            <w:pPr>
              <w:pStyle w:val="Level1"/>
              <w:widowControl w:val="0"/>
              <w:tabs>
                <w:tab w:val="left" w:pos="720"/>
                <w:tab w:val="left" w:pos="1440"/>
                <w:tab w:val="left" w:pos="2160"/>
                <w:tab w:val="left" w:pos="2880"/>
                <w:tab w:val="left" w:pos="3600"/>
                <w:tab w:val="left" w:pos="5040"/>
                <w:tab w:val="left" w:pos="5760"/>
                <w:tab w:val="left" w:pos="6480"/>
              </w:tabs>
            </w:pPr>
          </w:p>
          <w:p w14:paraId="1287184D" w14:textId="77777777" w:rsidR="00DB7511" w:rsidRDefault="00DB7511"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3BE99847" w14:textId="77777777" w:rsidR="00BC0D68" w:rsidRDefault="00BC0D68" w:rsidP="007C5663">
      <w:pPr>
        <w:pStyle w:val="ListParagraph"/>
        <w:widowControl w:val="0"/>
        <w:ind w:left="0"/>
        <w:rPr>
          <w:rFonts w:ascii="Times New Roman" w:eastAsia="MS Gothic" w:hAnsi="Times New Roman"/>
          <w:sz w:val="24"/>
          <w:szCs w:val="24"/>
        </w:rPr>
      </w:pPr>
      <w:r>
        <w:rPr>
          <w:rFonts w:ascii="Times New Roman" w:eastAsia="MS Gothic" w:hAnsi="Times New Roman"/>
          <w:sz w:val="24"/>
          <w:szCs w:val="24"/>
        </w:rPr>
        <w:t>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56CB4083" w14:textId="77777777" w:rsidTr="00BC0D68">
        <w:trPr>
          <w:trHeight w:val="773"/>
        </w:trPr>
        <w:tc>
          <w:tcPr>
            <w:tcW w:w="7385" w:type="dxa"/>
            <w:tcBorders>
              <w:bottom w:val="single" w:sz="4" w:space="0" w:color="auto"/>
            </w:tcBorders>
          </w:tcPr>
          <w:p w14:paraId="0B83BB7B" w14:textId="2C3E200B" w:rsidR="007166D1" w:rsidRPr="0053759E" w:rsidRDefault="007166D1" w:rsidP="007C5663">
            <w:pPr>
              <w:widowControl w:val="0"/>
            </w:pPr>
            <w:r w:rsidRPr="0053759E">
              <w:rPr>
                <w:u w:val="single"/>
              </w:rPr>
              <w:t>Payments to Subrecipients (Units of General Purpose Local Government)</w:t>
            </w:r>
            <w:r w:rsidRPr="0053759E">
              <w:t xml:space="preserve">:  If the subrecipient is a unit of general purpose local government, did it pay each of its subrecipients for allowable costs within 30 days after receiving the subrecipient’s complete payment request?  </w:t>
            </w:r>
          </w:p>
          <w:p w14:paraId="57BC0F6F" w14:textId="77777777" w:rsidR="00BC0D68" w:rsidRDefault="007166D1"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010317">
              <w:t xml:space="preserve">24 CFR </w:t>
            </w:r>
            <w:r w:rsidRPr="0053759E">
              <w:t>576.203(c)]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64F276AF" w14:textId="77777777" w:rsidTr="00BC0D68">
              <w:trPr>
                <w:trHeight w:val="170"/>
              </w:trPr>
              <w:tc>
                <w:tcPr>
                  <w:tcW w:w="425" w:type="dxa"/>
                </w:tcPr>
                <w:p w14:paraId="64A9068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436CC79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3F3164B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07B481DD" w14:textId="77777777" w:rsidTr="00BC0D68">
              <w:trPr>
                <w:trHeight w:val="225"/>
              </w:trPr>
              <w:tc>
                <w:tcPr>
                  <w:tcW w:w="425" w:type="dxa"/>
                </w:tcPr>
                <w:p w14:paraId="44BFF11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291C1B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CC0B38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2E6AEC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BEFFD69" w14:textId="77777777" w:rsidTr="00BC0D68">
        <w:trPr>
          <w:cantSplit/>
        </w:trPr>
        <w:tc>
          <w:tcPr>
            <w:tcW w:w="9010" w:type="dxa"/>
            <w:gridSpan w:val="2"/>
            <w:tcBorders>
              <w:bottom w:val="nil"/>
            </w:tcBorders>
          </w:tcPr>
          <w:p w14:paraId="4E76BAF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30CCF389" w14:textId="77777777" w:rsidTr="00BC0D68">
        <w:trPr>
          <w:cantSplit/>
        </w:trPr>
        <w:tc>
          <w:tcPr>
            <w:tcW w:w="9010" w:type="dxa"/>
            <w:gridSpan w:val="2"/>
            <w:tcBorders>
              <w:top w:val="nil"/>
            </w:tcBorders>
          </w:tcPr>
          <w:p w14:paraId="29264C79" w14:textId="694574F6" w:rsidR="006F2CC0"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18EB2E" w14:textId="77777777" w:rsidR="00DB7511" w:rsidRDefault="00DB7511" w:rsidP="007C5663">
            <w:pPr>
              <w:pStyle w:val="Level1"/>
              <w:widowControl w:val="0"/>
              <w:tabs>
                <w:tab w:val="left" w:pos="720"/>
                <w:tab w:val="left" w:pos="1440"/>
                <w:tab w:val="left" w:pos="2160"/>
                <w:tab w:val="left" w:pos="2880"/>
                <w:tab w:val="left" w:pos="3600"/>
                <w:tab w:val="left" w:pos="5040"/>
                <w:tab w:val="left" w:pos="5760"/>
                <w:tab w:val="left" w:pos="6480"/>
              </w:tabs>
            </w:pPr>
          </w:p>
          <w:p w14:paraId="6BBFD334" w14:textId="77777777" w:rsidR="00F94B01" w:rsidRDefault="00F94B01" w:rsidP="007C5663">
            <w:pPr>
              <w:pStyle w:val="Level1"/>
              <w:widowControl w:val="0"/>
              <w:tabs>
                <w:tab w:val="left" w:pos="720"/>
                <w:tab w:val="left" w:pos="1440"/>
                <w:tab w:val="left" w:pos="2160"/>
                <w:tab w:val="left" w:pos="2880"/>
                <w:tab w:val="left" w:pos="3600"/>
                <w:tab w:val="left" w:pos="5040"/>
                <w:tab w:val="left" w:pos="5760"/>
                <w:tab w:val="left" w:pos="6480"/>
              </w:tabs>
            </w:pPr>
          </w:p>
          <w:p w14:paraId="00D970E7" w14:textId="4ED5663B" w:rsidR="00136B28" w:rsidRDefault="00136B28"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577CAAAD" w14:textId="77777777" w:rsidR="004E24C8" w:rsidRDefault="004E24C8" w:rsidP="007C5663">
      <w:pPr>
        <w:pStyle w:val="ListParagraph"/>
        <w:widowControl w:val="0"/>
        <w:spacing w:line="120" w:lineRule="auto"/>
        <w:ind w:left="0"/>
        <w:rPr>
          <w:rFonts w:ascii="Times New Roman" w:hAnsi="Times New Roman"/>
          <w:sz w:val="24"/>
          <w:szCs w:val="24"/>
          <w:u w:val="single"/>
        </w:rPr>
      </w:pPr>
    </w:p>
    <w:p w14:paraId="7CE1A170" w14:textId="77777777" w:rsidR="006F2CC0" w:rsidRDefault="006F2CC0" w:rsidP="007C5663">
      <w:pPr>
        <w:pStyle w:val="ListParagraph"/>
        <w:widowControl w:val="0"/>
        <w:ind w:left="0"/>
        <w:rPr>
          <w:rFonts w:ascii="Times New Roman" w:hAnsi="Times New Roman"/>
          <w:sz w:val="24"/>
          <w:szCs w:val="24"/>
          <w:u w:val="single"/>
        </w:rPr>
      </w:pPr>
    </w:p>
    <w:p w14:paraId="534ABBE7" w14:textId="1195E4AF" w:rsidR="00010317" w:rsidRPr="00010317" w:rsidRDefault="00010317" w:rsidP="007C5663">
      <w:pPr>
        <w:pStyle w:val="ListParagraph"/>
        <w:widowControl w:val="0"/>
        <w:ind w:left="0"/>
        <w:rPr>
          <w:rFonts w:ascii="Times New Roman" w:hAnsi="Times New Roman"/>
          <w:sz w:val="24"/>
          <w:szCs w:val="24"/>
          <w:u w:val="single"/>
        </w:rPr>
      </w:pPr>
      <w:r w:rsidRPr="00DB7511">
        <w:rPr>
          <w:rFonts w:ascii="Times New Roman" w:hAnsi="Times New Roman"/>
          <w:sz w:val="24"/>
          <w:szCs w:val="24"/>
          <w:u w:val="single"/>
        </w:rPr>
        <w:lastRenderedPageBreak/>
        <w:t xml:space="preserve">B.  </w:t>
      </w:r>
      <w:r w:rsidR="009D332C">
        <w:rPr>
          <w:rFonts w:ascii="Times New Roman" w:hAnsi="Times New Roman"/>
          <w:sz w:val="24"/>
          <w:szCs w:val="24"/>
          <w:u w:val="single"/>
        </w:rPr>
        <w:t xml:space="preserve">SYSTEMS </w:t>
      </w:r>
      <w:r>
        <w:rPr>
          <w:rFonts w:ascii="Times New Roman" w:hAnsi="Times New Roman"/>
          <w:sz w:val="24"/>
          <w:szCs w:val="24"/>
          <w:u w:val="single"/>
        </w:rPr>
        <w:t>COORDINATION REQUIREMENTS</w:t>
      </w:r>
    </w:p>
    <w:p w14:paraId="7517712B" w14:textId="77777777" w:rsidR="00756B35" w:rsidRDefault="00DD0C08" w:rsidP="007C5663">
      <w:pPr>
        <w:pStyle w:val="ListParagraph"/>
        <w:widowControl w:val="0"/>
        <w:ind w:left="0"/>
        <w:rPr>
          <w:rFonts w:ascii="Times New Roman" w:hAnsi="Times New Roman"/>
          <w:sz w:val="24"/>
          <w:szCs w:val="24"/>
        </w:rPr>
      </w:pPr>
      <w:r>
        <w:rPr>
          <w:rFonts w:ascii="Times New Roman" w:hAnsi="Times New Roman"/>
          <w:sz w:val="24"/>
          <w:szCs w:val="24"/>
        </w:rPr>
        <w:t>4</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61A8B5DB" w14:textId="77777777" w:rsidTr="00BC0D68">
        <w:trPr>
          <w:trHeight w:val="773"/>
        </w:trPr>
        <w:tc>
          <w:tcPr>
            <w:tcW w:w="7385" w:type="dxa"/>
            <w:tcBorders>
              <w:bottom w:val="single" w:sz="4" w:space="0" w:color="auto"/>
            </w:tcBorders>
          </w:tcPr>
          <w:p w14:paraId="1F5D802D" w14:textId="76E8B7FF" w:rsidR="00010317" w:rsidRPr="0053759E" w:rsidRDefault="00010317" w:rsidP="007C5663">
            <w:pPr>
              <w:widowControl w:val="0"/>
            </w:pPr>
            <w:r w:rsidRPr="0053759E">
              <w:rPr>
                <w:u w:val="single"/>
              </w:rPr>
              <w:t>Coordination with Other Targeted Homeless Services</w:t>
            </w:r>
            <w:r w:rsidRPr="0053759E">
              <w:t>:  Do</w:t>
            </w:r>
            <w:r w:rsidR="004E24C8">
              <w:t>es each</w:t>
            </w:r>
            <w:r w:rsidRPr="0053759E">
              <w:t xml:space="preserve"> subrecipient</w:t>
            </w:r>
            <w:r w:rsidR="004E24C8">
              <w:t>’</w:t>
            </w:r>
            <w:r w:rsidR="00502965">
              <w:t>s</w:t>
            </w:r>
            <w:r w:rsidRPr="0053759E">
              <w:t xml:space="preserve"> records </w:t>
            </w:r>
            <w:r w:rsidR="00502965">
              <w:t>reflect</w:t>
            </w:r>
            <w:r w:rsidR="00283623">
              <w:t xml:space="preserve"> that </w:t>
            </w:r>
            <w:r w:rsidR="004E24C8">
              <w:t>i</w:t>
            </w:r>
            <w:r w:rsidR="00283623">
              <w:t>t</w:t>
            </w:r>
            <w:r w:rsidRPr="0053759E">
              <w:t xml:space="preserve"> coordinated and integrated, to the maximum extent practicable, ESG-funded activities with the programs</w:t>
            </w:r>
            <w:r w:rsidR="000F2DA2">
              <w:t xml:space="preserve">, including those listed under 24 CFR </w:t>
            </w:r>
            <w:r w:rsidRPr="0053759E">
              <w:t xml:space="preserve">576.400(b), that are targeted to homeless people in the area covered by the Continuum of Care (CoC) or area over which the services are coordinated to provide a strategic, community-wide system to prevent and end homelessness for that area?  </w:t>
            </w:r>
          </w:p>
          <w:p w14:paraId="610AF412" w14:textId="398BADE2" w:rsidR="00BC0D68" w:rsidRDefault="00010317"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576.400(b)</w:t>
            </w:r>
            <w:r w:rsidR="001D59AA">
              <w:t>;</w:t>
            </w:r>
            <w:r>
              <w:t xml:space="preserve"> 24 CFR</w:t>
            </w:r>
            <w:r w:rsidR="00DB7511">
              <w:t xml:space="preserve"> </w:t>
            </w:r>
            <w:r w:rsidRPr="0053759E">
              <w:t>576.500(m)]</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744BBDE6" w14:textId="77777777" w:rsidTr="00BC0D68">
              <w:trPr>
                <w:trHeight w:val="170"/>
              </w:trPr>
              <w:tc>
                <w:tcPr>
                  <w:tcW w:w="425" w:type="dxa"/>
                </w:tcPr>
                <w:p w14:paraId="7C42397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13A29B4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602B32E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62E17CDB" w14:textId="77777777" w:rsidTr="00BC0D68">
              <w:trPr>
                <w:trHeight w:val="225"/>
              </w:trPr>
              <w:tc>
                <w:tcPr>
                  <w:tcW w:w="425" w:type="dxa"/>
                </w:tcPr>
                <w:p w14:paraId="18C10A6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0B9EAC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7701BA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F7FB75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08BC1044" w14:textId="77777777" w:rsidTr="00BC0D68">
        <w:trPr>
          <w:cantSplit/>
        </w:trPr>
        <w:tc>
          <w:tcPr>
            <w:tcW w:w="9010" w:type="dxa"/>
            <w:gridSpan w:val="2"/>
            <w:tcBorders>
              <w:bottom w:val="nil"/>
            </w:tcBorders>
          </w:tcPr>
          <w:p w14:paraId="2055702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7FD8E86B" w14:textId="77777777" w:rsidTr="00BC0D68">
        <w:trPr>
          <w:cantSplit/>
        </w:trPr>
        <w:tc>
          <w:tcPr>
            <w:tcW w:w="9010" w:type="dxa"/>
            <w:gridSpan w:val="2"/>
            <w:tcBorders>
              <w:top w:val="nil"/>
            </w:tcBorders>
          </w:tcPr>
          <w:p w14:paraId="7981B3BA" w14:textId="41BE2682" w:rsidR="00BC0D68" w:rsidRDefault="00BC0D68" w:rsidP="006F2CC0">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4BE5E0" w14:textId="77777777" w:rsidR="00BC0D68" w:rsidRDefault="00DD0C08" w:rsidP="007C5663">
      <w:pPr>
        <w:pStyle w:val="ListParagraph"/>
        <w:widowControl w:val="0"/>
        <w:ind w:left="0"/>
        <w:rPr>
          <w:rFonts w:ascii="Times New Roman" w:hAnsi="Times New Roman"/>
          <w:sz w:val="24"/>
          <w:szCs w:val="24"/>
        </w:rPr>
      </w:pPr>
      <w:r>
        <w:rPr>
          <w:rFonts w:ascii="Times New Roman" w:hAnsi="Times New Roman"/>
          <w:sz w:val="24"/>
          <w:szCs w:val="24"/>
        </w:rPr>
        <w:t>5</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0847EFEA" w14:textId="77777777" w:rsidTr="00BC0D68">
        <w:trPr>
          <w:trHeight w:val="773"/>
        </w:trPr>
        <w:tc>
          <w:tcPr>
            <w:tcW w:w="7385" w:type="dxa"/>
            <w:tcBorders>
              <w:bottom w:val="single" w:sz="4" w:space="0" w:color="auto"/>
            </w:tcBorders>
          </w:tcPr>
          <w:p w14:paraId="7DBE9BB0" w14:textId="2D25AC5F" w:rsidR="00010317" w:rsidRPr="0053759E" w:rsidRDefault="00010317" w:rsidP="007C5663">
            <w:pPr>
              <w:widowControl w:val="0"/>
            </w:pPr>
            <w:r w:rsidRPr="0053759E">
              <w:rPr>
                <w:u w:val="single"/>
              </w:rPr>
              <w:t>System and Program Coordination with Mainstream Resources</w:t>
            </w:r>
            <w:r w:rsidRPr="0053759E">
              <w:t xml:space="preserve">: </w:t>
            </w:r>
            <w:r w:rsidR="00DB7511">
              <w:t xml:space="preserve"> </w:t>
            </w:r>
            <w:r w:rsidRPr="0053759E">
              <w:t>D</w:t>
            </w:r>
            <w:r w:rsidR="00502965">
              <w:t>o</w:t>
            </w:r>
            <w:r w:rsidR="00C87406">
              <w:t xml:space="preserve">es each </w:t>
            </w:r>
            <w:r w:rsidRPr="0053759E">
              <w:t>subrecipient</w:t>
            </w:r>
            <w:r w:rsidR="00C87406">
              <w:t>’</w:t>
            </w:r>
            <w:r w:rsidR="003774B3">
              <w:t>s</w:t>
            </w:r>
            <w:r w:rsidRPr="0053759E">
              <w:t xml:space="preserve"> records </w:t>
            </w:r>
            <w:r w:rsidR="00502965">
              <w:t xml:space="preserve">reflect </w:t>
            </w:r>
            <w:r w:rsidRPr="0053759E">
              <w:t xml:space="preserve">that </w:t>
            </w:r>
            <w:r w:rsidR="00C87406">
              <w:t>i</w:t>
            </w:r>
            <w:r w:rsidR="00283623">
              <w:t>t</w:t>
            </w:r>
            <w:r w:rsidRPr="0053759E">
              <w:t xml:space="preserve"> coordinated and integrated, to the maximum extent practicable, ESG-funded activities with mainstream housing, health, social services, employment, education, and youth programs for which homeless and at-risk persons might be eligible? </w:t>
            </w:r>
          </w:p>
          <w:p w14:paraId="14679C90" w14:textId="47B7C1C1" w:rsidR="00BC0D68" w:rsidRDefault="00010317"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576.400(c)</w:t>
            </w:r>
            <w:r w:rsidR="001D59AA">
              <w:t>;</w:t>
            </w:r>
            <w:r w:rsidRPr="0053759E">
              <w:t xml:space="preserve"> </w:t>
            </w:r>
            <w:r>
              <w:t>24 CFR 5</w:t>
            </w:r>
            <w:r w:rsidRPr="0053759E">
              <w:t>76.500(m)]</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6E6D73DA" w14:textId="77777777" w:rsidTr="00BC0D68">
              <w:trPr>
                <w:trHeight w:val="170"/>
              </w:trPr>
              <w:tc>
                <w:tcPr>
                  <w:tcW w:w="425" w:type="dxa"/>
                </w:tcPr>
                <w:p w14:paraId="65EDE9E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7332EF1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040C7EE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363F105E" w14:textId="77777777" w:rsidTr="00BC0D68">
              <w:trPr>
                <w:trHeight w:val="225"/>
              </w:trPr>
              <w:tc>
                <w:tcPr>
                  <w:tcW w:w="425" w:type="dxa"/>
                </w:tcPr>
                <w:p w14:paraId="78026FC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086E94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2AF32D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C63B5F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01B2A860" w14:textId="77777777" w:rsidTr="00BC0D68">
        <w:trPr>
          <w:cantSplit/>
        </w:trPr>
        <w:tc>
          <w:tcPr>
            <w:tcW w:w="9010" w:type="dxa"/>
            <w:gridSpan w:val="2"/>
            <w:tcBorders>
              <w:bottom w:val="nil"/>
            </w:tcBorders>
          </w:tcPr>
          <w:p w14:paraId="4ACBA62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031BF4C4" w14:textId="77777777" w:rsidTr="00BC0D68">
        <w:trPr>
          <w:cantSplit/>
        </w:trPr>
        <w:tc>
          <w:tcPr>
            <w:tcW w:w="9010" w:type="dxa"/>
            <w:gridSpan w:val="2"/>
            <w:tcBorders>
              <w:top w:val="nil"/>
            </w:tcBorders>
          </w:tcPr>
          <w:p w14:paraId="3DF21BC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22DA4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6289AE23" w14:textId="77777777" w:rsidR="00BC0D68" w:rsidRDefault="00DD0C08" w:rsidP="007C5663">
      <w:pPr>
        <w:pStyle w:val="ListParagraph"/>
        <w:widowControl w:val="0"/>
        <w:ind w:left="0"/>
        <w:rPr>
          <w:rFonts w:ascii="Times New Roman" w:hAnsi="Times New Roman"/>
          <w:sz w:val="24"/>
          <w:szCs w:val="24"/>
        </w:rPr>
      </w:pPr>
      <w:r>
        <w:rPr>
          <w:rFonts w:ascii="Times New Roman" w:hAnsi="Times New Roman"/>
          <w:sz w:val="24"/>
          <w:szCs w:val="24"/>
        </w:rPr>
        <w:t>6</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7EF18BA3" w14:textId="77777777" w:rsidTr="00BC0D68">
        <w:trPr>
          <w:trHeight w:val="773"/>
        </w:trPr>
        <w:tc>
          <w:tcPr>
            <w:tcW w:w="7385" w:type="dxa"/>
            <w:tcBorders>
              <w:bottom w:val="single" w:sz="4" w:space="0" w:color="auto"/>
            </w:tcBorders>
          </w:tcPr>
          <w:p w14:paraId="56EA51A1" w14:textId="77777777" w:rsidR="00010317" w:rsidRPr="0053759E" w:rsidRDefault="00010317" w:rsidP="007C5663">
            <w:pPr>
              <w:widowControl w:val="0"/>
            </w:pPr>
            <w:r w:rsidRPr="0053759E">
              <w:rPr>
                <w:u w:val="single"/>
              </w:rPr>
              <w:t>Use of the Coordinated Assessment System</w:t>
            </w:r>
            <w:r w:rsidRPr="0053759E">
              <w:t xml:space="preserve">:  </w:t>
            </w:r>
            <w:r>
              <w:t xml:space="preserve">If the CoC </w:t>
            </w:r>
            <w:r w:rsidR="001144FC">
              <w:t xml:space="preserve">for the area in which the program or project is located </w:t>
            </w:r>
            <w:r>
              <w:t>has established a coordinated assessment system</w:t>
            </w:r>
            <w:r w:rsidR="001144FC">
              <w:t xml:space="preserve"> that meets HUD’s requirements</w:t>
            </w:r>
            <w:r>
              <w:t xml:space="preserve">, do the records </w:t>
            </w:r>
            <w:r w:rsidR="001144FC">
              <w:t>show</w:t>
            </w:r>
            <w:r w:rsidR="00C807B8">
              <w:t>:</w:t>
            </w:r>
          </w:p>
          <w:p w14:paraId="764A60F5" w14:textId="77777777" w:rsidR="00010317" w:rsidRPr="0053759E" w:rsidRDefault="00010317" w:rsidP="007C5663">
            <w:pPr>
              <w:pStyle w:val="ListParagraph"/>
              <w:widowControl w:val="0"/>
              <w:numPr>
                <w:ilvl w:val="0"/>
                <w:numId w:val="32"/>
              </w:numPr>
              <w:rPr>
                <w:rFonts w:ascii="Times New Roman" w:hAnsi="Times New Roman"/>
                <w:sz w:val="24"/>
                <w:szCs w:val="24"/>
              </w:rPr>
            </w:pPr>
            <w:r w:rsidRPr="0053759E">
              <w:rPr>
                <w:rFonts w:ascii="Times New Roman" w:hAnsi="Times New Roman"/>
                <w:sz w:val="24"/>
                <w:szCs w:val="24"/>
              </w:rPr>
              <w:t>that the subrecipient (</w:t>
            </w:r>
            <w:r w:rsidR="001144FC">
              <w:rPr>
                <w:rFonts w:ascii="Times New Roman" w:hAnsi="Times New Roman"/>
                <w:sz w:val="24"/>
                <w:szCs w:val="24"/>
              </w:rPr>
              <w:t>unless it is a</w:t>
            </w:r>
            <w:r w:rsidR="001144FC" w:rsidRPr="0053759E">
              <w:rPr>
                <w:rFonts w:ascii="Times New Roman" w:hAnsi="Times New Roman"/>
                <w:sz w:val="24"/>
                <w:szCs w:val="24"/>
              </w:rPr>
              <w:t xml:space="preserve"> </w:t>
            </w:r>
            <w:r w:rsidRPr="0053759E">
              <w:rPr>
                <w:rFonts w:ascii="Times New Roman" w:hAnsi="Times New Roman"/>
                <w:sz w:val="24"/>
                <w:szCs w:val="24"/>
              </w:rPr>
              <w:t>victim service provider) use</w:t>
            </w:r>
            <w:r w:rsidR="001144FC">
              <w:rPr>
                <w:rFonts w:ascii="Times New Roman" w:hAnsi="Times New Roman"/>
                <w:sz w:val="24"/>
                <w:szCs w:val="24"/>
              </w:rPr>
              <w:t>s</w:t>
            </w:r>
            <w:r w:rsidRPr="0053759E">
              <w:rPr>
                <w:rFonts w:ascii="Times New Roman" w:hAnsi="Times New Roman"/>
                <w:sz w:val="24"/>
                <w:szCs w:val="24"/>
              </w:rPr>
              <w:t xml:space="preserve"> that assessment system</w:t>
            </w:r>
            <w:r>
              <w:rPr>
                <w:rFonts w:ascii="Times New Roman" w:hAnsi="Times New Roman"/>
                <w:sz w:val="24"/>
                <w:szCs w:val="24"/>
              </w:rPr>
              <w:t>; and</w:t>
            </w:r>
            <w:r w:rsidRPr="0053759E">
              <w:rPr>
                <w:rFonts w:ascii="Times New Roman" w:hAnsi="Times New Roman"/>
                <w:sz w:val="24"/>
                <w:szCs w:val="24"/>
              </w:rPr>
              <w:t xml:space="preserve"> </w:t>
            </w:r>
          </w:p>
          <w:p w14:paraId="1E767E2F" w14:textId="77777777" w:rsidR="00010317" w:rsidRPr="0053759E" w:rsidRDefault="00010317" w:rsidP="007C5663">
            <w:pPr>
              <w:pStyle w:val="ListParagraph"/>
              <w:widowControl w:val="0"/>
              <w:numPr>
                <w:ilvl w:val="0"/>
                <w:numId w:val="32"/>
              </w:numPr>
              <w:rPr>
                <w:rFonts w:ascii="Times New Roman" w:hAnsi="Times New Roman"/>
                <w:sz w:val="24"/>
                <w:szCs w:val="24"/>
              </w:rPr>
            </w:pPr>
            <w:r w:rsidRPr="0053759E">
              <w:rPr>
                <w:rFonts w:ascii="Times New Roman" w:hAnsi="Times New Roman"/>
                <w:sz w:val="24"/>
                <w:szCs w:val="24"/>
              </w:rPr>
              <w:t xml:space="preserve">all initial evaluations </w:t>
            </w:r>
            <w:r>
              <w:rPr>
                <w:rFonts w:ascii="Times New Roman" w:hAnsi="Times New Roman"/>
                <w:sz w:val="24"/>
                <w:szCs w:val="24"/>
              </w:rPr>
              <w:t xml:space="preserve">were </w:t>
            </w:r>
            <w:r w:rsidRPr="0053759E">
              <w:rPr>
                <w:rFonts w:ascii="Times New Roman" w:hAnsi="Times New Roman"/>
                <w:sz w:val="24"/>
                <w:szCs w:val="24"/>
              </w:rPr>
              <w:t xml:space="preserve">conducted in accordance with the coordinated assessment system requirements? </w:t>
            </w:r>
          </w:p>
          <w:p w14:paraId="42D38932" w14:textId="6294DCB4" w:rsidR="00010317" w:rsidRPr="0053759E" w:rsidRDefault="00DB7511" w:rsidP="007C5663">
            <w:pPr>
              <w:widowControl w:val="0"/>
              <w:ind w:left="365"/>
            </w:pPr>
            <w:r w:rsidRPr="00231B0D">
              <w:rPr>
                <w:b/>
              </w:rPr>
              <w:t>NOTE</w:t>
            </w:r>
            <w:r>
              <w:t>:</w:t>
            </w:r>
            <w:r w:rsidR="00010317" w:rsidRPr="0053759E">
              <w:t xml:space="preserve">  ESG-funded victim service providers may choose not to use the CoC’s </w:t>
            </w:r>
            <w:r w:rsidR="00010317">
              <w:t>coordinated assessment system.</w:t>
            </w:r>
          </w:p>
          <w:p w14:paraId="48431EE0" w14:textId="4786006E" w:rsidR="00BC0D68" w:rsidRDefault="00010317"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576.400(d)</w:t>
            </w:r>
            <w:r w:rsidR="001D59AA">
              <w:t>;</w:t>
            </w:r>
            <w:r w:rsidRPr="0053759E">
              <w:t xml:space="preserve"> </w:t>
            </w:r>
            <w:r w:rsidR="001D59AA">
              <w:t>24 CFR 576.401(a);</w:t>
            </w:r>
            <w:r w:rsidR="005C61DD" w:rsidRPr="00CE1D39">
              <w:t xml:space="preserve"> </w:t>
            </w:r>
            <w:r w:rsidR="005B39D8">
              <w:t xml:space="preserve">24 CFR </w:t>
            </w:r>
            <w:r w:rsidRPr="0053759E">
              <w:t>576.500(g)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7E1F6BBC" w14:textId="77777777" w:rsidTr="00BC0D68">
              <w:trPr>
                <w:trHeight w:val="170"/>
              </w:trPr>
              <w:tc>
                <w:tcPr>
                  <w:tcW w:w="425" w:type="dxa"/>
                </w:tcPr>
                <w:p w14:paraId="52045DC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C8F66E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746C69B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046AB4E5" w14:textId="77777777" w:rsidTr="00BC0D68">
              <w:trPr>
                <w:trHeight w:val="225"/>
              </w:trPr>
              <w:tc>
                <w:tcPr>
                  <w:tcW w:w="425" w:type="dxa"/>
                </w:tcPr>
                <w:p w14:paraId="1675139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7D714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6FA06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AA5E5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914A309" w14:textId="77777777" w:rsidTr="00BC0D68">
        <w:trPr>
          <w:cantSplit/>
        </w:trPr>
        <w:tc>
          <w:tcPr>
            <w:tcW w:w="9010" w:type="dxa"/>
            <w:gridSpan w:val="2"/>
            <w:tcBorders>
              <w:bottom w:val="nil"/>
            </w:tcBorders>
          </w:tcPr>
          <w:p w14:paraId="1386E53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42E5286A" w14:textId="77777777" w:rsidTr="00BC0D68">
        <w:trPr>
          <w:cantSplit/>
        </w:trPr>
        <w:tc>
          <w:tcPr>
            <w:tcW w:w="9010" w:type="dxa"/>
            <w:gridSpan w:val="2"/>
            <w:tcBorders>
              <w:top w:val="nil"/>
            </w:tcBorders>
          </w:tcPr>
          <w:p w14:paraId="35ABB933" w14:textId="533F1946"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75EBD6" w14:textId="77777777" w:rsidR="00DB7511" w:rsidRDefault="00DB7511"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6C4C42C5" w14:textId="77777777" w:rsidR="00BC0D68" w:rsidRDefault="00DD0C08" w:rsidP="007C5663">
      <w:pPr>
        <w:pStyle w:val="ListParagraph"/>
        <w:widowControl w:val="0"/>
        <w:ind w:left="0"/>
        <w:rPr>
          <w:rFonts w:ascii="Times New Roman" w:hAnsi="Times New Roman"/>
          <w:sz w:val="24"/>
          <w:szCs w:val="24"/>
        </w:rPr>
      </w:pPr>
      <w:r>
        <w:rPr>
          <w:rFonts w:ascii="Times New Roman" w:hAnsi="Times New Roman"/>
          <w:sz w:val="24"/>
          <w:szCs w:val="24"/>
        </w:rPr>
        <w:t>7</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53AE0063" w14:textId="77777777" w:rsidTr="00BC0D68">
        <w:trPr>
          <w:trHeight w:val="773"/>
        </w:trPr>
        <w:tc>
          <w:tcPr>
            <w:tcW w:w="7385" w:type="dxa"/>
            <w:tcBorders>
              <w:bottom w:val="single" w:sz="4" w:space="0" w:color="auto"/>
            </w:tcBorders>
          </w:tcPr>
          <w:p w14:paraId="44AA7EB8" w14:textId="337C4CA5" w:rsidR="00010317" w:rsidRPr="0053759E" w:rsidRDefault="00010317" w:rsidP="007C5663">
            <w:pPr>
              <w:widowControl w:val="0"/>
            </w:pPr>
            <w:r w:rsidRPr="0053759E">
              <w:rPr>
                <w:u w:val="single"/>
              </w:rPr>
              <w:t>Coordinated Assessment (Consistency with Written Standards)</w:t>
            </w:r>
            <w:r w:rsidRPr="0053759E">
              <w:t xml:space="preserve">: </w:t>
            </w:r>
            <w:r w:rsidR="005B39D8">
              <w:t xml:space="preserve"> </w:t>
            </w:r>
            <w:r w:rsidRPr="0053759E">
              <w:t xml:space="preserve">Did </w:t>
            </w:r>
            <w:r w:rsidR="004E24C8">
              <w:t xml:space="preserve">each </w:t>
            </w:r>
            <w:r w:rsidRPr="0053759E">
              <w:t xml:space="preserve">subrecipient work with the CoC to ensure that the screening, assessment, and referral of program participants are consistent with the ESG written standards required under </w:t>
            </w:r>
            <w:r>
              <w:t xml:space="preserve">24 CFR </w:t>
            </w:r>
            <w:r w:rsidRPr="0053759E">
              <w:t xml:space="preserve">576.400(e)? </w:t>
            </w:r>
          </w:p>
          <w:p w14:paraId="5BCC3C1F" w14:textId="77777777" w:rsidR="00BC0D68" w:rsidRDefault="00010317"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576.400(d)]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12F81911" w14:textId="77777777" w:rsidTr="00BC0D68">
              <w:trPr>
                <w:trHeight w:val="170"/>
              </w:trPr>
              <w:tc>
                <w:tcPr>
                  <w:tcW w:w="425" w:type="dxa"/>
                </w:tcPr>
                <w:p w14:paraId="452B64F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2CCCA98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428F6A9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41CA6702" w14:textId="77777777" w:rsidTr="00BC0D68">
              <w:trPr>
                <w:trHeight w:val="225"/>
              </w:trPr>
              <w:tc>
                <w:tcPr>
                  <w:tcW w:w="425" w:type="dxa"/>
                </w:tcPr>
                <w:p w14:paraId="52E6533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913BEC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58B731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CDEA00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B4AD291" w14:textId="77777777" w:rsidTr="00BC0D68">
        <w:trPr>
          <w:cantSplit/>
        </w:trPr>
        <w:tc>
          <w:tcPr>
            <w:tcW w:w="9010" w:type="dxa"/>
            <w:gridSpan w:val="2"/>
            <w:tcBorders>
              <w:bottom w:val="nil"/>
            </w:tcBorders>
          </w:tcPr>
          <w:p w14:paraId="5551B99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10F5A530" w14:textId="77777777" w:rsidTr="00BC0D68">
        <w:trPr>
          <w:cantSplit/>
        </w:trPr>
        <w:tc>
          <w:tcPr>
            <w:tcW w:w="9010" w:type="dxa"/>
            <w:gridSpan w:val="2"/>
            <w:tcBorders>
              <w:top w:val="nil"/>
            </w:tcBorders>
          </w:tcPr>
          <w:p w14:paraId="14FFD56F" w14:textId="1A7B5230" w:rsidR="00DB7511"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0CAD45" w14:textId="77777777" w:rsidR="008E77C1" w:rsidRDefault="008E77C1" w:rsidP="007C5663">
            <w:pPr>
              <w:pStyle w:val="Level1"/>
              <w:widowControl w:val="0"/>
              <w:tabs>
                <w:tab w:val="left" w:pos="720"/>
                <w:tab w:val="left" w:pos="1440"/>
                <w:tab w:val="left" w:pos="2160"/>
                <w:tab w:val="left" w:pos="2880"/>
                <w:tab w:val="left" w:pos="3600"/>
                <w:tab w:val="left" w:pos="5040"/>
                <w:tab w:val="left" w:pos="5760"/>
                <w:tab w:val="left" w:pos="6480"/>
              </w:tabs>
            </w:pPr>
          </w:p>
          <w:p w14:paraId="407CDB4B" w14:textId="77777777" w:rsidR="00DB7511" w:rsidRDefault="00DB7511"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3ACEED37" w14:textId="77777777" w:rsidR="00BC0D68" w:rsidRDefault="00DD0C08" w:rsidP="007C5663">
      <w:pPr>
        <w:pStyle w:val="ListParagraph"/>
        <w:widowControl w:val="0"/>
        <w:tabs>
          <w:tab w:val="left" w:pos="630"/>
        </w:tabs>
        <w:ind w:left="0"/>
        <w:rPr>
          <w:rFonts w:ascii="Times New Roman" w:hAnsi="Times New Roman"/>
          <w:sz w:val="24"/>
          <w:szCs w:val="24"/>
        </w:rPr>
      </w:pPr>
      <w:r>
        <w:rPr>
          <w:rFonts w:ascii="Times New Roman" w:hAnsi="Times New Roman"/>
          <w:sz w:val="24"/>
          <w:szCs w:val="24"/>
        </w:rPr>
        <w:lastRenderedPageBreak/>
        <w:t>8</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4909F2C1" w14:textId="77777777" w:rsidTr="00BC0D68">
        <w:trPr>
          <w:trHeight w:val="773"/>
        </w:trPr>
        <w:tc>
          <w:tcPr>
            <w:tcW w:w="7385" w:type="dxa"/>
            <w:tcBorders>
              <w:bottom w:val="single" w:sz="4" w:space="0" w:color="auto"/>
            </w:tcBorders>
          </w:tcPr>
          <w:p w14:paraId="2F6F3B76" w14:textId="35C04BB4" w:rsidR="00010317" w:rsidRPr="0053759E" w:rsidRDefault="00010317" w:rsidP="007C5663">
            <w:pPr>
              <w:widowControl w:val="0"/>
            </w:pPr>
            <w:r w:rsidRPr="0053759E">
              <w:rPr>
                <w:u w:val="single"/>
              </w:rPr>
              <w:t>Establishing Written Standards (State Subrecipients):</w:t>
            </w:r>
            <w:r w:rsidRPr="0053759E">
              <w:t xml:space="preserve">  If a subrecipient of a state is required to establish its own written standards, did the subrecipient follow the state recipient’s requirements for the establishment and implementation of these standards? </w:t>
            </w:r>
          </w:p>
          <w:p w14:paraId="5948E798" w14:textId="77777777" w:rsidR="00BC0D68" w:rsidRDefault="00010317"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FA3B9E">
              <w:t xml:space="preserve">24 CFR </w:t>
            </w:r>
            <w:r w:rsidRPr="0053759E">
              <w:t>576.400(e)]</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189B7C23" w14:textId="77777777" w:rsidTr="00BC0D68">
              <w:trPr>
                <w:trHeight w:val="170"/>
              </w:trPr>
              <w:tc>
                <w:tcPr>
                  <w:tcW w:w="425" w:type="dxa"/>
                </w:tcPr>
                <w:p w14:paraId="5CE9A83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AE7BC8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77371E8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38D746B9" w14:textId="77777777" w:rsidTr="00BC0D68">
              <w:trPr>
                <w:trHeight w:val="225"/>
              </w:trPr>
              <w:tc>
                <w:tcPr>
                  <w:tcW w:w="425" w:type="dxa"/>
                </w:tcPr>
                <w:p w14:paraId="1FF602B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BD1E7B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EB31FC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5C105D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6BBBADCF" w14:textId="77777777" w:rsidTr="00BC0D68">
        <w:trPr>
          <w:cantSplit/>
        </w:trPr>
        <w:tc>
          <w:tcPr>
            <w:tcW w:w="9010" w:type="dxa"/>
            <w:gridSpan w:val="2"/>
            <w:tcBorders>
              <w:bottom w:val="nil"/>
            </w:tcBorders>
          </w:tcPr>
          <w:p w14:paraId="1DB2B44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76499C5B" w14:textId="77777777" w:rsidTr="00BC0D68">
        <w:trPr>
          <w:cantSplit/>
        </w:trPr>
        <w:tc>
          <w:tcPr>
            <w:tcW w:w="9010" w:type="dxa"/>
            <w:gridSpan w:val="2"/>
            <w:tcBorders>
              <w:top w:val="nil"/>
            </w:tcBorders>
          </w:tcPr>
          <w:p w14:paraId="39877734" w14:textId="6A8B3F69"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F4CC2D" w14:textId="77777777" w:rsidR="00C807B8" w:rsidRDefault="00C807B8"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0412ED56" w14:textId="77777777" w:rsidR="00BC0D68" w:rsidRDefault="00DD0C08" w:rsidP="007C5663">
      <w:pPr>
        <w:pStyle w:val="ListParagraph"/>
        <w:widowControl w:val="0"/>
        <w:ind w:left="0"/>
        <w:rPr>
          <w:rFonts w:ascii="Times New Roman" w:hAnsi="Times New Roman"/>
          <w:sz w:val="24"/>
          <w:szCs w:val="24"/>
        </w:rPr>
      </w:pPr>
      <w:r>
        <w:rPr>
          <w:rFonts w:ascii="Times New Roman" w:hAnsi="Times New Roman"/>
          <w:sz w:val="24"/>
          <w:szCs w:val="24"/>
        </w:rPr>
        <w:t>9</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145E166B" w14:textId="77777777" w:rsidTr="00BC0D68">
        <w:trPr>
          <w:trHeight w:val="773"/>
        </w:trPr>
        <w:tc>
          <w:tcPr>
            <w:tcW w:w="7385" w:type="dxa"/>
            <w:tcBorders>
              <w:bottom w:val="single" w:sz="4" w:space="0" w:color="auto"/>
            </w:tcBorders>
          </w:tcPr>
          <w:p w14:paraId="6527A00F" w14:textId="634E1951" w:rsidR="00FA3B9E" w:rsidRPr="0053759E" w:rsidRDefault="00FA3B9E" w:rsidP="007C5663">
            <w:pPr>
              <w:widowControl w:val="0"/>
            </w:pPr>
            <w:r w:rsidRPr="0053759E">
              <w:rPr>
                <w:u w:val="single"/>
              </w:rPr>
              <w:t>Written Standards (Content)</w:t>
            </w:r>
            <w:r w:rsidRPr="0053759E">
              <w:t xml:space="preserve">:  If a subrecipient of a state is required to establish its own written standards, did the written standards include the minimum required elements described in </w:t>
            </w:r>
            <w:r>
              <w:t xml:space="preserve">24 CFR </w:t>
            </w:r>
            <w:r w:rsidRPr="0053759E">
              <w:t xml:space="preserve">576.400(e)(3)? </w:t>
            </w:r>
          </w:p>
          <w:p w14:paraId="3C343E0B" w14:textId="77777777" w:rsidR="00BC0D68" w:rsidRDefault="00FA3B9E" w:rsidP="007C5663">
            <w:pPr>
              <w:pStyle w:val="Level1"/>
              <w:widowControl w:val="0"/>
              <w:tabs>
                <w:tab w:val="left" w:pos="720"/>
                <w:tab w:val="left" w:pos="1440"/>
                <w:tab w:val="left" w:pos="2160"/>
                <w:tab w:val="left" w:pos="2880"/>
                <w:tab w:val="left" w:pos="3600"/>
                <w:tab w:val="left" w:pos="5040"/>
                <w:tab w:val="left" w:pos="5760"/>
                <w:tab w:val="left" w:pos="6480"/>
              </w:tabs>
            </w:pPr>
            <w:r>
              <w:t xml:space="preserve">[24 CFR </w:t>
            </w:r>
            <w:r w:rsidRPr="0053759E">
              <w:t>576.400(e)(3)]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05C711A6" w14:textId="77777777" w:rsidTr="00BC0D68">
              <w:trPr>
                <w:trHeight w:val="170"/>
              </w:trPr>
              <w:tc>
                <w:tcPr>
                  <w:tcW w:w="425" w:type="dxa"/>
                </w:tcPr>
                <w:p w14:paraId="3B3CF76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2CEAED6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4BA14B0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24ED53CE" w14:textId="77777777" w:rsidTr="00BC0D68">
              <w:trPr>
                <w:trHeight w:val="225"/>
              </w:trPr>
              <w:tc>
                <w:tcPr>
                  <w:tcW w:w="425" w:type="dxa"/>
                </w:tcPr>
                <w:p w14:paraId="40FCCE3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D7F132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F0F9C5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FB4C10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161F9F0D" w14:textId="77777777" w:rsidTr="00BC0D68">
        <w:trPr>
          <w:cantSplit/>
        </w:trPr>
        <w:tc>
          <w:tcPr>
            <w:tcW w:w="9010" w:type="dxa"/>
            <w:gridSpan w:val="2"/>
            <w:tcBorders>
              <w:bottom w:val="nil"/>
            </w:tcBorders>
          </w:tcPr>
          <w:p w14:paraId="788EB76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3539DADC" w14:textId="77777777" w:rsidTr="00BC0D68">
        <w:trPr>
          <w:cantSplit/>
        </w:trPr>
        <w:tc>
          <w:tcPr>
            <w:tcW w:w="9010" w:type="dxa"/>
            <w:gridSpan w:val="2"/>
            <w:tcBorders>
              <w:top w:val="nil"/>
            </w:tcBorders>
          </w:tcPr>
          <w:p w14:paraId="5625701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4A0F4C" w14:textId="77777777" w:rsidR="00DB7511" w:rsidRDefault="00DB7511"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17ECA402" w14:textId="77777777" w:rsidR="00DB7511" w:rsidRDefault="00DB7511" w:rsidP="007C5663">
      <w:pPr>
        <w:pStyle w:val="ListParagraph"/>
        <w:widowControl w:val="0"/>
        <w:ind w:left="0"/>
        <w:rPr>
          <w:rFonts w:ascii="Times New Roman" w:hAnsi="Times New Roman"/>
          <w:sz w:val="24"/>
          <w:szCs w:val="24"/>
          <w:u w:val="single"/>
        </w:rPr>
      </w:pPr>
    </w:p>
    <w:p w14:paraId="6BE2FC27" w14:textId="77777777" w:rsidR="00806394" w:rsidRPr="00FA3B9E" w:rsidRDefault="00FA3B9E" w:rsidP="007C5663">
      <w:pPr>
        <w:pStyle w:val="ListParagraph"/>
        <w:widowControl w:val="0"/>
        <w:ind w:left="0"/>
        <w:rPr>
          <w:rFonts w:ascii="Times New Roman" w:hAnsi="Times New Roman"/>
          <w:sz w:val="24"/>
          <w:szCs w:val="24"/>
          <w:u w:val="single"/>
        </w:rPr>
      </w:pPr>
      <w:r w:rsidRPr="00DB7511">
        <w:rPr>
          <w:rFonts w:ascii="Times New Roman" w:hAnsi="Times New Roman"/>
          <w:sz w:val="24"/>
          <w:szCs w:val="24"/>
          <w:u w:val="single"/>
        </w:rPr>
        <w:t xml:space="preserve">C.  </w:t>
      </w:r>
      <w:r>
        <w:rPr>
          <w:rFonts w:ascii="Times New Roman" w:hAnsi="Times New Roman"/>
          <w:sz w:val="24"/>
          <w:szCs w:val="24"/>
          <w:u w:val="single"/>
        </w:rPr>
        <w:t>RECORDKEEPING</w:t>
      </w:r>
    </w:p>
    <w:p w14:paraId="7DF04280" w14:textId="77777777" w:rsidR="00BC0D68" w:rsidRDefault="00DD0C08" w:rsidP="007C5663">
      <w:pPr>
        <w:pStyle w:val="ListParagraph"/>
        <w:widowControl w:val="0"/>
        <w:ind w:left="0"/>
        <w:rPr>
          <w:rFonts w:ascii="Times New Roman" w:hAnsi="Times New Roman"/>
          <w:sz w:val="24"/>
          <w:szCs w:val="24"/>
        </w:rPr>
      </w:pPr>
      <w:r>
        <w:rPr>
          <w:rFonts w:ascii="Times New Roman" w:hAnsi="Times New Roman"/>
          <w:sz w:val="24"/>
          <w:szCs w:val="24"/>
        </w:rPr>
        <w:t>10</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01ABA7D1" w14:textId="77777777" w:rsidTr="00BC0D68">
        <w:trPr>
          <w:trHeight w:val="773"/>
        </w:trPr>
        <w:tc>
          <w:tcPr>
            <w:tcW w:w="7385" w:type="dxa"/>
            <w:tcBorders>
              <w:bottom w:val="single" w:sz="4" w:space="0" w:color="auto"/>
            </w:tcBorders>
          </w:tcPr>
          <w:p w14:paraId="05341CB8" w14:textId="37A87F50" w:rsidR="00FA3B9E" w:rsidRPr="0053759E" w:rsidRDefault="00FA3B9E" w:rsidP="007C5663">
            <w:pPr>
              <w:widowControl w:val="0"/>
            </w:pPr>
            <w:r w:rsidRPr="0053759E" w:rsidDel="00EC4502">
              <w:rPr>
                <w:u w:val="single"/>
              </w:rPr>
              <w:t>Recordkeeping (Subrecipients)</w:t>
            </w:r>
            <w:r w:rsidRPr="0053759E">
              <w:t xml:space="preserve">:  If applicable, did the subrecipient retain copies of all </w:t>
            </w:r>
            <w:r w:rsidRPr="0053759E" w:rsidDel="00EC4502">
              <w:t xml:space="preserve">solicitations of and agreements with </w:t>
            </w:r>
            <w:r w:rsidR="004E24C8">
              <w:t xml:space="preserve">its </w:t>
            </w:r>
            <w:r w:rsidRPr="0053759E" w:rsidDel="00EC4502">
              <w:t xml:space="preserve">subrecipients, records of all payment requests by and dates of payments made to </w:t>
            </w:r>
            <w:r w:rsidR="005B39D8">
              <w:t>s</w:t>
            </w:r>
            <w:r w:rsidRPr="0053759E" w:rsidDel="00EC4502">
              <w:t>ubrecipients, and documentation of all monit</w:t>
            </w:r>
            <w:r w:rsidR="005B39D8">
              <w:t xml:space="preserve">oring and sanctions of </w:t>
            </w:r>
            <w:r w:rsidRPr="0053759E">
              <w:t>subrecip</w:t>
            </w:r>
            <w:r w:rsidRPr="0053759E" w:rsidDel="00EC4502">
              <w:t>i</w:t>
            </w:r>
            <w:r w:rsidRPr="0053759E">
              <w:t xml:space="preserve">ents? </w:t>
            </w:r>
          </w:p>
          <w:p w14:paraId="3B3E67D5" w14:textId="22C08FB4" w:rsidR="00BC0D68" w:rsidRDefault="00FA3B9E"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5977EE">
              <w:t xml:space="preserve">24 CFR </w:t>
            </w:r>
            <w:r w:rsidRPr="0053759E" w:rsidDel="00EC4502">
              <w:t>576.500(v)</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2198D9FC" w14:textId="77777777" w:rsidTr="00BC0D68">
              <w:trPr>
                <w:trHeight w:val="170"/>
              </w:trPr>
              <w:tc>
                <w:tcPr>
                  <w:tcW w:w="425" w:type="dxa"/>
                </w:tcPr>
                <w:p w14:paraId="6422179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AEEF09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0B8FAAD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3A7D0E2C" w14:textId="77777777" w:rsidTr="00BC0D68">
              <w:trPr>
                <w:trHeight w:val="225"/>
              </w:trPr>
              <w:tc>
                <w:tcPr>
                  <w:tcW w:w="425" w:type="dxa"/>
                </w:tcPr>
                <w:p w14:paraId="7FEF6C0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F0FBCA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C44AF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6A956E0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2592F4F9" w14:textId="77777777" w:rsidTr="00BC0D68">
        <w:trPr>
          <w:cantSplit/>
        </w:trPr>
        <w:tc>
          <w:tcPr>
            <w:tcW w:w="9010" w:type="dxa"/>
            <w:gridSpan w:val="2"/>
            <w:tcBorders>
              <w:bottom w:val="nil"/>
            </w:tcBorders>
          </w:tcPr>
          <w:p w14:paraId="3151AE2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21F68327" w14:textId="77777777" w:rsidTr="00BC0D68">
        <w:trPr>
          <w:cantSplit/>
        </w:trPr>
        <w:tc>
          <w:tcPr>
            <w:tcW w:w="9010" w:type="dxa"/>
            <w:gridSpan w:val="2"/>
            <w:tcBorders>
              <w:top w:val="nil"/>
            </w:tcBorders>
          </w:tcPr>
          <w:p w14:paraId="11CCC708" w14:textId="2C76DEBC"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FC37D3" w14:textId="77777777" w:rsidR="000C22DC" w:rsidRDefault="000C22DC"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123F80C4" w14:textId="1B2FE0E8" w:rsidR="00BC0D68"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11</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13E7AC15" w14:textId="77777777" w:rsidTr="00BC0D68">
        <w:trPr>
          <w:trHeight w:val="773"/>
        </w:trPr>
        <w:tc>
          <w:tcPr>
            <w:tcW w:w="7385" w:type="dxa"/>
            <w:tcBorders>
              <w:bottom w:val="single" w:sz="4" w:space="0" w:color="auto"/>
            </w:tcBorders>
          </w:tcPr>
          <w:p w14:paraId="293B9048" w14:textId="147125E8" w:rsidR="000C22DC" w:rsidRPr="0053759E" w:rsidRDefault="000C22DC" w:rsidP="007C5663">
            <w:pPr>
              <w:widowControl w:val="0"/>
            </w:pPr>
            <w:r w:rsidRPr="0053759E">
              <w:rPr>
                <w:u w:val="single"/>
              </w:rPr>
              <w:t>Recordkeeping (Eligibility)</w:t>
            </w:r>
            <w:r w:rsidRPr="0053759E">
              <w:t>:  Do</w:t>
            </w:r>
            <w:r w:rsidR="004E24C8">
              <w:t>es each</w:t>
            </w:r>
            <w:r w:rsidRPr="0053759E">
              <w:t xml:space="preserve"> subrecipient</w:t>
            </w:r>
            <w:r w:rsidR="004E24C8">
              <w:t>’</w:t>
            </w:r>
            <w:r w:rsidR="00FF480B">
              <w:t>s</w:t>
            </w:r>
            <w:r w:rsidRPr="0053759E">
              <w:t xml:space="preserve"> records document that staff</w:t>
            </w:r>
            <w:r w:rsidR="00FF480B">
              <w:t xml:space="preserve"> followed</w:t>
            </w:r>
            <w:r w:rsidRPr="0053759E">
              <w:t xml:space="preserve"> the recipient’s policies and procedures to:</w:t>
            </w:r>
          </w:p>
          <w:p w14:paraId="6D1AF305" w14:textId="03B547CD" w:rsidR="000C22DC" w:rsidRPr="0053759E" w:rsidRDefault="00506572" w:rsidP="007C5663">
            <w:pPr>
              <w:pStyle w:val="ListParagraph"/>
              <w:widowControl w:val="0"/>
              <w:numPr>
                <w:ilvl w:val="0"/>
                <w:numId w:val="29"/>
              </w:numPr>
              <w:rPr>
                <w:rFonts w:ascii="Times New Roman" w:hAnsi="Times New Roman"/>
                <w:sz w:val="24"/>
                <w:szCs w:val="24"/>
              </w:rPr>
            </w:pPr>
            <w:r>
              <w:rPr>
                <w:rFonts w:ascii="Times New Roman" w:hAnsi="Times New Roman"/>
                <w:sz w:val="24"/>
                <w:szCs w:val="24"/>
              </w:rPr>
              <w:t>c</w:t>
            </w:r>
            <w:r w:rsidR="000C22DC" w:rsidRPr="0053759E">
              <w:rPr>
                <w:rFonts w:ascii="Times New Roman" w:hAnsi="Times New Roman"/>
                <w:sz w:val="24"/>
                <w:szCs w:val="24"/>
              </w:rPr>
              <w:t xml:space="preserve">onduct an initial evaluation and re-evaluations </w:t>
            </w:r>
            <w:r w:rsidR="00FF480B">
              <w:rPr>
                <w:rFonts w:ascii="Times New Roman" w:hAnsi="Times New Roman"/>
                <w:sz w:val="24"/>
                <w:szCs w:val="24"/>
              </w:rPr>
              <w:t xml:space="preserve">as </w:t>
            </w:r>
            <w:r w:rsidR="00D22602">
              <w:rPr>
                <w:rFonts w:ascii="Times New Roman" w:hAnsi="Times New Roman"/>
                <w:sz w:val="24"/>
                <w:szCs w:val="24"/>
              </w:rPr>
              <w:t>required</w:t>
            </w:r>
            <w:r w:rsidR="000C22DC" w:rsidRPr="0053759E">
              <w:rPr>
                <w:rFonts w:ascii="Times New Roman" w:hAnsi="Times New Roman"/>
                <w:sz w:val="24"/>
                <w:szCs w:val="24"/>
              </w:rPr>
              <w:t xml:space="preserve">, and </w:t>
            </w:r>
          </w:p>
          <w:p w14:paraId="3DE9F0FE" w14:textId="77777777" w:rsidR="000C22DC" w:rsidRPr="0053759E" w:rsidRDefault="00506572" w:rsidP="007C5663">
            <w:pPr>
              <w:pStyle w:val="ListParagraph"/>
              <w:widowControl w:val="0"/>
              <w:numPr>
                <w:ilvl w:val="0"/>
                <w:numId w:val="29"/>
              </w:numPr>
              <w:rPr>
                <w:rFonts w:ascii="Times New Roman" w:hAnsi="Times New Roman"/>
                <w:sz w:val="24"/>
                <w:szCs w:val="24"/>
              </w:rPr>
            </w:pPr>
            <w:r>
              <w:rPr>
                <w:rFonts w:ascii="Times New Roman" w:hAnsi="Times New Roman"/>
                <w:sz w:val="24"/>
                <w:szCs w:val="24"/>
              </w:rPr>
              <w:t>d</w:t>
            </w:r>
            <w:r w:rsidR="000C22DC" w:rsidRPr="0053759E">
              <w:rPr>
                <w:rFonts w:ascii="Times New Roman" w:hAnsi="Times New Roman"/>
                <w:sz w:val="24"/>
                <w:szCs w:val="24"/>
              </w:rPr>
              <w:t xml:space="preserve">ocument eligibility in accordance with HUD’s </w:t>
            </w:r>
            <w:r w:rsidR="00D22602">
              <w:rPr>
                <w:rFonts w:ascii="Times New Roman" w:hAnsi="Times New Roman"/>
                <w:sz w:val="24"/>
                <w:szCs w:val="24"/>
              </w:rPr>
              <w:t>requirements</w:t>
            </w:r>
            <w:r w:rsidR="000C22DC" w:rsidRPr="0053759E">
              <w:rPr>
                <w:rFonts w:ascii="Times New Roman" w:hAnsi="Times New Roman"/>
                <w:sz w:val="24"/>
                <w:szCs w:val="24"/>
              </w:rPr>
              <w:t>?</w:t>
            </w:r>
          </w:p>
          <w:p w14:paraId="52CF0296" w14:textId="77777777" w:rsidR="00BC0D68" w:rsidRDefault="000C22DC"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D22602" w:rsidRPr="00CE1D39">
              <w:t>24 CFR 576.400(e)(3); 24 CFR 576.401(a), (b), and (c); 24 CFR 576.500(a), (b), (c), and (e)</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77C22182" w14:textId="77777777" w:rsidTr="00BC0D68">
              <w:trPr>
                <w:trHeight w:val="170"/>
              </w:trPr>
              <w:tc>
                <w:tcPr>
                  <w:tcW w:w="425" w:type="dxa"/>
                </w:tcPr>
                <w:p w14:paraId="6AA304D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AFC94F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16EC068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7578AC03" w14:textId="77777777" w:rsidTr="00BC0D68">
              <w:trPr>
                <w:trHeight w:val="225"/>
              </w:trPr>
              <w:tc>
                <w:tcPr>
                  <w:tcW w:w="425" w:type="dxa"/>
                </w:tcPr>
                <w:p w14:paraId="6D8C5D3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CE1749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0422B0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16BE97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4C127A24" w14:textId="77777777" w:rsidTr="00BC0D68">
        <w:trPr>
          <w:cantSplit/>
        </w:trPr>
        <w:tc>
          <w:tcPr>
            <w:tcW w:w="9010" w:type="dxa"/>
            <w:gridSpan w:val="2"/>
            <w:tcBorders>
              <w:bottom w:val="nil"/>
            </w:tcBorders>
          </w:tcPr>
          <w:p w14:paraId="39C16A2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27EE9D2D" w14:textId="77777777" w:rsidTr="00BC0D68">
        <w:trPr>
          <w:cantSplit/>
        </w:trPr>
        <w:tc>
          <w:tcPr>
            <w:tcW w:w="9010" w:type="dxa"/>
            <w:gridSpan w:val="2"/>
            <w:tcBorders>
              <w:top w:val="nil"/>
            </w:tcBorders>
          </w:tcPr>
          <w:p w14:paraId="7B73E394" w14:textId="10B1AA6F" w:rsidR="00CF0106" w:rsidRDefault="00BC0D68" w:rsidP="00DF0B2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109D4B" w14:textId="16D3ECAA" w:rsidR="00BC0D68"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12</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4015836C" w14:textId="77777777" w:rsidTr="00BC0D68">
        <w:trPr>
          <w:trHeight w:val="773"/>
        </w:trPr>
        <w:tc>
          <w:tcPr>
            <w:tcW w:w="7385" w:type="dxa"/>
            <w:tcBorders>
              <w:bottom w:val="single" w:sz="4" w:space="0" w:color="auto"/>
            </w:tcBorders>
          </w:tcPr>
          <w:p w14:paraId="006F06D7" w14:textId="5089AE03" w:rsidR="00506572" w:rsidRPr="0053759E" w:rsidRDefault="00506572" w:rsidP="007C5663">
            <w:pPr>
              <w:widowControl w:val="0"/>
            </w:pPr>
            <w:r w:rsidRPr="0053759E">
              <w:rPr>
                <w:u w:val="single"/>
              </w:rPr>
              <w:t>Recordkeeping (Program Participant Records)</w:t>
            </w:r>
            <w:r w:rsidRPr="0053759E">
              <w:t>:  Did</w:t>
            </w:r>
            <w:r w:rsidR="004E24C8">
              <w:t xml:space="preserve"> each</w:t>
            </w:r>
            <w:r w:rsidRPr="0053759E">
              <w:t xml:space="preserve"> subrecipient ensure that each program participant record documented compliance with applicable requirements for providing services and assistance to that program participant under the program components and eligible activities provisions at </w:t>
            </w:r>
            <w:r>
              <w:t xml:space="preserve">24 CFR </w:t>
            </w:r>
            <w:r w:rsidRPr="0053759E">
              <w:t xml:space="preserve">576.101 through </w:t>
            </w:r>
            <w:r>
              <w:t xml:space="preserve">24 CFR </w:t>
            </w:r>
            <w:r w:rsidRPr="0053759E">
              <w:t>576.106?</w:t>
            </w:r>
          </w:p>
          <w:p w14:paraId="3E66093F" w14:textId="77777777" w:rsidR="00BC0D68" w:rsidRDefault="00506572"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576.500(f)]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5E38072C" w14:textId="77777777" w:rsidTr="00BC0D68">
              <w:trPr>
                <w:trHeight w:val="170"/>
              </w:trPr>
              <w:tc>
                <w:tcPr>
                  <w:tcW w:w="425" w:type="dxa"/>
                </w:tcPr>
                <w:p w14:paraId="6B7D96F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4C16832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16B2A38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11EEBAD7" w14:textId="77777777" w:rsidTr="00BC0D68">
              <w:trPr>
                <w:trHeight w:val="225"/>
              </w:trPr>
              <w:tc>
                <w:tcPr>
                  <w:tcW w:w="425" w:type="dxa"/>
                </w:tcPr>
                <w:p w14:paraId="2678055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572AD9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B79FD1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E82842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0E0A95B" w14:textId="77777777" w:rsidTr="00BC0D68">
        <w:trPr>
          <w:cantSplit/>
        </w:trPr>
        <w:tc>
          <w:tcPr>
            <w:tcW w:w="9010" w:type="dxa"/>
            <w:gridSpan w:val="2"/>
            <w:tcBorders>
              <w:bottom w:val="nil"/>
            </w:tcBorders>
          </w:tcPr>
          <w:p w14:paraId="145F8E3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541B6844" w14:textId="77777777" w:rsidTr="00BC0D68">
        <w:trPr>
          <w:cantSplit/>
        </w:trPr>
        <w:tc>
          <w:tcPr>
            <w:tcW w:w="9010" w:type="dxa"/>
            <w:gridSpan w:val="2"/>
            <w:tcBorders>
              <w:top w:val="nil"/>
            </w:tcBorders>
          </w:tcPr>
          <w:p w14:paraId="3BCD7557" w14:textId="19202DC2" w:rsidR="00AD0BEB" w:rsidRDefault="00BC0D68" w:rsidP="00DF0B2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7BD47E" w14:textId="5B2AFB11" w:rsidR="00BC0D68"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lastRenderedPageBreak/>
        <w:t>13</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2513CD9D" w14:textId="77777777" w:rsidTr="00BC0D68">
        <w:trPr>
          <w:trHeight w:val="773"/>
        </w:trPr>
        <w:tc>
          <w:tcPr>
            <w:tcW w:w="7385" w:type="dxa"/>
            <w:tcBorders>
              <w:bottom w:val="single" w:sz="4" w:space="0" w:color="auto"/>
            </w:tcBorders>
          </w:tcPr>
          <w:p w14:paraId="3B93ACCE" w14:textId="28EC76C6" w:rsidR="00506572" w:rsidRPr="0053759E" w:rsidRDefault="00506572" w:rsidP="007C5663">
            <w:pPr>
              <w:widowControl w:val="0"/>
            </w:pPr>
            <w:r w:rsidRPr="0053759E">
              <w:rPr>
                <w:u w:val="single"/>
              </w:rPr>
              <w:t>Confidentiality</w:t>
            </w:r>
            <w:r w:rsidR="004E24C8">
              <w:t>:  Did each</w:t>
            </w:r>
            <w:r w:rsidRPr="0053759E">
              <w:t xml:space="preserve"> subrecipient have written procedures to ensure confidentiality, including:</w:t>
            </w:r>
          </w:p>
          <w:p w14:paraId="2B593C2B" w14:textId="77777777" w:rsidR="000D10C8" w:rsidRDefault="000D10C8" w:rsidP="007C5663">
            <w:pPr>
              <w:pStyle w:val="ListParagraph"/>
              <w:widowControl w:val="0"/>
              <w:numPr>
                <w:ilvl w:val="0"/>
                <w:numId w:val="28"/>
              </w:numPr>
              <w:rPr>
                <w:rFonts w:ascii="Times New Roman" w:hAnsi="Times New Roman"/>
                <w:sz w:val="24"/>
                <w:szCs w:val="24"/>
              </w:rPr>
            </w:pPr>
            <w:r w:rsidRPr="0053759E">
              <w:rPr>
                <w:rFonts w:ascii="Times New Roman" w:hAnsi="Times New Roman"/>
                <w:sz w:val="24"/>
                <w:szCs w:val="24"/>
              </w:rPr>
              <w:t>all records containing personally identifying information of any individual or family who applies for and/or receives ESG assistance are kept secure and confidential</w:t>
            </w:r>
            <w:r>
              <w:rPr>
                <w:rFonts w:ascii="Times New Roman" w:hAnsi="Times New Roman"/>
                <w:sz w:val="24"/>
                <w:szCs w:val="24"/>
              </w:rPr>
              <w:t>;</w:t>
            </w:r>
          </w:p>
          <w:p w14:paraId="19661597" w14:textId="77777777" w:rsidR="00506572" w:rsidRPr="0053759E" w:rsidRDefault="00970992" w:rsidP="007C5663">
            <w:pPr>
              <w:pStyle w:val="ListParagraph"/>
              <w:widowControl w:val="0"/>
              <w:numPr>
                <w:ilvl w:val="0"/>
                <w:numId w:val="28"/>
              </w:numPr>
              <w:rPr>
                <w:rFonts w:ascii="Times New Roman" w:hAnsi="Times New Roman"/>
                <w:sz w:val="24"/>
                <w:szCs w:val="24"/>
              </w:rPr>
            </w:pPr>
            <w:r>
              <w:rPr>
                <w:rFonts w:ascii="Times New Roman" w:hAnsi="Times New Roman"/>
                <w:sz w:val="24"/>
                <w:szCs w:val="24"/>
              </w:rPr>
              <w:t>th</w:t>
            </w:r>
            <w:r w:rsidR="00506572" w:rsidRPr="0053759E">
              <w:rPr>
                <w:rFonts w:ascii="Times New Roman" w:hAnsi="Times New Roman"/>
                <w:sz w:val="24"/>
                <w:szCs w:val="24"/>
              </w:rPr>
              <w:t xml:space="preserve">e address or location of any domestic violence, dating violence, sexual assault, or stalking </w:t>
            </w:r>
            <w:r w:rsidR="00D22602">
              <w:rPr>
                <w:rFonts w:ascii="Times New Roman" w:hAnsi="Times New Roman"/>
                <w:sz w:val="24"/>
                <w:szCs w:val="24"/>
              </w:rPr>
              <w:t xml:space="preserve">shelter </w:t>
            </w:r>
            <w:r w:rsidR="00506572" w:rsidRPr="0053759E">
              <w:rPr>
                <w:rFonts w:ascii="Times New Roman" w:hAnsi="Times New Roman"/>
                <w:sz w:val="24"/>
                <w:szCs w:val="24"/>
              </w:rPr>
              <w:t xml:space="preserve">project assisted under ESG; and </w:t>
            </w:r>
          </w:p>
          <w:p w14:paraId="7C56FEC5" w14:textId="77777777" w:rsidR="00506572" w:rsidRPr="0053759E" w:rsidRDefault="00970992" w:rsidP="007C5663">
            <w:pPr>
              <w:pStyle w:val="ListParagraph"/>
              <w:widowControl w:val="0"/>
              <w:numPr>
                <w:ilvl w:val="0"/>
                <w:numId w:val="28"/>
              </w:numPr>
              <w:rPr>
                <w:rFonts w:ascii="Times New Roman" w:hAnsi="Times New Roman"/>
                <w:sz w:val="24"/>
                <w:szCs w:val="24"/>
              </w:rPr>
            </w:pPr>
            <w:r>
              <w:rPr>
                <w:rFonts w:ascii="Times New Roman" w:hAnsi="Times New Roman"/>
                <w:sz w:val="24"/>
                <w:szCs w:val="24"/>
              </w:rPr>
              <w:t>t</w:t>
            </w:r>
            <w:r w:rsidR="00506572" w:rsidRPr="0053759E">
              <w:rPr>
                <w:rFonts w:ascii="Times New Roman" w:hAnsi="Times New Roman"/>
                <w:sz w:val="24"/>
                <w:szCs w:val="24"/>
              </w:rPr>
              <w:t xml:space="preserve">he address or location of any program participant housing? </w:t>
            </w:r>
          </w:p>
          <w:p w14:paraId="3078BF42" w14:textId="77777777" w:rsidR="00BC0D68" w:rsidRDefault="00506572"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D2240E">
              <w:t xml:space="preserve">24 CFR </w:t>
            </w:r>
            <w:r w:rsidRPr="0053759E">
              <w:t>576.500(x)]</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4D226EE8" w14:textId="77777777" w:rsidTr="00BC0D68">
              <w:trPr>
                <w:trHeight w:val="170"/>
              </w:trPr>
              <w:tc>
                <w:tcPr>
                  <w:tcW w:w="425" w:type="dxa"/>
                </w:tcPr>
                <w:p w14:paraId="234E0BD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428E7D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3051CC9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23D43B15" w14:textId="77777777" w:rsidTr="00BC0D68">
              <w:trPr>
                <w:trHeight w:val="225"/>
              </w:trPr>
              <w:tc>
                <w:tcPr>
                  <w:tcW w:w="425" w:type="dxa"/>
                </w:tcPr>
                <w:p w14:paraId="3D05A10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BFEA4B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300E16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FEB687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092313BA" w14:textId="77777777" w:rsidTr="00BC0D68">
        <w:trPr>
          <w:cantSplit/>
        </w:trPr>
        <w:tc>
          <w:tcPr>
            <w:tcW w:w="9010" w:type="dxa"/>
            <w:gridSpan w:val="2"/>
            <w:tcBorders>
              <w:bottom w:val="nil"/>
            </w:tcBorders>
          </w:tcPr>
          <w:p w14:paraId="03C3C9D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0D43B1B8" w14:textId="77777777" w:rsidTr="00BC0D68">
        <w:trPr>
          <w:cantSplit/>
        </w:trPr>
        <w:tc>
          <w:tcPr>
            <w:tcW w:w="9010" w:type="dxa"/>
            <w:gridSpan w:val="2"/>
            <w:tcBorders>
              <w:top w:val="nil"/>
            </w:tcBorders>
          </w:tcPr>
          <w:p w14:paraId="55091033" w14:textId="77777777" w:rsidR="00002B6F" w:rsidRDefault="00BC0D68" w:rsidP="006F2CC0">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229F3D" w14:textId="75C9AD44" w:rsidR="00EC5988" w:rsidRDefault="00EC5988" w:rsidP="006F2CC0">
            <w:pPr>
              <w:pStyle w:val="Level1"/>
              <w:widowControl w:val="0"/>
              <w:tabs>
                <w:tab w:val="left" w:pos="720"/>
                <w:tab w:val="left" w:pos="1440"/>
                <w:tab w:val="left" w:pos="2160"/>
                <w:tab w:val="left" w:pos="2880"/>
                <w:tab w:val="left" w:pos="3600"/>
                <w:tab w:val="left" w:pos="5040"/>
                <w:tab w:val="left" w:pos="5760"/>
                <w:tab w:val="left" w:pos="6480"/>
              </w:tabs>
            </w:pPr>
          </w:p>
        </w:tc>
      </w:tr>
    </w:tbl>
    <w:p w14:paraId="6467B42D" w14:textId="1AEE95B1" w:rsidR="00BC0D68"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14</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094A1008" w14:textId="77777777" w:rsidTr="00BC0D68">
        <w:trPr>
          <w:trHeight w:val="773"/>
        </w:trPr>
        <w:tc>
          <w:tcPr>
            <w:tcW w:w="7385" w:type="dxa"/>
            <w:tcBorders>
              <w:bottom w:val="single" w:sz="4" w:space="0" w:color="auto"/>
            </w:tcBorders>
          </w:tcPr>
          <w:p w14:paraId="7978174F" w14:textId="07131A66" w:rsidR="00970992" w:rsidRPr="0053759E" w:rsidRDefault="00970992" w:rsidP="007C5663">
            <w:pPr>
              <w:widowControl w:val="0"/>
            </w:pPr>
            <w:r w:rsidRPr="0053759E">
              <w:rPr>
                <w:u w:val="single"/>
              </w:rPr>
              <w:t>Recordkeeping (Record Retention)</w:t>
            </w:r>
            <w:r w:rsidRPr="0053759E">
              <w:t xml:space="preserve">: </w:t>
            </w:r>
            <w:r w:rsidR="00FF480B">
              <w:t xml:space="preserve"> Did the recipient</w:t>
            </w:r>
            <w:r w:rsidR="004E24C8">
              <w:t xml:space="preserve"> or its </w:t>
            </w:r>
            <w:r w:rsidR="00FF480B">
              <w:t>subrecipient</w:t>
            </w:r>
            <w:r w:rsidR="003774B3">
              <w:t xml:space="preserve">s </w:t>
            </w:r>
            <w:r w:rsidRPr="0053759E">
              <w:t xml:space="preserve">retain copies of </w:t>
            </w:r>
            <w:r w:rsidR="00D22602">
              <w:t xml:space="preserve">the required </w:t>
            </w:r>
            <w:r w:rsidRPr="0053759E">
              <w:t xml:space="preserve">records </w:t>
            </w:r>
            <w:r w:rsidR="00D22602" w:rsidRPr="00CE1D39">
              <w:t>for the greater of 5 years or the applicable time period below</w:t>
            </w:r>
            <w:r w:rsidR="00CF0106">
              <w:t>:</w:t>
            </w:r>
            <w:r w:rsidRPr="0053759E">
              <w:t xml:space="preserve"> </w:t>
            </w:r>
          </w:p>
          <w:p w14:paraId="0F23204C" w14:textId="77777777" w:rsidR="00970992" w:rsidRPr="00D22602" w:rsidRDefault="00D22602" w:rsidP="007C5663">
            <w:pPr>
              <w:pStyle w:val="ListParagraph"/>
              <w:widowControl w:val="0"/>
              <w:numPr>
                <w:ilvl w:val="0"/>
                <w:numId w:val="26"/>
              </w:numPr>
              <w:rPr>
                <w:rFonts w:ascii="Times New Roman" w:hAnsi="Times New Roman"/>
                <w:sz w:val="24"/>
                <w:szCs w:val="24"/>
              </w:rPr>
            </w:pPr>
            <w:r w:rsidRPr="00D22602">
              <w:rPr>
                <w:rFonts w:ascii="Times New Roman" w:hAnsi="Times New Roman"/>
                <w:sz w:val="24"/>
                <w:szCs w:val="24"/>
              </w:rPr>
              <w:t>for emergency shelters subject to a 10-year minimum period of use:  at least 10 years from the date that ESG funds were first obligated for the major rehabilitation or conversion of the building</w:t>
            </w:r>
            <w:r w:rsidR="00970992" w:rsidRPr="00D22602">
              <w:rPr>
                <w:rFonts w:ascii="Times New Roman" w:hAnsi="Times New Roman"/>
                <w:sz w:val="24"/>
                <w:szCs w:val="24"/>
              </w:rPr>
              <w:t xml:space="preserve">; or </w:t>
            </w:r>
          </w:p>
          <w:p w14:paraId="519ABAFB" w14:textId="77777777" w:rsidR="00970992" w:rsidRPr="0053759E" w:rsidRDefault="00D22602" w:rsidP="007C5663">
            <w:pPr>
              <w:pStyle w:val="ListParagraph"/>
              <w:widowControl w:val="0"/>
              <w:numPr>
                <w:ilvl w:val="0"/>
                <w:numId w:val="26"/>
              </w:numPr>
              <w:rPr>
                <w:rFonts w:ascii="Times New Roman" w:hAnsi="Times New Roman"/>
                <w:sz w:val="24"/>
                <w:szCs w:val="24"/>
              </w:rPr>
            </w:pPr>
            <w:r w:rsidRPr="00D22602">
              <w:rPr>
                <w:rFonts w:ascii="Times New Roman" w:hAnsi="Times New Roman"/>
                <w:sz w:val="24"/>
                <w:szCs w:val="24"/>
              </w:rPr>
              <w:t>for program participant files</w:t>
            </w:r>
            <w:r w:rsidR="00970992" w:rsidRPr="0053759E">
              <w:rPr>
                <w:rFonts w:ascii="Times New Roman" w:hAnsi="Times New Roman"/>
                <w:sz w:val="24"/>
                <w:szCs w:val="24"/>
              </w:rPr>
              <w:t xml:space="preserve">:  at least 5 years after the expenditure of all funds from the grant under which the program participant was served?  </w:t>
            </w:r>
          </w:p>
          <w:p w14:paraId="380411F1" w14:textId="77777777" w:rsidR="00BC0D68" w:rsidRDefault="00970992"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576.500(y)]</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43C53382" w14:textId="77777777" w:rsidTr="00BC0D68">
              <w:trPr>
                <w:trHeight w:val="170"/>
              </w:trPr>
              <w:tc>
                <w:tcPr>
                  <w:tcW w:w="425" w:type="dxa"/>
                </w:tcPr>
                <w:p w14:paraId="0F310D7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67DE499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55B960D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40765324" w14:textId="77777777" w:rsidTr="00BC0D68">
              <w:trPr>
                <w:trHeight w:val="225"/>
              </w:trPr>
              <w:tc>
                <w:tcPr>
                  <w:tcW w:w="425" w:type="dxa"/>
                </w:tcPr>
                <w:p w14:paraId="7F55D16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A501C3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5726C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660592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69B28EB8" w14:textId="77777777" w:rsidTr="00BC0D68">
        <w:trPr>
          <w:cantSplit/>
        </w:trPr>
        <w:tc>
          <w:tcPr>
            <w:tcW w:w="9010" w:type="dxa"/>
            <w:gridSpan w:val="2"/>
            <w:tcBorders>
              <w:bottom w:val="nil"/>
            </w:tcBorders>
          </w:tcPr>
          <w:p w14:paraId="7955BFF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3C4A3536" w14:textId="77777777" w:rsidTr="00BC0D68">
        <w:trPr>
          <w:cantSplit/>
        </w:trPr>
        <w:tc>
          <w:tcPr>
            <w:tcW w:w="9010" w:type="dxa"/>
            <w:gridSpan w:val="2"/>
            <w:tcBorders>
              <w:top w:val="nil"/>
            </w:tcBorders>
          </w:tcPr>
          <w:p w14:paraId="5A9FDF08" w14:textId="7A0BF4A8" w:rsidR="00AD0BEB"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B5D0EF" w14:textId="77777777" w:rsidR="00EC5988" w:rsidRDefault="00EC5988" w:rsidP="007C5663">
            <w:pPr>
              <w:pStyle w:val="Level1"/>
              <w:widowControl w:val="0"/>
              <w:tabs>
                <w:tab w:val="left" w:pos="720"/>
                <w:tab w:val="left" w:pos="1440"/>
                <w:tab w:val="left" w:pos="2160"/>
                <w:tab w:val="left" w:pos="2880"/>
                <w:tab w:val="left" w:pos="3600"/>
                <w:tab w:val="left" w:pos="5040"/>
                <w:tab w:val="left" w:pos="5760"/>
                <w:tab w:val="left" w:pos="6480"/>
              </w:tabs>
            </w:pPr>
          </w:p>
          <w:p w14:paraId="021A0BFA" w14:textId="77777777" w:rsidR="00CF0106" w:rsidRDefault="00CF0106"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1AA82DF8" w14:textId="77777777" w:rsidR="00DF0B2A" w:rsidRDefault="00DF0B2A" w:rsidP="007C5663">
      <w:pPr>
        <w:pStyle w:val="ListParagraph"/>
        <w:widowControl w:val="0"/>
        <w:ind w:left="0"/>
        <w:rPr>
          <w:rFonts w:ascii="Times New Roman" w:hAnsi="Times New Roman"/>
          <w:sz w:val="24"/>
          <w:szCs w:val="24"/>
          <w:u w:val="single"/>
        </w:rPr>
      </w:pPr>
    </w:p>
    <w:p w14:paraId="35FBF12A" w14:textId="128530A7" w:rsidR="00AD0BEB" w:rsidRPr="00AD0BEB" w:rsidRDefault="00AD0BEB" w:rsidP="007C5663">
      <w:pPr>
        <w:pStyle w:val="ListParagraph"/>
        <w:widowControl w:val="0"/>
        <w:ind w:left="0"/>
        <w:rPr>
          <w:rFonts w:ascii="Times New Roman" w:hAnsi="Times New Roman"/>
          <w:sz w:val="24"/>
          <w:szCs w:val="24"/>
          <w:u w:val="single"/>
        </w:rPr>
      </w:pPr>
      <w:r w:rsidRPr="00CF0106">
        <w:rPr>
          <w:rFonts w:ascii="Times New Roman" w:hAnsi="Times New Roman"/>
          <w:sz w:val="24"/>
          <w:szCs w:val="24"/>
          <w:u w:val="single"/>
        </w:rPr>
        <w:t xml:space="preserve">D.  </w:t>
      </w:r>
      <w:r>
        <w:rPr>
          <w:rFonts w:ascii="Times New Roman" w:hAnsi="Times New Roman"/>
          <w:sz w:val="24"/>
          <w:szCs w:val="24"/>
          <w:u w:val="single"/>
        </w:rPr>
        <w:t>H</w:t>
      </w:r>
      <w:r w:rsidR="005463FA" w:rsidRPr="005463FA">
        <w:rPr>
          <w:rFonts w:ascii="Times New Roman" w:hAnsi="Times New Roman"/>
          <w:caps/>
          <w:sz w:val="24"/>
          <w:szCs w:val="24"/>
          <w:u w:val="single"/>
        </w:rPr>
        <w:t>omeless Management Information System</w:t>
      </w:r>
      <w:r w:rsidR="005463FA">
        <w:rPr>
          <w:rFonts w:ascii="Times New Roman" w:hAnsi="Times New Roman"/>
          <w:sz w:val="24"/>
          <w:szCs w:val="24"/>
          <w:u w:val="single"/>
        </w:rPr>
        <w:t xml:space="preserve"> (H</w:t>
      </w:r>
      <w:r>
        <w:rPr>
          <w:rFonts w:ascii="Times New Roman" w:hAnsi="Times New Roman"/>
          <w:sz w:val="24"/>
          <w:szCs w:val="24"/>
          <w:u w:val="single"/>
        </w:rPr>
        <w:t>MIS</w:t>
      </w:r>
      <w:r w:rsidR="005463FA">
        <w:rPr>
          <w:rFonts w:ascii="Times New Roman" w:hAnsi="Times New Roman"/>
          <w:sz w:val="24"/>
          <w:szCs w:val="24"/>
          <w:u w:val="single"/>
        </w:rPr>
        <w:t>)</w:t>
      </w:r>
    </w:p>
    <w:p w14:paraId="1D5FB2A0" w14:textId="4DF16AF6" w:rsidR="00CA6527"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15</w:t>
      </w:r>
      <w:r w:rsidR="00DD0C0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6675CC10" w14:textId="77777777" w:rsidTr="00BC0D68">
        <w:trPr>
          <w:trHeight w:val="773"/>
        </w:trPr>
        <w:tc>
          <w:tcPr>
            <w:tcW w:w="7385" w:type="dxa"/>
            <w:tcBorders>
              <w:bottom w:val="single" w:sz="4" w:space="0" w:color="auto"/>
            </w:tcBorders>
          </w:tcPr>
          <w:p w14:paraId="6E07BCBC" w14:textId="0461A866" w:rsidR="00AD0BEB" w:rsidRPr="0053759E" w:rsidRDefault="00AD0BE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53759E">
              <w:rPr>
                <w:u w:val="single"/>
              </w:rPr>
              <w:t>Data Collection and Recordkeeping</w:t>
            </w:r>
            <w:r w:rsidRPr="00CF0106">
              <w:t>:</w:t>
            </w:r>
            <w:r w:rsidRPr="0053759E">
              <w:t xml:space="preserve">  D</w:t>
            </w:r>
            <w:r w:rsidR="00FF480B">
              <w:t>o</w:t>
            </w:r>
            <w:r w:rsidRPr="0053759E">
              <w:t xml:space="preserve"> </w:t>
            </w:r>
            <w:r w:rsidR="00FF480B">
              <w:t xml:space="preserve">records reflect that </w:t>
            </w:r>
            <w:r w:rsidR="007C1B99">
              <w:t>each</w:t>
            </w:r>
            <w:r w:rsidRPr="0053759E">
              <w:t xml:space="preserve"> subrecipient</w:t>
            </w:r>
            <w:r w:rsidR="000D10C8">
              <w:t xml:space="preserve"> </w:t>
            </w:r>
            <w:r w:rsidR="009C5636">
              <w:t>e</w:t>
            </w:r>
            <w:r w:rsidRPr="0053759E">
              <w:t xml:space="preserve">ntered data on all </w:t>
            </w:r>
            <w:r w:rsidRPr="00F67DCB">
              <w:t xml:space="preserve">persons </w:t>
            </w:r>
            <w:r w:rsidR="00F67DCB" w:rsidRPr="00F67DCB">
              <w:t>it served under ESG and on all of its ESG activities</w:t>
            </w:r>
            <w:r w:rsidRPr="0053759E">
              <w:t xml:space="preserve"> into the applicable community-wide HMIS or</w:t>
            </w:r>
            <w:r w:rsidR="00F67DCB">
              <w:t>, for victim services providers (and legal services providers that opt out), into</w:t>
            </w:r>
            <w:r w:rsidRPr="0053759E">
              <w:t xml:space="preserve"> a comparable database, in accordance with HUD’s HMIS data standards?    </w:t>
            </w:r>
          </w:p>
          <w:p w14:paraId="7222A7C3" w14:textId="76B236AA" w:rsidR="00AD0BEB" w:rsidRPr="0053759E" w:rsidRDefault="00CF0106" w:rsidP="007C5663">
            <w:pPr>
              <w:pStyle w:val="Level1"/>
              <w:widowControl w:val="0"/>
              <w:tabs>
                <w:tab w:val="left" w:pos="720"/>
                <w:tab w:val="left" w:pos="1440"/>
                <w:tab w:val="left" w:pos="2160"/>
                <w:tab w:val="left" w:pos="2880"/>
                <w:tab w:val="left" w:pos="3600"/>
                <w:tab w:val="left" w:pos="5040"/>
                <w:tab w:val="left" w:pos="5760"/>
                <w:tab w:val="left" w:pos="6480"/>
              </w:tabs>
              <w:ind w:left="365"/>
              <w:rPr>
                <w:highlight w:val="yellow"/>
              </w:rPr>
            </w:pPr>
            <w:r w:rsidRPr="00ED6C2D">
              <w:rPr>
                <w:b/>
              </w:rPr>
              <w:t>NOTE</w:t>
            </w:r>
            <w:r>
              <w:t>:</w:t>
            </w:r>
            <w:r w:rsidR="004E24C8">
              <w:t xml:space="preserve">  Each </w:t>
            </w:r>
            <w:r w:rsidR="00AD0BEB" w:rsidRPr="0053759E">
              <w:t xml:space="preserve">subrecipient must be able to provide documentation, such as HMIS reports, that </w:t>
            </w:r>
            <w:r w:rsidR="000069D5">
              <w:t>shows</w:t>
            </w:r>
            <w:r w:rsidR="00AD0BEB" w:rsidRPr="0053759E">
              <w:t xml:space="preserve"> subrecipient client-level </w:t>
            </w:r>
            <w:r w:rsidR="00F67DCB">
              <w:t xml:space="preserve">and activity-level </w:t>
            </w:r>
            <w:r w:rsidR="00AD0BEB" w:rsidRPr="0053759E">
              <w:t xml:space="preserve">data </w:t>
            </w:r>
            <w:r w:rsidRPr="00FF480B">
              <w:t>are</w:t>
            </w:r>
            <w:r w:rsidR="00AD0BEB" w:rsidRPr="0053759E">
              <w:t xml:space="preserve"> being entered into the applicable CoC’s HMIS (or </w:t>
            </w:r>
            <w:r w:rsidR="00F67DCB">
              <w:t xml:space="preserve">a </w:t>
            </w:r>
            <w:r w:rsidR="00AD0BEB" w:rsidRPr="0053759E">
              <w:t>comparable database).</w:t>
            </w:r>
          </w:p>
          <w:p w14:paraId="368AE65E" w14:textId="3A28F799" w:rsidR="00BC0D68" w:rsidRDefault="00AD0BEB"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9C5636">
              <w:t xml:space="preserve">24 CFR </w:t>
            </w:r>
            <w:r w:rsidRPr="0053759E">
              <w:t>576.400(f)</w:t>
            </w:r>
            <w:r w:rsidR="001D59AA">
              <w:t>;</w:t>
            </w:r>
            <w:r w:rsidRPr="0053759E">
              <w:t xml:space="preserve"> </w:t>
            </w:r>
            <w:r w:rsidR="009C5636">
              <w:t xml:space="preserve">24 CFR </w:t>
            </w:r>
            <w:r w:rsidRPr="0053759E">
              <w:t>576.500(n)</w:t>
            </w:r>
            <w:r w:rsidR="001D59AA">
              <w:t>;</w:t>
            </w:r>
            <w:r w:rsidRPr="0053759E">
              <w:t xml:space="preserve"> 2014 HMIS Data Standards]</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6C6B9D85" w14:textId="77777777" w:rsidTr="00BC0D68">
              <w:trPr>
                <w:trHeight w:val="170"/>
              </w:trPr>
              <w:tc>
                <w:tcPr>
                  <w:tcW w:w="425" w:type="dxa"/>
                </w:tcPr>
                <w:p w14:paraId="09B467D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68FF4AD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24E7D1E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0048EEB0" w14:textId="77777777" w:rsidTr="00BC0D68">
              <w:trPr>
                <w:trHeight w:val="225"/>
              </w:trPr>
              <w:tc>
                <w:tcPr>
                  <w:tcW w:w="425" w:type="dxa"/>
                </w:tcPr>
                <w:p w14:paraId="7786F00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EB3080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546982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8F97E7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51678839" w14:textId="77777777" w:rsidTr="00BC0D68">
        <w:trPr>
          <w:cantSplit/>
        </w:trPr>
        <w:tc>
          <w:tcPr>
            <w:tcW w:w="9010" w:type="dxa"/>
            <w:gridSpan w:val="2"/>
            <w:tcBorders>
              <w:bottom w:val="nil"/>
            </w:tcBorders>
          </w:tcPr>
          <w:p w14:paraId="50225D7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727C10FE" w14:textId="77777777" w:rsidTr="00BC0D68">
        <w:trPr>
          <w:cantSplit/>
        </w:trPr>
        <w:tc>
          <w:tcPr>
            <w:tcW w:w="9010" w:type="dxa"/>
            <w:gridSpan w:val="2"/>
            <w:tcBorders>
              <w:top w:val="nil"/>
            </w:tcBorders>
          </w:tcPr>
          <w:p w14:paraId="27B21D64" w14:textId="48A698A0" w:rsidR="00CF0106"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3A0752" w14:textId="77777777" w:rsidR="00EC5988" w:rsidRDefault="00EC5988" w:rsidP="007C5663">
            <w:pPr>
              <w:pStyle w:val="Level1"/>
              <w:widowControl w:val="0"/>
              <w:tabs>
                <w:tab w:val="left" w:pos="720"/>
                <w:tab w:val="left" w:pos="1440"/>
                <w:tab w:val="left" w:pos="2160"/>
                <w:tab w:val="left" w:pos="2880"/>
                <w:tab w:val="left" w:pos="3600"/>
                <w:tab w:val="left" w:pos="5040"/>
                <w:tab w:val="left" w:pos="5760"/>
                <w:tab w:val="left" w:pos="6480"/>
              </w:tabs>
            </w:pPr>
          </w:p>
          <w:p w14:paraId="0BE1DA30" w14:textId="77777777" w:rsidR="00CF0106" w:rsidRDefault="00CF0106" w:rsidP="007C5663">
            <w:pPr>
              <w:pStyle w:val="Level1"/>
              <w:widowControl w:val="0"/>
              <w:tabs>
                <w:tab w:val="left" w:pos="720"/>
                <w:tab w:val="left" w:pos="1440"/>
                <w:tab w:val="left" w:pos="2160"/>
                <w:tab w:val="left" w:pos="2880"/>
                <w:tab w:val="left" w:pos="3600"/>
                <w:tab w:val="left" w:pos="5040"/>
                <w:tab w:val="left" w:pos="5760"/>
                <w:tab w:val="left" w:pos="6480"/>
              </w:tabs>
            </w:pPr>
          </w:p>
        </w:tc>
      </w:tr>
    </w:tbl>
    <w:p w14:paraId="6D06F977" w14:textId="599E9FB6" w:rsidR="00EC5988" w:rsidRDefault="00EC5988" w:rsidP="007C5663">
      <w:pPr>
        <w:pStyle w:val="ListParagraph"/>
        <w:widowControl w:val="0"/>
        <w:ind w:left="0"/>
        <w:rPr>
          <w:rFonts w:ascii="Times New Roman" w:hAnsi="Times New Roman"/>
          <w:sz w:val="24"/>
          <w:szCs w:val="24"/>
        </w:rPr>
      </w:pPr>
    </w:p>
    <w:p w14:paraId="1CA4CAE6" w14:textId="03F5F50A" w:rsidR="00CA6527" w:rsidRDefault="00EC5988" w:rsidP="007C5663">
      <w:pPr>
        <w:pStyle w:val="ListParagraph"/>
        <w:widowControl w:val="0"/>
        <w:ind w:left="0"/>
        <w:rPr>
          <w:rFonts w:ascii="Times New Roman" w:hAnsi="Times New Roman"/>
          <w:sz w:val="24"/>
          <w:szCs w:val="24"/>
        </w:rPr>
      </w:pPr>
      <w:r>
        <w:rPr>
          <w:rFonts w:ascii="Times New Roman" w:hAnsi="Times New Roman"/>
          <w:sz w:val="24"/>
          <w:szCs w:val="24"/>
        </w:rPr>
        <w:lastRenderedPageBreak/>
        <w:t>1</w:t>
      </w:r>
      <w:r w:rsidR="001D5EA7">
        <w:rPr>
          <w:rFonts w:ascii="Times New Roman" w:hAnsi="Times New Roman"/>
          <w:sz w:val="24"/>
          <w:szCs w:val="24"/>
        </w:rPr>
        <w:t>6</w:t>
      </w:r>
      <w:r w:rsidR="00DD0C0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2872C805" w14:textId="77777777" w:rsidTr="00BC0D68">
        <w:trPr>
          <w:trHeight w:val="773"/>
        </w:trPr>
        <w:tc>
          <w:tcPr>
            <w:tcW w:w="7385" w:type="dxa"/>
            <w:tcBorders>
              <w:bottom w:val="single" w:sz="4" w:space="0" w:color="auto"/>
            </w:tcBorders>
          </w:tcPr>
          <w:p w14:paraId="79089F4F" w14:textId="15182707" w:rsidR="009C5636" w:rsidRPr="0053759E" w:rsidRDefault="009C5636" w:rsidP="007C5663">
            <w:pPr>
              <w:pStyle w:val="Level1"/>
              <w:widowControl w:val="0"/>
              <w:tabs>
                <w:tab w:val="left" w:pos="720"/>
                <w:tab w:val="left" w:pos="1440"/>
                <w:tab w:val="left" w:pos="2160"/>
                <w:tab w:val="left" w:pos="2880"/>
                <w:tab w:val="left" w:pos="3600"/>
                <w:tab w:val="left" w:pos="5040"/>
                <w:tab w:val="left" w:pos="5760"/>
                <w:tab w:val="left" w:pos="6480"/>
              </w:tabs>
            </w:pPr>
            <w:r w:rsidRPr="009F64C3">
              <w:rPr>
                <w:u w:val="single"/>
              </w:rPr>
              <w:t>Eligible costs (HMIS)</w:t>
            </w:r>
            <w:r w:rsidRPr="0053759E">
              <w:t xml:space="preserve">:  </w:t>
            </w:r>
            <w:r w:rsidR="008F63B4" w:rsidRPr="00CE1D39">
              <w:t>If the subrecipient</w:t>
            </w:r>
            <w:r w:rsidR="00950799">
              <w:t xml:space="preserve"> is</w:t>
            </w:r>
            <w:r w:rsidR="008F63B4" w:rsidRPr="00CE1D39">
              <w:t xml:space="preserve"> not</w:t>
            </w:r>
            <w:r w:rsidR="00950799">
              <w:t xml:space="preserve"> a</w:t>
            </w:r>
            <w:r w:rsidR="008F63B4" w:rsidRPr="00CE1D39">
              <w:t xml:space="preserve"> victim service provider</w:t>
            </w:r>
            <w:r w:rsidR="00FF480B">
              <w:t>,</w:t>
            </w:r>
            <w:r w:rsidR="008F63B4" w:rsidRPr="00CE1D39">
              <w:t xml:space="preserve"> or</w:t>
            </w:r>
            <w:r w:rsidR="00950799">
              <w:t xml:space="preserve"> a</w:t>
            </w:r>
            <w:r w:rsidR="008F63B4" w:rsidRPr="00CE1D39">
              <w:t xml:space="preserve"> legal service provider that use</w:t>
            </w:r>
            <w:r w:rsidR="00950799">
              <w:t>s</w:t>
            </w:r>
            <w:r w:rsidR="008F63B4" w:rsidRPr="00CE1D39">
              <w:t xml:space="preserve"> a comparable database,</w:t>
            </w:r>
            <w:r w:rsidR="008F63B4">
              <w:t xml:space="preserve"> d</w:t>
            </w:r>
            <w:r w:rsidRPr="0053759E">
              <w:t>id the subrecipient use ESG fu</w:t>
            </w:r>
            <w:r w:rsidR="009F64C3">
              <w:t>nds only for costs eligible</w:t>
            </w:r>
            <w:r w:rsidRPr="0053759E">
              <w:t xml:space="preserve"> for the purpose of contributing data to the HMIS designated by the CoC?</w:t>
            </w:r>
          </w:p>
          <w:p w14:paraId="5AD49E05" w14:textId="77777777" w:rsidR="00BC0D68" w:rsidRDefault="009C5636"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9F64C3">
              <w:t xml:space="preserve">24 CFR </w:t>
            </w:r>
            <w:r w:rsidRPr="0053759E">
              <w:t>576.107(a)(1)]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1D58CAFE" w14:textId="77777777" w:rsidTr="00BC0D68">
              <w:trPr>
                <w:trHeight w:val="170"/>
              </w:trPr>
              <w:tc>
                <w:tcPr>
                  <w:tcW w:w="425" w:type="dxa"/>
                </w:tcPr>
                <w:p w14:paraId="29BF1DA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23E06DF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73E7C40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3C03EF2C" w14:textId="77777777" w:rsidTr="00BC0D68">
              <w:trPr>
                <w:trHeight w:val="225"/>
              </w:trPr>
              <w:tc>
                <w:tcPr>
                  <w:tcW w:w="425" w:type="dxa"/>
                </w:tcPr>
                <w:p w14:paraId="7270227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2E68E1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71E6BD9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DFB302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2982B380" w14:textId="77777777" w:rsidTr="00BC0D68">
        <w:trPr>
          <w:cantSplit/>
        </w:trPr>
        <w:tc>
          <w:tcPr>
            <w:tcW w:w="9010" w:type="dxa"/>
            <w:gridSpan w:val="2"/>
            <w:tcBorders>
              <w:bottom w:val="nil"/>
            </w:tcBorders>
          </w:tcPr>
          <w:p w14:paraId="567033D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123006C1" w14:textId="77777777" w:rsidTr="00BC0D68">
        <w:trPr>
          <w:cantSplit/>
        </w:trPr>
        <w:tc>
          <w:tcPr>
            <w:tcW w:w="9010" w:type="dxa"/>
            <w:gridSpan w:val="2"/>
            <w:tcBorders>
              <w:top w:val="nil"/>
            </w:tcBorders>
          </w:tcPr>
          <w:p w14:paraId="61C9B4F5" w14:textId="5F0E7677" w:rsidR="00BD224A" w:rsidRDefault="00BC0D68" w:rsidP="0085240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77FD53B" w14:textId="613C1680" w:rsidR="00CA6527"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17</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06ECAD8D" w14:textId="77777777" w:rsidTr="00BC0D68">
        <w:trPr>
          <w:trHeight w:val="773"/>
        </w:trPr>
        <w:tc>
          <w:tcPr>
            <w:tcW w:w="7385" w:type="dxa"/>
            <w:tcBorders>
              <w:bottom w:val="single" w:sz="4" w:space="0" w:color="auto"/>
            </w:tcBorders>
          </w:tcPr>
          <w:p w14:paraId="5E241E56" w14:textId="155B05AA" w:rsidR="009F64C3" w:rsidRPr="0053759E" w:rsidRDefault="009F64C3"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41F91">
              <w:rPr>
                <w:u w:val="single"/>
              </w:rPr>
              <w:t>Data entry (Comparable database)</w:t>
            </w:r>
            <w:r w:rsidRPr="0053759E">
              <w:t>:  If the subrecipient</w:t>
            </w:r>
            <w:r w:rsidR="00950799">
              <w:t xml:space="preserve"> i</w:t>
            </w:r>
            <w:r w:rsidR="003774B3">
              <w:t>s</w:t>
            </w:r>
            <w:r w:rsidR="00FF480B">
              <w:t xml:space="preserve"> </w:t>
            </w:r>
            <w:r w:rsidR="00950799">
              <w:t>a</w:t>
            </w:r>
            <w:r w:rsidRPr="0053759E">
              <w:t xml:space="preserve"> victim service provider</w:t>
            </w:r>
            <w:r w:rsidR="00FF480B">
              <w:t>, or</w:t>
            </w:r>
            <w:r w:rsidR="00950799">
              <w:t xml:space="preserve"> a</w:t>
            </w:r>
            <w:r w:rsidR="00FF480B">
              <w:t xml:space="preserve"> </w:t>
            </w:r>
            <w:r w:rsidR="00812BBE">
              <w:t>legal services provider that use</w:t>
            </w:r>
            <w:r w:rsidR="00950799">
              <w:t>s</w:t>
            </w:r>
            <w:r w:rsidR="00812BBE">
              <w:t xml:space="preserve"> a comparable database</w:t>
            </w:r>
            <w:r w:rsidRPr="0053759E">
              <w:t xml:space="preserve">, </w:t>
            </w:r>
            <w:r w:rsidRPr="00FF480B">
              <w:t>w</w:t>
            </w:r>
            <w:r w:rsidR="00CF0106" w:rsidRPr="00FF480B">
              <w:t>ere</w:t>
            </w:r>
            <w:r w:rsidRPr="0053759E">
              <w:t xml:space="preserve"> data maintained in the comparable database and not contributed or entered into an HMIS? </w:t>
            </w:r>
          </w:p>
          <w:p w14:paraId="2AACA448" w14:textId="77777777" w:rsidR="00BC0D68" w:rsidRDefault="009F64C3"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441F91">
              <w:t xml:space="preserve">24 CFR </w:t>
            </w:r>
            <w:r w:rsidRPr="0053759E">
              <w:t>576.400(f)]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3C105BBF" w14:textId="77777777" w:rsidTr="00BC0D68">
              <w:trPr>
                <w:trHeight w:val="170"/>
              </w:trPr>
              <w:tc>
                <w:tcPr>
                  <w:tcW w:w="425" w:type="dxa"/>
                </w:tcPr>
                <w:p w14:paraId="3C272C3B"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45D8B79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2608D64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31526966" w14:textId="77777777" w:rsidTr="00BC0D68">
              <w:trPr>
                <w:trHeight w:val="225"/>
              </w:trPr>
              <w:tc>
                <w:tcPr>
                  <w:tcW w:w="425" w:type="dxa"/>
                </w:tcPr>
                <w:p w14:paraId="5A9C89F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26507C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8E7D7E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1A2358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C39C965" w14:textId="77777777" w:rsidTr="00BC0D68">
        <w:trPr>
          <w:cantSplit/>
        </w:trPr>
        <w:tc>
          <w:tcPr>
            <w:tcW w:w="9010" w:type="dxa"/>
            <w:gridSpan w:val="2"/>
            <w:tcBorders>
              <w:bottom w:val="nil"/>
            </w:tcBorders>
          </w:tcPr>
          <w:p w14:paraId="40CAB97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0A78470E" w14:textId="77777777" w:rsidTr="00BC0D68">
        <w:trPr>
          <w:cantSplit/>
        </w:trPr>
        <w:tc>
          <w:tcPr>
            <w:tcW w:w="9010" w:type="dxa"/>
            <w:gridSpan w:val="2"/>
            <w:tcBorders>
              <w:top w:val="nil"/>
            </w:tcBorders>
          </w:tcPr>
          <w:p w14:paraId="19EF4009" w14:textId="6A345681" w:rsidR="00BC0D68" w:rsidRDefault="00BC0D68" w:rsidP="0085240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4A96E3" w14:textId="59382548" w:rsidR="00BC0D68" w:rsidRDefault="001D5EA7" w:rsidP="007C5663">
      <w:pPr>
        <w:pStyle w:val="ListParagraph"/>
        <w:widowControl w:val="0"/>
        <w:ind w:left="90"/>
        <w:rPr>
          <w:rFonts w:ascii="Times New Roman" w:hAnsi="Times New Roman"/>
          <w:sz w:val="24"/>
          <w:szCs w:val="24"/>
        </w:rPr>
      </w:pPr>
      <w:r>
        <w:rPr>
          <w:rFonts w:ascii="Times New Roman" w:hAnsi="Times New Roman"/>
          <w:sz w:val="24"/>
          <w:szCs w:val="24"/>
        </w:rPr>
        <w:t>18</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5A3D4553" w14:textId="77777777" w:rsidTr="00BC0D68">
        <w:trPr>
          <w:trHeight w:val="773"/>
        </w:trPr>
        <w:tc>
          <w:tcPr>
            <w:tcW w:w="7385" w:type="dxa"/>
            <w:tcBorders>
              <w:bottom w:val="single" w:sz="4" w:space="0" w:color="auto"/>
            </w:tcBorders>
          </w:tcPr>
          <w:p w14:paraId="1F8B6227" w14:textId="77F7B3D6" w:rsidR="00441F91" w:rsidRPr="0053759E" w:rsidRDefault="00441F91" w:rsidP="007C5663">
            <w:pPr>
              <w:pStyle w:val="Level1"/>
              <w:widowControl w:val="0"/>
              <w:tabs>
                <w:tab w:val="left" w:pos="720"/>
                <w:tab w:val="left" w:pos="1440"/>
                <w:tab w:val="left" w:pos="2160"/>
                <w:tab w:val="left" w:pos="2880"/>
                <w:tab w:val="left" w:pos="3600"/>
                <w:tab w:val="left" w:pos="5040"/>
                <w:tab w:val="left" w:pos="5760"/>
                <w:tab w:val="left" w:pos="6480"/>
              </w:tabs>
            </w:pPr>
            <w:r w:rsidRPr="00441F91">
              <w:rPr>
                <w:u w:val="single"/>
              </w:rPr>
              <w:t>Eligible costs (Comparable database)</w:t>
            </w:r>
            <w:r w:rsidRPr="0053759E">
              <w:t>:  If the subrecipient</w:t>
            </w:r>
            <w:r w:rsidR="00950799">
              <w:t xml:space="preserve"> is a </w:t>
            </w:r>
            <w:r w:rsidRPr="0053759E">
              <w:t>victim service provider</w:t>
            </w:r>
            <w:r w:rsidR="002D7ED6">
              <w:t>,</w:t>
            </w:r>
            <w:r w:rsidRPr="0053759E">
              <w:t xml:space="preserve"> or </w:t>
            </w:r>
            <w:r w:rsidR="00950799">
              <w:t xml:space="preserve">a </w:t>
            </w:r>
            <w:r w:rsidRPr="0053759E">
              <w:t>legal services provider that use</w:t>
            </w:r>
            <w:r w:rsidR="00950799">
              <w:t>s</w:t>
            </w:r>
            <w:r w:rsidRPr="0053759E">
              <w:t xml:space="preserve"> a comparable database, were funds used for establishing and operating a comparable database that complies with HUD’s HMIS requirements, including collecting client-level data over time (i.e., longitudinal data) and generating unduplicated aggregate reports?</w:t>
            </w:r>
          </w:p>
          <w:p w14:paraId="414123EC" w14:textId="195A78BF" w:rsidR="00BC0D68" w:rsidRDefault="00441F91"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576.400(f)</w:t>
            </w:r>
            <w:r w:rsidR="001D59AA">
              <w:t>;</w:t>
            </w:r>
            <w:r w:rsidRPr="0053759E">
              <w:t xml:space="preserve"> </w:t>
            </w:r>
            <w:r>
              <w:t xml:space="preserve">24 CFR </w:t>
            </w:r>
            <w:r w:rsidRPr="0053759E">
              <w:t>576.107(a)(3)</w:t>
            </w:r>
            <w:r w:rsidR="001D59AA">
              <w:t>;</w:t>
            </w:r>
            <w:r w:rsidR="002D7ED6">
              <w:t xml:space="preserve"> </w:t>
            </w:r>
            <w:r w:rsidR="002D7ED6" w:rsidRPr="00CE1D39">
              <w:t>24 CFR 576.107(b)</w:t>
            </w:r>
            <w:r w:rsidRPr="0053759E">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035BD3AA" w14:textId="77777777" w:rsidTr="00BC0D68">
              <w:trPr>
                <w:trHeight w:val="170"/>
              </w:trPr>
              <w:tc>
                <w:tcPr>
                  <w:tcW w:w="425" w:type="dxa"/>
                </w:tcPr>
                <w:p w14:paraId="7B0BDF9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118D68F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78FFAB4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6835E9E0" w14:textId="77777777" w:rsidTr="00BC0D68">
              <w:trPr>
                <w:trHeight w:val="225"/>
              </w:trPr>
              <w:tc>
                <w:tcPr>
                  <w:tcW w:w="425" w:type="dxa"/>
                </w:tcPr>
                <w:p w14:paraId="74D3CBD7"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C3FE1F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9CC286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5A320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4863AFFE" w14:textId="77777777" w:rsidTr="00BC0D68">
        <w:trPr>
          <w:cantSplit/>
        </w:trPr>
        <w:tc>
          <w:tcPr>
            <w:tcW w:w="9010" w:type="dxa"/>
            <w:gridSpan w:val="2"/>
            <w:tcBorders>
              <w:bottom w:val="nil"/>
            </w:tcBorders>
          </w:tcPr>
          <w:p w14:paraId="7B996FD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0B7B8AEF" w14:textId="77777777" w:rsidTr="00BC0D68">
        <w:trPr>
          <w:cantSplit/>
        </w:trPr>
        <w:tc>
          <w:tcPr>
            <w:tcW w:w="9010" w:type="dxa"/>
            <w:gridSpan w:val="2"/>
            <w:tcBorders>
              <w:top w:val="nil"/>
            </w:tcBorders>
          </w:tcPr>
          <w:p w14:paraId="336381E9" w14:textId="45115FA2" w:rsidR="00CF0106" w:rsidRDefault="00BC0D68" w:rsidP="0085240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8DAAA6" w14:textId="77777777" w:rsidR="00CA6527" w:rsidRPr="0053759E" w:rsidRDefault="00CA6527" w:rsidP="00852402">
      <w:pPr>
        <w:widowControl w:val="0"/>
        <w:spacing w:line="120" w:lineRule="auto"/>
      </w:pPr>
    </w:p>
    <w:p w14:paraId="5ED86224" w14:textId="0BD06065" w:rsidR="00FF5D97" w:rsidRPr="0053759E" w:rsidRDefault="00CA6527" w:rsidP="007C5663">
      <w:pPr>
        <w:widowControl w:val="0"/>
      </w:pPr>
      <w:r w:rsidRPr="00CF0106">
        <w:rPr>
          <w:rFonts w:eastAsia="MS Gothic"/>
          <w:spacing w:val="5"/>
          <w:kern w:val="28"/>
          <w:u w:val="single"/>
        </w:rPr>
        <w:t>E</w:t>
      </w:r>
      <w:r w:rsidR="006A3197" w:rsidRPr="00CF0106">
        <w:rPr>
          <w:rFonts w:eastAsia="MS Gothic"/>
          <w:spacing w:val="5"/>
          <w:kern w:val="28"/>
          <w:u w:val="single"/>
        </w:rPr>
        <w:t xml:space="preserve">. </w:t>
      </w:r>
      <w:r w:rsidR="00441F91" w:rsidRPr="00CF0106">
        <w:rPr>
          <w:rFonts w:eastAsia="MS Gothic"/>
          <w:spacing w:val="5"/>
          <w:kern w:val="28"/>
          <w:u w:val="single"/>
        </w:rPr>
        <w:t xml:space="preserve"> </w:t>
      </w:r>
      <w:r w:rsidR="00FF5D97" w:rsidRPr="00441F91">
        <w:rPr>
          <w:rFonts w:eastAsia="MS Gothic"/>
          <w:caps/>
          <w:spacing w:val="5"/>
          <w:kern w:val="28"/>
          <w:u w:val="single"/>
        </w:rPr>
        <w:t xml:space="preserve">Other </w:t>
      </w:r>
      <w:r w:rsidR="00C45495">
        <w:rPr>
          <w:rFonts w:eastAsia="MS Gothic"/>
          <w:caps/>
          <w:spacing w:val="5"/>
          <w:kern w:val="28"/>
          <w:u w:val="single"/>
        </w:rPr>
        <w:t xml:space="preserve">esg-specific </w:t>
      </w:r>
      <w:r w:rsidR="00FF5D97" w:rsidRPr="00441F91">
        <w:rPr>
          <w:rFonts w:eastAsia="MS Gothic"/>
          <w:caps/>
          <w:spacing w:val="5"/>
          <w:kern w:val="28"/>
          <w:u w:val="single"/>
        </w:rPr>
        <w:t>Requirements</w:t>
      </w:r>
    </w:p>
    <w:p w14:paraId="2E39F5FE" w14:textId="59FB33DD" w:rsidR="00031C48"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19</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596501D0" w14:textId="77777777" w:rsidTr="00BC0D68">
        <w:trPr>
          <w:trHeight w:val="773"/>
        </w:trPr>
        <w:tc>
          <w:tcPr>
            <w:tcW w:w="7385" w:type="dxa"/>
            <w:tcBorders>
              <w:bottom w:val="single" w:sz="4" w:space="0" w:color="auto"/>
            </w:tcBorders>
          </w:tcPr>
          <w:p w14:paraId="009ECEDE" w14:textId="053FDD5C" w:rsidR="00441F91" w:rsidRPr="0053759E" w:rsidRDefault="00441F91" w:rsidP="007C5663">
            <w:pPr>
              <w:widowControl w:val="0"/>
            </w:pPr>
            <w:r w:rsidRPr="0053759E">
              <w:rPr>
                <w:u w:val="single"/>
              </w:rPr>
              <w:t>Matching Requirements</w:t>
            </w:r>
            <w:r w:rsidRPr="0053759E">
              <w:t xml:space="preserve">:  If the recipient required </w:t>
            </w:r>
            <w:r w:rsidR="00C4003C">
              <w:t>its</w:t>
            </w:r>
            <w:r w:rsidRPr="0053759E">
              <w:t xml:space="preserve"> subrecipient</w:t>
            </w:r>
            <w:r w:rsidR="003774B3">
              <w:t>s</w:t>
            </w:r>
            <w:r w:rsidRPr="0053759E">
              <w:t xml:space="preserve"> to contribute match, did the subrecipient</w:t>
            </w:r>
            <w:r w:rsidR="00C4003C">
              <w:t>s</w:t>
            </w:r>
            <w:r w:rsidRPr="0053759E">
              <w:t xml:space="preserve">’ records </w:t>
            </w:r>
            <w:r w:rsidR="00C4003C">
              <w:t>reflect</w:t>
            </w:r>
            <w:r w:rsidRPr="0053759E">
              <w:t xml:space="preserve"> that t</w:t>
            </w:r>
            <w:r w:rsidR="00C4003C">
              <w:t>hey</w:t>
            </w:r>
            <w:r w:rsidRPr="0053759E">
              <w:t xml:space="preserve"> met the applicable requirements, including records of the source and use of matching funds?</w:t>
            </w:r>
          </w:p>
          <w:p w14:paraId="6772D9F6" w14:textId="56A0CA96" w:rsidR="00BC0D68" w:rsidRDefault="00441F91"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576.201</w:t>
            </w:r>
            <w:r w:rsidR="001D59AA">
              <w:t>;</w:t>
            </w:r>
            <w:r w:rsidRPr="0053759E">
              <w:t xml:space="preserve"> </w:t>
            </w:r>
            <w:r>
              <w:t xml:space="preserve">24 CFR </w:t>
            </w:r>
            <w:r w:rsidR="00EB0191">
              <w:t>576.500</w:t>
            </w:r>
            <w:r w:rsidR="000D6C31">
              <w:t>(</w:t>
            </w:r>
            <w:r w:rsidR="002647F6">
              <w:t>o</w:t>
            </w:r>
            <w:r w:rsidR="000D6C31">
              <w:t>)</w:t>
            </w:r>
            <w:r w:rsidR="002647F6">
              <w:t xml:space="preserve"> and (v)(3)</w:t>
            </w:r>
            <w:r w:rsidRPr="0053759E">
              <w:t>]</w:t>
            </w:r>
            <w:r w:rsidR="002D7ED6" w:rsidRPr="00CE1D39">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1957AC66" w14:textId="77777777" w:rsidTr="00BC0D68">
              <w:trPr>
                <w:trHeight w:val="170"/>
              </w:trPr>
              <w:tc>
                <w:tcPr>
                  <w:tcW w:w="425" w:type="dxa"/>
                </w:tcPr>
                <w:p w14:paraId="3C209ED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4A7B6A3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7BA58E7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039EB2A6" w14:textId="77777777" w:rsidTr="00BC0D68">
              <w:trPr>
                <w:trHeight w:val="225"/>
              </w:trPr>
              <w:tc>
                <w:tcPr>
                  <w:tcW w:w="425" w:type="dxa"/>
                </w:tcPr>
                <w:p w14:paraId="537D830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11838F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94E805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A38356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0405598B" w14:textId="77777777" w:rsidTr="00BC0D68">
        <w:trPr>
          <w:cantSplit/>
        </w:trPr>
        <w:tc>
          <w:tcPr>
            <w:tcW w:w="9010" w:type="dxa"/>
            <w:gridSpan w:val="2"/>
            <w:tcBorders>
              <w:bottom w:val="nil"/>
            </w:tcBorders>
          </w:tcPr>
          <w:p w14:paraId="1303634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7A992E36" w14:textId="77777777" w:rsidTr="00BC0D68">
        <w:trPr>
          <w:cantSplit/>
        </w:trPr>
        <w:tc>
          <w:tcPr>
            <w:tcW w:w="9010" w:type="dxa"/>
            <w:gridSpan w:val="2"/>
            <w:tcBorders>
              <w:top w:val="nil"/>
            </w:tcBorders>
          </w:tcPr>
          <w:p w14:paraId="7097620B" w14:textId="4C65285C" w:rsidR="00CF0106" w:rsidRDefault="00BC0D68" w:rsidP="0085240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A1A6DB2" w14:textId="15019707" w:rsidR="00031C48" w:rsidRDefault="001D5EA7" w:rsidP="007C5663">
      <w:pPr>
        <w:widowControl w:val="0"/>
      </w:pPr>
      <w:r>
        <w:t>20</w:t>
      </w:r>
      <w:r w:rsidR="003C28AC" w:rsidRPr="0053759E">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0EB7BFE2" w14:textId="77777777" w:rsidTr="00BC0D68">
        <w:trPr>
          <w:trHeight w:val="773"/>
        </w:trPr>
        <w:tc>
          <w:tcPr>
            <w:tcW w:w="7385" w:type="dxa"/>
            <w:tcBorders>
              <w:bottom w:val="single" w:sz="4" w:space="0" w:color="auto"/>
            </w:tcBorders>
          </w:tcPr>
          <w:p w14:paraId="02EF0EE0" w14:textId="38559A5E" w:rsidR="00DC1292" w:rsidRPr="0053759E" w:rsidRDefault="00DC1292" w:rsidP="007C5663">
            <w:pPr>
              <w:widowControl w:val="0"/>
            </w:pPr>
            <w:r w:rsidRPr="0053759E">
              <w:rPr>
                <w:u w:val="single"/>
              </w:rPr>
              <w:t>Conflicts of Interest (Organizational)</w:t>
            </w:r>
            <w:r w:rsidR="00C75093">
              <w:t>:  Did</w:t>
            </w:r>
            <w:r w:rsidR="00882AF1">
              <w:t xml:space="preserve"> a representative sampl</w:t>
            </w:r>
            <w:r w:rsidR="004F5936">
              <w:t>e</w:t>
            </w:r>
            <w:r w:rsidR="00882AF1">
              <w:t xml:space="preserve"> of</w:t>
            </w:r>
            <w:r w:rsidRPr="0053759E">
              <w:t xml:space="preserve"> the subrecipient</w:t>
            </w:r>
            <w:r w:rsidR="00C75093">
              <w:t>s</w:t>
            </w:r>
            <w:r w:rsidRPr="0053759E">
              <w:t xml:space="preserve">’ records </w:t>
            </w:r>
            <w:r w:rsidR="00882AF1">
              <w:t>reveal zero instances where</w:t>
            </w:r>
            <w:r w:rsidRPr="0053759E">
              <w:t>:</w:t>
            </w:r>
          </w:p>
          <w:p w14:paraId="281A463F" w14:textId="77777777" w:rsidR="00882AF1" w:rsidRDefault="00882AF1" w:rsidP="007C5663">
            <w:pPr>
              <w:pStyle w:val="ListParagraph"/>
              <w:widowControl w:val="0"/>
              <w:numPr>
                <w:ilvl w:val="0"/>
                <w:numId w:val="34"/>
              </w:numPr>
              <w:rPr>
                <w:rFonts w:ascii="Times New Roman" w:hAnsi="Times New Roman"/>
                <w:sz w:val="24"/>
                <w:szCs w:val="24"/>
              </w:rPr>
            </w:pPr>
            <w:r>
              <w:rPr>
                <w:rFonts w:ascii="Times New Roman" w:hAnsi="Times New Roman"/>
                <w:sz w:val="24"/>
                <w:szCs w:val="24"/>
              </w:rPr>
              <w:t>any</w:t>
            </w:r>
            <w:r w:rsidRPr="0053759E">
              <w:rPr>
                <w:rFonts w:ascii="Times New Roman" w:hAnsi="Times New Roman"/>
                <w:sz w:val="24"/>
                <w:szCs w:val="24"/>
              </w:rPr>
              <w:t xml:space="preserve"> </w:t>
            </w:r>
            <w:r>
              <w:rPr>
                <w:rFonts w:ascii="Times New Roman" w:hAnsi="Times New Roman"/>
                <w:sz w:val="24"/>
                <w:szCs w:val="24"/>
              </w:rPr>
              <w:t xml:space="preserve">type or amount of </w:t>
            </w:r>
            <w:r w:rsidRPr="0053759E">
              <w:rPr>
                <w:rFonts w:ascii="Times New Roman" w:hAnsi="Times New Roman"/>
                <w:sz w:val="24"/>
                <w:szCs w:val="24"/>
              </w:rPr>
              <w:t xml:space="preserve">ESG assistance was conditioned on acceptance of shelter or housing owned by the recipient, subrecipient, contractor, </w:t>
            </w:r>
            <w:r>
              <w:rPr>
                <w:rFonts w:ascii="Times New Roman" w:hAnsi="Times New Roman"/>
                <w:sz w:val="24"/>
                <w:szCs w:val="24"/>
              </w:rPr>
              <w:t xml:space="preserve">or any </w:t>
            </w:r>
            <w:r w:rsidRPr="0053759E">
              <w:rPr>
                <w:rFonts w:ascii="Times New Roman" w:hAnsi="Times New Roman"/>
                <w:sz w:val="24"/>
                <w:szCs w:val="24"/>
              </w:rPr>
              <w:t>parent or subsidiary of the subrecipient</w:t>
            </w:r>
            <w:r>
              <w:rPr>
                <w:rFonts w:ascii="Times New Roman" w:hAnsi="Times New Roman"/>
                <w:sz w:val="24"/>
                <w:szCs w:val="24"/>
              </w:rPr>
              <w:t xml:space="preserve"> or contractor; or </w:t>
            </w:r>
          </w:p>
          <w:p w14:paraId="1305B270" w14:textId="77777777" w:rsidR="00882AF1" w:rsidRDefault="00882AF1" w:rsidP="007C5663">
            <w:pPr>
              <w:pStyle w:val="ListParagraph"/>
              <w:widowControl w:val="0"/>
              <w:numPr>
                <w:ilvl w:val="0"/>
                <w:numId w:val="34"/>
              </w:numPr>
              <w:rPr>
                <w:rFonts w:ascii="Times New Roman" w:hAnsi="Times New Roman"/>
                <w:sz w:val="24"/>
                <w:szCs w:val="24"/>
              </w:rPr>
            </w:pPr>
            <w:r>
              <w:rPr>
                <w:rFonts w:ascii="Times New Roman" w:hAnsi="Times New Roman"/>
                <w:sz w:val="24"/>
                <w:szCs w:val="24"/>
              </w:rPr>
              <w:t xml:space="preserve">a subrecipient or contractor carried out the initial evaluation for a program participant while the individual or family was occupying housing owned by the subrecipient or contractor, or any parent or subsidiary of the subrecipient or contractor; or </w:t>
            </w:r>
          </w:p>
          <w:p w14:paraId="5C9B2B1B" w14:textId="77777777" w:rsidR="00882AF1" w:rsidRPr="00B02E39" w:rsidRDefault="00882AF1" w:rsidP="007C5663">
            <w:pPr>
              <w:pStyle w:val="ListParagraph"/>
              <w:widowControl w:val="0"/>
              <w:numPr>
                <w:ilvl w:val="0"/>
                <w:numId w:val="34"/>
              </w:numPr>
              <w:rPr>
                <w:rFonts w:ascii="Times New Roman" w:hAnsi="Times New Roman"/>
                <w:sz w:val="24"/>
                <w:szCs w:val="24"/>
              </w:rPr>
            </w:pPr>
            <w:r>
              <w:rPr>
                <w:rFonts w:ascii="Times New Roman" w:hAnsi="Times New Roman"/>
                <w:sz w:val="24"/>
                <w:szCs w:val="24"/>
              </w:rPr>
              <w:lastRenderedPageBreak/>
              <w:t>a subrecipient or contractor administered any homelessness prevention assistance to an individual or family</w:t>
            </w:r>
            <w:r w:rsidRPr="00C61F16">
              <w:rPr>
                <w:rFonts w:ascii="Times New Roman" w:hAnsi="Times New Roman"/>
                <w:sz w:val="24"/>
                <w:szCs w:val="24"/>
              </w:rPr>
              <w:t xml:space="preserve"> occupying housing owned by the subrecipient or contractor, or any parent or subsidiary of the subrecipient or contractor</w:t>
            </w:r>
            <w:r w:rsidRPr="0053759E">
              <w:rPr>
                <w:rFonts w:ascii="Times New Roman" w:hAnsi="Times New Roman"/>
                <w:sz w:val="24"/>
                <w:szCs w:val="24"/>
              </w:rPr>
              <w:t>?</w:t>
            </w:r>
            <w:r w:rsidRPr="00B02E39">
              <w:rPr>
                <w:rFonts w:ascii="Times New Roman" w:hAnsi="Times New Roman"/>
                <w:sz w:val="24"/>
                <w:szCs w:val="24"/>
              </w:rPr>
              <w:t xml:space="preserve">  </w:t>
            </w:r>
          </w:p>
          <w:p w14:paraId="215077CE" w14:textId="68FA67B8" w:rsidR="00BC0D68" w:rsidRDefault="00882AF1"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24 CFR 576.404(a)</w:t>
            </w:r>
            <w:r w:rsidR="00C75093">
              <w:t>;</w:t>
            </w:r>
            <w:r>
              <w:t xml:space="preserve"> regarding contractors, 24 CFR </w:t>
            </w:r>
            <w:r w:rsidRPr="0053759E">
              <w:t>576.404(c)</w:t>
            </w:r>
            <w:r w:rsidR="001D59AA">
              <w:t>;</w:t>
            </w:r>
            <w:r>
              <w:t xml:space="preserve"> 24 CFR 576.500(p)</w:t>
            </w:r>
            <w:r w:rsidRPr="0053759E">
              <w:t>]</w:t>
            </w:r>
            <w:r w:rsidRPr="0053759E" w:rsidDel="00882AF1">
              <w:t xml:space="preserve">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7C7BD9C6" w14:textId="77777777" w:rsidTr="00BC0D68">
              <w:trPr>
                <w:trHeight w:val="170"/>
              </w:trPr>
              <w:tc>
                <w:tcPr>
                  <w:tcW w:w="425" w:type="dxa"/>
                </w:tcPr>
                <w:p w14:paraId="2710E35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lastRenderedPageBreak/>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4DEE61B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4D276C8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57F3B640" w14:textId="77777777" w:rsidTr="00BC0D68">
              <w:trPr>
                <w:trHeight w:val="225"/>
              </w:trPr>
              <w:tc>
                <w:tcPr>
                  <w:tcW w:w="425" w:type="dxa"/>
                </w:tcPr>
                <w:p w14:paraId="365E737F"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60819EA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7AFA256"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A39C80"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1A7A1359" w14:textId="77777777" w:rsidTr="00BC0D68">
        <w:trPr>
          <w:cantSplit/>
        </w:trPr>
        <w:tc>
          <w:tcPr>
            <w:tcW w:w="9010" w:type="dxa"/>
            <w:gridSpan w:val="2"/>
            <w:tcBorders>
              <w:bottom w:val="nil"/>
            </w:tcBorders>
          </w:tcPr>
          <w:p w14:paraId="3A48EB5D"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6DF8EC87" w14:textId="77777777" w:rsidTr="00BC0D68">
        <w:trPr>
          <w:cantSplit/>
        </w:trPr>
        <w:tc>
          <w:tcPr>
            <w:tcW w:w="9010" w:type="dxa"/>
            <w:gridSpan w:val="2"/>
            <w:tcBorders>
              <w:top w:val="nil"/>
            </w:tcBorders>
          </w:tcPr>
          <w:p w14:paraId="1D840D24" w14:textId="731794AF" w:rsidR="00BD224A" w:rsidRDefault="00BC0D68" w:rsidP="002A00FF">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2DDD428" w14:textId="790BB70A" w:rsidR="00BC0D68"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21</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2472FF5C" w14:textId="77777777" w:rsidTr="00BC0D68">
        <w:trPr>
          <w:trHeight w:val="773"/>
        </w:trPr>
        <w:tc>
          <w:tcPr>
            <w:tcW w:w="7385" w:type="dxa"/>
            <w:tcBorders>
              <w:bottom w:val="single" w:sz="4" w:space="0" w:color="auto"/>
            </w:tcBorders>
          </w:tcPr>
          <w:p w14:paraId="6320CC1C" w14:textId="7A582922" w:rsidR="00DC1292" w:rsidRPr="0053759E" w:rsidRDefault="00DC1292" w:rsidP="007C5663">
            <w:pPr>
              <w:widowControl w:val="0"/>
            </w:pPr>
            <w:r w:rsidRPr="0053759E">
              <w:rPr>
                <w:u w:val="single"/>
              </w:rPr>
              <w:t>Conflicts of Interest (Individual)</w:t>
            </w:r>
            <w:r w:rsidRPr="0053759E">
              <w:t>:  Do</w:t>
            </w:r>
            <w:r w:rsidR="00950799">
              <w:t>es each</w:t>
            </w:r>
            <w:r w:rsidRPr="0053759E">
              <w:t xml:space="preserve"> subrecipient</w:t>
            </w:r>
            <w:r w:rsidR="00950799">
              <w:t>’</w:t>
            </w:r>
            <w:r w:rsidR="00C75093">
              <w:t>s</w:t>
            </w:r>
            <w:r w:rsidRPr="0053759E">
              <w:t xml:space="preserve"> records: </w:t>
            </w:r>
          </w:p>
          <w:p w14:paraId="7C4341BF" w14:textId="77777777" w:rsidR="00DC1292" w:rsidRPr="0053759E" w:rsidRDefault="00DC1292" w:rsidP="007C5663">
            <w:pPr>
              <w:pStyle w:val="ListParagraph"/>
              <w:widowControl w:val="0"/>
              <w:numPr>
                <w:ilvl w:val="0"/>
                <w:numId w:val="30"/>
              </w:numPr>
              <w:rPr>
                <w:rFonts w:ascii="Times New Roman" w:hAnsi="Times New Roman"/>
                <w:sz w:val="24"/>
                <w:szCs w:val="24"/>
              </w:rPr>
            </w:pPr>
            <w:r w:rsidRPr="0053759E">
              <w:rPr>
                <w:rFonts w:ascii="Times New Roman" w:hAnsi="Times New Roman"/>
                <w:sz w:val="24"/>
                <w:szCs w:val="24"/>
              </w:rPr>
              <w:t xml:space="preserve">contain personal conflicts of interest policy or codes of conduct developed and implemented to comply with requirements; </w:t>
            </w:r>
          </w:p>
          <w:p w14:paraId="3B3E3060" w14:textId="66F7D04B" w:rsidR="00DC1292" w:rsidRPr="0053759E" w:rsidRDefault="008F2B99" w:rsidP="007C5663">
            <w:pPr>
              <w:pStyle w:val="ListParagraph"/>
              <w:widowControl w:val="0"/>
              <w:numPr>
                <w:ilvl w:val="0"/>
                <w:numId w:val="30"/>
              </w:numPr>
              <w:rPr>
                <w:rFonts w:ascii="Times New Roman" w:hAnsi="Times New Roman"/>
                <w:sz w:val="24"/>
                <w:szCs w:val="24"/>
              </w:rPr>
            </w:pPr>
            <w:r w:rsidRPr="00C75093">
              <w:rPr>
                <w:rFonts w:ascii="Times New Roman" w:hAnsi="Times New Roman"/>
                <w:sz w:val="24"/>
                <w:szCs w:val="24"/>
              </w:rPr>
              <w:t>demonstrate</w:t>
            </w:r>
            <w:r>
              <w:rPr>
                <w:rFonts w:ascii="Times New Roman" w:hAnsi="Times New Roman"/>
                <w:sz w:val="24"/>
                <w:szCs w:val="24"/>
              </w:rPr>
              <w:t xml:space="preserve"> </w:t>
            </w:r>
            <w:r w:rsidR="00DC1292" w:rsidRPr="0053759E">
              <w:rPr>
                <w:rFonts w:ascii="Times New Roman" w:hAnsi="Times New Roman"/>
                <w:sz w:val="24"/>
                <w:szCs w:val="24"/>
              </w:rPr>
              <w:t xml:space="preserve">that the </w:t>
            </w:r>
            <w:r w:rsidR="00C62099">
              <w:rPr>
                <w:rFonts w:ascii="Times New Roman" w:hAnsi="Times New Roman"/>
                <w:sz w:val="24"/>
                <w:szCs w:val="24"/>
              </w:rPr>
              <w:t xml:space="preserve">officers and </w:t>
            </w:r>
            <w:r w:rsidR="00DC1292" w:rsidRPr="0053759E">
              <w:rPr>
                <w:rFonts w:ascii="Times New Roman" w:hAnsi="Times New Roman"/>
                <w:sz w:val="24"/>
                <w:szCs w:val="24"/>
              </w:rPr>
              <w:t xml:space="preserve">staff of the </w:t>
            </w:r>
            <w:r w:rsidR="00C62099">
              <w:rPr>
                <w:rFonts w:ascii="Times New Roman" w:hAnsi="Times New Roman"/>
                <w:sz w:val="24"/>
                <w:szCs w:val="24"/>
              </w:rPr>
              <w:t>sub</w:t>
            </w:r>
            <w:r w:rsidR="00DC1292" w:rsidRPr="0053759E">
              <w:rPr>
                <w:rFonts w:ascii="Times New Roman" w:hAnsi="Times New Roman"/>
                <w:sz w:val="24"/>
                <w:szCs w:val="24"/>
              </w:rPr>
              <w:t xml:space="preserve">recipient and any contractors complied with the individual conflict of interest requirements at </w:t>
            </w:r>
            <w:r w:rsidR="003E72AB">
              <w:rPr>
                <w:rFonts w:ascii="Times New Roman" w:hAnsi="Times New Roman"/>
                <w:sz w:val="24"/>
                <w:szCs w:val="24"/>
              </w:rPr>
              <w:t xml:space="preserve">24 CFR </w:t>
            </w:r>
            <w:r w:rsidR="00DC1292" w:rsidRPr="0053759E">
              <w:rPr>
                <w:rFonts w:ascii="Times New Roman" w:hAnsi="Times New Roman"/>
                <w:sz w:val="24"/>
                <w:szCs w:val="24"/>
              </w:rPr>
              <w:t>576.404(b); or</w:t>
            </w:r>
          </w:p>
          <w:p w14:paraId="5BD2B39B" w14:textId="77777777" w:rsidR="00DC1292" w:rsidRPr="0053759E" w:rsidRDefault="00DC1292" w:rsidP="007C5663">
            <w:pPr>
              <w:pStyle w:val="ListParagraph"/>
              <w:widowControl w:val="0"/>
              <w:numPr>
                <w:ilvl w:val="0"/>
                <w:numId w:val="30"/>
              </w:numPr>
              <w:rPr>
                <w:rFonts w:ascii="Times New Roman" w:hAnsi="Times New Roman"/>
                <w:sz w:val="24"/>
                <w:szCs w:val="24"/>
              </w:rPr>
            </w:pPr>
            <w:r w:rsidRPr="0053759E">
              <w:rPr>
                <w:rFonts w:ascii="Times New Roman" w:hAnsi="Times New Roman"/>
                <w:sz w:val="24"/>
                <w:szCs w:val="24"/>
              </w:rPr>
              <w:t xml:space="preserve">contain documentation supporting any exceptions to the personal conflicts of interest prohibition? </w:t>
            </w:r>
          </w:p>
          <w:p w14:paraId="3D412E41" w14:textId="3CCB7524" w:rsidR="00BC0D68" w:rsidRDefault="00DC1292"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576.404(b)</w:t>
            </w:r>
            <w:r w:rsidR="001D59AA">
              <w:t>;</w:t>
            </w:r>
            <w:r w:rsidRPr="0053759E">
              <w:t xml:space="preserve"> </w:t>
            </w:r>
            <w:r>
              <w:t xml:space="preserve">24 CFR </w:t>
            </w:r>
            <w:r w:rsidRPr="0053759E">
              <w:t>576.500(p)]</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765E49D0" w14:textId="77777777" w:rsidTr="00BC0D68">
              <w:trPr>
                <w:trHeight w:val="170"/>
              </w:trPr>
              <w:tc>
                <w:tcPr>
                  <w:tcW w:w="425" w:type="dxa"/>
                </w:tcPr>
                <w:p w14:paraId="08985181"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567B65D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56FE570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1FEA37A9" w14:textId="77777777" w:rsidTr="00BC0D68">
              <w:trPr>
                <w:trHeight w:val="225"/>
              </w:trPr>
              <w:tc>
                <w:tcPr>
                  <w:tcW w:w="425" w:type="dxa"/>
                </w:tcPr>
                <w:p w14:paraId="1A42A45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9A6F66C"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54840C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76623A9"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2AE2A847" w14:textId="77777777" w:rsidTr="00BC0D68">
        <w:trPr>
          <w:cantSplit/>
        </w:trPr>
        <w:tc>
          <w:tcPr>
            <w:tcW w:w="9010" w:type="dxa"/>
            <w:gridSpan w:val="2"/>
            <w:tcBorders>
              <w:bottom w:val="nil"/>
            </w:tcBorders>
          </w:tcPr>
          <w:p w14:paraId="6ABB34BA"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3F58C40D" w14:textId="77777777" w:rsidTr="00BC0D68">
        <w:trPr>
          <w:cantSplit/>
        </w:trPr>
        <w:tc>
          <w:tcPr>
            <w:tcW w:w="9010" w:type="dxa"/>
            <w:gridSpan w:val="2"/>
            <w:tcBorders>
              <w:top w:val="nil"/>
            </w:tcBorders>
          </w:tcPr>
          <w:p w14:paraId="4431A376" w14:textId="3B8A4974" w:rsidR="008F2B99" w:rsidRDefault="00BC0D68" w:rsidP="00D41F2F">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660CED" w14:textId="5179F01F" w:rsidR="00031C48"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22</w:t>
      </w:r>
      <w:r w:rsidR="00BC0D68">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rsidRPr="003774B3" w14:paraId="67C31FB2" w14:textId="77777777" w:rsidTr="00BC0D68">
        <w:trPr>
          <w:trHeight w:val="773"/>
        </w:trPr>
        <w:tc>
          <w:tcPr>
            <w:tcW w:w="7385" w:type="dxa"/>
            <w:tcBorders>
              <w:bottom w:val="single" w:sz="4" w:space="0" w:color="auto"/>
            </w:tcBorders>
          </w:tcPr>
          <w:p w14:paraId="250AB0A6" w14:textId="7F59AF43" w:rsidR="00DC1292" w:rsidRPr="003774B3" w:rsidRDefault="00DC1292" w:rsidP="007C5663">
            <w:pPr>
              <w:widowControl w:val="0"/>
            </w:pPr>
            <w:r w:rsidRPr="003774B3">
              <w:rPr>
                <w:u w:val="single"/>
              </w:rPr>
              <w:t>Homeless Participation</w:t>
            </w:r>
            <w:r w:rsidR="00950799">
              <w:t>:  Did each</w:t>
            </w:r>
            <w:r w:rsidRPr="003774B3">
              <w:t xml:space="preserve"> subrecipient involve homeless individuals and families, to the maximum extent practicable, in constructing, renovating, maintaining, and operating facilities assisted under ESG, in providing services assisted under ESG, and in providing services for occupants of facilities assisted under ESG (could include employment or volunteer services)? </w:t>
            </w:r>
          </w:p>
          <w:p w14:paraId="26278DE6" w14:textId="77777777" w:rsidR="00BC0D68" w:rsidRPr="003774B3" w:rsidRDefault="00DC1292" w:rsidP="007C5663">
            <w:pPr>
              <w:pStyle w:val="Level1"/>
              <w:widowControl w:val="0"/>
              <w:tabs>
                <w:tab w:val="left" w:pos="720"/>
                <w:tab w:val="left" w:pos="1440"/>
                <w:tab w:val="left" w:pos="2160"/>
                <w:tab w:val="left" w:pos="2880"/>
                <w:tab w:val="left" w:pos="3600"/>
                <w:tab w:val="left" w:pos="5040"/>
                <w:tab w:val="left" w:pos="5760"/>
                <w:tab w:val="left" w:pos="6480"/>
              </w:tabs>
            </w:pPr>
            <w:r w:rsidRPr="003774B3">
              <w:t>[</w:t>
            </w:r>
            <w:r w:rsidR="00E046E3" w:rsidRPr="003774B3">
              <w:t xml:space="preserve">24 CFR </w:t>
            </w:r>
            <w:r w:rsidRPr="003774B3">
              <w:t>576.405(c)]</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rsidRPr="003774B3" w14:paraId="486DEFCB" w14:textId="77777777" w:rsidTr="00BC0D68">
              <w:trPr>
                <w:trHeight w:val="170"/>
              </w:trPr>
              <w:tc>
                <w:tcPr>
                  <w:tcW w:w="425" w:type="dxa"/>
                </w:tcPr>
                <w:p w14:paraId="567B6FDE"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Check1"/>
                        <w:enabled/>
                        <w:calcOnExit w:val="0"/>
                        <w:checkBox>
                          <w:sizeAuto/>
                          <w:default w:val="0"/>
                        </w:checkBox>
                      </w:ffData>
                    </w:fldChar>
                  </w:r>
                  <w:r w:rsidRPr="003774B3">
                    <w:instrText xml:space="preserve"> FORMCHECKBOX </w:instrText>
                  </w:r>
                  <w:r w:rsidR="00DE6AC8">
                    <w:fldChar w:fldCharType="separate"/>
                  </w:r>
                  <w:r w:rsidRPr="003774B3">
                    <w:fldChar w:fldCharType="end"/>
                  </w:r>
                </w:p>
              </w:tc>
              <w:tc>
                <w:tcPr>
                  <w:tcW w:w="576" w:type="dxa"/>
                </w:tcPr>
                <w:p w14:paraId="587F8425"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Check1"/>
                        <w:enabled/>
                        <w:calcOnExit w:val="0"/>
                        <w:checkBox>
                          <w:sizeAuto/>
                          <w:default w:val="0"/>
                        </w:checkBox>
                      </w:ffData>
                    </w:fldChar>
                  </w:r>
                  <w:r w:rsidRPr="003774B3">
                    <w:instrText xml:space="preserve"> FORMCHECKBOX </w:instrText>
                  </w:r>
                  <w:r w:rsidR="00DE6AC8">
                    <w:fldChar w:fldCharType="separate"/>
                  </w:r>
                  <w:r w:rsidRPr="003774B3">
                    <w:fldChar w:fldCharType="end"/>
                  </w:r>
                </w:p>
              </w:tc>
              <w:tc>
                <w:tcPr>
                  <w:tcW w:w="606" w:type="dxa"/>
                </w:tcPr>
                <w:p w14:paraId="2EFD59E2"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
                        <w:enabled/>
                        <w:calcOnExit w:val="0"/>
                        <w:checkBox>
                          <w:sizeAuto/>
                          <w:default w:val="0"/>
                        </w:checkBox>
                      </w:ffData>
                    </w:fldChar>
                  </w:r>
                  <w:r w:rsidRPr="003774B3">
                    <w:instrText xml:space="preserve"> FORMCHECKBOX </w:instrText>
                  </w:r>
                  <w:r w:rsidR="00DE6AC8">
                    <w:fldChar w:fldCharType="separate"/>
                  </w:r>
                  <w:r w:rsidRPr="003774B3">
                    <w:fldChar w:fldCharType="end"/>
                  </w:r>
                </w:p>
              </w:tc>
            </w:tr>
            <w:tr w:rsidR="00BC0D68" w:rsidRPr="003774B3" w14:paraId="259A93EA" w14:textId="77777777" w:rsidTr="00BC0D68">
              <w:trPr>
                <w:trHeight w:val="225"/>
              </w:trPr>
              <w:tc>
                <w:tcPr>
                  <w:tcW w:w="425" w:type="dxa"/>
                </w:tcPr>
                <w:p w14:paraId="3C951D88"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Yes</w:t>
                  </w:r>
                </w:p>
              </w:tc>
              <w:tc>
                <w:tcPr>
                  <w:tcW w:w="576" w:type="dxa"/>
                </w:tcPr>
                <w:p w14:paraId="3F9ABBA1"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No</w:t>
                  </w:r>
                </w:p>
              </w:tc>
              <w:tc>
                <w:tcPr>
                  <w:tcW w:w="606" w:type="dxa"/>
                </w:tcPr>
                <w:p w14:paraId="2E1CE56F"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N/A</w:t>
                  </w:r>
                </w:p>
              </w:tc>
            </w:tr>
          </w:tbl>
          <w:p w14:paraId="36294183"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rsidRPr="003774B3" w14:paraId="7FCC10A2" w14:textId="77777777" w:rsidTr="00BC0D68">
        <w:trPr>
          <w:cantSplit/>
        </w:trPr>
        <w:tc>
          <w:tcPr>
            <w:tcW w:w="9010" w:type="dxa"/>
            <w:gridSpan w:val="2"/>
            <w:tcBorders>
              <w:bottom w:val="nil"/>
            </w:tcBorders>
          </w:tcPr>
          <w:p w14:paraId="43A3D917"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sidRPr="003774B3">
              <w:rPr>
                <w:b/>
                <w:bCs/>
              </w:rPr>
              <w:t>Describe Basis for Conclusion:</w:t>
            </w:r>
          </w:p>
        </w:tc>
      </w:tr>
      <w:tr w:rsidR="00BC0D68" w:rsidRPr="003774B3" w14:paraId="2A7094A3" w14:textId="77777777" w:rsidTr="00BC0D68">
        <w:trPr>
          <w:cantSplit/>
        </w:trPr>
        <w:tc>
          <w:tcPr>
            <w:tcW w:w="9010" w:type="dxa"/>
            <w:gridSpan w:val="2"/>
            <w:tcBorders>
              <w:top w:val="nil"/>
            </w:tcBorders>
          </w:tcPr>
          <w:p w14:paraId="6D211D5E" w14:textId="2BCBA239" w:rsidR="008F2B99" w:rsidRPr="003774B3" w:rsidRDefault="00BC0D68" w:rsidP="00D41F2F">
            <w:pPr>
              <w:pStyle w:val="Level1"/>
              <w:widowControl w:val="0"/>
              <w:tabs>
                <w:tab w:val="left" w:pos="720"/>
                <w:tab w:val="left" w:pos="1440"/>
                <w:tab w:val="left" w:pos="2160"/>
                <w:tab w:val="left" w:pos="2880"/>
                <w:tab w:val="left" w:pos="3600"/>
                <w:tab w:val="left" w:pos="5040"/>
                <w:tab w:val="left" w:pos="5760"/>
                <w:tab w:val="left" w:pos="6480"/>
              </w:tabs>
            </w:pPr>
            <w:r w:rsidRPr="003774B3">
              <w:fldChar w:fldCharType="begin">
                <w:ffData>
                  <w:name w:val="Text12"/>
                  <w:enabled/>
                  <w:calcOnExit w:val="0"/>
                  <w:textInput/>
                </w:ffData>
              </w:fldChar>
            </w:r>
            <w:r w:rsidRPr="003774B3">
              <w:instrText xml:space="preserve"> FORMTEXT </w:instrText>
            </w:r>
            <w:r w:rsidRPr="003774B3">
              <w:fldChar w:fldCharType="separate"/>
            </w:r>
            <w:r w:rsidRPr="003774B3">
              <w:rPr>
                <w:noProof/>
              </w:rPr>
              <w:t> </w:t>
            </w:r>
            <w:r w:rsidRPr="003774B3">
              <w:rPr>
                <w:noProof/>
              </w:rPr>
              <w:t> </w:t>
            </w:r>
            <w:r w:rsidRPr="003774B3">
              <w:rPr>
                <w:noProof/>
              </w:rPr>
              <w:t> </w:t>
            </w:r>
            <w:r w:rsidRPr="003774B3">
              <w:rPr>
                <w:noProof/>
              </w:rPr>
              <w:t> </w:t>
            </w:r>
            <w:r w:rsidRPr="003774B3">
              <w:rPr>
                <w:noProof/>
              </w:rPr>
              <w:t> </w:t>
            </w:r>
            <w:r w:rsidRPr="003774B3">
              <w:fldChar w:fldCharType="end"/>
            </w:r>
          </w:p>
        </w:tc>
      </w:tr>
    </w:tbl>
    <w:p w14:paraId="3C0303DC" w14:textId="4DFDA7E8" w:rsidR="00E513AB" w:rsidRPr="003774B3" w:rsidRDefault="001D5EA7" w:rsidP="007C5663">
      <w:pPr>
        <w:pStyle w:val="ListParagraph"/>
        <w:widowControl w:val="0"/>
        <w:ind w:left="0"/>
        <w:rPr>
          <w:rFonts w:ascii="Times New Roman" w:eastAsia="MS Gothic" w:hAnsi="Times New Roman"/>
          <w:sz w:val="24"/>
          <w:szCs w:val="24"/>
        </w:rPr>
      </w:pPr>
      <w:r>
        <w:rPr>
          <w:rFonts w:ascii="Times New Roman" w:eastAsia="MS Gothic" w:hAnsi="Times New Roman"/>
          <w:sz w:val="24"/>
          <w:szCs w:val="24"/>
        </w:rPr>
        <w:t>23</w:t>
      </w:r>
      <w:r w:rsidR="00BC0D68" w:rsidRPr="003774B3">
        <w:rPr>
          <w:rFonts w:ascii="Times New Roman" w:eastAsia="MS Gothic"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rsidRPr="003774B3" w14:paraId="70DBA680" w14:textId="77777777" w:rsidTr="00BC0D68">
        <w:trPr>
          <w:trHeight w:val="773"/>
        </w:trPr>
        <w:tc>
          <w:tcPr>
            <w:tcW w:w="7385" w:type="dxa"/>
            <w:tcBorders>
              <w:bottom w:val="single" w:sz="4" w:space="0" w:color="auto"/>
            </w:tcBorders>
          </w:tcPr>
          <w:p w14:paraId="5AB7F62C" w14:textId="1E08E304" w:rsidR="00A81B79" w:rsidRPr="003774B3" w:rsidRDefault="003774B3" w:rsidP="007C5663">
            <w:pPr>
              <w:pStyle w:val="ColorfulList-Accent11"/>
              <w:widowControl w:val="0"/>
              <w:ind w:left="5"/>
              <w:rPr>
                <w:rFonts w:ascii="Times New Roman" w:hAnsi="Times New Roman"/>
                <w:sz w:val="24"/>
                <w:szCs w:val="24"/>
              </w:rPr>
            </w:pPr>
            <w:r>
              <w:rPr>
                <w:rFonts w:ascii="Times New Roman" w:hAnsi="Times New Roman"/>
                <w:sz w:val="24"/>
                <w:szCs w:val="24"/>
                <w:u w:val="single"/>
              </w:rPr>
              <w:t>F</w:t>
            </w:r>
            <w:r w:rsidR="00E046E3" w:rsidRPr="003774B3">
              <w:rPr>
                <w:rFonts w:ascii="Times New Roman" w:hAnsi="Times New Roman"/>
                <w:sz w:val="24"/>
                <w:szCs w:val="24"/>
                <w:u w:val="single"/>
              </w:rPr>
              <w:t>aith-Based Activities</w:t>
            </w:r>
            <w:r w:rsidR="00950799">
              <w:rPr>
                <w:rFonts w:ascii="Times New Roman" w:hAnsi="Times New Roman"/>
                <w:sz w:val="24"/>
                <w:szCs w:val="24"/>
              </w:rPr>
              <w:t>:  Did each</w:t>
            </w:r>
            <w:r w:rsidR="00E046E3" w:rsidRPr="003774B3">
              <w:rPr>
                <w:rFonts w:ascii="Times New Roman" w:hAnsi="Times New Roman"/>
                <w:sz w:val="24"/>
                <w:szCs w:val="24"/>
              </w:rPr>
              <w:t xml:space="preserve"> subrecipient ensure that </w:t>
            </w:r>
            <w:r w:rsidR="00950799">
              <w:rPr>
                <w:rFonts w:ascii="Times New Roman" w:hAnsi="Times New Roman"/>
                <w:sz w:val="24"/>
                <w:szCs w:val="24"/>
              </w:rPr>
              <w:t>i</w:t>
            </w:r>
            <w:r w:rsidR="00C75093">
              <w:rPr>
                <w:rFonts w:ascii="Times New Roman" w:hAnsi="Times New Roman"/>
                <w:sz w:val="24"/>
                <w:szCs w:val="24"/>
              </w:rPr>
              <w:t>t</w:t>
            </w:r>
            <w:r w:rsidR="00E046E3" w:rsidRPr="003774B3">
              <w:rPr>
                <w:rFonts w:ascii="Times New Roman" w:hAnsi="Times New Roman"/>
                <w:sz w:val="24"/>
                <w:szCs w:val="24"/>
              </w:rPr>
              <w:t xml:space="preserve"> did not engage in inherently religious activities as part of the programs or services funded under ESG?  </w:t>
            </w:r>
            <w:r w:rsidR="00C75093">
              <w:rPr>
                <w:rFonts w:ascii="Times New Roman" w:hAnsi="Times New Roman"/>
                <w:sz w:val="24"/>
                <w:szCs w:val="24"/>
              </w:rPr>
              <w:t>If the subrecipient</w:t>
            </w:r>
            <w:r w:rsidR="00A81B79" w:rsidRPr="003774B3">
              <w:rPr>
                <w:rFonts w:ascii="Times New Roman" w:hAnsi="Times New Roman"/>
                <w:sz w:val="24"/>
                <w:szCs w:val="24"/>
              </w:rPr>
              <w:t xml:space="preserve"> conduct</w:t>
            </w:r>
            <w:r w:rsidR="00950799">
              <w:rPr>
                <w:rFonts w:ascii="Times New Roman" w:hAnsi="Times New Roman"/>
                <w:sz w:val="24"/>
                <w:szCs w:val="24"/>
              </w:rPr>
              <w:t>ed</w:t>
            </w:r>
            <w:r w:rsidR="00A81B79" w:rsidRPr="003774B3">
              <w:rPr>
                <w:rFonts w:ascii="Times New Roman" w:hAnsi="Times New Roman"/>
                <w:sz w:val="24"/>
                <w:szCs w:val="24"/>
              </w:rPr>
              <w:t xml:space="preserve"> these activities, were they offered separately, in time or location, from the programs or services funded under ESG, and was participation voluntary for all program participants? </w:t>
            </w:r>
          </w:p>
          <w:p w14:paraId="6ACB4F68" w14:textId="2683F342" w:rsidR="00BC0D68" w:rsidRPr="003774B3" w:rsidRDefault="001D59AA" w:rsidP="007C5663">
            <w:pPr>
              <w:pStyle w:val="Level1"/>
              <w:widowControl w:val="0"/>
              <w:tabs>
                <w:tab w:val="left" w:pos="720"/>
                <w:tab w:val="left" w:pos="1440"/>
                <w:tab w:val="left" w:pos="2160"/>
                <w:tab w:val="left" w:pos="2880"/>
                <w:tab w:val="left" w:pos="3600"/>
                <w:tab w:val="left" w:pos="5040"/>
                <w:tab w:val="left" w:pos="5760"/>
                <w:tab w:val="left" w:pos="6480"/>
              </w:tabs>
            </w:pPr>
            <w:r>
              <w:t>[24 CFR 576.406(b);</w:t>
            </w:r>
            <w:r w:rsidR="00E046E3" w:rsidRPr="003774B3">
              <w:t xml:space="preserve"> 24 CFR 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rsidRPr="003774B3" w14:paraId="43FEF8D4" w14:textId="77777777" w:rsidTr="00BC0D68">
              <w:trPr>
                <w:trHeight w:val="170"/>
              </w:trPr>
              <w:tc>
                <w:tcPr>
                  <w:tcW w:w="425" w:type="dxa"/>
                </w:tcPr>
                <w:p w14:paraId="14B233B5"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Check1"/>
                        <w:enabled/>
                        <w:calcOnExit w:val="0"/>
                        <w:checkBox>
                          <w:sizeAuto/>
                          <w:default w:val="0"/>
                        </w:checkBox>
                      </w:ffData>
                    </w:fldChar>
                  </w:r>
                  <w:r w:rsidRPr="003774B3">
                    <w:instrText xml:space="preserve"> FORMCHECKBOX </w:instrText>
                  </w:r>
                  <w:r w:rsidR="00DE6AC8">
                    <w:fldChar w:fldCharType="separate"/>
                  </w:r>
                  <w:r w:rsidRPr="003774B3">
                    <w:fldChar w:fldCharType="end"/>
                  </w:r>
                </w:p>
              </w:tc>
              <w:tc>
                <w:tcPr>
                  <w:tcW w:w="576" w:type="dxa"/>
                </w:tcPr>
                <w:p w14:paraId="13766206"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Check1"/>
                        <w:enabled/>
                        <w:calcOnExit w:val="0"/>
                        <w:checkBox>
                          <w:sizeAuto/>
                          <w:default w:val="0"/>
                        </w:checkBox>
                      </w:ffData>
                    </w:fldChar>
                  </w:r>
                  <w:r w:rsidRPr="003774B3">
                    <w:instrText xml:space="preserve"> FORMCHECKBOX </w:instrText>
                  </w:r>
                  <w:r w:rsidR="00DE6AC8">
                    <w:fldChar w:fldCharType="separate"/>
                  </w:r>
                  <w:r w:rsidRPr="003774B3">
                    <w:fldChar w:fldCharType="end"/>
                  </w:r>
                </w:p>
              </w:tc>
              <w:tc>
                <w:tcPr>
                  <w:tcW w:w="606" w:type="dxa"/>
                </w:tcPr>
                <w:p w14:paraId="3F9B4DA8"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pPr>
                  <w:r w:rsidRPr="003774B3">
                    <w:fldChar w:fldCharType="begin">
                      <w:ffData>
                        <w:name w:val=""/>
                        <w:enabled/>
                        <w:calcOnExit w:val="0"/>
                        <w:checkBox>
                          <w:sizeAuto/>
                          <w:default w:val="0"/>
                        </w:checkBox>
                      </w:ffData>
                    </w:fldChar>
                  </w:r>
                  <w:r w:rsidRPr="003774B3">
                    <w:instrText xml:space="preserve"> FORMCHECKBOX </w:instrText>
                  </w:r>
                  <w:r w:rsidR="00DE6AC8">
                    <w:fldChar w:fldCharType="separate"/>
                  </w:r>
                  <w:r w:rsidRPr="003774B3">
                    <w:fldChar w:fldCharType="end"/>
                  </w:r>
                </w:p>
              </w:tc>
            </w:tr>
            <w:tr w:rsidR="00BC0D68" w:rsidRPr="003774B3" w14:paraId="20C6D813" w14:textId="77777777" w:rsidTr="00BC0D68">
              <w:trPr>
                <w:trHeight w:val="225"/>
              </w:trPr>
              <w:tc>
                <w:tcPr>
                  <w:tcW w:w="425" w:type="dxa"/>
                </w:tcPr>
                <w:p w14:paraId="279CABD8"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Yes</w:t>
                  </w:r>
                </w:p>
              </w:tc>
              <w:tc>
                <w:tcPr>
                  <w:tcW w:w="576" w:type="dxa"/>
                </w:tcPr>
                <w:p w14:paraId="4079343E"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No</w:t>
                  </w:r>
                </w:p>
              </w:tc>
              <w:tc>
                <w:tcPr>
                  <w:tcW w:w="606" w:type="dxa"/>
                </w:tcPr>
                <w:p w14:paraId="04D5FFE6"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b/>
                      <w:bCs/>
                    </w:rPr>
                  </w:pPr>
                  <w:r w:rsidRPr="003774B3">
                    <w:rPr>
                      <w:b/>
                      <w:bCs/>
                    </w:rPr>
                    <w:t>N/A</w:t>
                  </w:r>
                </w:p>
              </w:tc>
            </w:tr>
          </w:tbl>
          <w:p w14:paraId="075C0941"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rsidRPr="003774B3" w14:paraId="5CB876D3" w14:textId="77777777" w:rsidTr="00BC0D68">
        <w:trPr>
          <w:cantSplit/>
        </w:trPr>
        <w:tc>
          <w:tcPr>
            <w:tcW w:w="9010" w:type="dxa"/>
            <w:gridSpan w:val="2"/>
            <w:tcBorders>
              <w:bottom w:val="nil"/>
            </w:tcBorders>
          </w:tcPr>
          <w:p w14:paraId="358F7CEE" w14:textId="77777777" w:rsidR="00BC0D68" w:rsidRPr="003774B3"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sidRPr="003774B3">
              <w:rPr>
                <w:b/>
                <w:bCs/>
              </w:rPr>
              <w:t>Describe Basis for Conclusion:</w:t>
            </w:r>
          </w:p>
        </w:tc>
      </w:tr>
      <w:tr w:rsidR="00BC0D68" w:rsidRPr="003774B3" w14:paraId="00A0B02B" w14:textId="77777777" w:rsidTr="00BC0D68">
        <w:trPr>
          <w:cantSplit/>
        </w:trPr>
        <w:tc>
          <w:tcPr>
            <w:tcW w:w="9010" w:type="dxa"/>
            <w:gridSpan w:val="2"/>
            <w:tcBorders>
              <w:top w:val="nil"/>
            </w:tcBorders>
          </w:tcPr>
          <w:p w14:paraId="1A350F82" w14:textId="43B6619A" w:rsidR="00BC0D68" w:rsidRPr="003774B3" w:rsidRDefault="00BC0D68" w:rsidP="00D41F2F">
            <w:pPr>
              <w:pStyle w:val="Level1"/>
              <w:widowControl w:val="0"/>
              <w:tabs>
                <w:tab w:val="left" w:pos="720"/>
                <w:tab w:val="left" w:pos="1440"/>
                <w:tab w:val="left" w:pos="2160"/>
                <w:tab w:val="left" w:pos="2880"/>
                <w:tab w:val="left" w:pos="3600"/>
                <w:tab w:val="left" w:pos="5040"/>
                <w:tab w:val="left" w:pos="5760"/>
                <w:tab w:val="left" w:pos="6480"/>
              </w:tabs>
            </w:pPr>
            <w:r w:rsidRPr="003774B3">
              <w:fldChar w:fldCharType="begin">
                <w:ffData>
                  <w:name w:val="Text12"/>
                  <w:enabled/>
                  <w:calcOnExit w:val="0"/>
                  <w:textInput/>
                </w:ffData>
              </w:fldChar>
            </w:r>
            <w:r w:rsidRPr="003774B3">
              <w:instrText xml:space="preserve"> FORMTEXT </w:instrText>
            </w:r>
            <w:r w:rsidRPr="003774B3">
              <w:fldChar w:fldCharType="separate"/>
            </w:r>
            <w:r w:rsidRPr="003774B3">
              <w:rPr>
                <w:noProof/>
              </w:rPr>
              <w:t> </w:t>
            </w:r>
            <w:r w:rsidRPr="003774B3">
              <w:rPr>
                <w:noProof/>
              </w:rPr>
              <w:t> </w:t>
            </w:r>
            <w:r w:rsidRPr="003774B3">
              <w:rPr>
                <w:noProof/>
              </w:rPr>
              <w:t> </w:t>
            </w:r>
            <w:r w:rsidRPr="003774B3">
              <w:rPr>
                <w:noProof/>
              </w:rPr>
              <w:t> </w:t>
            </w:r>
            <w:r w:rsidRPr="003774B3">
              <w:rPr>
                <w:noProof/>
              </w:rPr>
              <w:t> </w:t>
            </w:r>
            <w:r w:rsidRPr="003774B3">
              <w:fldChar w:fldCharType="end"/>
            </w:r>
          </w:p>
        </w:tc>
      </w:tr>
    </w:tbl>
    <w:p w14:paraId="2F930F1B" w14:textId="171F5689" w:rsidR="00322AF8" w:rsidRDefault="001D5EA7" w:rsidP="007C5663">
      <w:pPr>
        <w:pStyle w:val="ListParagraph"/>
        <w:widowControl w:val="0"/>
        <w:ind w:left="0"/>
        <w:rPr>
          <w:rFonts w:ascii="Times New Roman" w:eastAsia="MS Gothic" w:hAnsi="Times New Roman"/>
          <w:sz w:val="24"/>
          <w:szCs w:val="24"/>
        </w:rPr>
      </w:pPr>
      <w:r>
        <w:rPr>
          <w:rFonts w:ascii="Times New Roman" w:eastAsia="MS Gothic" w:hAnsi="Times New Roman"/>
          <w:sz w:val="24"/>
          <w:szCs w:val="24"/>
        </w:rPr>
        <w:t>24</w:t>
      </w:r>
      <w:r w:rsidR="00BC0D68">
        <w:rPr>
          <w:rFonts w:ascii="Times New Roman" w:eastAsia="MS Gothic"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C0D68" w14:paraId="66EE2E6B" w14:textId="77777777" w:rsidTr="00BC0D68">
        <w:trPr>
          <w:trHeight w:val="773"/>
        </w:trPr>
        <w:tc>
          <w:tcPr>
            <w:tcW w:w="7385" w:type="dxa"/>
            <w:tcBorders>
              <w:bottom w:val="single" w:sz="4" w:space="0" w:color="auto"/>
            </w:tcBorders>
          </w:tcPr>
          <w:p w14:paraId="37B73C1A" w14:textId="524D2F8E" w:rsidR="00E046E3" w:rsidRPr="0053759E" w:rsidRDefault="00E046E3" w:rsidP="007C5663">
            <w:pPr>
              <w:widowControl w:val="0"/>
            </w:pPr>
            <w:r w:rsidRPr="0053759E">
              <w:rPr>
                <w:u w:val="single"/>
              </w:rPr>
              <w:t>Faith-Based Activities</w:t>
            </w:r>
            <w:r w:rsidR="00950799">
              <w:t>:  Did each</w:t>
            </w:r>
            <w:r w:rsidRPr="0053759E">
              <w:t xml:space="preserve"> subrecipient ensure that </w:t>
            </w:r>
            <w:r w:rsidR="00950799">
              <w:t>i</w:t>
            </w:r>
            <w:r w:rsidRPr="0053759E">
              <w:t xml:space="preserve">t did not discriminate against a program participant or prospective program participant on the basis of religion or religious belief?  </w:t>
            </w:r>
          </w:p>
          <w:p w14:paraId="0B8986C1" w14:textId="4774F7FC" w:rsidR="00BC0D68" w:rsidRDefault="00E046E3"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576.406(d)</w:t>
            </w:r>
            <w:r w:rsidR="001D59AA">
              <w:t>;</w:t>
            </w:r>
            <w:r w:rsidR="001E5FFF">
              <w:t xml:space="preserve"> 24 CFR </w:t>
            </w:r>
            <w:r w:rsidRPr="0053759E">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C0D68" w14:paraId="78ECA692" w14:textId="77777777" w:rsidTr="00BC0D68">
              <w:trPr>
                <w:trHeight w:val="170"/>
              </w:trPr>
              <w:tc>
                <w:tcPr>
                  <w:tcW w:w="425" w:type="dxa"/>
                </w:tcPr>
                <w:p w14:paraId="3603590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397C37B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6D733CB4"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C0D68" w14:paraId="15983720" w14:textId="77777777" w:rsidTr="00BC0D68">
              <w:trPr>
                <w:trHeight w:val="225"/>
              </w:trPr>
              <w:tc>
                <w:tcPr>
                  <w:tcW w:w="425" w:type="dxa"/>
                </w:tcPr>
                <w:p w14:paraId="29BF1F82"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4288A6E"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2536D63"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B877708"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BC0D68" w14:paraId="3B6C15CC" w14:textId="77777777" w:rsidTr="00BC0D68">
        <w:trPr>
          <w:cantSplit/>
        </w:trPr>
        <w:tc>
          <w:tcPr>
            <w:tcW w:w="9010" w:type="dxa"/>
            <w:gridSpan w:val="2"/>
            <w:tcBorders>
              <w:bottom w:val="nil"/>
            </w:tcBorders>
          </w:tcPr>
          <w:p w14:paraId="5A77A7C5" w14:textId="77777777" w:rsidR="00BC0D68" w:rsidRDefault="00BC0D68"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C0D68" w14:paraId="4C3885B1" w14:textId="77777777" w:rsidTr="00BC0D68">
        <w:trPr>
          <w:cantSplit/>
        </w:trPr>
        <w:tc>
          <w:tcPr>
            <w:tcW w:w="9010" w:type="dxa"/>
            <w:gridSpan w:val="2"/>
            <w:tcBorders>
              <w:top w:val="nil"/>
            </w:tcBorders>
          </w:tcPr>
          <w:p w14:paraId="50724E74" w14:textId="0D20A8FB" w:rsidR="00AF2675" w:rsidRDefault="00BC0D68" w:rsidP="00D41F2F">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E2EA3E2" w14:textId="284784C9" w:rsidR="00322AF8" w:rsidRDefault="001D5EA7" w:rsidP="007C5663">
      <w:pPr>
        <w:pStyle w:val="ListParagraph"/>
        <w:widowControl w:val="0"/>
        <w:ind w:left="0"/>
        <w:rPr>
          <w:rFonts w:ascii="Times New Roman" w:eastAsia="MS Gothic" w:hAnsi="Times New Roman"/>
          <w:sz w:val="24"/>
          <w:szCs w:val="24"/>
        </w:rPr>
      </w:pPr>
      <w:r>
        <w:rPr>
          <w:rFonts w:ascii="Times New Roman" w:eastAsia="MS Gothic" w:hAnsi="Times New Roman"/>
          <w:sz w:val="24"/>
          <w:szCs w:val="24"/>
        </w:rPr>
        <w:lastRenderedPageBreak/>
        <w:t>25</w:t>
      </w:r>
      <w:r w:rsidR="00757E00">
        <w:rPr>
          <w:rFonts w:ascii="Times New Roman" w:eastAsia="MS Gothic"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E00" w14:paraId="0FD329C4" w14:textId="77777777" w:rsidTr="00C807B8">
        <w:trPr>
          <w:trHeight w:val="773"/>
        </w:trPr>
        <w:tc>
          <w:tcPr>
            <w:tcW w:w="7385" w:type="dxa"/>
            <w:tcBorders>
              <w:bottom w:val="single" w:sz="4" w:space="0" w:color="auto"/>
            </w:tcBorders>
          </w:tcPr>
          <w:p w14:paraId="7E51CC3F" w14:textId="417C6AE4" w:rsidR="001E5FFF" w:rsidRPr="0053759E" w:rsidRDefault="001E5FFF" w:rsidP="007C5663">
            <w:pPr>
              <w:widowControl w:val="0"/>
            </w:pPr>
            <w:r w:rsidRPr="0053759E">
              <w:rPr>
                <w:u w:val="single"/>
              </w:rPr>
              <w:t>Faith-Based Activities</w:t>
            </w:r>
            <w:r w:rsidR="00241BD3">
              <w:rPr>
                <w:u w:val="single"/>
              </w:rPr>
              <w:t xml:space="preserve"> (Rehabilitation)</w:t>
            </w:r>
            <w:r w:rsidR="00950799">
              <w:t>:  Did each</w:t>
            </w:r>
            <w:r w:rsidRPr="0053759E">
              <w:t xml:space="preserve"> subrecipient ensure that ESG funds were not used for the rehabilitation of sanctuaries, chapels, or other rooms that an ESG-funded religious congregation uses as its principal place of worship?   </w:t>
            </w:r>
          </w:p>
          <w:p w14:paraId="2315811A" w14:textId="3FC6AB13" w:rsidR="00757E00" w:rsidRDefault="001E5FFF"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576.406(e)</w:t>
            </w:r>
            <w:r w:rsidR="001D59AA">
              <w:t>;</w:t>
            </w:r>
            <w:r>
              <w:t xml:space="preserve"> 24 CFR </w:t>
            </w:r>
            <w:r w:rsidRPr="0053759E">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E00" w14:paraId="25D674A4" w14:textId="77777777" w:rsidTr="00C807B8">
              <w:trPr>
                <w:trHeight w:val="170"/>
              </w:trPr>
              <w:tc>
                <w:tcPr>
                  <w:tcW w:w="425" w:type="dxa"/>
                </w:tcPr>
                <w:p w14:paraId="0B0691CC"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1614004D"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185C3E80"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757E00" w14:paraId="14A2F52A" w14:textId="77777777" w:rsidTr="00C807B8">
              <w:trPr>
                <w:trHeight w:val="225"/>
              </w:trPr>
              <w:tc>
                <w:tcPr>
                  <w:tcW w:w="425" w:type="dxa"/>
                </w:tcPr>
                <w:p w14:paraId="2F457DA3"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17F1A9B0"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D0785C1"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AA3FAA3"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757E00" w14:paraId="22DACC7C" w14:textId="77777777" w:rsidTr="00C807B8">
        <w:trPr>
          <w:cantSplit/>
        </w:trPr>
        <w:tc>
          <w:tcPr>
            <w:tcW w:w="9010" w:type="dxa"/>
            <w:gridSpan w:val="2"/>
            <w:tcBorders>
              <w:bottom w:val="nil"/>
            </w:tcBorders>
          </w:tcPr>
          <w:p w14:paraId="32F602EB"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E00" w14:paraId="1F253D0F" w14:textId="77777777" w:rsidTr="00C807B8">
        <w:trPr>
          <w:cantSplit/>
        </w:trPr>
        <w:tc>
          <w:tcPr>
            <w:tcW w:w="9010" w:type="dxa"/>
            <w:gridSpan w:val="2"/>
            <w:tcBorders>
              <w:top w:val="nil"/>
            </w:tcBorders>
          </w:tcPr>
          <w:p w14:paraId="30C8B71A" w14:textId="1B4C5A80" w:rsidR="00757E00" w:rsidRDefault="00757E00" w:rsidP="00F0028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A42F67" w14:textId="5ABDE3A4" w:rsidR="00322AF8" w:rsidRDefault="001D5EA7" w:rsidP="007C5663">
      <w:pPr>
        <w:pStyle w:val="ListParagraph"/>
        <w:widowControl w:val="0"/>
        <w:ind w:left="0"/>
        <w:rPr>
          <w:rFonts w:ascii="Times New Roman" w:eastAsia="MS Gothic" w:hAnsi="Times New Roman"/>
          <w:sz w:val="24"/>
          <w:szCs w:val="24"/>
        </w:rPr>
      </w:pPr>
      <w:r>
        <w:rPr>
          <w:rFonts w:ascii="Times New Roman" w:eastAsia="MS Gothic" w:hAnsi="Times New Roman"/>
          <w:sz w:val="24"/>
          <w:szCs w:val="24"/>
        </w:rPr>
        <w:t>26</w:t>
      </w:r>
      <w:r w:rsidR="00757E00">
        <w:rPr>
          <w:rFonts w:ascii="Times New Roman" w:eastAsia="MS Gothic"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E00" w14:paraId="7DDA0828" w14:textId="77777777" w:rsidTr="00C807B8">
        <w:trPr>
          <w:trHeight w:val="773"/>
        </w:trPr>
        <w:tc>
          <w:tcPr>
            <w:tcW w:w="7385" w:type="dxa"/>
            <w:tcBorders>
              <w:bottom w:val="single" w:sz="4" w:space="0" w:color="auto"/>
            </w:tcBorders>
          </w:tcPr>
          <w:p w14:paraId="1FBB8326" w14:textId="36C36435" w:rsidR="001E5FFF" w:rsidRPr="0053759E" w:rsidRDefault="001E5FFF" w:rsidP="007C5663">
            <w:pPr>
              <w:widowControl w:val="0"/>
            </w:pPr>
            <w:r w:rsidRPr="0053759E">
              <w:rPr>
                <w:u w:val="single"/>
              </w:rPr>
              <w:t>Faith-Based Activities (Rehabilitation)</w:t>
            </w:r>
            <w:r w:rsidRPr="0053759E">
              <w:t xml:space="preserve">:  If a structure is used for both eligible and inherently religious activities, did the subrecipient ensure that the amount of ESG funds used was limited to the costs of those portions of the rehabilitation that are attributable to eligible activities in accordance with the cost accounting requirements applicable to ESG funds? </w:t>
            </w:r>
          </w:p>
          <w:p w14:paraId="77A2FEAD" w14:textId="52B27A15" w:rsidR="00757E00" w:rsidRDefault="001E5FFF"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001D59AA">
              <w:t>576.406(e);</w:t>
            </w:r>
            <w:r w:rsidRPr="0053759E">
              <w:t xml:space="preserve"> </w:t>
            </w:r>
            <w:r>
              <w:t xml:space="preserve">24 CFR </w:t>
            </w:r>
            <w:r w:rsidRPr="0053759E">
              <w:t>576.500(r)]</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E00" w14:paraId="7D8CFD11" w14:textId="77777777" w:rsidTr="00C807B8">
              <w:trPr>
                <w:trHeight w:val="170"/>
              </w:trPr>
              <w:tc>
                <w:tcPr>
                  <w:tcW w:w="425" w:type="dxa"/>
                </w:tcPr>
                <w:p w14:paraId="431123B1"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393060F"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3A5C2F3D"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757E00" w14:paraId="1F36678C" w14:textId="77777777" w:rsidTr="00C807B8">
              <w:trPr>
                <w:trHeight w:val="225"/>
              </w:trPr>
              <w:tc>
                <w:tcPr>
                  <w:tcW w:w="425" w:type="dxa"/>
                </w:tcPr>
                <w:p w14:paraId="24D56113"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8F9DEF6"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4EB3AAB"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052F2CE5"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757E00" w14:paraId="0293AF5B" w14:textId="77777777" w:rsidTr="00C807B8">
        <w:trPr>
          <w:cantSplit/>
        </w:trPr>
        <w:tc>
          <w:tcPr>
            <w:tcW w:w="9010" w:type="dxa"/>
            <w:gridSpan w:val="2"/>
            <w:tcBorders>
              <w:bottom w:val="nil"/>
            </w:tcBorders>
          </w:tcPr>
          <w:p w14:paraId="3077E4DD"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E00" w14:paraId="584E3F80" w14:textId="77777777" w:rsidTr="00C807B8">
        <w:trPr>
          <w:cantSplit/>
        </w:trPr>
        <w:tc>
          <w:tcPr>
            <w:tcW w:w="9010" w:type="dxa"/>
            <w:gridSpan w:val="2"/>
            <w:tcBorders>
              <w:top w:val="nil"/>
            </w:tcBorders>
          </w:tcPr>
          <w:p w14:paraId="2671015E" w14:textId="476BE573" w:rsidR="00757E00" w:rsidRDefault="00757E00" w:rsidP="00DF0B2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E6EEDC" w14:textId="77777777" w:rsidR="00757E00" w:rsidRDefault="00757E00" w:rsidP="007C5663">
      <w:pPr>
        <w:pStyle w:val="ListParagraph"/>
        <w:widowControl w:val="0"/>
        <w:spacing w:line="120" w:lineRule="auto"/>
        <w:ind w:left="0"/>
        <w:rPr>
          <w:rFonts w:ascii="Times New Roman" w:eastAsia="MS Gothic" w:hAnsi="Times New Roman"/>
          <w:sz w:val="24"/>
          <w:szCs w:val="24"/>
        </w:rPr>
      </w:pPr>
    </w:p>
    <w:p w14:paraId="52665433" w14:textId="77777777" w:rsidR="001E5FFF" w:rsidRPr="001E5FFF" w:rsidRDefault="001E5FFF" w:rsidP="007C5663">
      <w:pPr>
        <w:pStyle w:val="ListParagraph"/>
        <w:widowControl w:val="0"/>
        <w:ind w:left="0"/>
        <w:rPr>
          <w:rFonts w:ascii="Times New Roman" w:hAnsi="Times New Roman"/>
          <w:sz w:val="24"/>
          <w:szCs w:val="24"/>
          <w:u w:val="single"/>
        </w:rPr>
      </w:pPr>
      <w:r w:rsidRPr="008F2B99">
        <w:rPr>
          <w:rFonts w:ascii="Times New Roman" w:hAnsi="Times New Roman"/>
          <w:sz w:val="24"/>
          <w:szCs w:val="24"/>
          <w:u w:val="single"/>
        </w:rPr>
        <w:t xml:space="preserve">F.  </w:t>
      </w:r>
      <w:r>
        <w:rPr>
          <w:rFonts w:ascii="Times New Roman" w:hAnsi="Times New Roman"/>
          <w:sz w:val="24"/>
          <w:szCs w:val="24"/>
          <w:u w:val="single"/>
        </w:rPr>
        <w:t>ADMINISTRATIVE COSTS AND FINANCIAL MANAGEMENT</w:t>
      </w:r>
    </w:p>
    <w:p w14:paraId="3AB9000B" w14:textId="41D2F580" w:rsidR="00761F3C"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27</w:t>
      </w:r>
      <w:r w:rsidR="00757E0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E00" w14:paraId="461BA78E" w14:textId="77777777" w:rsidTr="00C807B8">
        <w:trPr>
          <w:trHeight w:val="773"/>
        </w:trPr>
        <w:tc>
          <w:tcPr>
            <w:tcW w:w="7385" w:type="dxa"/>
            <w:tcBorders>
              <w:bottom w:val="single" w:sz="4" w:space="0" w:color="auto"/>
            </w:tcBorders>
          </w:tcPr>
          <w:p w14:paraId="664385D4" w14:textId="5521110E" w:rsidR="001E5FFF" w:rsidRPr="0053759E" w:rsidRDefault="001E5FFF" w:rsidP="007C5663">
            <w:pPr>
              <w:widowControl w:val="0"/>
            </w:pPr>
            <w:r w:rsidRPr="0053759E">
              <w:rPr>
                <w:u w:val="single"/>
              </w:rPr>
              <w:t>Eligible activities</w:t>
            </w:r>
            <w:r w:rsidRPr="0053759E">
              <w:t xml:space="preserve">:  </w:t>
            </w:r>
            <w:r w:rsidR="00C75093">
              <w:t>We</w:t>
            </w:r>
            <w:r w:rsidRPr="0053759E">
              <w:t>re subrecipient</w:t>
            </w:r>
            <w:r w:rsidR="003774B3">
              <w:t>s</w:t>
            </w:r>
            <w:r w:rsidR="00C75093">
              <w:t>’</w:t>
            </w:r>
            <w:r w:rsidRPr="0053759E">
              <w:t xml:space="preserve"> expenses allowable? </w:t>
            </w:r>
          </w:p>
          <w:p w14:paraId="0315AE83" w14:textId="042B228C" w:rsidR="00371F93" w:rsidRDefault="003C6332" w:rsidP="00371F93">
            <w:pPr>
              <w:pStyle w:val="Level1"/>
              <w:widowControl w:val="0"/>
              <w:tabs>
                <w:tab w:val="left" w:pos="720"/>
                <w:tab w:val="left" w:pos="1440"/>
                <w:tab w:val="left" w:pos="2160"/>
                <w:tab w:val="left" w:pos="2880"/>
                <w:tab w:val="left" w:pos="3600"/>
                <w:tab w:val="left" w:pos="5040"/>
                <w:tab w:val="left" w:pos="5760"/>
                <w:tab w:val="left" w:pos="6480"/>
              </w:tabs>
              <w:ind w:left="350"/>
            </w:pPr>
            <w:r w:rsidRPr="00371F93">
              <w:rPr>
                <w:b/>
              </w:rPr>
              <w:t>NOTE</w:t>
            </w:r>
            <w:r>
              <w:t>: To answer this question with respect to 2 CFR 200.403, the HUD reviewer MUST complete Exhibit 34-2</w:t>
            </w:r>
            <w:r w:rsidR="00BB17F5">
              <w:t>,</w:t>
            </w:r>
            <w:r>
              <w:t xml:space="preserve"> </w:t>
            </w:r>
            <w:r w:rsidRPr="00BB17F5">
              <w:rPr>
                <w:i/>
              </w:rPr>
              <w:t>Guide for Review of Cost Allowability</w:t>
            </w:r>
            <w:r>
              <w:t xml:space="preserve">. </w:t>
            </w:r>
          </w:p>
          <w:p w14:paraId="4771FC11" w14:textId="44397018" w:rsidR="003C6332" w:rsidRDefault="00371F93" w:rsidP="00371F93">
            <w:pPr>
              <w:pStyle w:val="Level1"/>
              <w:widowControl w:val="0"/>
              <w:tabs>
                <w:tab w:val="left" w:pos="720"/>
                <w:tab w:val="left" w:pos="1440"/>
                <w:tab w:val="left" w:pos="2160"/>
                <w:tab w:val="left" w:pos="2880"/>
                <w:tab w:val="left" w:pos="3600"/>
                <w:tab w:val="left" w:pos="5040"/>
                <w:tab w:val="left" w:pos="5760"/>
                <w:tab w:val="left" w:pos="6480"/>
              </w:tabs>
            </w:pPr>
            <w:r w:rsidRPr="0053759E">
              <w:t>[</w:t>
            </w:r>
            <w:r>
              <w:t>24 CFR 576.100-576.109; 24 CFR 576.500(u)(2); 24 CFR 84.21(b)(6); 24 CFR 85.22, 2 CFR 200.403]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E00" w14:paraId="75235EB6" w14:textId="77777777" w:rsidTr="00C807B8">
              <w:trPr>
                <w:trHeight w:val="170"/>
              </w:trPr>
              <w:tc>
                <w:tcPr>
                  <w:tcW w:w="425" w:type="dxa"/>
                </w:tcPr>
                <w:p w14:paraId="7AE00126"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7E98FAFF"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4DE213EE"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757E00" w14:paraId="4D8A615A" w14:textId="77777777" w:rsidTr="00C807B8">
              <w:trPr>
                <w:trHeight w:val="225"/>
              </w:trPr>
              <w:tc>
                <w:tcPr>
                  <w:tcW w:w="425" w:type="dxa"/>
                </w:tcPr>
                <w:p w14:paraId="68F5505E"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61927DA"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E1A99C8"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50C58F6A"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757E00" w14:paraId="15D1EA20" w14:textId="77777777" w:rsidTr="00C807B8">
        <w:trPr>
          <w:cantSplit/>
        </w:trPr>
        <w:tc>
          <w:tcPr>
            <w:tcW w:w="9010" w:type="dxa"/>
            <w:gridSpan w:val="2"/>
            <w:tcBorders>
              <w:bottom w:val="nil"/>
            </w:tcBorders>
          </w:tcPr>
          <w:p w14:paraId="2DF7C875"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E00" w14:paraId="07CE67E1" w14:textId="77777777" w:rsidTr="00C807B8">
        <w:trPr>
          <w:cantSplit/>
        </w:trPr>
        <w:tc>
          <w:tcPr>
            <w:tcW w:w="9010" w:type="dxa"/>
            <w:gridSpan w:val="2"/>
            <w:tcBorders>
              <w:top w:val="nil"/>
            </w:tcBorders>
          </w:tcPr>
          <w:p w14:paraId="77B57820" w14:textId="2188347E" w:rsidR="00F0028A" w:rsidRDefault="00757E00" w:rsidP="00BB17F5">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73C6C8" w14:textId="6987A72F" w:rsidR="00E513AB"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28</w:t>
      </w:r>
      <w:r w:rsidR="00757E0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E00" w14:paraId="4E48C93A" w14:textId="77777777" w:rsidTr="00C807B8">
        <w:trPr>
          <w:trHeight w:val="773"/>
        </w:trPr>
        <w:tc>
          <w:tcPr>
            <w:tcW w:w="7385" w:type="dxa"/>
            <w:tcBorders>
              <w:bottom w:val="single" w:sz="4" w:space="0" w:color="auto"/>
            </w:tcBorders>
          </w:tcPr>
          <w:p w14:paraId="389DA84B" w14:textId="1C3DEE40" w:rsidR="0032709F" w:rsidRPr="0053759E" w:rsidRDefault="0032709F" w:rsidP="007C5663">
            <w:pPr>
              <w:widowControl w:val="0"/>
            </w:pPr>
            <w:r w:rsidRPr="0053759E">
              <w:rPr>
                <w:u w:val="single"/>
              </w:rPr>
              <w:t>Eligible Costs</w:t>
            </w:r>
            <w:r w:rsidR="00950799">
              <w:t>:  Did each</w:t>
            </w:r>
            <w:r w:rsidRPr="0053759E">
              <w:t xml:space="preserve"> subrecipient charge staff and overhead costs directly related to carrying out activities eligible under one of the components to the applicable activity, and retain supporting documentation for all costs charged to the grant? </w:t>
            </w:r>
          </w:p>
          <w:p w14:paraId="134E2395" w14:textId="3FD1CCA6" w:rsidR="00757E00" w:rsidRDefault="0032709F"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576.100(d)</w:t>
            </w:r>
            <w:r w:rsidR="001D59AA">
              <w:t>;</w:t>
            </w:r>
            <w:r w:rsidRPr="0053759E">
              <w:t xml:space="preserve"> </w:t>
            </w:r>
            <w:r>
              <w:t xml:space="preserve">24 CFR </w:t>
            </w:r>
            <w:r w:rsidRPr="0053759E">
              <w:t>576.108(a)</w:t>
            </w:r>
            <w:r w:rsidR="001D59AA">
              <w:t>;</w:t>
            </w:r>
            <w:r>
              <w:t xml:space="preserve"> 24 CFR </w:t>
            </w:r>
            <w:r w:rsidRPr="0053759E">
              <w:t>576.500(u)]</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E00" w14:paraId="5D1003CC" w14:textId="77777777" w:rsidTr="00C807B8">
              <w:trPr>
                <w:trHeight w:val="170"/>
              </w:trPr>
              <w:tc>
                <w:tcPr>
                  <w:tcW w:w="425" w:type="dxa"/>
                </w:tcPr>
                <w:p w14:paraId="37B7D8E8"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23090497"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2C01D333"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757E00" w14:paraId="2AD2BD22" w14:textId="77777777" w:rsidTr="00C807B8">
              <w:trPr>
                <w:trHeight w:val="225"/>
              </w:trPr>
              <w:tc>
                <w:tcPr>
                  <w:tcW w:w="425" w:type="dxa"/>
                </w:tcPr>
                <w:p w14:paraId="4A6E92C2"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F00FAAA"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339D0B99"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1AE7EF1"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757E00" w14:paraId="51D84EFC" w14:textId="77777777" w:rsidTr="00C807B8">
        <w:trPr>
          <w:cantSplit/>
        </w:trPr>
        <w:tc>
          <w:tcPr>
            <w:tcW w:w="9010" w:type="dxa"/>
            <w:gridSpan w:val="2"/>
            <w:tcBorders>
              <w:bottom w:val="nil"/>
            </w:tcBorders>
          </w:tcPr>
          <w:p w14:paraId="595CA2A4"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E00" w14:paraId="3EFD6210" w14:textId="77777777" w:rsidTr="00C807B8">
        <w:trPr>
          <w:cantSplit/>
        </w:trPr>
        <w:tc>
          <w:tcPr>
            <w:tcW w:w="9010" w:type="dxa"/>
            <w:gridSpan w:val="2"/>
            <w:tcBorders>
              <w:top w:val="nil"/>
            </w:tcBorders>
          </w:tcPr>
          <w:p w14:paraId="157EDD52" w14:textId="67086F24" w:rsidR="00AF2675" w:rsidRDefault="00757E00" w:rsidP="00BB17F5">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85861B3" w14:textId="142596BC" w:rsidR="00E513AB"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29</w:t>
      </w:r>
      <w:r w:rsidR="00757E0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E00" w14:paraId="755192E9" w14:textId="77777777" w:rsidTr="00C807B8">
        <w:trPr>
          <w:trHeight w:val="773"/>
        </w:trPr>
        <w:tc>
          <w:tcPr>
            <w:tcW w:w="7385" w:type="dxa"/>
            <w:tcBorders>
              <w:bottom w:val="single" w:sz="4" w:space="0" w:color="auto"/>
            </w:tcBorders>
          </w:tcPr>
          <w:p w14:paraId="51A8F627" w14:textId="1961DEF5" w:rsidR="0032709F" w:rsidRPr="0053759E" w:rsidRDefault="0032709F" w:rsidP="007C5663">
            <w:pPr>
              <w:widowControl w:val="0"/>
            </w:pPr>
            <w:r w:rsidRPr="0053759E">
              <w:rPr>
                <w:u w:val="single"/>
              </w:rPr>
              <w:t>Eligible Administrative Costs</w:t>
            </w:r>
            <w:r w:rsidRPr="0053759E">
              <w:t xml:space="preserve">: </w:t>
            </w:r>
            <w:r w:rsidR="007F758F">
              <w:t xml:space="preserve"> </w:t>
            </w:r>
            <w:r w:rsidR="00950799">
              <w:t xml:space="preserve">If </w:t>
            </w:r>
            <w:r w:rsidR="00E10ADF">
              <w:t>a</w:t>
            </w:r>
            <w:r w:rsidRPr="0053759E">
              <w:t xml:space="preserve"> subrecipient received Administrative funds: </w:t>
            </w:r>
          </w:p>
          <w:p w14:paraId="59F8261C" w14:textId="5096D36C" w:rsidR="0032709F" w:rsidRPr="0053759E" w:rsidRDefault="00C75093" w:rsidP="007C5663">
            <w:pPr>
              <w:pStyle w:val="ListParagraph"/>
              <w:widowControl w:val="0"/>
              <w:numPr>
                <w:ilvl w:val="0"/>
                <w:numId w:val="27"/>
              </w:numPr>
              <w:rPr>
                <w:rFonts w:ascii="Times New Roman" w:hAnsi="Times New Roman"/>
                <w:sz w:val="24"/>
                <w:szCs w:val="24"/>
              </w:rPr>
            </w:pPr>
            <w:r>
              <w:rPr>
                <w:rFonts w:ascii="Times New Roman" w:hAnsi="Times New Roman"/>
                <w:sz w:val="24"/>
                <w:szCs w:val="24"/>
              </w:rPr>
              <w:t>we</w:t>
            </w:r>
            <w:r w:rsidR="0032709F" w:rsidRPr="0053759E">
              <w:rPr>
                <w:rFonts w:ascii="Times New Roman" w:hAnsi="Times New Roman"/>
                <w:sz w:val="24"/>
                <w:szCs w:val="24"/>
              </w:rPr>
              <w:t xml:space="preserve">re all administrative costs eligible in accordance with </w:t>
            </w:r>
            <w:r w:rsidR="0032709F">
              <w:rPr>
                <w:rFonts w:ascii="Times New Roman" w:hAnsi="Times New Roman"/>
                <w:sz w:val="24"/>
                <w:szCs w:val="24"/>
              </w:rPr>
              <w:t xml:space="preserve">24 CFR </w:t>
            </w:r>
            <w:r w:rsidR="0032709F" w:rsidRPr="0053759E">
              <w:rPr>
                <w:rFonts w:ascii="Times New Roman" w:hAnsi="Times New Roman"/>
                <w:sz w:val="24"/>
                <w:szCs w:val="24"/>
              </w:rPr>
              <w:t>576.108</w:t>
            </w:r>
            <w:r>
              <w:rPr>
                <w:rFonts w:ascii="Times New Roman" w:hAnsi="Times New Roman"/>
                <w:sz w:val="24"/>
                <w:szCs w:val="24"/>
              </w:rPr>
              <w:t>; and</w:t>
            </w:r>
            <w:r w:rsidR="0032709F" w:rsidRPr="0053759E">
              <w:rPr>
                <w:rFonts w:ascii="Times New Roman" w:hAnsi="Times New Roman"/>
                <w:sz w:val="24"/>
                <w:szCs w:val="24"/>
              </w:rPr>
              <w:t xml:space="preserve">  </w:t>
            </w:r>
          </w:p>
          <w:p w14:paraId="1FDAE840" w14:textId="33150FD8" w:rsidR="0032709F" w:rsidRPr="0053759E" w:rsidRDefault="00C75093" w:rsidP="007C5663">
            <w:pPr>
              <w:pStyle w:val="ListParagraph"/>
              <w:widowControl w:val="0"/>
              <w:numPr>
                <w:ilvl w:val="0"/>
                <w:numId w:val="27"/>
              </w:numPr>
              <w:rPr>
                <w:rFonts w:ascii="Times New Roman" w:hAnsi="Times New Roman"/>
                <w:sz w:val="24"/>
                <w:szCs w:val="24"/>
              </w:rPr>
            </w:pPr>
            <w:r>
              <w:rPr>
                <w:rFonts w:ascii="Times New Roman" w:hAnsi="Times New Roman"/>
                <w:sz w:val="24"/>
                <w:szCs w:val="24"/>
              </w:rPr>
              <w:t>were the</w:t>
            </w:r>
            <w:r w:rsidR="0032709F" w:rsidRPr="0053759E">
              <w:rPr>
                <w:rFonts w:ascii="Times New Roman" w:hAnsi="Times New Roman"/>
                <w:sz w:val="24"/>
                <w:szCs w:val="24"/>
              </w:rPr>
              <w:t xml:space="preserve"> costs of carrying out the environmental review charged as an Administrative activity?</w:t>
            </w:r>
          </w:p>
          <w:p w14:paraId="2C0C9E31" w14:textId="77777777" w:rsidR="00757E00" w:rsidRDefault="0032709F"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rsidR="003E72AB">
              <w:t xml:space="preserve">24 CFR </w:t>
            </w:r>
            <w:r w:rsidRPr="0053759E">
              <w:t>576.108(a)(1), (2), and (4)]</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E00" w14:paraId="400765BF" w14:textId="77777777" w:rsidTr="00C807B8">
              <w:trPr>
                <w:trHeight w:val="170"/>
              </w:trPr>
              <w:tc>
                <w:tcPr>
                  <w:tcW w:w="425" w:type="dxa"/>
                </w:tcPr>
                <w:p w14:paraId="7B1D8774"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36E25C2F"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24F75868"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757E00" w14:paraId="66BBD848" w14:textId="77777777" w:rsidTr="00C807B8">
              <w:trPr>
                <w:trHeight w:val="225"/>
              </w:trPr>
              <w:tc>
                <w:tcPr>
                  <w:tcW w:w="425" w:type="dxa"/>
                </w:tcPr>
                <w:p w14:paraId="76D733AA"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8E5F473"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8DFA4A2"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4F651E8B"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757E00" w14:paraId="5855A68C" w14:textId="77777777" w:rsidTr="00C807B8">
        <w:trPr>
          <w:cantSplit/>
        </w:trPr>
        <w:tc>
          <w:tcPr>
            <w:tcW w:w="9010" w:type="dxa"/>
            <w:gridSpan w:val="2"/>
            <w:tcBorders>
              <w:bottom w:val="nil"/>
            </w:tcBorders>
          </w:tcPr>
          <w:p w14:paraId="557DDB5F"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E00" w14:paraId="6614F914" w14:textId="77777777" w:rsidTr="00C807B8">
        <w:trPr>
          <w:cantSplit/>
        </w:trPr>
        <w:tc>
          <w:tcPr>
            <w:tcW w:w="9010" w:type="dxa"/>
            <w:gridSpan w:val="2"/>
            <w:tcBorders>
              <w:top w:val="nil"/>
            </w:tcBorders>
          </w:tcPr>
          <w:p w14:paraId="2EFAC99B" w14:textId="29973B55" w:rsidR="00757E00" w:rsidRDefault="00757E00" w:rsidP="0089555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975082" w14:textId="011469EA" w:rsidR="00D42B09"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lastRenderedPageBreak/>
        <w:t>30</w:t>
      </w:r>
      <w:r w:rsidR="00D42B09">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D42B09" w14:paraId="091376C2" w14:textId="77777777" w:rsidTr="000E44FF">
        <w:trPr>
          <w:trHeight w:val="773"/>
        </w:trPr>
        <w:tc>
          <w:tcPr>
            <w:tcW w:w="7385" w:type="dxa"/>
            <w:tcBorders>
              <w:bottom w:val="single" w:sz="4" w:space="0" w:color="auto"/>
            </w:tcBorders>
          </w:tcPr>
          <w:p w14:paraId="4EF8528F" w14:textId="1D59DD97" w:rsidR="00B71A0C" w:rsidRPr="00B71A0C" w:rsidRDefault="00B71A0C" w:rsidP="007C5663">
            <w:pPr>
              <w:widowControl w:val="0"/>
            </w:pPr>
            <w:r w:rsidRPr="00B71A0C">
              <w:rPr>
                <w:u w:val="single"/>
              </w:rPr>
              <w:t>Training</w:t>
            </w:r>
            <w:r w:rsidR="00D42B09" w:rsidRPr="00B71A0C">
              <w:rPr>
                <w:u w:val="single"/>
              </w:rPr>
              <w:t xml:space="preserve"> Costs</w:t>
            </w:r>
            <w:r w:rsidR="00D42B09" w:rsidRPr="00B71A0C">
              <w:t xml:space="preserve">: </w:t>
            </w:r>
            <w:r w:rsidR="007F758F">
              <w:t xml:space="preserve"> </w:t>
            </w:r>
            <w:r w:rsidR="00D42B09" w:rsidRPr="00B71A0C">
              <w:t xml:space="preserve">If any </w:t>
            </w:r>
            <w:r w:rsidRPr="00B71A0C">
              <w:t>staff time was spent on training:</w:t>
            </w:r>
          </w:p>
          <w:p w14:paraId="27840ECB" w14:textId="77777777" w:rsidR="00B71A0C" w:rsidRPr="00B71A0C" w:rsidRDefault="00D42B09" w:rsidP="007C5663">
            <w:pPr>
              <w:pStyle w:val="ListParagraph"/>
              <w:widowControl w:val="0"/>
              <w:numPr>
                <w:ilvl w:val="0"/>
                <w:numId w:val="42"/>
              </w:numPr>
              <w:rPr>
                <w:rFonts w:ascii="Times New Roman" w:hAnsi="Times New Roman"/>
                <w:sz w:val="24"/>
                <w:szCs w:val="24"/>
              </w:rPr>
            </w:pPr>
            <w:r w:rsidRPr="00B71A0C">
              <w:rPr>
                <w:rFonts w:ascii="Times New Roman" w:hAnsi="Times New Roman"/>
                <w:sz w:val="24"/>
                <w:szCs w:val="24"/>
              </w:rPr>
              <w:t>was it only for providing training on ESG requirements</w:t>
            </w:r>
            <w:r w:rsidR="00B71A0C" w:rsidRPr="00B71A0C">
              <w:rPr>
                <w:rFonts w:ascii="Times New Roman" w:hAnsi="Times New Roman"/>
                <w:sz w:val="24"/>
                <w:szCs w:val="24"/>
              </w:rPr>
              <w:t xml:space="preserve">, </w:t>
            </w:r>
            <w:r w:rsidRPr="00B71A0C">
              <w:rPr>
                <w:rFonts w:ascii="Times New Roman" w:hAnsi="Times New Roman"/>
                <w:sz w:val="24"/>
                <w:szCs w:val="24"/>
              </w:rPr>
              <w:t>attending HUD-sponsored ESG training</w:t>
            </w:r>
            <w:r w:rsidR="00B71A0C" w:rsidRPr="00B71A0C">
              <w:rPr>
                <w:rFonts w:ascii="Times New Roman" w:hAnsi="Times New Roman"/>
                <w:sz w:val="24"/>
                <w:szCs w:val="24"/>
              </w:rPr>
              <w:t xml:space="preserve">, training staff on using HMIS or a comparable database, or attending HUD-approved training on HMIS and </w:t>
            </w:r>
            <w:r w:rsidR="00AA523F">
              <w:rPr>
                <w:rFonts w:ascii="Times New Roman" w:hAnsi="Times New Roman"/>
                <w:sz w:val="24"/>
                <w:szCs w:val="24"/>
              </w:rPr>
              <w:t>the ESG program</w:t>
            </w:r>
            <w:r w:rsidR="00B71A0C" w:rsidRPr="00B71A0C">
              <w:rPr>
                <w:rFonts w:ascii="Times New Roman" w:hAnsi="Times New Roman"/>
                <w:sz w:val="24"/>
                <w:szCs w:val="24"/>
              </w:rPr>
              <w:t>; and</w:t>
            </w:r>
            <w:r w:rsidRPr="00B71A0C">
              <w:rPr>
                <w:rFonts w:ascii="Times New Roman" w:hAnsi="Times New Roman"/>
                <w:sz w:val="24"/>
                <w:szCs w:val="24"/>
              </w:rPr>
              <w:t xml:space="preserve"> </w:t>
            </w:r>
          </w:p>
          <w:p w14:paraId="1038493B" w14:textId="301AB871" w:rsidR="00D42B09" w:rsidRPr="00B71A0C" w:rsidRDefault="00B71A0C" w:rsidP="007C5663">
            <w:pPr>
              <w:pStyle w:val="ListParagraph"/>
              <w:widowControl w:val="0"/>
              <w:numPr>
                <w:ilvl w:val="0"/>
                <w:numId w:val="42"/>
              </w:numPr>
              <w:rPr>
                <w:rFonts w:ascii="Times New Roman" w:hAnsi="Times New Roman"/>
                <w:sz w:val="24"/>
                <w:szCs w:val="24"/>
              </w:rPr>
            </w:pPr>
            <w:r w:rsidRPr="00B71A0C">
              <w:rPr>
                <w:rFonts w:ascii="Times New Roman" w:hAnsi="Times New Roman"/>
                <w:sz w:val="24"/>
                <w:szCs w:val="24"/>
              </w:rPr>
              <w:t xml:space="preserve">was it </w:t>
            </w:r>
            <w:r w:rsidR="00D42B09" w:rsidRPr="00B71A0C">
              <w:rPr>
                <w:rFonts w:ascii="Times New Roman" w:hAnsi="Times New Roman"/>
                <w:sz w:val="24"/>
                <w:szCs w:val="24"/>
              </w:rPr>
              <w:t xml:space="preserve">charged </w:t>
            </w:r>
            <w:r w:rsidRPr="00B71A0C">
              <w:rPr>
                <w:rFonts w:ascii="Times New Roman" w:hAnsi="Times New Roman"/>
                <w:sz w:val="24"/>
                <w:szCs w:val="24"/>
              </w:rPr>
              <w:t>to the appropriate component (only HMIS for HMIS-related training, and Administrative costs for all other training)</w:t>
            </w:r>
            <w:r w:rsidR="003774B3">
              <w:rPr>
                <w:rFonts w:ascii="Times New Roman" w:hAnsi="Times New Roman"/>
                <w:sz w:val="24"/>
                <w:szCs w:val="24"/>
              </w:rPr>
              <w:t xml:space="preserve">? </w:t>
            </w:r>
          </w:p>
          <w:p w14:paraId="5A5E1AD9" w14:textId="4222F8DC"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pPr>
            <w:r w:rsidRPr="00B71A0C">
              <w:t>[24 CFR 576.108(a)(1), (2), and (4)</w:t>
            </w:r>
            <w:r w:rsidR="001D59AA">
              <w:t>;</w:t>
            </w:r>
            <w:r w:rsidR="00B71A0C">
              <w:t xml:space="preserve"> 24 CFR 576.107</w:t>
            </w:r>
            <w:r w:rsidRPr="00B71A0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D42B09" w14:paraId="50E0DECB" w14:textId="77777777" w:rsidTr="000E44FF">
              <w:trPr>
                <w:trHeight w:val="170"/>
              </w:trPr>
              <w:tc>
                <w:tcPr>
                  <w:tcW w:w="425" w:type="dxa"/>
                </w:tcPr>
                <w:p w14:paraId="6738DC6F" w14:textId="77777777"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B6D73DB" w14:textId="77777777"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010250C2" w14:textId="77777777"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D42B09" w14:paraId="2CB0B5B7" w14:textId="77777777" w:rsidTr="000E44FF">
              <w:trPr>
                <w:trHeight w:val="225"/>
              </w:trPr>
              <w:tc>
                <w:tcPr>
                  <w:tcW w:w="425" w:type="dxa"/>
                </w:tcPr>
                <w:p w14:paraId="5DCFF40D" w14:textId="77777777"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0DD28805" w14:textId="77777777"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0B8CD81" w14:textId="77777777"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237FDE2" w14:textId="77777777"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D42B09" w14:paraId="3803F6A7" w14:textId="77777777" w:rsidTr="000E44FF">
        <w:trPr>
          <w:cantSplit/>
        </w:trPr>
        <w:tc>
          <w:tcPr>
            <w:tcW w:w="9010" w:type="dxa"/>
            <w:gridSpan w:val="2"/>
            <w:tcBorders>
              <w:bottom w:val="nil"/>
            </w:tcBorders>
          </w:tcPr>
          <w:p w14:paraId="4ABFB808" w14:textId="77777777" w:rsidR="00D42B09" w:rsidRDefault="00D42B09"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D42B09" w14:paraId="7C13F8D1" w14:textId="77777777" w:rsidTr="000E44FF">
        <w:trPr>
          <w:cantSplit/>
        </w:trPr>
        <w:tc>
          <w:tcPr>
            <w:tcW w:w="9010" w:type="dxa"/>
            <w:gridSpan w:val="2"/>
            <w:tcBorders>
              <w:top w:val="nil"/>
            </w:tcBorders>
          </w:tcPr>
          <w:p w14:paraId="69FEC0A2" w14:textId="77777777" w:rsidR="00D42B09" w:rsidRDefault="00D42B09" w:rsidP="00895552">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A1CBCC" w14:textId="719486A8" w:rsidR="00837026" w:rsidRDefault="00837026" w:rsidP="00895552">
            <w:pPr>
              <w:pStyle w:val="Level1"/>
              <w:widowControl w:val="0"/>
              <w:tabs>
                <w:tab w:val="left" w:pos="720"/>
                <w:tab w:val="left" w:pos="1440"/>
                <w:tab w:val="left" w:pos="2160"/>
                <w:tab w:val="left" w:pos="2880"/>
                <w:tab w:val="left" w:pos="3600"/>
                <w:tab w:val="left" w:pos="5040"/>
                <w:tab w:val="left" w:pos="5760"/>
                <w:tab w:val="left" w:pos="6480"/>
              </w:tabs>
            </w:pPr>
          </w:p>
        </w:tc>
      </w:tr>
    </w:tbl>
    <w:p w14:paraId="41A9F3E3" w14:textId="072FF1A8" w:rsidR="001A7BBD"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31</w:t>
      </w:r>
      <w:r w:rsidR="00757E0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E00" w14:paraId="75B5D70E" w14:textId="77777777" w:rsidTr="00C807B8">
        <w:trPr>
          <w:trHeight w:val="773"/>
        </w:trPr>
        <w:tc>
          <w:tcPr>
            <w:tcW w:w="7385" w:type="dxa"/>
            <w:tcBorders>
              <w:bottom w:val="single" w:sz="4" w:space="0" w:color="auto"/>
            </w:tcBorders>
          </w:tcPr>
          <w:p w14:paraId="2FFE3291" w14:textId="7C893B92" w:rsidR="00D0539A" w:rsidRPr="0053759E" w:rsidRDefault="00D0539A"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53759E">
              <w:rPr>
                <w:u w:val="single"/>
              </w:rPr>
              <w:t>Indirect Costs</w:t>
            </w:r>
            <w:r w:rsidRPr="0053759E">
              <w:t xml:space="preserve">:  If any indirect costs were charged to the grant, were allocations made to each eligible activity and consistent with an indirect cost rate proposal developed in accordance with </w:t>
            </w:r>
            <w:r w:rsidR="00CF39F9">
              <w:t>the Uniform Administrative Requirements</w:t>
            </w:r>
            <w:r w:rsidRPr="0053759E">
              <w:t xml:space="preserve">?  </w:t>
            </w:r>
          </w:p>
          <w:p w14:paraId="45E6BC1E" w14:textId="0CA143B1" w:rsidR="00757E00" w:rsidRDefault="00D0539A"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576.109</w:t>
            </w:r>
            <w:r w:rsidR="001D59AA">
              <w:t>;</w:t>
            </w:r>
            <w:r w:rsidRPr="0053759E">
              <w:t xml:space="preserve"> </w:t>
            </w:r>
            <w:r>
              <w:t xml:space="preserve">2 CFR </w:t>
            </w:r>
            <w:r w:rsidRPr="0053759E">
              <w:t>576.500(u)]</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E00" w14:paraId="26C208A9" w14:textId="77777777" w:rsidTr="00C807B8">
              <w:trPr>
                <w:trHeight w:val="170"/>
              </w:trPr>
              <w:tc>
                <w:tcPr>
                  <w:tcW w:w="425" w:type="dxa"/>
                </w:tcPr>
                <w:p w14:paraId="3FCBA3C4"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2565A04"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45C80DB1"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757E00" w14:paraId="35B36A29" w14:textId="77777777" w:rsidTr="00C807B8">
              <w:trPr>
                <w:trHeight w:val="225"/>
              </w:trPr>
              <w:tc>
                <w:tcPr>
                  <w:tcW w:w="425" w:type="dxa"/>
                </w:tcPr>
                <w:p w14:paraId="7CD2FF34"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4595567E"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D23E922"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EFC7233"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757E00" w14:paraId="40CDD803" w14:textId="77777777" w:rsidTr="00C807B8">
        <w:trPr>
          <w:cantSplit/>
        </w:trPr>
        <w:tc>
          <w:tcPr>
            <w:tcW w:w="9010" w:type="dxa"/>
            <w:gridSpan w:val="2"/>
            <w:tcBorders>
              <w:bottom w:val="nil"/>
            </w:tcBorders>
          </w:tcPr>
          <w:p w14:paraId="5C082DB1"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E00" w14:paraId="1B709C66" w14:textId="77777777" w:rsidTr="00C807B8">
        <w:trPr>
          <w:cantSplit/>
        </w:trPr>
        <w:tc>
          <w:tcPr>
            <w:tcW w:w="9010" w:type="dxa"/>
            <w:gridSpan w:val="2"/>
            <w:tcBorders>
              <w:top w:val="nil"/>
            </w:tcBorders>
          </w:tcPr>
          <w:p w14:paraId="50A7E8A8" w14:textId="77777777" w:rsidR="001029F9" w:rsidRDefault="00757E00" w:rsidP="00F0028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D278C9" w14:textId="2594986A" w:rsidR="00837026" w:rsidRDefault="00837026" w:rsidP="00F0028A">
            <w:pPr>
              <w:pStyle w:val="Level1"/>
              <w:widowControl w:val="0"/>
              <w:tabs>
                <w:tab w:val="left" w:pos="720"/>
                <w:tab w:val="left" w:pos="1440"/>
                <w:tab w:val="left" w:pos="2160"/>
                <w:tab w:val="left" w:pos="2880"/>
                <w:tab w:val="left" w:pos="3600"/>
                <w:tab w:val="left" w:pos="5040"/>
                <w:tab w:val="left" w:pos="5760"/>
                <w:tab w:val="left" w:pos="6480"/>
              </w:tabs>
            </w:pPr>
          </w:p>
        </w:tc>
      </w:tr>
    </w:tbl>
    <w:p w14:paraId="4A2CC5C1" w14:textId="55565D9F" w:rsidR="00FA2BE2" w:rsidRDefault="001D5EA7" w:rsidP="007C5663">
      <w:pPr>
        <w:pStyle w:val="ListParagraph"/>
        <w:widowControl w:val="0"/>
        <w:ind w:left="0"/>
        <w:rPr>
          <w:rFonts w:ascii="Times New Roman" w:hAnsi="Times New Roman"/>
          <w:sz w:val="24"/>
          <w:szCs w:val="24"/>
        </w:rPr>
      </w:pPr>
      <w:r>
        <w:rPr>
          <w:rFonts w:ascii="Times New Roman" w:hAnsi="Times New Roman"/>
          <w:sz w:val="24"/>
          <w:szCs w:val="24"/>
        </w:rPr>
        <w:t>32</w:t>
      </w:r>
      <w:r w:rsidR="00757E00">
        <w:rPr>
          <w:rFonts w:ascii="Times New Roman" w:hAnsi="Times New Roman"/>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757E00" w14:paraId="3B0624E8" w14:textId="77777777" w:rsidTr="00C807B8">
        <w:trPr>
          <w:trHeight w:val="773"/>
        </w:trPr>
        <w:tc>
          <w:tcPr>
            <w:tcW w:w="7385" w:type="dxa"/>
            <w:tcBorders>
              <w:bottom w:val="single" w:sz="4" w:space="0" w:color="auto"/>
            </w:tcBorders>
          </w:tcPr>
          <w:p w14:paraId="32AB48A4" w14:textId="52D4F710" w:rsidR="00D0539A" w:rsidRPr="0053759E" w:rsidRDefault="00D0539A"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rPr>
                <w:u w:val="single"/>
              </w:rPr>
              <w:t>Eligible activities</w:t>
            </w:r>
            <w:r w:rsidRPr="0053759E">
              <w:t>:  Did a review of personnel costs charged to ESG, including a review of job descriptions, reveal that</w:t>
            </w:r>
            <w:r w:rsidR="00112BD9">
              <w:t>,</w:t>
            </w:r>
            <w:r w:rsidRPr="0053759E">
              <w:t xml:space="preserve"> for all staff time paid for with ESG funds, the staff member was working on eligible ESG activities?</w:t>
            </w:r>
          </w:p>
          <w:p w14:paraId="700E9903" w14:textId="77777777" w:rsidR="00757E00" w:rsidRDefault="00D0539A" w:rsidP="007C5663">
            <w:pPr>
              <w:pStyle w:val="Level1"/>
              <w:widowControl w:val="0"/>
              <w:tabs>
                <w:tab w:val="left" w:pos="720"/>
                <w:tab w:val="left" w:pos="1440"/>
                <w:tab w:val="left" w:pos="2160"/>
                <w:tab w:val="left" w:pos="2880"/>
                <w:tab w:val="left" w:pos="3600"/>
                <w:tab w:val="left" w:pos="5040"/>
                <w:tab w:val="left" w:pos="5760"/>
                <w:tab w:val="left" w:pos="6480"/>
              </w:tabs>
            </w:pPr>
            <w:r w:rsidRPr="0053759E">
              <w:t>[</w:t>
            </w:r>
            <w:r>
              <w:t xml:space="preserve">24 CFR </w:t>
            </w:r>
            <w:r w:rsidRPr="0053759E">
              <w:t>576.500(u)]</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757E00" w14:paraId="7FF26D6A" w14:textId="77777777" w:rsidTr="00C807B8">
              <w:trPr>
                <w:trHeight w:val="170"/>
              </w:trPr>
              <w:tc>
                <w:tcPr>
                  <w:tcW w:w="425" w:type="dxa"/>
                </w:tcPr>
                <w:p w14:paraId="7B10F555"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54A0B7C9"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34B7883D"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757E00" w14:paraId="5ABD481E" w14:textId="77777777" w:rsidTr="00C807B8">
              <w:trPr>
                <w:trHeight w:val="225"/>
              </w:trPr>
              <w:tc>
                <w:tcPr>
                  <w:tcW w:w="425" w:type="dxa"/>
                </w:tcPr>
                <w:p w14:paraId="125C72DF"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FAF961F"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0E1F1D8C"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A8492F2"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757E00" w14:paraId="488E8890" w14:textId="77777777" w:rsidTr="00C807B8">
        <w:trPr>
          <w:cantSplit/>
        </w:trPr>
        <w:tc>
          <w:tcPr>
            <w:tcW w:w="9010" w:type="dxa"/>
            <w:gridSpan w:val="2"/>
            <w:tcBorders>
              <w:bottom w:val="nil"/>
            </w:tcBorders>
          </w:tcPr>
          <w:p w14:paraId="75C2ADB2" w14:textId="77777777" w:rsidR="00757E00" w:rsidRDefault="00757E00"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757E00" w14:paraId="1A29C365" w14:textId="77777777" w:rsidTr="00C807B8">
        <w:trPr>
          <w:cantSplit/>
        </w:trPr>
        <w:tc>
          <w:tcPr>
            <w:tcW w:w="9010" w:type="dxa"/>
            <w:gridSpan w:val="2"/>
            <w:tcBorders>
              <w:top w:val="nil"/>
            </w:tcBorders>
          </w:tcPr>
          <w:p w14:paraId="7F61539C" w14:textId="77777777" w:rsidR="003900F8" w:rsidRDefault="00757E00" w:rsidP="00F0028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832B87" w14:textId="3E9BF05F" w:rsidR="00837026" w:rsidRDefault="00837026" w:rsidP="00F0028A">
            <w:pPr>
              <w:pStyle w:val="Level1"/>
              <w:widowControl w:val="0"/>
              <w:tabs>
                <w:tab w:val="left" w:pos="720"/>
                <w:tab w:val="left" w:pos="1440"/>
                <w:tab w:val="left" w:pos="2160"/>
                <w:tab w:val="left" w:pos="2880"/>
                <w:tab w:val="left" w:pos="3600"/>
                <w:tab w:val="left" w:pos="5040"/>
                <w:tab w:val="left" w:pos="5760"/>
                <w:tab w:val="left" w:pos="6480"/>
              </w:tabs>
            </w:pPr>
          </w:p>
        </w:tc>
      </w:tr>
    </w:tbl>
    <w:p w14:paraId="6F1AD558" w14:textId="77777777" w:rsidR="00B77379" w:rsidRDefault="00B77379" w:rsidP="00B77379">
      <w:pPr>
        <w:widowControl w:val="0"/>
        <w:rPr>
          <w:u w:val="single"/>
        </w:rPr>
      </w:pPr>
    </w:p>
    <w:p w14:paraId="74EE42AF" w14:textId="230E1A7C" w:rsidR="00EB5B15" w:rsidRPr="00303E32" w:rsidRDefault="00303E32" w:rsidP="00B77379">
      <w:pPr>
        <w:widowControl w:val="0"/>
        <w:rPr>
          <w:u w:val="single"/>
        </w:rPr>
      </w:pPr>
      <w:r w:rsidRPr="00303E32">
        <w:rPr>
          <w:u w:val="single"/>
        </w:rPr>
        <w:t xml:space="preserve">G.  </w:t>
      </w:r>
      <w:r w:rsidR="00D16E02" w:rsidRPr="00303E32">
        <w:rPr>
          <w:u w:val="single"/>
        </w:rPr>
        <w:t>OTHER FEDERAL REQUIREMENTS</w:t>
      </w:r>
    </w:p>
    <w:p w14:paraId="738128FC" w14:textId="6D528CD1" w:rsidR="00EB5B15" w:rsidRPr="001029F9" w:rsidRDefault="001D5EA7" w:rsidP="007C5663">
      <w:pPr>
        <w:pStyle w:val="Header"/>
        <w:widowControl w:val="0"/>
        <w:tabs>
          <w:tab w:val="clear" w:pos="4320"/>
          <w:tab w:val="clear" w:pos="8640"/>
        </w:tabs>
        <w:rPr>
          <w:caps/>
        </w:rPr>
      </w:pPr>
      <w:r>
        <w:rPr>
          <w:caps/>
        </w:rPr>
        <w:t>33</w:t>
      </w:r>
      <w:r w:rsidR="00DD0C08" w:rsidRPr="001029F9">
        <w:rPr>
          <w:caps/>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B5B15" w14:paraId="2DF9A67A" w14:textId="77777777" w:rsidTr="00EB5B15">
        <w:trPr>
          <w:trHeight w:val="773"/>
        </w:trPr>
        <w:tc>
          <w:tcPr>
            <w:tcW w:w="7385" w:type="dxa"/>
            <w:tcBorders>
              <w:bottom w:val="single" w:sz="4" w:space="0" w:color="auto"/>
            </w:tcBorders>
          </w:tcPr>
          <w:p w14:paraId="3D0E3DAA" w14:textId="5BD4FDAB" w:rsidR="00EB5B15" w:rsidRPr="00745CDC" w:rsidRDefault="00112BD9" w:rsidP="007C5663">
            <w:pPr>
              <w:pStyle w:val="Level1"/>
              <w:widowControl w:val="0"/>
              <w:tabs>
                <w:tab w:val="left" w:pos="365"/>
                <w:tab w:val="left" w:pos="1440"/>
                <w:tab w:val="left" w:pos="2160"/>
                <w:tab w:val="left" w:pos="2880"/>
                <w:tab w:val="left" w:pos="3600"/>
                <w:tab w:val="left" w:pos="5040"/>
                <w:tab w:val="left" w:pos="5760"/>
                <w:tab w:val="left" w:pos="6480"/>
              </w:tabs>
            </w:pPr>
            <w:r>
              <w:rPr>
                <w:u w:val="single"/>
              </w:rPr>
              <w:t>Drug-F</w:t>
            </w:r>
            <w:r w:rsidR="00EB5B15" w:rsidRPr="00112BD9">
              <w:rPr>
                <w:u w:val="single"/>
              </w:rPr>
              <w:t xml:space="preserve">ree </w:t>
            </w:r>
            <w:r>
              <w:rPr>
                <w:u w:val="single"/>
              </w:rPr>
              <w:t>W</w:t>
            </w:r>
            <w:r w:rsidR="00EB5B15" w:rsidRPr="00112BD9">
              <w:rPr>
                <w:u w:val="single"/>
              </w:rPr>
              <w:t>orkplace</w:t>
            </w:r>
            <w:r w:rsidR="00EB5B15" w:rsidRPr="00112BD9">
              <w:t>:</w:t>
            </w:r>
            <w:r w:rsidR="00EB5B15" w:rsidRPr="00745CDC">
              <w:t xml:space="preserve"> </w:t>
            </w:r>
            <w:r w:rsidR="00EB5B15">
              <w:t>D</w:t>
            </w:r>
            <w:r w:rsidR="004E2935">
              <w:t>id</w:t>
            </w:r>
            <w:r w:rsidR="00950799">
              <w:t xml:space="preserve"> each </w:t>
            </w:r>
            <w:r w:rsidR="00EB5B15" w:rsidRPr="00745CDC">
              <w:t>subrecipient have a drug-free workplace statement per the requirements of</w:t>
            </w:r>
            <w:r w:rsidR="00EB5B15">
              <w:t xml:space="preserve"> 2 CFR part 242</w:t>
            </w:r>
            <w:r w:rsidR="000E5D2B">
              <w:t>9</w:t>
            </w:r>
            <w:r w:rsidR="00EB5B15" w:rsidRPr="00745CDC">
              <w:t>?</w:t>
            </w:r>
          </w:p>
          <w:p w14:paraId="66606ECF"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sidRPr="00745CDC">
              <w:t xml:space="preserve">[24 CFR </w:t>
            </w:r>
            <w:r>
              <w:t xml:space="preserve">5.105(d) and 24 CFR </w:t>
            </w:r>
            <w:r w:rsidRPr="00745CDC">
              <w:t>576.407(a)]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B5B15" w14:paraId="7B40CAB6" w14:textId="77777777" w:rsidTr="00EB5B15">
              <w:trPr>
                <w:trHeight w:val="170"/>
              </w:trPr>
              <w:tc>
                <w:tcPr>
                  <w:tcW w:w="425" w:type="dxa"/>
                </w:tcPr>
                <w:p w14:paraId="1C87E30D"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241E3A1F"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36A88D48"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EB5B15" w14:paraId="6BD5C17F" w14:textId="77777777" w:rsidTr="00EB5B15">
              <w:trPr>
                <w:trHeight w:val="225"/>
              </w:trPr>
              <w:tc>
                <w:tcPr>
                  <w:tcW w:w="425" w:type="dxa"/>
                </w:tcPr>
                <w:p w14:paraId="7FAD93DC"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410E66EB"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08F12EC"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26D1635"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p>
        </w:tc>
      </w:tr>
      <w:tr w:rsidR="00EB5B15" w14:paraId="563F263C" w14:textId="77777777" w:rsidTr="00EB5B15">
        <w:trPr>
          <w:cantSplit/>
        </w:trPr>
        <w:tc>
          <w:tcPr>
            <w:tcW w:w="9010" w:type="dxa"/>
            <w:gridSpan w:val="2"/>
            <w:tcBorders>
              <w:bottom w:val="nil"/>
            </w:tcBorders>
          </w:tcPr>
          <w:p w14:paraId="5D746B24"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B5B15" w14:paraId="74D43E53" w14:textId="77777777" w:rsidTr="00EB5B15">
        <w:trPr>
          <w:cantSplit/>
        </w:trPr>
        <w:tc>
          <w:tcPr>
            <w:tcW w:w="9010" w:type="dxa"/>
            <w:gridSpan w:val="2"/>
            <w:tcBorders>
              <w:top w:val="nil"/>
            </w:tcBorders>
          </w:tcPr>
          <w:p w14:paraId="1C4E485E" w14:textId="77777777" w:rsidR="003900F8" w:rsidRDefault="00EB5B15" w:rsidP="00F0028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82AA84" w14:textId="31A4DA0F" w:rsidR="00837026" w:rsidRDefault="00837026" w:rsidP="00F0028A">
            <w:pPr>
              <w:pStyle w:val="Level1"/>
              <w:widowControl w:val="0"/>
              <w:tabs>
                <w:tab w:val="left" w:pos="720"/>
                <w:tab w:val="left" w:pos="1440"/>
                <w:tab w:val="left" w:pos="2160"/>
                <w:tab w:val="left" w:pos="2880"/>
                <w:tab w:val="left" w:pos="3600"/>
                <w:tab w:val="left" w:pos="5040"/>
                <w:tab w:val="left" w:pos="5760"/>
                <w:tab w:val="left" w:pos="6480"/>
              </w:tabs>
            </w:pPr>
          </w:p>
        </w:tc>
      </w:tr>
    </w:tbl>
    <w:p w14:paraId="0D67F516" w14:textId="12F10D3D" w:rsidR="00EB5B15" w:rsidRDefault="001D5EA7" w:rsidP="007C5663">
      <w:pPr>
        <w:widowControl w:val="0"/>
      </w:pPr>
      <w:r>
        <w:t>34</w:t>
      </w:r>
      <w:r w:rsidR="00DD0C0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B5B15" w14:paraId="68130787" w14:textId="77777777" w:rsidTr="00EB5B15">
        <w:trPr>
          <w:trHeight w:val="773"/>
        </w:trPr>
        <w:tc>
          <w:tcPr>
            <w:tcW w:w="7385" w:type="dxa"/>
            <w:tcBorders>
              <w:bottom w:val="single" w:sz="4" w:space="0" w:color="auto"/>
            </w:tcBorders>
          </w:tcPr>
          <w:p w14:paraId="6831F514" w14:textId="1808EA6B" w:rsidR="00EB5B15" w:rsidRPr="00745CDC" w:rsidRDefault="00EB5B15" w:rsidP="007C5663">
            <w:pPr>
              <w:pStyle w:val="Level1"/>
              <w:widowControl w:val="0"/>
              <w:tabs>
                <w:tab w:val="left" w:pos="365"/>
                <w:tab w:val="left" w:pos="1440"/>
                <w:tab w:val="left" w:pos="2160"/>
                <w:tab w:val="left" w:pos="2880"/>
                <w:tab w:val="left" w:pos="3600"/>
                <w:tab w:val="left" w:pos="5040"/>
                <w:tab w:val="left" w:pos="5760"/>
                <w:tab w:val="left" w:pos="6480"/>
              </w:tabs>
            </w:pPr>
            <w:r w:rsidRPr="00745CDC">
              <w:t>If the requirements of the Drug-Free Workplace Certificat</w:t>
            </w:r>
            <w:r w:rsidR="004E2935">
              <w:t xml:space="preserve">ion </w:t>
            </w:r>
            <w:r w:rsidR="00950799">
              <w:t>were reviewed, is each</w:t>
            </w:r>
            <w:r w:rsidRPr="00745CDC">
              <w:t xml:space="preserve"> </w:t>
            </w:r>
            <w:r>
              <w:t>sub</w:t>
            </w:r>
            <w:r w:rsidRPr="00745CDC">
              <w:t>recipient in compliance?</w:t>
            </w:r>
          </w:p>
          <w:p w14:paraId="5F93E0EC" w14:textId="450A2FC0"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sidRPr="00745CDC">
              <w:t xml:space="preserve">[24 CFR </w:t>
            </w:r>
            <w:r>
              <w:t xml:space="preserve">5.105(d); 24 CFR </w:t>
            </w:r>
            <w:r w:rsidRPr="00745CDC">
              <w:t>576.407(a)</w:t>
            </w:r>
            <w:r>
              <w:t>; 2 CFR part 242</w:t>
            </w:r>
            <w:r w:rsidR="000E5D2B">
              <w:t>9</w:t>
            </w:r>
            <w:r w:rsidRPr="00745CDC">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B5B15" w14:paraId="58D6CA65" w14:textId="77777777" w:rsidTr="00EB5B15">
              <w:trPr>
                <w:trHeight w:val="170"/>
              </w:trPr>
              <w:tc>
                <w:tcPr>
                  <w:tcW w:w="425" w:type="dxa"/>
                </w:tcPr>
                <w:p w14:paraId="4728A3B6"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7D1D5F1F"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6AD71894"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EB5B15" w14:paraId="15638E95" w14:textId="77777777" w:rsidTr="00EB5B15">
              <w:trPr>
                <w:trHeight w:val="225"/>
              </w:trPr>
              <w:tc>
                <w:tcPr>
                  <w:tcW w:w="425" w:type="dxa"/>
                </w:tcPr>
                <w:p w14:paraId="431F5C6F"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529DCB4"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520498B7"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2761A566"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B5B15" w14:paraId="5FF7FCB7" w14:textId="77777777" w:rsidTr="00EB5B15">
        <w:trPr>
          <w:cantSplit/>
        </w:trPr>
        <w:tc>
          <w:tcPr>
            <w:tcW w:w="9010" w:type="dxa"/>
            <w:gridSpan w:val="2"/>
            <w:tcBorders>
              <w:bottom w:val="nil"/>
            </w:tcBorders>
          </w:tcPr>
          <w:p w14:paraId="3D14BF34"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B5B15" w14:paraId="5373301F" w14:textId="77777777" w:rsidTr="00EB5B15">
        <w:trPr>
          <w:cantSplit/>
        </w:trPr>
        <w:tc>
          <w:tcPr>
            <w:tcW w:w="9010" w:type="dxa"/>
            <w:gridSpan w:val="2"/>
            <w:tcBorders>
              <w:top w:val="nil"/>
            </w:tcBorders>
          </w:tcPr>
          <w:p w14:paraId="2F595C7B" w14:textId="77777777" w:rsidR="003900F8" w:rsidRDefault="00EB5B15" w:rsidP="00F0028A">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5E6C72" w14:textId="3EA732EC" w:rsidR="00837026" w:rsidRDefault="00837026" w:rsidP="00F0028A">
            <w:pPr>
              <w:pStyle w:val="Level1"/>
              <w:widowControl w:val="0"/>
              <w:tabs>
                <w:tab w:val="left" w:pos="720"/>
                <w:tab w:val="left" w:pos="1440"/>
                <w:tab w:val="left" w:pos="2160"/>
                <w:tab w:val="left" w:pos="2880"/>
                <w:tab w:val="left" w:pos="3600"/>
                <w:tab w:val="left" w:pos="5040"/>
                <w:tab w:val="left" w:pos="5760"/>
                <w:tab w:val="left" w:pos="6480"/>
              </w:tabs>
            </w:pPr>
          </w:p>
        </w:tc>
      </w:tr>
    </w:tbl>
    <w:p w14:paraId="3E926DBA" w14:textId="77777777" w:rsidR="00B77379" w:rsidRDefault="00B77379" w:rsidP="007C5663">
      <w:pPr>
        <w:widowControl w:val="0"/>
      </w:pPr>
    </w:p>
    <w:p w14:paraId="050A05E2" w14:textId="69E2D857" w:rsidR="00EB5B15" w:rsidRPr="00112BD9" w:rsidRDefault="001D5EA7" w:rsidP="007C5663">
      <w:pPr>
        <w:widowControl w:val="0"/>
      </w:pPr>
      <w:r>
        <w:lastRenderedPageBreak/>
        <w:t>35</w:t>
      </w:r>
      <w:r w:rsidR="00DD0C08" w:rsidRPr="00112BD9">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B5B15" w14:paraId="373A34F8" w14:textId="77777777" w:rsidTr="00EB5B15">
        <w:trPr>
          <w:trHeight w:val="773"/>
        </w:trPr>
        <w:tc>
          <w:tcPr>
            <w:tcW w:w="7385" w:type="dxa"/>
            <w:tcBorders>
              <w:bottom w:val="single" w:sz="4" w:space="0" w:color="auto"/>
            </w:tcBorders>
          </w:tcPr>
          <w:p w14:paraId="6C9062CD" w14:textId="5D1893AD" w:rsidR="00EB5B15" w:rsidRPr="00745CDC" w:rsidRDefault="00112BD9" w:rsidP="007C5663">
            <w:pPr>
              <w:pStyle w:val="Level1"/>
              <w:widowControl w:val="0"/>
              <w:tabs>
                <w:tab w:val="left" w:pos="365"/>
                <w:tab w:val="left" w:pos="1440"/>
                <w:tab w:val="left" w:pos="2160"/>
                <w:tab w:val="left" w:pos="2880"/>
                <w:tab w:val="left" w:pos="3600"/>
                <w:tab w:val="left" w:pos="5040"/>
                <w:tab w:val="left" w:pos="5760"/>
                <w:tab w:val="left" w:pos="6480"/>
              </w:tabs>
            </w:pPr>
            <w:r>
              <w:rPr>
                <w:u w:val="single"/>
              </w:rPr>
              <w:t>N</w:t>
            </w:r>
            <w:r w:rsidR="00EB5B15" w:rsidRPr="00112BD9">
              <w:rPr>
                <w:u w:val="single"/>
              </w:rPr>
              <w:t>on-</w:t>
            </w:r>
            <w:r>
              <w:rPr>
                <w:u w:val="single"/>
              </w:rPr>
              <w:t>D</w:t>
            </w:r>
            <w:r w:rsidR="00EB5B15" w:rsidRPr="00112BD9">
              <w:rPr>
                <w:u w:val="single"/>
              </w:rPr>
              <w:t xml:space="preserve">iscrimination, </w:t>
            </w:r>
            <w:r>
              <w:rPr>
                <w:u w:val="single"/>
              </w:rPr>
              <w:t>S</w:t>
            </w:r>
            <w:r w:rsidR="00EB5B15" w:rsidRPr="00112BD9">
              <w:rPr>
                <w:u w:val="single"/>
              </w:rPr>
              <w:t xml:space="preserve">ection 504 of the </w:t>
            </w:r>
            <w:r>
              <w:rPr>
                <w:u w:val="single"/>
              </w:rPr>
              <w:t>R</w:t>
            </w:r>
            <w:r w:rsidR="00EB5B15" w:rsidRPr="00112BD9">
              <w:rPr>
                <w:u w:val="single"/>
              </w:rPr>
              <w:t xml:space="preserve">ehabilitation </w:t>
            </w:r>
            <w:r>
              <w:rPr>
                <w:u w:val="single"/>
              </w:rPr>
              <w:t>A</w:t>
            </w:r>
            <w:r w:rsidR="00EB5B15" w:rsidRPr="00112BD9">
              <w:rPr>
                <w:u w:val="single"/>
              </w:rPr>
              <w:t xml:space="preserve">ct of 1973, and </w:t>
            </w:r>
            <w:r>
              <w:rPr>
                <w:u w:val="single"/>
              </w:rPr>
              <w:t>O</w:t>
            </w:r>
            <w:r w:rsidR="00EB5B15" w:rsidRPr="00112BD9">
              <w:rPr>
                <w:u w:val="single"/>
              </w:rPr>
              <w:t xml:space="preserve">ther </w:t>
            </w:r>
            <w:r>
              <w:rPr>
                <w:u w:val="single"/>
              </w:rPr>
              <w:t>E</w:t>
            </w:r>
            <w:r w:rsidR="00EB5B15" w:rsidRPr="00112BD9">
              <w:rPr>
                <w:u w:val="single"/>
              </w:rPr>
              <w:t xml:space="preserve">qual </w:t>
            </w:r>
            <w:r>
              <w:rPr>
                <w:u w:val="single"/>
              </w:rPr>
              <w:t>O</w:t>
            </w:r>
            <w:r w:rsidR="00EB5B15" w:rsidRPr="00112BD9">
              <w:rPr>
                <w:u w:val="single"/>
              </w:rPr>
              <w:t xml:space="preserve">pportunity </w:t>
            </w:r>
            <w:r>
              <w:rPr>
                <w:u w:val="single"/>
              </w:rPr>
              <w:t>R</w:t>
            </w:r>
            <w:r w:rsidR="00EB5B15" w:rsidRPr="00112BD9">
              <w:rPr>
                <w:u w:val="single"/>
              </w:rPr>
              <w:t>equirements</w:t>
            </w:r>
            <w:r w:rsidR="00EB5B15" w:rsidRPr="00112BD9">
              <w:rPr>
                <w:caps/>
              </w:rPr>
              <w:t xml:space="preserve">:  </w:t>
            </w:r>
            <w:r w:rsidR="00EB5B15">
              <w:t>D</w:t>
            </w:r>
            <w:r w:rsidR="00950799">
              <w:t>id records demonstrate that each</w:t>
            </w:r>
            <w:r w:rsidR="00EB5B15" w:rsidRPr="00745CDC">
              <w:t xml:space="preserve"> </w:t>
            </w:r>
            <w:r w:rsidR="00EB5B15">
              <w:t>subrecipient</w:t>
            </w:r>
            <w:r w:rsidR="00950799">
              <w:t xml:space="preserve"> is</w:t>
            </w:r>
            <w:r w:rsidR="00EB5B15" w:rsidRPr="00745CDC">
              <w:t xml:space="preserve"> in compliance with the applicable requirements in 24 CFR part 5, Subpart A, including the nondiscrimination and equal opportunity requirements at 24 CFR part 5.105(a)?  </w:t>
            </w:r>
            <w:r w:rsidR="00EB5B15" w:rsidRPr="00745CDC">
              <w:rPr>
                <w:caps/>
              </w:rPr>
              <w:t>(U</w:t>
            </w:r>
            <w:r w:rsidR="00EB5B15" w:rsidRPr="00745CDC">
              <w:t>se pertinent Exhibits in Chapter 22</w:t>
            </w:r>
            <w:r>
              <w:t>,</w:t>
            </w:r>
            <w:r w:rsidR="00EB5B15" w:rsidRPr="00745CDC">
              <w:t xml:space="preserve"> as </w:t>
            </w:r>
            <w:r w:rsidR="00EB5B15">
              <w:t>necessary.</w:t>
            </w:r>
            <w:r w:rsidR="00EB5B15" w:rsidRPr="00745CDC">
              <w:t>)</w:t>
            </w:r>
          </w:p>
          <w:p w14:paraId="7A2B390C" w14:textId="4D6C9759" w:rsidR="00EB5B15" w:rsidRDefault="00EB0191" w:rsidP="007C5663">
            <w:pPr>
              <w:pStyle w:val="Level1"/>
              <w:widowControl w:val="0"/>
              <w:tabs>
                <w:tab w:val="left" w:pos="720"/>
                <w:tab w:val="left" w:pos="1440"/>
                <w:tab w:val="left" w:pos="2160"/>
                <w:tab w:val="left" w:pos="2880"/>
                <w:tab w:val="left" w:pos="3600"/>
                <w:tab w:val="left" w:pos="5040"/>
                <w:tab w:val="left" w:pos="5760"/>
                <w:tab w:val="left" w:pos="6480"/>
              </w:tabs>
            </w:pPr>
            <w:r>
              <w:t xml:space="preserve">[24 CFR part 5, Subpart A; 24 CFR </w:t>
            </w:r>
            <w:r w:rsidR="00EB5B15" w:rsidRPr="00745CDC">
              <w:t>576.407(a)</w:t>
            </w:r>
            <w:r w:rsidR="004E2935">
              <w:t>;</w:t>
            </w:r>
            <w:r w:rsidR="00EB5B15" w:rsidRPr="00745CDC">
              <w:t xml:space="preserve"> </w:t>
            </w:r>
            <w:r>
              <w:t xml:space="preserve">24 CFR </w:t>
            </w:r>
            <w:r w:rsidR="00EB5B15" w:rsidRPr="00745CDC">
              <w:t>576.500(s)(1)]</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B5B15" w14:paraId="46C96AD5" w14:textId="77777777" w:rsidTr="00EB5B15">
              <w:trPr>
                <w:trHeight w:val="170"/>
              </w:trPr>
              <w:tc>
                <w:tcPr>
                  <w:tcW w:w="425" w:type="dxa"/>
                </w:tcPr>
                <w:p w14:paraId="673874D2"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7BE6990B"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588A2565"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EB5B15" w14:paraId="3C3A2972" w14:textId="77777777" w:rsidTr="00EB5B15">
              <w:trPr>
                <w:trHeight w:val="225"/>
              </w:trPr>
              <w:tc>
                <w:tcPr>
                  <w:tcW w:w="425" w:type="dxa"/>
                </w:tcPr>
                <w:p w14:paraId="381450BC"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7E6A1096"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460B57F5"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1E54D348"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B5B15" w14:paraId="065B163D" w14:textId="77777777" w:rsidTr="00EB5B15">
        <w:trPr>
          <w:cantSplit/>
        </w:trPr>
        <w:tc>
          <w:tcPr>
            <w:tcW w:w="9010" w:type="dxa"/>
            <w:gridSpan w:val="2"/>
            <w:tcBorders>
              <w:bottom w:val="nil"/>
            </w:tcBorders>
          </w:tcPr>
          <w:p w14:paraId="4F0ED054"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B5B15" w14:paraId="55C0CB65" w14:textId="77777777" w:rsidTr="00EB5B15">
        <w:trPr>
          <w:cantSplit/>
        </w:trPr>
        <w:tc>
          <w:tcPr>
            <w:tcW w:w="9010" w:type="dxa"/>
            <w:gridSpan w:val="2"/>
            <w:tcBorders>
              <w:top w:val="nil"/>
            </w:tcBorders>
          </w:tcPr>
          <w:p w14:paraId="6F70CEF7" w14:textId="041F7D58" w:rsidR="003900F8" w:rsidRDefault="00EB5B15" w:rsidP="001B5EEB">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047D0A9" w14:textId="391F8BC9" w:rsidR="00EB5B15" w:rsidRDefault="001D5EA7" w:rsidP="007C5663">
      <w:pPr>
        <w:widowControl w:val="0"/>
      </w:pPr>
      <w:r>
        <w:t>36</w:t>
      </w:r>
      <w:r w:rsidR="00DD0C0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EB5B15" w14:paraId="216EC10D" w14:textId="77777777" w:rsidTr="00EB5B15">
        <w:trPr>
          <w:trHeight w:val="773"/>
        </w:trPr>
        <w:tc>
          <w:tcPr>
            <w:tcW w:w="7385" w:type="dxa"/>
            <w:tcBorders>
              <w:bottom w:val="single" w:sz="4" w:space="0" w:color="auto"/>
            </w:tcBorders>
          </w:tcPr>
          <w:p w14:paraId="3E1CBD9C" w14:textId="5586D85E" w:rsidR="00EB5B15" w:rsidRPr="00F94B01" w:rsidRDefault="00EB5B15" w:rsidP="007C5663">
            <w:pPr>
              <w:pStyle w:val="Level1"/>
              <w:widowControl w:val="0"/>
              <w:tabs>
                <w:tab w:val="left" w:pos="365"/>
                <w:tab w:val="left" w:pos="1440"/>
                <w:tab w:val="left" w:pos="2160"/>
                <w:tab w:val="left" w:pos="2880"/>
                <w:tab w:val="left" w:pos="3600"/>
                <w:tab w:val="left" w:pos="5040"/>
                <w:tab w:val="left" w:pos="5760"/>
                <w:tab w:val="left" w:pos="6480"/>
              </w:tabs>
            </w:pPr>
            <w:r w:rsidRPr="00112BD9">
              <w:rPr>
                <w:u w:val="single"/>
              </w:rPr>
              <w:t>Affirmative Outreach</w:t>
            </w:r>
            <w:r w:rsidRPr="00F94B01">
              <w:t xml:space="preserve">: </w:t>
            </w:r>
            <w:r w:rsidR="00F94B01" w:rsidRPr="00F94B01">
              <w:t>D</w:t>
            </w:r>
            <w:r w:rsidR="00A34999" w:rsidRPr="00F94B01">
              <w:t>o the records indicate that</w:t>
            </w:r>
            <w:r w:rsidRPr="00F94B01">
              <w:t xml:space="preserve"> th</w:t>
            </w:r>
            <w:r w:rsidR="004E2935" w:rsidRPr="00F94B01">
              <w:t>e recipient and its subrecipien</w:t>
            </w:r>
            <w:r w:rsidR="006133D0" w:rsidRPr="00F94B01">
              <w:t>ts</w:t>
            </w:r>
            <w:r w:rsidR="00F94B01">
              <w:t>:</w:t>
            </w:r>
          </w:p>
          <w:p w14:paraId="6FA2D7D2" w14:textId="77777777" w:rsidR="00EB5B15" w:rsidRPr="00745CDC" w:rsidRDefault="00EB5B15" w:rsidP="007C5663">
            <w:pPr>
              <w:pStyle w:val="Level1"/>
              <w:widowControl w:val="0"/>
              <w:numPr>
                <w:ilvl w:val="1"/>
                <w:numId w:val="44"/>
              </w:numPr>
              <w:tabs>
                <w:tab w:val="clear" w:pos="4320"/>
                <w:tab w:val="clear" w:pos="8640"/>
              </w:tabs>
              <w:ind w:left="545"/>
            </w:pPr>
            <w:r w:rsidRPr="00745CDC">
              <w:t xml:space="preserve">make known that the use of the facilities, assistance, and services are available to all on a nondiscriminatory basis, </w:t>
            </w:r>
            <w:r>
              <w:t>and</w:t>
            </w:r>
            <w:r w:rsidRPr="00745CDC">
              <w:t xml:space="preserve"> establish additional procedures</w:t>
            </w:r>
            <w:r>
              <w:t>, as required under 24 CFR 576.407(b),</w:t>
            </w:r>
            <w:r w:rsidRPr="00745CDC">
              <w:t xml:space="preserve"> to ensure that the “target population” who may qualify are made aware of the availability of these facilities, assistance, or services; and </w:t>
            </w:r>
          </w:p>
          <w:p w14:paraId="553E7E70" w14:textId="77777777" w:rsidR="00EB5B15" w:rsidRPr="00745CDC" w:rsidRDefault="00EB5B15" w:rsidP="007C5663">
            <w:pPr>
              <w:pStyle w:val="Level1"/>
              <w:widowControl w:val="0"/>
              <w:numPr>
                <w:ilvl w:val="1"/>
                <w:numId w:val="44"/>
              </w:numPr>
              <w:tabs>
                <w:tab w:val="clear" w:pos="4320"/>
                <w:tab w:val="clear" w:pos="8640"/>
              </w:tabs>
              <w:ind w:left="545"/>
            </w:pPr>
            <w:r w:rsidRPr="00745CDC">
              <w:t xml:space="preserve"> take appropriate steps to ensure effective communication with persons with disabilities; and </w:t>
            </w:r>
          </w:p>
          <w:p w14:paraId="59855EEF" w14:textId="23D25C65" w:rsidR="00EB5B15" w:rsidRPr="00745CDC" w:rsidRDefault="00EB5B15" w:rsidP="007C5663">
            <w:pPr>
              <w:pStyle w:val="Level1"/>
              <w:widowControl w:val="0"/>
              <w:numPr>
                <w:ilvl w:val="1"/>
                <w:numId w:val="44"/>
              </w:numPr>
              <w:tabs>
                <w:tab w:val="clear" w:pos="4320"/>
                <w:tab w:val="clear" w:pos="8640"/>
              </w:tabs>
              <w:ind w:left="545" w:hanging="364"/>
            </w:pPr>
            <w:r w:rsidRPr="00745CDC">
              <w:t xml:space="preserve">take reasonable steps to ensure meaningful access to programs and </w:t>
            </w:r>
            <w:r w:rsidRPr="00F94B01">
              <w:t xml:space="preserve">activities for </w:t>
            </w:r>
            <w:r w:rsidR="00A34999" w:rsidRPr="00F94B01">
              <w:t xml:space="preserve">persons with </w:t>
            </w:r>
            <w:r w:rsidRPr="00F94B01">
              <w:t>limited English proficiency</w:t>
            </w:r>
            <w:r w:rsidR="00A34999" w:rsidRPr="00F94B01">
              <w:t xml:space="preserve"> </w:t>
            </w:r>
            <w:r w:rsidR="00B57685" w:rsidRPr="00F94B01">
              <w:t>(</w:t>
            </w:r>
            <w:r w:rsidR="00A34999" w:rsidRPr="00F94B01">
              <w:t>LEP</w:t>
            </w:r>
            <w:r w:rsidR="00B57685" w:rsidRPr="00F94B01">
              <w:t>)</w:t>
            </w:r>
            <w:r w:rsidRPr="00F94B01">
              <w:t xml:space="preserve">?  </w:t>
            </w:r>
            <w:r w:rsidRPr="00745CDC">
              <w:rPr>
                <w:caps/>
              </w:rPr>
              <w:t>(U</w:t>
            </w:r>
            <w:r w:rsidRPr="00745CDC">
              <w:t>se pertinent Exhibits in Chapter 22 as necessary</w:t>
            </w:r>
            <w:r>
              <w:t>.</w:t>
            </w:r>
            <w:r w:rsidRPr="00745CDC">
              <w:t>)</w:t>
            </w:r>
          </w:p>
          <w:p w14:paraId="6C97E544" w14:textId="7413DA4B"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sidRPr="00745CDC">
              <w:t>[24 CFR part 5, Subpart A</w:t>
            </w:r>
            <w:r w:rsidR="00EB0191">
              <w:t>;</w:t>
            </w:r>
            <w:r w:rsidRPr="00745CDC">
              <w:t xml:space="preserve"> </w:t>
            </w:r>
            <w:r>
              <w:t xml:space="preserve">24 CFR </w:t>
            </w:r>
            <w:r w:rsidRPr="00745CDC">
              <w:t>576.407</w:t>
            </w:r>
            <w:r w:rsidR="007F758F">
              <w:t>(b);</w:t>
            </w:r>
            <w:r>
              <w:t xml:space="preserve"> 24 CFR</w:t>
            </w:r>
            <w:r w:rsidR="00112BD9">
              <w:t xml:space="preserve"> </w:t>
            </w:r>
            <w:r w:rsidRPr="00745CDC">
              <w:t>576.500(s)(1)</w:t>
            </w:r>
            <w:r w:rsidR="007F758F">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B5B15" w14:paraId="4487D3DA" w14:textId="77777777" w:rsidTr="00EB5B15">
              <w:trPr>
                <w:trHeight w:val="170"/>
              </w:trPr>
              <w:tc>
                <w:tcPr>
                  <w:tcW w:w="425" w:type="dxa"/>
                </w:tcPr>
                <w:p w14:paraId="1A4357DE"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248EA45C"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0F44268E"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EB5B15" w14:paraId="198E09E6" w14:textId="77777777" w:rsidTr="00EB5B15">
              <w:trPr>
                <w:trHeight w:val="225"/>
              </w:trPr>
              <w:tc>
                <w:tcPr>
                  <w:tcW w:w="425" w:type="dxa"/>
                </w:tcPr>
                <w:p w14:paraId="29D729DD"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3E6DCAB1"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1505C61D"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91E7B57"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B5B15" w14:paraId="23E9DA3F" w14:textId="77777777" w:rsidTr="00EB5B15">
        <w:trPr>
          <w:cantSplit/>
        </w:trPr>
        <w:tc>
          <w:tcPr>
            <w:tcW w:w="9010" w:type="dxa"/>
            <w:gridSpan w:val="2"/>
            <w:tcBorders>
              <w:bottom w:val="nil"/>
            </w:tcBorders>
          </w:tcPr>
          <w:p w14:paraId="30F0E0B9"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B5B15" w14:paraId="6ED8A7B7" w14:textId="77777777" w:rsidTr="00EB5B15">
        <w:trPr>
          <w:cantSplit/>
        </w:trPr>
        <w:tc>
          <w:tcPr>
            <w:tcW w:w="9010" w:type="dxa"/>
            <w:gridSpan w:val="2"/>
            <w:tcBorders>
              <w:top w:val="nil"/>
            </w:tcBorders>
          </w:tcPr>
          <w:p w14:paraId="3DDD537D" w14:textId="5CE1269C" w:rsidR="00EB5B15" w:rsidRDefault="00EB5B15" w:rsidP="00926727">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8A7185C" w14:textId="0A42613C" w:rsidR="00EB5B15" w:rsidRDefault="001D5EA7" w:rsidP="007C5663">
      <w:pPr>
        <w:widowControl w:val="0"/>
      </w:pPr>
      <w:r>
        <w:t>37</w:t>
      </w:r>
      <w:r w:rsidR="00DD0C0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71"/>
        <w:gridCol w:w="1619"/>
      </w:tblGrid>
      <w:tr w:rsidR="00EB5B15" w14:paraId="67F2ACEB" w14:textId="77777777" w:rsidTr="00112BD9">
        <w:trPr>
          <w:trHeight w:val="773"/>
        </w:trPr>
        <w:tc>
          <w:tcPr>
            <w:tcW w:w="7385" w:type="dxa"/>
            <w:tcBorders>
              <w:bottom w:val="single" w:sz="4" w:space="0" w:color="auto"/>
            </w:tcBorders>
          </w:tcPr>
          <w:p w14:paraId="0D5E4516" w14:textId="0256F2DF" w:rsidR="00EB5B15" w:rsidRPr="00745CDC" w:rsidRDefault="00112BD9" w:rsidP="007C5663">
            <w:pPr>
              <w:pStyle w:val="Level1"/>
              <w:widowControl w:val="0"/>
              <w:tabs>
                <w:tab w:val="left" w:pos="720"/>
                <w:tab w:val="left" w:pos="1440"/>
                <w:tab w:val="left" w:pos="2160"/>
                <w:tab w:val="left" w:pos="2880"/>
                <w:tab w:val="left" w:pos="3600"/>
                <w:tab w:val="left" w:pos="5040"/>
                <w:tab w:val="left" w:pos="5760"/>
                <w:tab w:val="left" w:pos="6480"/>
              </w:tabs>
            </w:pPr>
            <w:r>
              <w:rPr>
                <w:u w:val="single"/>
              </w:rPr>
              <w:t xml:space="preserve">Applicability of </w:t>
            </w:r>
            <w:r w:rsidR="00EB5B15" w:rsidRPr="00112BD9">
              <w:rPr>
                <w:u w:val="single"/>
              </w:rPr>
              <w:t>U</w:t>
            </w:r>
            <w:r>
              <w:rPr>
                <w:u w:val="single"/>
              </w:rPr>
              <w:t xml:space="preserve">niform </w:t>
            </w:r>
            <w:r w:rsidR="002F3D57">
              <w:rPr>
                <w:u w:val="single"/>
              </w:rPr>
              <w:t>Administrative</w:t>
            </w:r>
            <w:r>
              <w:rPr>
                <w:u w:val="single"/>
              </w:rPr>
              <w:t xml:space="preserve"> Requirements and OMB Circulars</w:t>
            </w:r>
            <w:r w:rsidR="00EB5B15">
              <w:t xml:space="preserve">:  </w:t>
            </w:r>
            <w:r w:rsidR="00EB5B15" w:rsidRPr="00745CDC">
              <w:t xml:space="preserve">If this area was reviewed, did </w:t>
            </w:r>
            <w:r w:rsidR="00950799">
              <w:t>each</w:t>
            </w:r>
            <w:r w:rsidR="00EB5B15" w:rsidRPr="00745CDC">
              <w:t xml:space="preserve"> </w:t>
            </w:r>
            <w:r w:rsidR="00EB5B15">
              <w:t>subrecipient</w:t>
            </w:r>
            <w:r w:rsidR="00EB5B15" w:rsidRPr="00745CDC">
              <w:rPr>
                <w:color w:val="000000"/>
              </w:rPr>
              <w:t xml:space="preserve"> </w:t>
            </w:r>
            <w:r w:rsidR="00EB5B15" w:rsidRPr="00745CDC">
              <w:t>maintain records documenting compliance with the applicable requirements outlined in the Uniform Administrative Requirements, Cost Principles, and Audit Requirements for Federal Awards?</w:t>
            </w:r>
          </w:p>
          <w:p w14:paraId="748D114A" w14:textId="388F5DAE"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sidRPr="00745CDC">
              <w:t>[</w:t>
            </w:r>
            <w:r>
              <w:t>24 CFR 576.407(c)</w:t>
            </w:r>
            <w:r w:rsidR="00EB0191">
              <w:t>;</w:t>
            </w:r>
            <w:r>
              <w:t xml:space="preserve"> 24 CFR 576.500(s)(2)</w:t>
            </w:r>
            <w:r w:rsidRPr="00745CDC">
              <w:t>]</w:t>
            </w:r>
          </w:p>
        </w:tc>
        <w:tc>
          <w:tcPr>
            <w:tcW w:w="1620"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EB5B15" w14:paraId="4B4EB39E" w14:textId="77777777" w:rsidTr="00EB5B15">
              <w:trPr>
                <w:trHeight w:val="170"/>
              </w:trPr>
              <w:tc>
                <w:tcPr>
                  <w:tcW w:w="425" w:type="dxa"/>
                </w:tcPr>
                <w:p w14:paraId="62DD3BD7"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5C4D9FF7"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28FEA00C"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EB5B15" w14:paraId="0971FFD4" w14:textId="77777777" w:rsidTr="00EB5B15">
              <w:trPr>
                <w:trHeight w:val="225"/>
              </w:trPr>
              <w:tc>
                <w:tcPr>
                  <w:tcW w:w="425" w:type="dxa"/>
                </w:tcPr>
                <w:p w14:paraId="254D8446"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29D83D09"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67AA404F"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7570156B"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EB5B15" w14:paraId="3C8FB482" w14:textId="77777777" w:rsidTr="00112BD9">
        <w:trPr>
          <w:cantSplit/>
        </w:trPr>
        <w:tc>
          <w:tcPr>
            <w:tcW w:w="9005" w:type="dxa"/>
            <w:gridSpan w:val="2"/>
            <w:tcBorders>
              <w:bottom w:val="nil"/>
            </w:tcBorders>
          </w:tcPr>
          <w:p w14:paraId="63E0A7BC" w14:textId="77777777" w:rsidR="00EB5B15" w:rsidRDefault="00EB5B15"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EB5B15" w14:paraId="7FA2228E" w14:textId="77777777" w:rsidTr="00112BD9">
        <w:trPr>
          <w:cantSplit/>
        </w:trPr>
        <w:tc>
          <w:tcPr>
            <w:tcW w:w="9005" w:type="dxa"/>
            <w:gridSpan w:val="2"/>
            <w:tcBorders>
              <w:top w:val="nil"/>
            </w:tcBorders>
          </w:tcPr>
          <w:p w14:paraId="32EB156F" w14:textId="1E055F4D" w:rsidR="00EB5B15" w:rsidRDefault="00EB5B15" w:rsidP="00956A80">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149C9F" w14:textId="2F98EBA7" w:rsidR="00EB5B15" w:rsidRDefault="001D5EA7" w:rsidP="007C5663">
      <w:pPr>
        <w:widowControl w:val="0"/>
      </w:pPr>
      <w:r>
        <w:t>38</w:t>
      </w:r>
      <w:r w:rsidR="00DD0C0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AD0FA3" w14:paraId="42E6A033" w14:textId="77777777" w:rsidTr="00C05A85">
        <w:trPr>
          <w:trHeight w:val="773"/>
        </w:trPr>
        <w:tc>
          <w:tcPr>
            <w:tcW w:w="7385" w:type="dxa"/>
            <w:tcBorders>
              <w:bottom w:val="single" w:sz="4" w:space="0" w:color="auto"/>
            </w:tcBorders>
          </w:tcPr>
          <w:p w14:paraId="53C93D21" w14:textId="4027A41A" w:rsidR="00AD0FA3" w:rsidRPr="00745CDC" w:rsidRDefault="00AD0FA3" w:rsidP="007C5663">
            <w:pPr>
              <w:pStyle w:val="Level1"/>
              <w:widowControl w:val="0"/>
              <w:tabs>
                <w:tab w:val="left" w:pos="720"/>
                <w:tab w:val="left" w:pos="1440"/>
                <w:tab w:val="left" w:pos="2160"/>
                <w:tab w:val="left" w:pos="2880"/>
                <w:tab w:val="left" w:pos="3600"/>
                <w:tab w:val="left" w:pos="5040"/>
                <w:tab w:val="left" w:pos="5760"/>
                <w:tab w:val="left" w:pos="6480"/>
              </w:tabs>
            </w:pPr>
            <w:r w:rsidRPr="00112BD9">
              <w:rPr>
                <w:u w:val="single"/>
              </w:rPr>
              <w:t>Audits</w:t>
            </w:r>
            <w:r>
              <w:t xml:space="preserve">: </w:t>
            </w:r>
            <w:r w:rsidR="007F758F">
              <w:t xml:space="preserve"> </w:t>
            </w:r>
            <w:r w:rsidRPr="00745CDC">
              <w:t>If this area was reviewed, w</w:t>
            </w:r>
            <w:r w:rsidR="00950799">
              <w:t>as each</w:t>
            </w:r>
            <w:r w:rsidRPr="00745CDC">
              <w:t xml:space="preserve"> </w:t>
            </w:r>
            <w:r>
              <w:t>subrecipient</w:t>
            </w:r>
            <w:r w:rsidRPr="00745CDC">
              <w:rPr>
                <w:color w:val="000000"/>
              </w:rPr>
              <w:t xml:space="preserve"> </w:t>
            </w:r>
            <w:r w:rsidRPr="00745CDC">
              <w:t xml:space="preserve">in compliance with </w:t>
            </w:r>
            <w:r>
              <w:t>the Single Audit Act of 1984, as amended, and implementing regulations</w:t>
            </w:r>
            <w:r w:rsidRPr="00745CDC">
              <w:t>?</w:t>
            </w:r>
          </w:p>
          <w:p w14:paraId="013E119D" w14:textId="77777777" w:rsidR="00203288" w:rsidRDefault="00203288" w:rsidP="00203288">
            <w:pPr>
              <w:pStyle w:val="Level1"/>
              <w:widowControl w:val="0"/>
              <w:tabs>
                <w:tab w:val="left" w:pos="720"/>
                <w:tab w:val="left" w:pos="1440"/>
                <w:tab w:val="left" w:pos="2160"/>
                <w:tab w:val="left" w:pos="2880"/>
                <w:tab w:val="left" w:pos="3600"/>
                <w:tab w:val="left" w:pos="5040"/>
                <w:tab w:val="left" w:pos="5760"/>
                <w:tab w:val="left" w:pos="6480"/>
              </w:tabs>
              <w:ind w:left="720"/>
            </w:pPr>
            <w:r w:rsidRPr="00926727">
              <w:rPr>
                <w:b/>
              </w:rPr>
              <w:t>NOTE</w:t>
            </w:r>
            <w:r>
              <w:t>: To answer this question with respect to 2 CFR 200.501, the HUD reviewer MUST complete Exhibit 34-1, section K (“Audit Requirements”).</w:t>
            </w:r>
          </w:p>
          <w:p w14:paraId="6A3AEBC2" w14:textId="706E2370" w:rsidR="00926727" w:rsidRDefault="0082440B" w:rsidP="0082440B">
            <w:pPr>
              <w:pStyle w:val="Level1"/>
              <w:widowControl w:val="0"/>
              <w:tabs>
                <w:tab w:val="left" w:pos="720"/>
                <w:tab w:val="left" w:pos="1440"/>
                <w:tab w:val="left" w:pos="2160"/>
                <w:tab w:val="left" w:pos="2880"/>
                <w:tab w:val="left" w:pos="3600"/>
                <w:tab w:val="left" w:pos="5040"/>
                <w:tab w:val="left" w:pos="5760"/>
                <w:tab w:val="left" w:pos="6480"/>
              </w:tabs>
            </w:pPr>
            <w:r w:rsidRPr="00CD0DFA">
              <w:t>[24 CFR 84.26</w:t>
            </w:r>
            <w:r>
              <w:t>; 24 CFR 85.26;</w:t>
            </w:r>
            <w:r w:rsidRPr="00CD0DFA">
              <w:t xml:space="preserve"> 24 CFR </w:t>
            </w:r>
            <w:r>
              <w:t>576.</w:t>
            </w:r>
            <w:r w:rsidRPr="00CD0DFA">
              <w:t>407(c)</w:t>
            </w:r>
            <w:r>
              <w:t>; 2 CFR 200.501</w:t>
            </w:r>
            <w:r w:rsidRPr="00CD0DFA">
              <w:t>]</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AD0FA3" w14:paraId="5571B034" w14:textId="77777777" w:rsidTr="00C05A85">
              <w:trPr>
                <w:trHeight w:val="170"/>
              </w:trPr>
              <w:tc>
                <w:tcPr>
                  <w:tcW w:w="425" w:type="dxa"/>
                </w:tcPr>
                <w:p w14:paraId="71736A55"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73C33E8E"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2443BB35"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AD0FA3" w14:paraId="481DD795" w14:textId="77777777" w:rsidTr="00C05A85">
              <w:trPr>
                <w:trHeight w:val="225"/>
              </w:trPr>
              <w:tc>
                <w:tcPr>
                  <w:tcW w:w="425" w:type="dxa"/>
                </w:tcPr>
                <w:p w14:paraId="05818D77"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76" w:type="dxa"/>
                </w:tcPr>
                <w:p w14:paraId="561CC826"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606" w:type="dxa"/>
                </w:tcPr>
                <w:p w14:paraId="2937434E"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N/A</w:t>
                  </w:r>
                </w:p>
              </w:tc>
            </w:tr>
          </w:tbl>
          <w:p w14:paraId="3BE45D93"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AD0FA3" w14:paraId="2A069035" w14:textId="77777777" w:rsidTr="00C05A85">
        <w:trPr>
          <w:cantSplit/>
        </w:trPr>
        <w:tc>
          <w:tcPr>
            <w:tcW w:w="9010" w:type="dxa"/>
            <w:gridSpan w:val="2"/>
            <w:tcBorders>
              <w:bottom w:val="nil"/>
            </w:tcBorders>
          </w:tcPr>
          <w:p w14:paraId="249CAF87"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D0FA3" w14:paraId="408A12F1" w14:textId="77777777" w:rsidTr="00C05A85">
        <w:trPr>
          <w:cantSplit/>
        </w:trPr>
        <w:tc>
          <w:tcPr>
            <w:tcW w:w="9010" w:type="dxa"/>
            <w:gridSpan w:val="2"/>
            <w:tcBorders>
              <w:top w:val="nil"/>
            </w:tcBorders>
          </w:tcPr>
          <w:p w14:paraId="12C819F9" w14:textId="77777777" w:rsidR="00AD0FA3" w:rsidRDefault="00AD0FA3" w:rsidP="00956A80">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813469" w14:textId="77777777" w:rsidR="0082440B" w:rsidRDefault="0082440B" w:rsidP="00956A80">
            <w:pPr>
              <w:pStyle w:val="Level1"/>
              <w:widowControl w:val="0"/>
              <w:tabs>
                <w:tab w:val="left" w:pos="720"/>
                <w:tab w:val="left" w:pos="1440"/>
                <w:tab w:val="left" w:pos="2160"/>
                <w:tab w:val="left" w:pos="2880"/>
                <w:tab w:val="left" w:pos="3600"/>
                <w:tab w:val="left" w:pos="5040"/>
                <w:tab w:val="left" w:pos="5760"/>
                <w:tab w:val="left" w:pos="6480"/>
              </w:tabs>
            </w:pPr>
          </w:p>
          <w:p w14:paraId="4BB381DF" w14:textId="07023A3F" w:rsidR="0082440B" w:rsidRDefault="0082440B" w:rsidP="00956A80">
            <w:pPr>
              <w:pStyle w:val="Level1"/>
              <w:widowControl w:val="0"/>
              <w:tabs>
                <w:tab w:val="left" w:pos="720"/>
                <w:tab w:val="left" w:pos="1440"/>
                <w:tab w:val="left" w:pos="2160"/>
                <w:tab w:val="left" w:pos="2880"/>
                <w:tab w:val="left" w:pos="3600"/>
                <w:tab w:val="left" w:pos="5040"/>
                <w:tab w:val="left" w:pos="5760"/>
                <w:tab w:val="left" w:pos="6480"/>
              </w:tabs>
            </w:pPr>
          </w:p>
        </w:tc>
      </w:tr>
    </w:tbl>
    <w:p w14:paraId="0E1CDB7A" w14:textId="4064D6A5" w:rsidR="00BE00BC" w:rsidRDefault="001D5EA7" w:rsidP="007C5663">
      <w:pPr>
        <w:widowControl w:val="0"/>
        <w:tabs>
          <w:tab w:val="center" w:pos="4320"/>
        </w:tabs>
      </w:pPr>
      <w:r>
        <w:lastRenderedPageBreak/>
        <w:t>39</w:t>
      </w:r>
      <w:r w:rsidR="00BE00BC" w:rsidRPr="005A4C9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BE00BC" w14:paraId="56893396" w14:textId="77777777" w:rsidTr="002F0CD5">
        <w:trPr>
          <w:trHeight w:val="773"/>
        </w:trPr>
        <w:tc>
          <w:tcPr>
            <w:tcW w:w="7385" w:type="dxa"/>
            <w:tcBorders>
              <w:bottom w:val="single" w:sz="4" w:space="0" w:color="auto"/>
            </w:tcBorders>
          </w:tcPr>
          <w:p w14:paraId="041C9B49" w14:textId="1833D559" w:rsidR="00BE00BC" w:rsidRDefault="00BE00BC"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Pr>
                <w:u w:val="single"/>
              </w:rPr>
              <w:t>Lead-B</w:t>
            </w:r>
            <w:r w:rsidRPr="005A4C98">
              <w:rPr>
                <w:u w:val="single"/>
              </w:rPr>
              <w:t xml:space="preserve">ased </w:t>
            </w:r>
            <w:r>
              <w:rPr>
                <w:u w:val="single"/>
              </w:rPr>
              <w:t>P</w:t>
            </w:r>
            <w:r w:rsidRPr="005F0A5F">
              <w:rPr>
                <w:u w:val="single"/>
              </w:rPr>
              <w:t>aint</w:t>
            </w:r>
            <w:r w:rsidRPr="009C3EB4">
              <w:t>:</w:t>
            </w:r>
            <w:r w:rsidRPr="005F0A5F">
              <w:t xml:space="preserve">  </w:t>
            </w:r>
            <w:r>
              <w:t>Where ESG funds were used for rental assistance (TBRA or PBRA) or supportive services, do records reflect that the subrecipient complied with all lead-based paint requirements?</w:t>
            </w:r>
          </w:p>
          <w:p w14:paraId="587DE954" w14:textId="1FF93E9A" w:rsidR="00BE00BC" w:rsidRPr="005F0A5F" w:rsidRDefault="00BE00BC" w:rsidP="007C5663">
            <w:pPr>
              <w:pStyle w:val="level10"/>
              <w:widowControl w:val="0"/>
              <w:tabs>
                <w:tab w:val="left" w:pos="720"/>
                <w:tab w:val="left" w:pos="1440"/>
                <w:tab w:val="left" w:pos="2160"/>
                <w:tab w:val="left" w:pos="2880"/>
                <w:tab w:val="left" w:pos="3600"/>
                <w:tab w:val="center" w:pos="4320"/>
                <w:tab w:val="left" w:pos="5040"/>
                <w:tab w:val="left" w:pos="5760"/>
                <w:tab w:val="left" w:pos="6480"/>
                <w:tab w:val="right" w:pos="8640"/>
              </w:tabs>
              <w:ind w:left="365"/>
              <w:contextualSpacing/>
              <w:rPr>
                <w:color w:val="000000"/>
              </w:rPr>
            </w:pPr>
            <w:r w:rsidRPr="0082440B">
              <w:rPr>
                <w:b/>
                <w:color w:val="000000"/>
              </w:rPr>
              <w:t>NOTE</w:t>
            </w:r>
            <w:r>
              <w:rPr>
                <w:color w:val="000000"/>
              </w:rPr>
              <w:t>:</w:t>
            </w:r>
            <w:r w:rsidR="0082440B">
              <w:rPr>
                <w:color w:val="000000"/>
              </w:rPr>
              <w:t xml:space="preserve">  See Chapter 24, </w:t>
            </w:r>
            <w:r w:rsidR="0082440B">
              <w:rPr>
                <w:i/>
                <w:color w:val="000000"/>
              </w:rPr>
              <w:t>Lead-Based Paint Compliance</w:t>
            </w:r>
            <w:r w:rsidR="0082440B">
              <w:rPr>
                <w:color w:val="000000"/>
              </w:rPr>
              <w:t>, in this Handbook</w:t>
            </w:r>
            <w:r w:rsidR="009B133A">
              <w:rPr>
                <w:color w:val="000000"/>
              </w:rPr>
              <w:t xml:space="preserve">:  </w:t>
            </w:r>
            <w:r>
              <w:rPr>
                <w:color w:val="000000"/>
              </w:rPr>
              <w:t xml:space="preserve">Exhibit 24-2 (Supportive Services), Exhibit 24-3 (TBRA), or Exhibit 24-4 (PBRA), as applicable, MUST </w:t>
            </w:r>
            <w:r w:rsidRPr="005F0A5F">
              <w:rPr>
                <w:color w:val="000000"/>
              </w:rPr>
              <w:t>be completed</w:t>
            </w:r>
            <w:r>
              <w:rPr>
                <w:color w:val="000000"/>
              </w:rPr>
              <w:t xml:space="preserve"> to answer this question.  </w:t>
            </w:r>
          </w:p>
          <w:p w14:paraId="716D22FD"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pPr>
            <w:r w:rsidRPr="005F0A5F">
              <w:t xml:space="preserve">[24 CFR </w:t>
            </w:r>
            <w:r>
              <w:t xml:space="preserve">35.700-730 (PBRA); </w:t>
            </w:r>
            <w:r w:rsidRPr="005F0A5F">
              <w:t>24 CFR 35.1</w:t>
            </w:r>
            <w:r>
              <w:t xml:space="preserve">000-1020 (Supportive Services); </w:t>
            </w:r>
            <w:r w:rsidRPr="005F0A5F">
              <w:t xml:space="preserve">24 CFR </w:t>
            </w:r>
            <w:r>
              <w:t xml:space="preserve">35.1200-1225 (TBRA); 24 CFR </w:t>
            </w:r>
            <w:r w:rsidRPr="005F0A5F">
              <w:t>576.403(a)]</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BE00BC" w14:paraId="35338F25" w14:textId="77777777" w:rsidTr="002F0CD5">
              <w:trPr>
                <w:trHeight w:val="170"/>
              </w:trPr>
              <w:tc>
                <w:tcPr>
                  <w:tcW w:w="425" w:type="dxa"/>
                </w:tcPr>
                <w:p w14:paraId="02E43E32"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76" w:type="dxa"/>
                </w:tcPr>
                <w:p w14:paraId="0932C86D"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606" w:type="dxa"/>
                </w:tcPr>
                <w:p w14:paraId="7C3FC348"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sz w:val="16"/>
                    </w:rPr>
                  </w:pPr>
                  <w:r>
                    <w:fldChar w:fldCharType="begin">
                      <w:ffData>
                        <w:name w:val=""/>
                        <w:enabled/>
                        <w:calcOnExit w:val="0"/>
                        <w:checkBox>
                          <w:sizeAuto/>
                          <w:default w:val="0"/>
                        </w:checkBox>
                      </w:ffData>
                    </w:fldChar>
                  </w:r>
                  <w:r>
                    <w:instrText xml:space="preserve"> FORMCHECKBOX </w:instrText>
                  </w:r>
                  <w:r w:rsidR="00DE6AC8">
                    <w:fldChar w:fldCharType="separate"/>
                  </w:r>
                  <w:r>
                    <w:fldChar w:fldCharType="end"/>
                  </w:r>
                </w:p>
              </w:tc>
            </w:tr>
            <w:tr w:rsidR="00BE00BC" w14:paraId="3229E725" w14:textId="77777777" w:rsidTr="002F0CD5">
              <w:trPr>
                <w:trHeight w:val="225"/>
              </w:trPr>
              <w:tc>
                <w:tcPr>
                  <w:tcW w:w="425" w:type="dxa"/>
                </w:tcPr>
                <w:p w14:paraId="16073B83"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Yes</w:t>
                  </w:r>
                </w:p>
              </w:tc>
              <w:tc>
                <w:tcPr>
                  <w:tcW w:w="576" w:type="dxa"/>
                </w:tcPr>
                <w:p w14:paraId="2E82C57E"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No</w:t>
                  </w:r>
                </w:p>
              </w:tc>
              <w:tc>
                <w:tcPr>
                  <w:tcW w:w="606" w:type="dxa"/>
                </w:tcPr>
                <w:p w14:paraId="69DF2F63"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jc w:val="center"/>
                    <w:rPr>
                      <w:rFonts w:ascii="Verdana" w:hAnsi="Verdana"/>
                      <w:b/>
                      <w:bCs/>
                      <w:sz w:val="16"/>
                    </w:rPr>
                  </w:pPr>
                  <w:r>
                    <w:rPr>
                      <w:rFonts w:ascii="Verdana" w:hAnsi="Verdana"/>
                      <w:b/>
                      <w:bCs/>
                      <w:sz w:val="16"/>
                    </w:rPr>
                    <w:t>N/A</w:t>
                  </w:r>
                </w:p>
              </w:tc>
            </w:tr>
          </w:tbl>
          <w:p w14:paraId="0C954BCA"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pPr>
          </w:p>
        </w:tc>
      </w:tr>
      <w:tr w:rsidR="00BE00BC" w14:paraId="014540D8" w14:textId="77777777" w:rsidTr="002F0CD5">
        <w:trPr>
          <w:cantSplit/>
        </w:trPr>
        <w:tc>
          <w:tcPr>
            <w:tcW w:w="9010" w:type="dxa"/>
            <w:gridSpan w:val="2"/>
            <w:tcBorders>
              <w:bottom w:val="nil"/>
            </w:tcBorders>
          </w:tcPr>
          <w:p w14:paraId="688CEBF7" w14:textId="77777777" w:rsidR="00BE00BC" w:rsidRDefault="00BE00BC"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BE00BC" w14:paraId="27066F2F" w14:textId="77777777" w:rsidTr="002F0CD5">
        <w:trPr>
          <w:cantSplit/>
        </w:trPr>
        <w:tc>
          <w:tcPr>
            <w:tcW w:w="9010" w:type="dxa"/>
            <w:gridSpan w:val="2"/>
            <w:tcBorders>
              <w:top w:val="nil"/>
            </w:tcBorders>
          </w:tcPr>
          <w:p w14:paraId="0C014024" w14:textId="3A8172FD" w:rsidR="00BE00BC" w:rsidRDefault="00BE00BC" w:rsidP="001B5EEB">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9F7B58" w14:textId="76939BDE" w:rsidR="002148CD" w:rsidRPr="00995327" w:rsidRDefault="001D5EA7" w:rsidP="007C5663">
      <w:pPr>
        <w:widowControl w:val="0"/>
      </w:pPr>
      <w:r>
        <w:t>40</w:t>
      </w:r>
      <w:r w:rsidR="002148CD" w:rsidRPr="00995327">
        <w:t>.</w:t>
      </w:r>
    </w:p>
    <w:tbl>
      <w:tblPr>
        <w:tblW w:w="89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7"/>
      </w:tblGrid>
      <w:tr w:rsidR="002148CD" w:rsidRPr="00995327" w14:paraId="5EB2439A" w14:textId="77777777" w:rsidTr="001B5EEB">
        <w:trPr>
          <w:trHeight w:val="773"/>
        </w:trPr>
        <w:tc>
          <w:tcPr>
            <w:tcW w:w="7367" w:type="dxa"/>
            <w:tcBorders>
              <w:bottom w:val="single" w:sz="4" w:space="0" w:color="auto"/>
            </w:tcBorders>
          </w:tcPr>
          <w:p w14:paraId="254BC8B2" w14:textId="08DEAED8"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995327">
              <w:t xml:space="preserve">In making an award to </w:t>
            </w:r>
            <w:r w:rsidR="00203288">
              <w:t>the</w:t>
            </w:r>
            <w:r w:rsidRPr="00995327">
              <w:t xml:space="preserve"> subrecipient, </w:t>
            </w:r>
            <w:r w:rsidR="00203288">
              <w:t>did</w:t>
            </w:r>
            <w:r w:rsidRPr="00995327">
              <w:t xml:space="preserve"> the </w:t>
            </w:r>
            <w:r>
              <w:t>recipient</w:t>
            </w:r>
            <w:r w:rsidRPr="00995327">
              <w:t xml:space="preserve"> evaluate </w:t>
            </w:r>
            <w:r w:rsidR="00203288">
              <w:t>the</w:t>
            </w:r>
            <w:r w:rsidRPr="00995327">
              <w:t xml:space="preserve"> subrecipient’s risk of noncompliance with the Federal statutes, regulations, and terms and conditions of the subaward for purposes of determining the appropriate subrecipient monitoring?</w:t>
            </w:r>
          </w:p>
          <w:p w14:paraId="675F1387"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65"/>
            </w:pPr>
            <w:r w:rsidRPr="009B133A">
              <w:rPr>
                <w:b/>
              </w:rPr>
              <w:t>NOTE</w:t>
            </w:r>
            <w:r w:rsidRPr="00995327">
              <w:t>: This evaluation may include consideration of factors such as:</w:t>
            </w:r>
          </w:p>
          <w:p w14:paraId="457D0B18" w14:textId="77777777" w:rsidR="002148CD" w:rsidRPr="00995327" w:rsidRDefault="002148CD" w:rsidP="007C5663">
            <w:pPr>
              <w:widowControl w:val="0"/>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pPr>
            <w:r w:rsidRPr="00995327">
              <w:t xml:space="preserve">the subrecipient’s prior experience with the same or similar subawards; </w:t>
            </w:r>
          </w:p>
          <w:p w14:paraId="691F6485" w14:textId="77777777" w:rsidR="002148CD" w:rsidRPr="00995327" w:rsidRDefault="002148CD" w:rsidP="007C5663">
            <w:pPr>
              <w:widowControl w:val="0"/>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pPr>
            <w:r w:rsidRPr="00995327">
              <w:t xml:space="preserve">the results of previous audits, including whether or not the subrecipient receives a Single Audit in accordance with Subpart F of 2 CFR part 200, and the extent to which the same or similar subaward has been audited as a major program; </w:t>
            </w:r>
          </w:p>
          <w:p w14:paraId="7460231F" w14:textId="77777777" w:rsidR="002148CD" w:rsidRPr="00995327" w:rsidRDefault="002148CD" w:rsidP="007C5663">
            <w:pPr>
              <w:widowControl w:val="0"/>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pPr>
            <w:r w:rsidRPr="00995327">
              <w:t xml:space="preserve">whether the subrecipient has new personnel or new or substantially changed systems; and </w:t>
            </w:r>
          </w:p>
          <w:p w14:paraId="2730502D" w14:textId="77777777" w:rsidR="002148CD" w:rsidRPr="00995327" w:rsidRDefault="002148CD" w:rsidP="007C5663">
            <w:pPr>
              <w:widowControl w:val="0"/>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pPr>
            <w:r w:rsidRPr="00995327">
              <w:t>the extent and results of previous HUD monitoring, if the subrecipient also receives funds directly from HUD.</w:t>
            </w:r>
          </w:p>
          <w:p w14:paraId="0380A831"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995327">
              <w:t>[</w:t>
            </w:r>
            <w:r w:rsidRPr="00740CE5">
              <w:t>24 CFR 576.407(c)</w:t>
            </w:r>
            <w:r>
              <w:t xml:space="preserve"> and </w:t>
            </w:r>
            <w:r w:rsidRPr="00995327">
              <w:t>2 CFR 200.331(b)]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2148CD" w:rsidRPr="00995327" w14:paraId="5E0BCDD4" w14:textId="77777777" w:rsidTr="00170F61">
              <w:trPr>
                <w:trHeight w:val="170"/>
              </w:trPr>
              <w:tc>
                <w:tcPr>
                  <w:tcW w:w="425" w:type="dxa"/>
                </w:tcPr>
                <w:p w14:paraId="79C10B1B"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995327">
                    <w:fldChar w:fldCharType="begin">
                      <w:ffData>
                        <w:name w:val="Check1"/>
                        <w:enabled/>
                        <w:calcOnExit w:val="0"/>
                        <w:checkBox>
                          <w:sizeAuto/>
                          <w:default w:val="0"/>
                        </w:checkBox>
                      </w:ffData>
                    </w:fldChar>
                  </w:r>
                  <w:r w:rsidRPr="00995327">
                    <w:instrText xml:space="preserve"> FORMCHECKBOX </w:instrText>
                  </w:r>
                  <w:r w:rsidR="00DE6AC8">
                    <w:fldChar w:fldCharType="separate"/>
                  </w:r>
                  <w:r w:rsidRPr="00995327">
                    <w:fldChar w:fldCharType="end"/>
                  </w:r>
                </w:p>
              </w:tc>
              <w:tc>
                <w:tcPr>
                  <w:tcW w:w="576" w:type="dxa"/>
                </w:tcPr>
                <w:p w14:paraId="7DD40A8F"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995327">
                    <w:fldChar w:fldCharType="begin">
                      <w:ffData>
                        <w:name w:val="Check1"/>
                        <w:enabled/>
                        <w:calcOnExit w:val="0"/>
                        <w:checkBox>
                          <w:sizeAuto/>
                          <w:default w:val="0"/>
                        </w:checkBox>
                      </w:ffData>
                    </w:fldChar>
                  </w:r>
                  <w:r w:rsidRPr="00995327">
                    <w:instrText xml:space="preserve"> FORMCHECKBOX </w:instrText>
                  </w:r>
                  <w:r w:rsidR="00DE6AC8">
                    <w:fldChar w:fldCharType="separate"/>
                  </w:r>
                  <w:r w:rsidRPr="00995327">
                    <w:fldChar w:fldCharType="end"/>
                  </w:r>
                </w:p>
              </w:tc>
              <w:tc>
                <w:tcPr>
                  <w:tcW w:w="606" w:type="dxa"/>
                </w:tcPr>
                <w:p w14:paraId="4AA6049D"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995327">
                    <w:fldChar w:fldCharType="begin">
                      <w:ffData>
                        <w:name w:val=""/>
                        <w:enabled/>
                        <w:calcOnExit w:val="0"/>
                        <w:checkBox>
                          <w:sizeAuto/>
                          <w:default w:val="0"/>
                        </w:checkBox>
                      </w:ffData>
                    </w:fldChar>
                  </w:r>
                  <w:r w:rsidRPr="00995327">
                    <w:instrText xml:space="preserve"> FORMCHECKBOX </w:instrText>
                  </w:r>
                  <w:r w:rsidR="00DE6AC8">
                    <w:fldChar w:fldCharType="separate"/>
                  </w:r>
                  <w:r w:rsidRPr="00995327">
                    <w:fldChar w:fldCharType="end"/>
                  </w:r>
                </w:p>
              </w:tc>
            </w:tr>
            <w:tr w:rsidR="002148CD" w:rsidRPr="00995327" w14:paraId="479424E3" w14:textId="77777777" w:rsidTr="00170F61">
              <w:trPr>
                <w:trHeight w:val="225"/>
              </w:trPr>
              <w:tc>
                <w:tcPr>
                  <w:tcW w:w="425" w:type="dxa"/>
                </w:tcPr>
                <w:p w14:paraId="05E43335"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995327">
                    <w:rPr>
                      <w:rFonts w:ascii="Verdana" w:hAnsi="Verdana"/>
                      <w:b/>
                      <w:bCs/>
                      <w:sz w:val="16"/>
                    </w:rPr>
                    <w:t>Yes</w:t>
                  </w:r>
                </w:p>
              </w:tc>
              <w:tc>
                <w:tcPr>
                  <w:tcW w:w="576" w:type="dxa"/>
                </w:tcPr>
                <w:p w14:paraId="1E8D2F07"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995327">
                    <w:rPr>
                      <w:rFonts w:ascii="Verdana" w:hAnsi="Verdana"/>
                      <w:b/>
                      <w:bCs/>
                      <w:sz w:val="16"/>
                    </w:rPr>
                    <w:t>No</w:t>
                  </w:r>
                </w:p>
              </w:tc>
              <w:tc>
                <w:tcPr>
                  <w:tcW w:w="606" w:type="dxa"/>
                </w:tcPr>
                <w:p w14:paraId="2951F0EB"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995327">
                    <w:rPr>
                      <w:rFonts w:ascii="Verdana" w:hAnsi="Verdana"/>
                      <w:b/>
                      <w:bCs/>
                      <w:sz w:val="16"/>
                    </w:rPr>
                    <w:t>N/A</w:t>
                  </w:r>
                </w:p>
              </w:tc>
            </w:tr>
          </w:tbl>
          <w:p w14:paraId="1957F72D" w14:textId="77777777" w:rsidR="002148CD" w:rsidRPr="00995327" w:rsidRDefault="002148CD"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1B5EEB" w14:paraId="71BBDA33" w14:textId="77777777" w:rsidTr="001B5EEB">
        <w:trPr>
          <w:cantSplit/>
        </w:trPr>
        <w:tc>
          <w:tcPr>
            <w:tcW w:w="8994" w:type="dxa"/>
            <w:gridSpan w:val="2"/>
            <w:tcBorders>
              <w:bottom w:val="nil"/>
            </w:tcBorders>
          </w:tcPr>
          <w:p w14:paraId="3838AFC5" w14:textId="77777777" w:rsidR="001B5EEB" w:rsidRDefault="001B5EEB" w:rsidP="003C6332">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1B5EEB" w14:paraId="66ABE602" w14:textId="77777777" w:rsidTr="001B5EEB">
        <w:trPr>
          <w:cantSplit/>
        </w:trPr>
        <w:tc>
          <w:tcPr>
            <w:tcW w:w="8994" w:type="dxa"/>
            <w:gridSpan w:val="2"/>
            <w:tcBorders>
              <w:top w:val="nil"/>
            </w:tcBorders>
          </w:tcPr>
          <w:p w14:paraId="251D0DEC" w14:textId="7B73E359" w:rsidR="001B5EEB" w:rsidRDefault="001B5EEB" w:rsidP="00956A80">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C05739B" w14:textId="61E64386" w:rsidR="00AD0FA3" w:rsidRDefault="001D5EA7" w:rsidP="007C5663">
      <w:pPr>
        <w:widowControl w:val="0"/>
      </w:pPr>
      <w:r>
        <w:t>41</w:t>
      </w:r>
      <w:r w:rsidR="00DD0C08">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5"/>
        <w:gridCol w:w="1609"/>
      </w:tblGrid>
      <w:tr w:rsidR="00AD0FA3" w14:paraId="203E75BC" w14:textId="77777777" w:rsidTr="00112BD9">
        <w:trPr>
          <w:trHeight w:val="773"/>
        </w:trPr>
        <w:tc>
          <w:tcPr>
            <w:tcW w:w="7385" w:type="dxa"/>
            <w:tcBorders>
              <w:bottom w:val="single" w:sz="4" w:space="0" w:color="auto"/>
            </w:tcBorders>
          </w:tcPr>
          <w:p w14:paraId="4830C2CC" w14:textId="5E9DBF80" w:rsidR="00AD0FA3" w:rsidRPr="00745CDC" w:rsidRDefault="00AD0FA3" w:rsidP="007C5663">
            <w:pPr>
              <w:pStyle w:val="Level1"/>
              <w:widowControl w:val="0"/>
              <w:tabs>
                <w:tab w:val="left" w:pos="720"/>
                <w:tab w:val="left" w:pos="1440"/>
                <w:tab w:val="left" w:pos="2160"/>
                <w:tab w:val="left" w:pos="2880"/>
                <w:tab w:val="left" w:pos="3600"/>
                <w:tab w:val="left" w:pos="5040"/>
                <w:tab w:val="left" w:pos="5760"/>
                <w:tab w:val="left" w:pos="6480"/>
              </w:tabs>
            </w:pPr>
            <w:r w:rsidRPr="00112BD9">
              <w:rPr>
                <w:u w:val="single"/>
              </w:rPr>
              <w:t>Section 3</w:t>
            </w:r>
            <w:r>
              <w:t xml:space="preserve">:  </w:t>
            </w:r>
            <w:r w:rsidRPr="00745CDC">
              <w:t>If applicable, w</w:t>
            </w:r>
            <w:r w:rsidR="00950799">
              <w:t>as each</w:t>
            </w:r>
            <w:r w:rsidRPr="00745CDC">
              <w:t xml:space="preserve"> </w:t>
            </w:r>
            <w:r w:rsidR="00284EB9">
              <w:t>subrecipient</w:t>
            </w:r>
            <w:r w:rsidRPr="00745CDC">
              <w:rPr>
                <w:color w:val="000000"/>
              </w:rPr>
              <w:t xml:space="preserve"> </w:t>
            </w:r>
            <w:r w:rsidRPr="00745CDC">
              <w:t xml:space="preserve">in compliance with the applicable requirements of Section 3 of the Housing and Urban Development Act of 1968?  </w:t>
            </w:r>
          </w:p>
          <w:p w14:paraId="11ADDC83" w14:textId="21520B9B" w:rsidR="00AD0FA3" w:rsidRPr="00885C55" w:rsidRDefault="001D59AA" w:rsidP="007C5663">
            <w:pPr>
              <w:pStyle w:val="Level1"/>
              <w:widowControl w:val="0"/>
              <w:tabs>
                <w:tab w:val="left" w:pos="720"/>
                <w:tab w:val="left" w:pos="1440"/>
                <w:tab w:val="left" w:pos="2160"/>
                <w:tab w:val="left" w:pos="2880"/>
                <w:tab w:val="left" w:pos="3600"/>
                <w:tab w:val="left" w:pos="5040"/>
                <w:tab w:val="left" w:pos="5760"/>
                <w:tab w:val="left" w:pos="6480"/>
              </w:tabs>
            </w:pPr>
            <w:r>
              <w:t xml:space="preserve">[24 CFR part 135; </w:t>
            </w:r>
            <w:r w:rsidR="00AD0FA3">
              <w:t xml:space="preserve">24 CFR </w:t>
            </w:r>
            <w:r w:rsidR="00AD0FA3" w:rsidRPr="00745CDC">
              <w:t>576.407(a)</w:t>
            </w:r>
            <w:r w:rsidR="007F758F">
              <w:t>;</w:t>
            </w:r>
            <w:r w:rsidR="00AD0FA3" w:rsidRPr="00745CDC">
              <w:t xml:space="preserve"> </w:t>
            </w:r>
            <w:r w:rsidR="00AD0FA3">
              <w:t xml:space="preserve">24 CFR </w:t>
            </w:r>
            <w:r w:rsidR="00AD0FA3" w:rsidRPr="00745CDC">
              <w:t>576.405(c)]</w:t>
            </w:r>
          </w:p>
        </w:tc>
        <w:tc>
          <w:tcPr>
            <w:tcW w:w="1609" w:type="dxa"/>
            <w:tcBorders>
              <w:bottom w:val="single" w:sz="4" w:space="0" w:color="auto"/>
            </w:tcBorders>
          </w:tcPr>
          <w:tbl>
            <w:tblPr>
              <w:tblpPr w:leftFromText="180" w:rightFromText="180" w:vertAnchor="text" w:horzAnchor="margin" w:tblpX="172" w:tblpY="84"/>
              <w:tblW w:w="2250" w:type="dxa"/>
              <w:tblLayout w:type="fixed"/>
              <w:tblCellMar>
                <w:left w:w="0" w:type="dxa"/>
                <w:right w:w="0" w:type="dxa"/>
              </w:tblCellMar>
              <w:tblLook w:val="0000" w:firstRow="0" w:lastRow="0" w:firstColumn="0" w:lastColumn="0" w:noHBand="0" w:noVBand="0"/>
            </w:tblPr>
            <w:tblGrid>
              <w:gridCol w:w="415"/>
              <w:gridCol w:w="547"/>
              <w:gridCol w:w="1288"/>
            </w:tblGrid>
            <w:tr w:rsidR="00AD0FA3" w14:paraId="4387CE97" w14:textId="77777777" w:rsidTr="00112BD9">
              <w:trPr>
                <w:trHeight w:val="170"/>
              </w:trPr>
              <w:tc>
                <w:tcPr>
                  <w:tcW w:w="415" w:type="dxa"/>
                </w:tcPr>
                <w:p w14:paraId="55F13D3E"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547" w:type="dxa"/>
                </w:tcPr>
                <w:p w14:paraId="22C76172"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sz w:val="16"/>
                    </w:rPr>
                  </w:pPr>
                  <w:r>
                    <w:fldChar w:fldCharType="begin">
                      <w:ffData>
                        <w:name w:val="Check1"/>
                        <w:enabled/>
                        <w:calcOnExit w:val="0"/>
                        <w:checkBox>
                          <w:sizeAuto/>
                          <w:default w:val="0"/>
                        </w:checkBox>
                      </w:ffData>
                    </w:fldChar>
                  </w:r>
                  <w:r>
                    <w:instrText xml:space="preserve"> FORMCHECKBOX </w:instrText>
                  </w:r>
                  <w:r w:rsidR="00DE6AC8">
                    <w:fldChar w:fldCharType="separate"/>
                  </w:r>
                  <w:r>
                    <w:fldChar w:fldCharType="end"/>
                  </w:r>
                </w:p>
              </w:tc>
              <w:tc>
                <w:tcPr>
                  <w:tcW w:w="1288" w:type="dxa"/>
                </w:tcPr>
                <w:p w14:paraId="55F217CC" w14:textId="6DC0FF72" w:rsidR="00AD0FA3" w:rsidRDefault="00112BD9" w:rsidP="007C5663">
                  <w:pPr>
                    <w:pStyle w:val="Level1"/>
                    <w:widowControl w:val="0"/>
                    <w:tabs>
                      <w:tab w:val="left" w:pos="720"/>
                      <w:tab w:val="left" w:pos="1440"/>
                      <w:tab w:val="left" w:pos="2160"/>
                      <w:tab w:val="left" w:pos="2880"/>
                      <w:tab w:val="left" w:pos="3600"/>
                      <w:tab w:val="left" w:pos="5040"/>
                      <w:tab w:val="left" w:pos="5760"/>
                      <w:tab w:val="left" w:pos="6480"/>
                    </w:tabs>
                    <w:spacing w:after="120"/>
                    <w:rPr>
                      <w:rFonts w:ascii="Verdana" w:hAnsi="Verdana"/>
                      <w:sz w:val="16"/>
                    </w:rPr>
                  </w:pPr>
                  <w:r>
                    <w:t xml:space="preserve">   </w:t>
                  </w:r>
                  <w:r w:rsidR="00AD0FA3">
                    <w:fldChar w:fldCharType="begin">
                      <w:ffData>
                        <w:name w:val=""/>
                        <w:enabled/>
                        <w:calcOnExit w:val="0"/>
                        <w:checkBox>
                          <w:sizeAuto/>
                          <w:default w:val="0"/>
                        </w:checkBox>
                      </w:ffData>
                    </w:fldChar>
                  </w:r>
                  <w:r w:rsidR="00AD0FA3">
                    <w:instrText xml:space="preserve"> FORMCHECKBOX </w:instrText>
                  </w:r>
                  <w:r w:rsidR="00DE6AC8">
                    <w:fldChar w:fldCharType="separate"/>
                  </w:r>
                  <w:r w:rsidR="00AD0FA3">
                    <w:fldChar w:fldCharType="end"/>
                  </w:r>
                </w:p>
              </w:tc>
            </w:tr>
            <w:tr w:rsidR="00AD0FA3" w14:paraId="272F4FB9" w14:textId="77777777" w:rsidTr="00112BD9">
              <w:trPr>
                <w:trHeight w:val="225"/>
              </w:trPr>
              <w:tc>
                <w:tcPr>
                  <w:tcW w:w="415" w:type="dxa"/>
                </w:tcPr>
                <w:p w14:paraId="4C0D5CC2"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Yes</w:t>
                  </w:r>
                </w:p>
              </w:tc>
              <w:tc>
                <w:tcPr>
                  <w:tcW w:w="547" w:type="dxa"/>
                </w:tcPr>
                <w:p w14:paraId="37AC5984"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jc w:val="center"/>
                    <w:rPr>
                      <w:rFonts w:ascii="Verdana" w:hAnsi="Verdana"/>
                      <w:b/>
                      <w:bCs/>
                      <w:sz w:val="16"/>
                    </w:rPr>
                  </w:pPr>
                  <w:r>
                    <w:rPr>
                      <w:rFonts w:ascii="Verdana" w:hAnsi="Verdana"/>
                      <w:b/>
                      <w:bCs/>
                      <w:sz w:val="16"/>
                    </w:rPr>
                    <w:t>No</w:t>
                  </w:r>
                </w:p>
              </w:tc>
              <w:tc>
                <w:tcPr>
                  <w:tcW w:w="1288" w:type="dxa"/>
                </w:tcPr>
                <w:p w14:paraId="69F2EB07" w14:textId="2014B0FA" w:rsidR="00AD0FA3" w:rsidRDefault="00112BD9" w:rsidP="007C5663">
                  <w:pPr>
                    <w:pStyle w:val="Level1"/>
                    <w:widowControl w:val="0"/>
                    <w:tabs>
                      <w:tab w:val="left" w:pos="720"/>
                      <w:tab w:val="left" w:pos="1440"/>
                      <w:tab w:val="left" w:pos="2160"/>
                      <w:tab w:val="left" w:pos="2880"/>
                      <w:tab w:val="left" w:pos="3600"/>
                      <w:tab w:val="left" w:pos="5040"/>
                      <w:tab w:val="left" w:pos="5760"/>
                      <w:tab w:val="left" w:pos="6480"/>
                    </w:tabs>
                    <w:spacing w:after="120"/>
                    <w:rPr>
                      <w:rFonts w:ascii="Verdana" w:hAnsi="Verdana"/>
                      <w:b/>
                      <w:bCs/>
                      <w:sz w:val="16"/>
                    </w:rPr>
                  </w:pPr>
                  <w:r>
                    <w:rPr>
                      <w:rFonts w:ascii="Verdana" w:hAnsi="Verdana"/>
                      <w:b/>
                      <w:bCs/>
                      <w:sz w:val="16"/>
                    </w:rPr>
                    <w:t xml:space="preserve">   </w:t>
                  </w:r>
                  <w:r w:rsidR="00AD0FA3">
                    <w:rPr>
                      <w:rFonts w:ascii="Verdana" w:hAnsi="Verdana"/>
                      <w:b/>
                      <w:bCs/>
                      <w:sz w:val="16"/>
                    </w:rPr>
                    <w:t>N/A</w:t>
                  </w:r>
                </w:p>
              </w:tc>
            </w:tr>
          </w:tbl>
          <w:p w14:paraId="5D12406D"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spacing w:after="120"/>
            </w:pPr>
          </w:p>
        </w:tc>
      </w:tr>
      <w:tr w:rsidR="00AD0FA3" w14:paraId="42CA7AA1" w14:textId="77777777" w:rsidTr="00112BD9">
        <w:trPr>
          <w:cantSplit/>
        </w:trPr>
        <w:tc>
          <w:tcPr>
            <w:tcW w:w="8994" w:type="dxa"/>
            <w:gridSpan w:val="2"/>
            <w:tcBorders>
              <w:bottom w:val="nil"/>
            </w:tcBorders>
          </w:tcPr>
          <w:p w14:paraId="17376280" w14:textId="77777777" w:rsidR="00AD0FA3" w:rsidRDefault="00AD0FA3" w:rsidP="007C5663">
            <w:pPr>
              <w:pStyle w:val="Level1"/>
              <w:widowControl w:val="0"/>
              <w:tabs>
                <w:tab w:val="left" w:pos="720"/>
                <w:tab w:val="left" w:pos="1440"/>
                <w:tab w:val="left" w:pos="2160"/>
                <w:tab w:val="left" w:pos="2880"/>
                <w:tab w:val="left" w:pos="3600"/>
                <w:tab w:val="left" w:pos="5040"/>
                <w:tab w:val="left" w:pos="5760"/>
                <w:tab w:val="left" w:pos="6480"/>
              </w:tabs>
            </w:pPr>
            <w:r>
              <w:rPr>
                <w:b/>
                <w:bCs/>
              </w:rPr>
              <w:t>Describe Basis for Conclusion:</w:t>
            </w:r>
          </w:p>
        </w:tc>
      </w:tr>
      <w:tr w:rsidR="00AD0FA3" w14:paraId="00AD53EA" w14:textId="77777777" w:rsidTr="00112BD9">
        <w:trPr>
          <w:cantSplit/>
        </w:trPr>
        <w:tc>
          <w:tcPr>
            <w:tcW w:w="8994" w:type="dxa"/>
            <w:gridSpan w:val="2"/>
            <w:tcBorders>
              <w:top w:val="nil"/>
            </w:tcBorders>
          </w:tcPr>
          <w:p w14:paraId="64EA0421" w14:textId="5C6FD3A9" w:rsidR="00AD0FA3" w:rsidRDefault="00AD0FA3" w:rsidP="00CF5C8C">
            <w:pPr>
              <w:pStyle w:val="Level1"/>
              <w:widowControl w:val="0"/>
              <w:tabs>
                <w:tab w:val="left" w:pos="720"/>
                <w:tab w:val="left" w:pos="1440"/>
                <w:tab w:val="left" w:pos="2160"/>
                <w:tab w:val="left" w:pos="2880"/>
                <w:tab w:val="left" w:pos="3600"/>
                <w:tab w:val="left" w:pos="5040"/>
                <w:tab w:val="left" w:pos="5760"/>
                <w:tab w:val="left" w:pos="6480"/>
              </w:tab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7FC5849" w14:textId="77777777" w:rsidR="007E3464" w:rsidRDefault="007E3464" w:rsidP="007C5663">
      <w:pPr>
        <w:widowControl w:val="0"/>
        <w:rPr>
          <w:u w:val="single"/>
        </w:rPr>
      </w:pPr>
    </w:p>
    <w:p w14:paraId="64F45C9F" w14:textId="1C2C3BBC" w:rsidR="003508F4" w:rsidRDefault="00A45806" w:rsidP="007C5663">
      <w:pPr>
        <w:widowControl w:val="0"/>
        <w:rPr>
          <w:u w:val="single"/>
        </w:rPr>
      </w:pPr>
      <w:r>
        <w:rPr>
          <w:u w:val="single"/>
        </w:rPr>
        <w:t xml:space="preserve">H. ADDITIONAL 2 CFR </w:t>
      </w:r>
      <w:r w:rsidR="003508F4">
        <w:rPr>
          <w:u w:val="single"/>
        </w:rPr>
        <w:t xml:space="preserve">PART </w:t>
      </w:r>
      <w:r>
        <w:rPr>
          <w:u w:val="single"/>
        </w:rPr>
        <w:t>200 REVIEW</w:t>
      </w:r>
      <w:r w:rsidR="003508F4">
        <w:rPr>
          <w:u w:val="single"/>
        </w:rPr>
        <w:t xml:space="preserve"> FOR SUB-SUBAWARDS</w:t>
      </w:r>
    </w:p>
    <w:p w14:paraId="3C2515EC" w14:textId="77777777" w:rsidR="003508F4" w:rsidRDefault="003508F4" w:rsidP="007C5663">
      <w:pPr>
        <w:widowControl w:val="0"/>
        <w:rPr>
          <w:u w:val="single"/>
        </w:rPr>
      </w:pPr>
    </w:p>
    <w:p w14:paraId="53182B83" w14:textId="02805701" w:rsidR="0094283B" w:rsidRDefault="00203288" w:rsidP="007E3464">
      <w:pPr>
        <w:widowControl w:val="0"/>
        <w:ind w:left="360"/>
        <w:rPr>
          <w:u w:val="single"/>
        </w:rPr>
      </w:pPr>
      <w:r>
        <w:rPr>
          <w:u w:val="single"/>
        </w:rPr>
        <w:t xml:space="preserve">NOTE: The following questions apply when a subrecipient </w:t>
      </w:r>
      <w:r w:rsidR="003508F4">
        <w:rPr>
          <w:u w:val="single"/>
        </w:rPr>
        <w:t>carries out it</w:t>
      </w:r>
      <w:r w:rsidR="00EC74E5">
        <w:rPr>
          <w:u w:val="single"/>
        </w:rPr>
        <w:t>s</w:t>
      </w:r>
      <w:r w:rsidR="003508F4">
        <w:rPr>
          <w:u w:val="single"/>
        </w:rPr>
        <w:t xml:space="preserve"> subgrant by making subgrants to a lower tier of subrecipients</w:t>
      </w:r>
      <w:r>
        <w:rPr>
          <w:u w:val="single"/>
        </w:rPr>
        <w:t xml:space="preserve">.  </w:t>
      </w:r>
      <w:r w:rsidR="003508F4">
        <w:rPr>
          <w:u w:val="single"/>
        </w:rPr>
        <w:t>To ensure clarity and consistency with part 200</w:t>
      </w:r>
      <w:r>
        <w:rPr>
          <w:u w:val="single"/>
        </w:rPr>
        <w:t xml:space="preserve">, the </w:t>
      </w:r>
      <w:r w:rsidR="003508F4">
        <w:rPr>
          <w:u w:val="single"/>
        </w:rPr>
        <w:t>term</w:t>
      </w:r>
      <w:r>
        <w:rPr>
          <w:u w:val="single"/>
        </w:rPr>
        <w:t xml:space="preserve"> “</w:t>
      </w:r>
      <w:r w:rsidR="00F66810">
        <w:rPr>
          <w:u w:val="single"/>
        </w:rPr>
        <w:t>pass-through</w:t>
      </w:r>
      <w:r>
        <w:rPr>
          <w:u w:val="single"/>
        </w:rPr>
        <w:t xml:space="preserve"> entity” refer</w:t>
      </w:r>
      <w:r w:rsidR="003508F4">
        <w:rPr>
          <w:u w:val="single"/>
        </w:rPr>
        <w:t>s</w:t>
      </w:r>
      <w:r>
        <w:rPr>
          <w:u w:val="single"/>
        </w:rPr>
        <w:t xml:space="preserve"> to the first </w:t>
      </w:r>
      <w:r w:rsidR="003508F4">
        <w:rPr>
          <w:u w:val="single"/>
        </w:rPr>
        <w:t xml:space="preserve">or higher-tier </w:t>
      </w:r>
      <w:r>
        <w:rPr>
          <w:u w:val="single"/>
        </w:rPr>
        <w:t>subrec</w:t>
      </w:r>
      <w:r w:rsidR="003508F4">
        <w:rPr>
          <w:u w:val="single"/>
        </w:rPr>
        <w:t>i</w:t>
      </w:r>
      <w:r>
        <w:rPr>
          <w:u w:val="single"/>
        </w:rPr>
        <w:t>pient</w:t>
      </w:r>
      <w:r w:rsidR="003508F4">
        <w:rPr>
          <w:u w:val="single"/>
        </w:rPr>
        <w:t xml:space="preserve">, and the term “subrecipient” refers to the subrecipient(s) at the lower tier.  </w:t>
      </w:r>
    </w:p>
    <w:p w14:paraId="3354B50F" w14:textId="77777777" w:rsidR="003508F4" w:rsidRPr="008E52B2" w:rsidRDefault="003508F4" w:rsidP="007C5663">
      <w:pPr>
        <w:widowControl w:val="0"/>
        <w:rPr>
          <w:u w:val="single"/>
        </w:rPr>
      </w:pPr>
    </w:p>
    <w:p w14:paraId="10BB9A6F" w14:textId="59B94837" w:rsidR="0094283B" w:rsidRPr="004C40C4" w:rsidRDefault="001D5EA7" w:rsidP="007C5663">
      <w:pPr>
        <w:widowControl w:val="0"/>
      </w:pPr>
      <w:r>
        <w:lastRenderedPageBreak/>
        <w:t>42</w:t>
      </w:r>
      <w:r w:rsidR="0094283B" w:rsidRPr="004C40C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06BAFAA1" w14:textId="77777777" w:rsidTr="00956A80">
        <w:trPr>
          <w:trHeight w:val="773"/>
        </w:trPr>
        <w:tc>
          <w:tcPr>
            <w:tcW w:w="7367" w:type="dxa"/>
            <w:tcBorders>
              <w:bottom w:val="single" w:sz="4" w:space="0" w:color="auto"/>
            </w:tcBorders>
          </w:tcPr>
          <w:p w14:paraId="0820433C" w14:textId="34144C55"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If the </w:t>
            </w:r>
            <w:r w:rsidR="00F66810">
              <w:t>pass-through</w:t>
            </w:r>
            <w:r w:rsidR="003508F4">
              <w:t xml:space="preserve"> entity</w:t>
            </w:r>
            <w:r w:rsidRPr="004C40C4">
              <w:t xml:space="preserve"> provides funds through either a subrecipient agreement or a contract, has it followed the criteria in 2 CFR 200.330 for making case-by-case determinations of whether the entity is receiving the funds in the role of either a subrecipient or contractor?</w:t>
            </w:r>
          </w:p>
          <w:p w14:paraId="58BFFD08" w14:textId="7E92E0CD"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508F4">
              <w:t xml:space="preserve">24 CFR 576.407(c); </w:t>
            </w:r>
            <w:r w:rsidRPr="004C40C4">
              <w:t xml:space="preserve">2 CFR 200.330] </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31F10880" w14:textId="77777777" w:rsidTr="007C0A65">
              <w:trPr>
                <w:trHeight w:val="170"/>
              </w:trPr>
              <w:tc>
                <w:tcPr>
                  <w:tcW w:w="425" w:type="dxa"/>
                </w:tcPr>
                <w:p w14:paraId="585B0A8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37AEAE3C"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435F168D"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59B262C6" w14:textId="77777777" w:rsidTr="007C0A65">
              <w:trPr>
                <w:trHeight w:val="225"/>
              </w:trPr>
              <w:tc>
                <w:tcPr>
                  <w:tcW w:w="425" w:type="dxa"/>
                </w:tcPr>
                <w:p w14:paraId="06DFD1D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53821FE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420F22A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2B841F8C"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0F37FB6D" w14:textId="77777777" w:rsidTr="00956A80">
        <w:trPr>
          <w:cantSplit/>
        </w:trPr>
        <w:tc>
          <w:tcPr>
            <w:tcW w:w="8990" w:type="dxa"/>
            <w:gridSpan w:val="2"/>
            <w:tcBorders>
              <w:bottom w:val="single" w:sz="4" w:space="0" w:color="auto"/>
            </w:tcBorders>
          </w:tcPr>
          <w:p w14:paraId="4E2DB1E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4A0DD1D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bl>
    <w:p w14:paraId="03226A72" w14:textId="09C1375E" w:rsidR="0094283B" w:rsidRPr="004C40C4" w:rsidRDefault="001D5EA7" w:rsidP="007C5663">
      <w:pPr>
        <w:widowControl w:val="0"/>
      </w:pPr>
      <w:r>
        <w:t>43</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2E59EACD" w14:textId="77777777" w:rsidTr="00956A80">
        <w:trPr>
          <w:trHeight w:val="773"/>
        </w:trPr>
        <w:tc>
          <w:tcPr>
            <w:tcW w:w="7367" w:type="dxa"/>
            <w:tcBorders>
              <w:bottom w:val="single" w:sz="4" w:space="0" w:color="auto"/>
            </w:tcBorders>
          </w:tcPr>
          <w:p w14:paraId="5A5A469E" w14:textId="5475C67F"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In making an award to a subrecipient, has the </w:t>
            </w:r>
            <w:r w:rsidR="00F66810">
              <w:t>pass-through</w:t>
            </w:r>
            <w:r w:rsidRPr="004C40C4">
              <w:t xml:space="preserve"> entity evaluated each subrecipient’s risk of noncompliance with the Federal statutes, regulations, and terms and conditions of the subaward for purposes of determining the appropriate subrecipient monitoring?</w:t>
            </w:r>
          </w:p>
          <w:p w14:paraId="545405D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65"/>
            </w:pPr>
            <w:r w:rsidRPr="00CF5C8C">
              <w:rPr>
                <w:b/>
              </w:rPr>
              <w:t>NOTE:</w:t>
            </w:r>
            <w:r w:rsidRPr="004C40C4">
              <w:t xml:space="preserve"> This evaluation may include consideration of factors such as:</w:t>
            </w:r>
          </w:p>
          <w:p w14:paraId="36723120" w14:textId="77777777" w:rsidR="0094283B" w:rsidRPr="004C40C4" w:rsidRDefault="0094283B" w:rsidP="00956A80">
            <w:pPr>
              <w:widowControl w:val="0"/>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ind w:left="720"/>
            </w:pPr>
            <w:r w:rsidRPr="004C40C4">
              <w:t xml:space="preserve">the subrecipient’s prior experience with the same or similar subawards; </w:t>
            </w:r>
          </w:p>
          <w:p w14:paraId="55D36ECB" w14:textId="77777777" w:rsidR="0094283B" w:rsidRPr="004C40C4" w:rsidRDefault="0094283B" w:rsidP="00956A80">
            <w:pPr>
              <w:widowControl w:val="0"/>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ind w:left="720"/>
            </w:pPr>
            <w:r w:rsidRPr="004C40C4">
              <w:t xml:space="preserve">the results of previous audits, including whether or not the subrecipient receives a Single Audit in accordance with Subpart F of 2 CFR part 200, and the extent to which the same or similar subaward has been audited as a major program; </w:t>
            </w:r>
          </w:p>
          <w:p w14:paraId="2B4E373E" w14:textId="77777777" w:rsidR="0094283B" w:rsidRPr="004C40C4" w:rsidRDefault="0094283B" w:rsidP="00956A80">
            <w:pPr>
              <w:widowControl w:val="0"/>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ind w:left="720"/>
            </w:pPr>
            <w:r w:rsidRPr="004C40C4">
              <w:t xml:space="preserve">whether the subrecipient has new personnel or new or substantially changed systems; and </w:t>
            </w:r>
          </w:p>
          <w:p w14:paraId="72AA02AA" w14:textId="77777777" w:rsidR="0094283B" w:rsidRPr="004C40C4" w:rsidRDefault="0094283B" w:rsidP="00956A80">
            <w:pPr>
              <w:widowControl w:val="0"/>
              <w:numPr>
                <w:ilvl w:val="0"/>
                <w:numId w:val="47"/>
              </w:numPr>
              <w:tabs>
                <w:tab w:val="left" w:pos="720"/>
                <w:tab w:val="left" w:pos="1440"/>
                <w:tab w:val="left" w:pos="2160"/>
                <w:tab w:val="left" w:pos="2880"/>
                <w:tab w:val="left" w:pos="3600"/>
                <w:tab w:val="center" w:pos="4320"/>
                <w:tab w:val="left" w:pos="5040"/>
                <w:tab w:val="left" w:pos="5760"/>
                <w:tab w:val="left" w:pos="6480"/>
                <w:tab w:val="right" w:pos="8640"/>
              </w:tabs>
              <w:ind w:left="720"/>
            </w:pPr>
            <w:r w:rsidRPr="004C40C4">
              <w:t>the extent and results of previous HUD monitoring, if the subrecipient also receives funds directly from HUD.</w:t>
            </w:r>
          </w:p>
          <w:p w14:paraId="7F3515FC" w14:textId="2599269B"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200.331(b)]</w:t>
            </w:r>
          </w:p>
        </w:tc>
        <w:tc>
          <w:tcPr>
            <w:tcW w:w="1623"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02ADEB08" w14:textId="77777777" w:rsidTr="007C0A65">
              <w:trPr>
                <w:trHeight w:val="170"/>
              </w:trPr>
              <w:tc>
                <w:tcPr>
                  <w:tcW w:w="425" w:type="dxa"/>
                </w:tcPr>
                <w:p w14:paraId="329969D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427E62B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059D681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654DD860" w14:textId="77777777" w:rsidTr="007C0A65">
              <w:trPr>
                <w:trHeight w:val="225"/>
              </w:trPr>
              <w:tc>
                <w:tcPr>
                  <w:tcW w:w="425" w:type="dxa"/>
                </w:tcPr>
                <w:p w14:paraId="651E54B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57A5D7C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1053436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7672D4C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29F78B08" w14:textId="77777777" w:rsidTr="00956A80">
        <w:trPr>
          <w:cantSplit/>
        </w:trPr>
        <w:tc>
          <w:tcPr>
            <w:tcW w:w="8990" w:type="dxa"/>
            <w:gridSpan w:val="2"/>
            <w:tcBorders>
              <w:bottom w:val="single" w:sz="4" w:space="0" w:color="auto"/>
            </w:tcBorders>
          </w:tcPr>
          <w:p w14:paraId="4A9194C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15645933" w14:textId="77777777" w:rsidR="0094283B"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p w14:paraId="4E04D1F5" w14:textId="0077F7A6" w:rsidR="00956A80" w:rsidRPr="004C40C4" w:rsidRDefault="00956A80"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6C9804FB" w14:textId="454CDC90" w:rsidR="0094283B" w:rsidRPr="004C40C4" w:rsidRDefault="001D5EA7" w:rsidP="007C5663">
      <w:pPr>
        <w:widowControl w:val="0"/>
      </w:pPr>
      <w:r>
        <w:t>44</w:t>
      </w:r>
      <w:r w:rsidR="0094283B" w:rsidRPr="004C40C4">
        <w:t xml:space="preserve">.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2DA6BF7F" w14:textId="77777777" w:rsidTr="007C0A65">
        <w:trPr>
          <w:trHeight w:val="773"/>
        </w:trPr>
        <w:tc>
          <w:tcPr>
            <w:tcW w:w="7385" w:type="dxa"/>
            <w:tcBorders>
              <w:bottom w:val="single" w:sz="4" w:space="0" w:color="auto"/>
            </w:tcBorders>
          </w:tcPr>
          <w:p w14:paraId="1F041582" w14:textId="30B665C4"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For each subaward provided to a subrecipient, has the </w:t>
            </w:r>
            <w:r w:rsidR="00F66810">
              <w:t>pass-through</w:t>
            </w:r>
            <w:r w:rsidRPr="004C40C4">
              <w:t xml:space="preserve"> entity clearly identified it as a subaward to a subrecipient and included the following information at the time of the subaward:</w:t>
            </w:r>
          </w:p>
          <w:p w14:paraId="7AB9ED85"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Federal award identification?</w:t>
            </w:r>
          </w:p>
          <w:p w14:paraId="49DA0A97"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Subrecipient name (which must match the name associated with the unique entity identifier)?</w:t>
            </w:r>
          </w:p>
          <w:p w14:paraId="4CD525AF"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Subrecipient’s unique entity identifier?</w:t>
            </w:r>
          </w:p>
          <w:p w14:paraId="28139AD2"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HUD award identification number?</w:t>
            </w:r>
          </w:p>
          <w:p w14:paraId="13272184"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Federal award date, as defined in 2 CFR 200.39 (the date that HUD signed the award to the recipient)?</w:t>
            </w:r>
          </w:p>
          <w:p w14:paraId="5F3D7368"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Subaward period of performance start and end date?</w:t>
            </w:r>
          </w:p>
          <w:p w14:paraId="53814E4C"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Total amount of the Federal award committed to the subrecipient by the pass-through entity?</w:t>
            </w:r>
          </w:p>
          <w:p w14:paraId="22A59A92"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Amount of Federal funds obligated by this action by the pass-through entity to the subrecipient?</w:t>
            </w:r>
          </w:p>
          <w:p w14:paraId="4627882A"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Total amount of Federal funds obligated to the subrecipient by the pass-through entity, including the current obligation?</w:t>
            </w:r>
          </w:p>
          <w:p w14:paraId="759F84C7"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lastRenderedPageBreak/>
              <w:t>Federal Award project description, as required to be responsive to the Federal Funding Accountability and Transparency Act (FFATA)?</w:t>
            </w:r>
          </w:p>
          <w:p w14:paraId="03B5B81D" w14:textId="004B3D8D"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HUD’s name, the name of the </w:t>
            </w:r>
            <w:r w:rsidR="000F76B4">
              <w:t>pass-through</w:t>
            </w:r>
            <w:r w:rsidRPr="004C40C4">
              <w:t xml:space="preserve"> entity, and contact information for the awarding official of the </w:t>
            </w:r>
            <w:r w:rsidR="000F76B4">
              <w:t>pass-through</w:t>
            </w:r>
            <w:r w:rsidRPr="004C40C4">
              <w:t xml:space="preserve"> entity?</w:t>
            </w:r>
          </w:p>
          <w:p w14:paraId="6D64E0B6" w14:textId="2C804264" w:rsidR="0094283B" w:rsidRPr="004C40C4" w:rsidRDefault="0094283B" w:rsidP="000F76B4">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Catalog of Federal Domestic Assistance (CFDA) number and name of the HUD program under which the award is made?</w:t>
            </w:r>
          </w:p>
          <w:p w14:paraId="520D9E74"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Identification of whether the award is Research &amp; Development (R&amp;D), if applicable?</w:t>
            </w:r>
          </w:p>
          <w:p w14:paraId="6F84970A"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Indirect cost rate for the HUD award to the recipient?</w:t>
            </w:r>
          </w:p>
          <w:p w14:paraId="4CA33EBD" w14:textId="618505CA"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Indirect cost rate for the subaward (which must be an approved Federally-recognized indirect cost rate negotiated between the subrecipient and the Federal government or, if no such rate exists, either a rate negotiated between the pass-through entity and the subrecipient (in compliance with 2 CFR part 200), or a de minimis indirect cost rate as defined in §200.414(f))?</w:t>
            </w:r>
          </w:p>
          <w:p w14:paraId="2DAAA5EA" w14:textId="473BFFBC"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All requirements imposed by the </w:t>
            </w:r>
            <w:r w:rsidR="000F76B4">
              <w:t>pass-through</w:t>
            </w:r>
            <w:r w:rsidRPr="004C40C4">
              <w:t xml:space="preserve"> entity on the subrecipient so that the subaward is used in accordance with the Federal statutes, regulations, and the terms and conditions of the HUD award to the recipient?</w:t>
            </w:r>
          </w:p>
          <w:p w14:paraId="06ABBFE7" w14:textId="36D4A88C"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Any additional requirements imposed by the </w:t>
            </w:r>
            <w:r w:rsidR="000F76B4">
              <w:t>pass-through</w:t>
            </w:r>
            <w:r w:rsidRPr="004C40C4">
              <w:t xml:space="preserve"> entity on the subrecipient in order for the </w:t>
            </w:r>
            <w:r w:rsidR="000F76B4">
              <w:t>pass-through</w:t>
            </w:r>
            <w:r w:rsidRPr="004C40C4">
              <w:t xml:space="preserve"> entity to meet its own </w:t>
            </w:r>
            <w:r w:rsidR="000F76B4">
              <w:t>obligations under the ESG program</w:t>
            </w:r>
            <w:r w:rsidRPr="004C40C4">
              <w:t>, including identification of any required financial or performance reports?</w:t>
            </w:r>
          </w:p>
          <w:p w14:paraId="05EDB5BF" w14:textId="5FF25BD2"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A requirement that the subrecipient permit the </w:t>
            </w:r>
            <w:r w:rsidR="000F76B4">
              <w:t>pass-through</w:t>
            </w:r>
            <w:r w:rsidRPr="004C40C4">
              <w:t xml:space="preserve"> entity and auditors to have access to the subrecipient’s records and financial statements as necessary for the </w:t>
            </w:r>
            <w:r w:rsidR="000F76B4">
              <w:t>pass-through</w:t>
            </w:r>
            <w:r w:rsidRPr="004C40C4">
              <w:t xml:space="preserve"> entity to meet its requirements under 2 CFR part 200?</w:t>
            </w:r>
          </w:p>
          <w:p w14:paraId="0B62160A" w14:textId="77777777" w:rsidR="0094283B" w:rsidRPr="004C40C4" w:rsidRDefault="0094283B" w:rsidP="007C5663">
            <w:pPr>
              <w:widowControl w:val="0"/>
              <w:numPr>
                <w:ilvl w:val="0"/>
                <w:numId w:val="48"/>
              </w:numPr>
              <w:tabs>
                <w:tab w:val="left" w:pos="720"/>
                <w:tab w:val="left" w:pos="1440"/>
                <w:tab w:val="left" w:pos="2160"/>
                <w:tab w:val="left" w:pos="2880"/>
                <w:tab w:val="left" w:pos="3600"/>
                <w:tab w:val="center" w:pos="4320"/>
                <w:tab w:val="left" w:pos="5040"/>
                <w:tab w:val="left" w:pos="5760"/>
                <w:tab w:val="left" w:pos="6480"/>
                <w:tab w:val="right" w:pos="8640"/>
              </w:tabs>
            </w:pPr>
            <w:r w:rsidRPr="004C40C4">
              <w:t>Appropriate terms and conditions concerning closeout of the subaward?</w:t>
            </w:r>
          </w:p>
          <w:p w14:paraId="4CF43335" w14:textId="02C54386"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 xml:space="preserve">2 CFR 200.331(a)] </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3E8A38E4" w14:textId="77777777" w:rsidTr="007C0A65">
              <w:trPr>
                <w:trHeight w:val="170"/>
              </w:trPr>
              <w:tc>
                <w:tcPr>
                  <w:tcW w:w="425" w:type="dxa"/>
                </w:tcPr>
                <w:p w14:paraId="4F5D4D3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lastRenderedPageBreak/>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49685CCC"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43BCD6D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7DF2695F" w14:textId="77777777" w:rsidTr="007C0A65">
              <w:trPr>
                <w:trHeight w:val="225"/>
              </w:trPr>
              <w:tc>
                <w:tcPr>
                  <w:tcW w:w="425" w:type="dxa"/>
                </w:tcPr>
                <w:p w14:paraId="57B54D4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6163984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44D6C28D"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57C14CA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07594F7E" w14:textId="77777777" w:rsidTr="007C0A65">
        <w:trPr>
          <w:cantSplit/>
        </w:trPr>
        <w:tc>
          <w:tcPr>
            <w:tcW w:w="9010" w:type="dxa"/>
            <w:gridSpan w:val="2"/>
            <w:tcBorders>
              <w:bottom w:val="nil"/>
            </w:tcBorders>
          </w:tcPr>
          <w:p w14:paraId="710D254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205C133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00CF845A" w14:textId="77777777" w:rsidTr="007C0A65">
        <w:trPr>
          <w:cantSplit/>
        </w:trPr>
        <w:tc>
          <w:tcPr>
            <w:tcW w:w="9010" w:type="dxa"/>
            <w:gridSpan w:val="2"/>
            <w:tcBorders>
              <w:top w:val="nil"/>
            </w:tcBorders>
          </w:tcPr>
          <w:p w14:paraId="038C2B3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33633AB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34152153" w14:textId="6FB969D1" w:rsidR="0094283B" w:rsidRPr="004C40C4" w:rsidRDefault="001D5EA7" w:rsidP="007C5663">
      <w:pPr>
        <w:widowControl w:val="0"/>
      </w:pPr>
      <w:r>
        <w:t>45</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4139E3AF" w14:textId="77777777" w:rsidTr="007C0A65">
        <w:trPr>
          <w:trHeight w:val="773"/>
        </w:trPr>
        <w:tc>
          <w:tcPr>
            <w:tcW w:w="7385" w:type="dxa"/>
            <w:tcBorders>
              <w:bottom w:val="single" w:sz="4" w:space="0" w:color="auto"/>
            </w:tcBorders>
          </w:tcPr>
          <w:p w14:paraId="29AC4293" w14:textId="53855FF5"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65" w:hanging="365"/>
            </w:pPr>
            <w:r w:rsidRPr="004C40C4">
              <w:t xml:space="preserve">a.   For subawards provided to subrecipients, has the </w:t>
            </w:r>
            <w:r w:rsidR="000F76B4">
              <w:t>pass-through</w:t>
            </w:r>
            <w:r w:rsidRPr="004C40C4">
              <w:t xml:space="preserve"> entity monitored the activities of the subrecipient as necessary</w:t>
            </w:r>
            <w:r w:rsidR="009D69B0">
              <w:t>,</w:t>
            </w:r>
            <w:r w:rsidRPr="004C40C4">
              <w:t xml:space="preserve"> to ensure that the subaward was used for authorized purposes, in compliance with Federal statutes, regulations, and the terms and conditions of the subaward; and that subaward performance goals are being, or have been, achieved? </w:t>
            </w:r>
          </w:p>
          <w:p w14:paraId="5082C314" w14:textId="28579BE2"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65"/>
            </w:pPr>
            <w:r w:rsidRPr="004C40C4">
              <w:t>[</w:t>
            </w:r>
            <w:r w:rsidR="00342105">
              <w:t xml:space="preserve">24 CFR 576.407(c); </w:t>
            </w:r>
            <w:r w:rsidRPr="004C40C4">
              <w:t>2 CFR 200.331(d)]</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35A322C3" w14:textId="77777777" w:rsidTr="007C0A65">
              <w:trPr>
                <w:trHeight w:val="170"/>
              </w:trPr>
              <w:tc>
                <w:tcPr>
                  <w:tcW w:w="425" w:type="dxa"/>
                </w:tcPr>
                <w:p w14:paraId="4382A4E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05FD10D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587C5A5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4063D8B2" w14:textId="77777777" w:rsidTr="007C0A65">
              <w:trPr>
                <w:trHeight w:val="225"/>
              </w:trPr>
              <w:tc>
                <w:tcPr>
                  <w:tcW w:w="425" w:type="dxa"/>
                </w:tcPr>
                <w:p w14:paraId="4E79542D"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1F9F2B2D"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3848153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517CF11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77EF65F6" w14:textId="77777777" w:rsidTr="007C0A65">
        <w:trPr>
          <w:cantSplit/>
        </w:trPr>
        <w:tc>
          <w:tcPr>
            <w:tcW w:w="9010" w:type="dxa"/>
            <w:gridSpan w:val="2"/>
            <w:tcBorders>
              <w:bottom w:val="nil"/>
            </w:tcBorders>
          </w:tcPr>
          <w:p w14:paraId="64E092B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1669E7D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292A88C5" w14:textId="77777777" w:rsidTr="007C0A65">
        <w:trPr>
          <w:cantSplit/>
        </w:trPr>
        <w:tc>
          <w:tcPr>
            <w:tcW w:w="9010" w:type="dxa"/>
            <w:gridSpan w:val="2"/>
            <w:tcBorders>
              <w:top w:val="nil"/>
            </w:tcBorders>
          </w:tcPr>
          <w:p w14:paraId="238E67A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r w:rsidR="0094283B" w:rsidRPr="004C40C4" w14:paraId="69000818" w14:textId="77777777" w:rsidTr="007C0A65">
        <w:trPr>
          <w:trHeight w:val="773"/>
        </w:trPr>
        <w:tc>
          <w:tcPr>
            <w:tcW w:w="7385" w:type="dxa"/>
            <w:tcBorders>
              <w:bottom w:val="single" w:sz="4" w:space="0" w:color="auto"/>
            </w:tcBorders>
          </w:tcPr>
          <w:p w14:paraId="5FCDBC04" w14:textId="7F9E283F"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lastRenderedPageBreak/>
              <w:t xml:space="preserve">b.  Did the </w:t>
            </w:r>
            <w:r w:rsidR="000F76B4">
              <w:t>pass-through</w:t>
            </w:r>
            <w:r w:rsidRPr="004C40C4">
              <w:t xml:space="preserve"> entity’s monitoring of the subrecipient include:</w:t>
            </w:r>
          </w:p>
          <w:p w14:paraId="72B2C61C" w14:textId="717B0081" w:rsidR="0094283B" w:rsidRPr="004C40C4" w:rsidRDefault="0094283B" w:rsidP="007C5663">
            <w:pPr>
              <w:widowControl w:val="0"/>
              <w:numPr>
                <w:ilvl w:val="0"/>
                <w:numId w:val="49"/>
              </w:numPr>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Reviewing financial and performance reports required by the </w:t>
            </w:r>
            <w:r w:rsidR="000F76B4">
              <w:t>pass-through</w:t>
            </w:r>
            <w:r w:rsidRPr="004C40C4">
              <w:t xml:space="preserve"> entity?</w:t>
            </w:r>
          </w:p>
          <w:p w14:paraId="4F670626" w14:textId="16CF4C60" w:rsidR="0094283B" w:rsidRPr="004C40C4" w:rsidRDefault="0094283B" w:rsidP="007C5663">
            <w:pPr>
              <w:widowControl w:val="0"/>
              <w:numPr>
                <w:ilvl w:val="0"/>
                <w:numId w:val="49"/>
              </w:numPr>
              <w:tabs>
                <w:tab w:val="left" w:pos="720"/>
                <w:tab w:val="left" w:pos="1440"/>
                <w:tab w:val="left" w:pos="2160"/>
                <w:tab w:val="left" w:pos="2880"/>
                <w:tab w:val="left" w:pos="3600"/>
                <w:tab w:val="center" w:pos="4320"/>
                <w:tab w:val="left" w:pos="5040"/>
                <w:tab w:val="left" w:pos="5760"/>
                <w:tab w:val="left" w:pos="6480"/>
                <w:tab w:val="right" w:pos="8640"/>
              </w:tabs>
            </w:pPr>
            <w:r w:rsidRPr="004C40C4">
              <w:t>Following</w:t>
            </w:r>
            <w:r w:rsidR="000F76B4">
              <w:t xml:space="preserve"> </w:t>
            </w:r>
            <w:r w:rsidRPr="004C40C4">
              <w:t>up and ensuring that the subrecipient takes timely and appropriate action on all deficiencies pertaining to the subaward detected through audits, on-site reviews, or other means?</w:t>
            </w:r>
          </w:p>
          <w:p w14:paraId="3E63C1E3" w14:textId="77777777" w:rsidR="0094283B" w:rsidRPr="004C40C4" w:rsidRDefault="0094283B" w:rsidP="007C5663">
            <w:pPr>
              <w:widowControl w:val="0"/>
              <w:numPr>
                <w:ilvl w:val="0"/>
                <w:numId w:val="49"/>
              </w:numPr>
              <w:tabs>
                <w:tab w:val="left" w:pos="720"/>
                <w:tab w:val="left" w:pos="1440"/>
                <w:tab w:val="left" w:pos="2160"/>
                <w:tab w:val="left" w:pos="2880"/>
                <w:tab w:val="left" w:pos="3600"/>
                <w:tab w:val="center" w:pos="4320"/>
                <w:tab w:val="left" w:pos="5040"/>
                <w:tab w:val="left" w:pos="5760"/>
                <w:tab w:val="left" w:pos="6480"/>
                <w:tab w:val="right" w:pos="8640"/>
              </w:tabs>
            </w:pPr>
            <w:r w:rsidRPr="004C40C4">
              <w:t>Issuing a management decision for audit findings pertaining to the subaward a required by 2 CFR 200.521?</w:t>
            </w:r>
          </w:p>
          <w:p w14:paraId="1411F264" w14:textId="4046E7AC"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365"/>
            </w:pPr>
            <w:r w:rsidRPr="004C40C4">
              <w:t>[</w:t>
            </w:r>
            <w:r w:rsidR="009B6802" w:rsidRPr="009D5A30">
              <w:t>24 CFR 576.407(c);</w:t>
            </w:r>
            <w:r w:rsidR="009B6802">
              <w:t xml:space="preserve"> </w:t>
            </w:r>
            <w:r w:rsidRPr="004C40C4">
              <w:t>2 CFR 200.331(d)(1) – (3)]</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0B1ABE78" w14:textId="77777777" w:rsidTr="007C0A65">
              <w:trPr>
                <w:trHeight w:val="170"/>
              </w:trPr>
              <w:tc>
                <w:tcPr>
                  <w:tcW w:w="425" w:type="dxa"/>
                </w:tcPr>
                <w:p w14:paraId="0F8CA06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20F23A2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07ACCC0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3652CE8A" w14:textId="77777777" w:rsidTr="007C0A65">
              <w:trPr>
                <w:trHeight w:val="225"/>
              </w:trPr>
              <w:tc>
                <w:tcPr>
                  <w:tcW w:w="425" w:type="dxa"/>
                </w:tcPr>
                <w:p w14:paraId="1C09CA5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3EA4A07C"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4CAD7AF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21CA4D3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693DC353" w14:textId="77777777" w:rsidTr="007C0A65">
        <w:trPr>
          <w:cantSplit/>
        </w:trPr>
        <w:tc>
          <w:tcPr>
            <w:tcW w:w="9010" w:type="dxa"/>
            <w:gridSpan w:val="2"/>
            <w:tcBorders>
              <w:bottom w:val="nil"/>
            </w:tcBorders>
          </w:tcPr>
          <w:p w14:paraId="414382D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56006C0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6C94D0D9" w14:textId="77777777" w:rsidTr="007C0A65">
        <w:trPr>
          <w:cantSplit/>
        </w:trPr>
        <w:tc>
          <w:tcPr>
            <w:tcW w:w="9010" w:type="dxa"/>
            <w:gridSpan w:val="2"/>
            <w:tcBorders>
              <w:top w:val="nil"/>
            </w:tcBorders>
          </w:tcPr>
          <w:p w14:paraId="6EE1EED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241D02C1" w14:textId="29B1CDED" w:rsidR="0094283B" w:rsidRPr="004C40C4" w:rsidRDefault="001D5EA7" w:rsidP="007C5663">
      <w:pPr>
        <w:widowControl w:val="0"/>
      </w:pPr>
      <w:r>
        <w:t>46</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42858D10" w14:textId="77777777" w:rsidTr="007C0A65">
        <w:trPr>
          <w:trHeight w:val="773"/>
        </w:trPr>
        <w:tc>
          <w:tcPr>
            <w:tcW w:w="7385" w:type="dxa"/>
            <w:tcBorders>
              <w:bottom w:val="single" w:sz="4" w:space="0" w:color="auto"/>
            </w:tcBorders>
          </w:tcPr>
          <w:p w14:paraId="07FF6B93" w14:textId="2535C8C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275" w:hanging="275"/>
            </w:pPr>
            <w:r w:rsidRPr="004C40C4">
              <w:t xml:space="preserve">a.  For each subrecipient provided a subaward, has the </w:t>
            </w:r>
            <w:r w:rsidR="000F76B4">
              <w:t>pass-through</w:t>
            </w:r>
            <w:r w:rsidRPr="004C40C4">
              <w:t xml:space="preserve"> entity determined whether the subrecipient met or exceeded the audit threshold set in 2 CFR 200.501 for the respective fiscal year?</w:t>
            </w:r>
          </w:p>
          <w:p w14:paraId="6CCEA87D" w14:textId="42EA3DB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275"/>
            </w:pPr>
            <w:r w:rsidRPr="004C40C4">
              <w:t>[</w:t>
            </w:r>
            <w:r w:rsidR="003D7143" w:rsidRPr="003D7143">
              <w:t xml:space="preserve">24 CFR 576.407(c); </w:t>
            </w:r>
            <w:r w:rsidRPr="004C40C4">
              <w:t>2 CFR 200.331(f)]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5453ED3C" w14:textId="77777777" w:rsidTr="007C0A65">
              <w:trPr>
                <w:trHeight w:val="170"/>
              </w:trPr>
              <w:tc>
                <w:tcPr>
                  <w:tcW w:w="425" w:type="dxa"/>
                </w:tcPr>
                <w:p w14:paraId="4F22A53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7F28244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4204FC6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75E02DA8" w14:textId="77777777" w:rsidTr="007C0A65">
              <w:trPr>
                <w:trHeight w:val="225"/>
              </w:trPr>
              <w:tc>
                <w:tcPr>
                  <w:tcW w:w="425" w:type="dxa"/>
                </w:tcPr>
                <w:p w14:paraId="32C0ED4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2E5B14B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773636C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34447D3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4BAF659B" w14:textId="77777777" w:rsidTr="007C0A65">
        <w:trPr>
          <w:cantSplit/>
        </w:trPr>
        <w:tc>
          <w:tcPr>
            <w:tcW w:w="9010" w:type="dxa"/>
            <w:gridSpan w:val="2"/>
            <w:tcBorders>
              <w:bottom w:val="nil"/>
            </w:tcBorders>
          </w:tcPr>
          <w:p w14:paraId="18817AF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3A578C5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6CC5C557" w14:textId="77777777" w:rsidTr="007C0A65">
        <w:trPr>
          <w:cantSplit/>
        </w:trPr>
        <w:tc>
          <w:tcPr>
            <w:tcW w:w="9010" w:type="dxa"/>
            <w:gridSpan w:val="2"/>
            <w:tcBorders>
              <w:top w:val="nil"/>
            </w:tcBorders>
          </w:tcPr>
          <w:p w14:paraId="4EB765B6"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r w:rsidR="0094283B" w:rsidRPr="004C40C4" w14:paraId="5D3997ED" w14:textId="77777777" w:rsidTr="007C0A65">
        <w:trPr>
          <w:trHeight w:val="773"/>
        </w:trPr>
        <w:tc>
          <w:tcPr>
            <w:tcW w:w="7385" w:type="dxa"/>
            <w:tcBorders>
              <w:bottom w:val="single" w:sz="4" w:space="0" w:color="auto"/>
            </w:tcBorders>
          </w:tcPr>
          <w:p w14:paraId="7A308CB8" w14:textId="1B643F4E"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275" w:hanging="275"/>
            </w:pPr>
            <w:r w:rsidRPr="004C40C4">
              <w:t xml:space="preserve">b.  If a subrecipient meets the audit threshold in 2 CFR 200.501, has the </w:t>
            </w:r>
            <w:r w:rsidR="000F76B4">
              <w:t>pass-through</w:t>
            </w:r>
            <w:r w:rsidRPr="004C40C4">
              <w:t xml:space="preserve"> entity verified that the subrecipient is audited as required by Subpart F of 2 CFR part 200?</w:t>
            </w:r>
          </w:p>
          <w:p w14:paraId="33936143" w14:textId="57E692D0"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ind w:left="275"/>
            </w:pPr>
            <w:r w:rsidRPr="004C40C4">
              <w:t>[</w:t>
            </w:r>
            <w:r w:rsidR="003D7143" w:rsidRPr="003D7143">
              <w:t xml:space="preserve">24 CFR 576.407(c); </w:t>
            </w:r>
            <w:r w:rsidRPr="004C40C4">
              <w:t>2 CFR 200.331(f)]</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54914FCD" w14:textId="77777777" w:rsidTr="007C0A65">
              <w:trPr>
                <w:trHeight w:val="170"/>
              </w:trPr>
              <w:tc>
                <w:tcPr>
                  <w:tcW w:w="425" w:type="dxa"/>
                </w:tcPr>
                <w:p w14:paraId="380708E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00ED5D4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2D208B6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0C51892B" w14:textId="77777777" w:rsidTr="007C0A65">
              <w:trPr>
                <w:trHeight w:val="225"/>
              </w:trPr>
              <w:tc>
                <w:tcPr>
                  <w:tcW w:w="425" w:type="dxa"/>
                </w:tcPr>
                <w:p w14:paraId="65AF5F3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13E4031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2D5761D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2F07E71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5378D559" w14:textId="77777777" w:rsidTr="007C0A65">
        <w:trPr>
          <w:cantSplit/>
        </w:trPr>
        <w:tc>
          <w:tcPr>
            <w:tcW w:w="9010" w:type="dxa"/>
            <w:gridSpan w:val="2"/>
            <w:tcBorders>
              <w:bottom w:val="nil"/>
            </w:tcBorders>
          </w:tcPr>
          <w:p w14:paraId="058643E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0AE6CDF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4AB72E3C" w14:textId="77777777" w:rsidTr="007C0A65">
        <w:trPr>
          <w:cantSplit/>
        </w:trPr>
        <w:tc>
          <w:tcPr>
            <w:tcW w:w="9010" w:type="dxa"/>
            <w:gridSpan w:val="2"/>
            <w:tcBorders>
              <w:top w:val="nil"/>
            </w:tcBorders>
          </w:tcPr>
          <w:p w14:paraId="018C2E8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p w14:paraId="79E11387"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70759354" w14:textId="6FDD51F9" w:rsidR="0094283B" w:rsidRPr="004C40C4" w:rsidRDefault="001D5EA7" w:rsidP="007C5663">
      <w:pPr>
        <w:widowControl w:val="0"/>
      </w:pPr>
      <w:r>
        <w:t>47</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658C3FE9" w14:textId="77777777" w:rsidTr="007C0A65">
        <w:trPr>
          <w:trHeight w:val="773"/>
        </w:trPr>
        <w:tc>
          <w:tcPr>
            <w:tcW w:w="7385" w:type="dxa"/>
            <w:tcBorders>
              <w:bottom w:val="single" w:sz="4" w:space="0" w:color="auto"/>
            </w:tcBorders>
          </w:tcPr>
          <w:p w14:paraId="69A1EE0E" w14:textId="1C0457F9"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For each subrecipient receiving a subaward, has the </w:t>
            </w:r>
            <w:r w:rsidR="000F76B4">
              <w:t>pass-through</w:t>
            </w:r>
            <w:r w:rsidRPr="004C40C4">
              <w:t xml:space="preserve"> entity considered whether the results of the subrecipient’s audits, on-site reviews, or other monitoring indicate conditions that necessitate adjustments to the </w:t>
            </w:r>
            <w:r w:rsidR="000F76B4">
              <w:t>pass-through</w:t>
            </w:r>
            <w:r w:rsidRPr="004C40C4">
              <w:t xml:space="preserve"> entity’s own records?</w:t>
            </w:r>
          </w:p>
          <w:p w14:paraId="0436888C" w14:textId="2D2F7E78"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200.331(g)]</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2E3A58E8" w14:textId="77777777" w:rsidTr="007C0A65">
              <w:trPr>
                <w:trHeight w:val="170"/>
              </w:trPr>
              <w:tc>
                <w:tcPr>
                  <w:tcW w:w="425" w:type="dxa"/>
                </w:tcPr>
                <w:p w14:paraId="3B21273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01E975D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7459A5C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47D6B668" w14:textId="77777777" w:rsidTr="007C0A65">
              <w:trPr>
                <w:trHeight w:val="225"/>
              </w:trPr>
              <w:tc>
                <w:tcPr>
                  <w:tcW w:w="425" w:type="dxa"/>
                </w:tcPr>
                <w:p w14:paraId="0F7185F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112C10D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628FF5D4"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13209F4E"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5E897196" w14:textId="77777777" w:rsidTr="007C0A65">
        <w:trPr>
          <w:cantSplit/>
        </w:trPr>
        <w:tc>
          <w:tcPr>
            <w:tcW w:w="9010" w:type="dxa"/>
            <w:gridSpan w:val="2"/>
            <w:tcBorders>
              <w:bottom w:val="nil"/>
            </w:tcBorders>
          </w:tcPr>
          <w:p w14:paraId="507CBFE9"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5CDB278F"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1BCF6396" w14:textId="77777777" w:rsidTr="007C0A65">
        <w:trPr>
          <w:cantSplit/>
        </w:trPr>
        <w:tc>
          <w:tcPr>
            <w:tcW w:w="9010" w:type="dxa"/>
            <w:gridSpan w:val="2"/>
            <w:tcBorders>
              <w:top w:val="nil"/>
            </w:tcBorders>
          </w:tcPr>
          <w:p w14:paraId="5FECD5B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7E2C3B5E" w14:textId="6DAFABBE" w:rsidR="0094283B" w:rsidRPr="004C40C4" w:rsidRDefault="001D5EA7" w:rsidP="007C5663">
      <w:pPr>
        <w:widowControl w:val="0"/>
      </w:pPr>
      <w:r>
        <w:t>48</w:t>
      </w:r>
      <w:r w:rsidR="0094283B" w:rsidRPr="004C40C4">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7"/>
        <w:gridCol w:w="1623"/>
      </w:tblGrid>
      <w:tr w:rsidR="0094283B" w:rsidRPr="004C40C4" w14:paraId="275A8685" w14:textId="77777777" w:rsidTr="007C0A65">
        <w:trPr>
          <w:trHeight w:val="773"/>
        </w:trPr>
        <w:tc>
          <w:tcPr>
            <w:tcW w:w="7385" w:type="dxa"/>
            <w:tcBorders>
              <w:bottom w:val="single" w:sz="4" w:space="0" w:color="auto"/>
            </w:tcBorders>
          </w:tcPr>
          <w:p w14:paraId="01EE891A" w14:textId="056884E9"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 xml:space="preserve">If the </w:t>
            </w:r>
            <w:r w:rsidR="000F76B4">
              <w:t>pass-through</w:t>
            </w:r>
            <w:r w:rsidRPr="004C40C4">
              <w:t xml:space="preserve"> entity found any subrecipient non-noncompliant, did the </w:t>
            </w:r>
            <w:r w:rsidR="000F76B4">
              <w:t>pass-through</w:t>
            </w:r>
            <w:r w:rsidRPr="004C40C4">
              <w:t xml:space="preserve"> entity consider taking enforcement action against the subrecipient per 2 CFR 200.338 and the program regulations?</w:t>
            </w:r>
          </w:p>
          <w:p w14:paraId="370E58FA" w14:textId="6AED95E8"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t>[</w:t>
            </w:r>
            <w:r w:rsidR="003D7143" w:rsidRPr="003D7143">
              <w:t xml:space="preserve">24 CFR 576.407(c); </w:t>
            </w:r>
            <w:r w:rsidRPr="004C40C4">
              <w:t>2 CFR 200.331(h)]</w:t>
            </w:r>
          </w:p>
        </w:tc>
        <w:tc>
          <w:tcPr>
            <w:tcW w:w="1625" w:type="dxa"/>
            <w:tcBorders>
              <w:bottom w:val="single" w:sz="4" w:space="0" w:color="auto"/>
            </w:tcBorders>
          </w:tcPr>
          <w:tbl>
            <w:tblPr>
              <w:tblpPr w:leftFromText="180" w:rightFromText="180" w:vertAnchor="text" w:horzAnchor="margin" w:tblpX="172" w:tblpY="84"/>
              <w:tblW w:w="0" w:type="auto"/>
              <w:tblCellMar>
                <w:left w:w="0" w:type="dxa"/>
                <w:right w:w="0" w:type="dxa"/>
              </w:tblCellMar>
              <w:tblLook w:val="0000" w:firstRow="0" w:lastRow="0" w:firstColumn="0" w:lastColumn="0" w:noHBand="0" w:noVBand="0"/>
            </w:tblPr>
            <w:tblGrid>
              <w:gridCol w:w="425"/>
              <w:gridCol w:w="576"/>
              <w:gridCol w:w="606"/>
            </w:tblGrid>
            <w:tr w:rsidR="0094283B" w:rsidRPr="004C40C4" w14:paraId="37526686" w14:textId="77777777" w:rsidTr="007C0A65">
              <w:trPr>
                <w:trHeight w:val="170"/>
              </w:trPr>
              <w:tc>
                <w:tcPr>
                  <w:tcW w:w="425" w:type="dxa"/>
                </w:tcPr>
                <w:p w14:paraId="3C7840F2"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576" w:type="dxa"/>
                </w:tcPr>
                <w:p w14:paraId="6C60516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Check1"/>
                        <w:enabled/>
                        <w:calcOnExit w:val="0"/>
                        <w:checkBox>
                          <w:sizeAuto/>
                          <w:default w:val="0"/>
                        </w:checkBox>
                      </w:ffData>
                    </w:fldChar>
                  </w:r>
                  <w:r w:rsidRPr="004C40C4">
                    <w:instrText xml:space="preserve"> FORMCHECKBOX </w:instrText>
                  </w:r>
                  <w:r w:rsidR="00DE6AC8">
                    <w:fldChar w:fldCharType="separate"/>
                  </w:r>
                  <w:r w:rsidRPr="004C40C4">
                    <w:fldChar w:fldCharType="end"/>
                  </w:r>
                </w:p>
              </w:tc>
              <w:tc>
                <w:tcPr>
                  <w:tcW w:w="606" w:type="dxa"/>
                </w:tcPr>
                <w:p w14:paraId="461F3C20"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sz w:val="16"/>
                    </w:rPr>
                  </w:pPr>
                  <w:r w:rsidRPr="004C40C4">
                    <w:fldChar w:fldCharType="begin">
                      <w:ffData>
                        <w:name w:val=""/>
                        <w:enabled/>
                        <w:calcOnExit w:val="0"/>
                        <w:checkBox>
                          <w:sizeAuto/>
                          <w:default w:val="0"/>
                        </w:checkBox>
                      </w:ffData>
                    </w:fldChar>
                  </w:r>
                  <w:r w:rsidRPr="004C40C4">
                    <w:instrText xml:space="preserve"> FORMCHECKBOX </w:instrText>
                  </w:r>
                  <w:r w:rsidR="00DE6AC8">
                    <w:fldChar w:fldCharType="separate"/>
                  </w:r>
                  <w:r w:rsidRPr="004C40C4">
                    <w:fldChar w:fldCharType="end"/>
                  </w:r>
                </w:p>
              </w:tc>
            </w:tr>
            <w:tr w:rsidR="0094283B" w:rsidRPr="004C40C4" w14:paraId="40F1DDD9" w14:textId="77777777" w:rsidTr="007C0A65">
              <w:trPr>
                <w:trHeight w:val="225"/>
              </w:trPr>
              <w:tc>
                <w:tcPr>
                  <w:tcW w:w="425" w:type="dxa"/>
                </w:tcPr>
                <w:p w14:paraId="6F3406C8"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Yes</w:t>
                  </w:r>
                </w:p>
              </w:tc>
              <w:tc>
                <w:tcPr>
                  <w:tcW w:w="576" w:type="dxa"/>
                </w:tcPr>
                <w:p w14:paraId="39F51A45"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No</w:t>
                  </w:r>
                </w:p>
              </w:tc>
              <w:tc>
                <w:tcPr>
                  <w:tcW w:w="606" w:type="dxa"/>
                </w:tcPr>
                <w:p w14:paraId="0AFDAD66"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jc w:val="center"/>
                    <w:rPr>
                      <w:rFonts w:ascii="Verdana" w:hAnsi="Verdana"/>
                      <w:b/>
                      <w:bCs/>
                      <w:sz w:val="16"/>
                    </w:rPr>
                  </w:pPr>
                  <w:r w:rsidRPr="004C40C4">
                    <w:rPr>
                      <w:rFonts w:ascii="Verdana" w:hAnsi="Verdana"/>
                      <w:b/>
                      <w:bCs/>
                      <w:sz w:val="16"/>
                    </w:rPr>
                    <w:t>N/A</w:t>
                  </w:r>
                </w:p>
              </w:tc>
            </w:tr>
          </w:tbl>
          <w:p w14:paraId="19D8A5BA"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spacing w:after="120"/>
            </w:pPr>
          </w:p>
        </w:tc>
      </w:tr>
      <w:tr w:rsidR="0094283B" w:rsidRPr="004C40C4" w14:paraId="24D58687" w14:textId="77777777" w:rsidTr="007C0A65">
        <w:trPr>
          <w:cantSplit/>
        </w:trPr>
        <w:tc>
          <w:tcPr>
            <w:tcW w:w="9010" w:type="dxa"/>
            <w:gridSpan w:val="2"/>
            <w:tcBorders>
              <w:bottom w:val="nil"/>
            </w:tcBorders>
          </w:tcPr>
          <w:p w14:paraId="56E76DC3"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rPr>
                <w:b/>
                <w:bCs/>
              </w:rPr>
            </w:pPr>
            <w:r w:rsidRPr="004C40C4">
              <w:rPr>
                <w:b/>
                <w:bCs/>
              </w:rPr>
              <w:t>Describe Basis for Conclusion:</w:t>
            </w:r>
          </w:p>
          <w:p w14:paraId="076ABCB1"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r w:rsidRPr="004C40C4">
              <w:fldChar w:fldCharType="begin">
                <w:ffData>
                  <w:name w:val="Text5"/>
                  <w:enabled/>
                  <w:calcOnExit w:val="0"/>
                  <w:textInput/>
                </w:ffData>
              </w:fldChar>
            </w:r>
            <w:r w:rsidRPr="004C40C4">
              <w:instrText xml:space="preserve"> FORMTEXT </w:instrText>
            </w:r>
            <w:r w:rsidRPr="004C40C4">
              <w:fldChar w:fldCharType="separate"/>
            </w:r>
            <w:r w:rsidRPr="004C40C4">
              <w:rPr>
                <w:noProof/>
              </w:rPr>
              <w:t> </w:t>
            </w:r>
            <w:r w:rsidRPr="004C40C4">
              <w:rPr>
                <w:noProof/>
              </w:rPr>
              <w:t> </w:t>
            </w:r>
            <w:r w:rsidRPr="004C40C4">
              <w:rPr>
                <w:noProof/>
              </w:rPr>
              <w:t> </w:t>
            </w:r>
            <w:r w:rsidRPr="004C40C4">
              <w:rPr>
                <w:noProof/>
              </w:rPr>
              <w:t> </w:t>
            </w:r>
            <w:r w:rsidRPr="004C40C4">
              <w:rPr>
                <w:noProof/>
              </w:rPr>
              <w:t> </w:t>
            </w:r>
            <w:r w:rsidRPr="004C40C4">
              <w:fldChar w:fldCharType="end"/>
            </w:r>
          </w:p>
        </w:tc>
      </w:tr>
      <w:tr w:rsidR="0094283B" w:rsidRPr="004C40C4" w14:paraId="0D878F4E" w14:textId="77777777" w:rsidTr="007C0A65">
        <w:trPr>
          <w:cantSplit/>
        </w:trPr>
        <w:tc>
          <w:tcPr>
            <w:tcW w:w="9010" w:type="dxa"/>
            <w:gridSpan w:val="2"/>
            <w:tcBorders>
              <w:top w:val="nil"/>
            </w:tcBorders>
          </w:tcPr>
          <w:p w14:paraId="222200DB" w14:textId="77777777" w:rsidR="0094283B" w:rsidRPr="004C40C4" w:rsidRDefault="0094283B" w:rsidP="007C5663">
            <w:pPr>
              <w:widowControl w:val="0"/>
              <w:tabs>
                <w:tab w:val="left" w:pos="720"/>
                <w:tab w:val="left" w:pos="1440"/>
                <w:tab w:val="left" w:pos="2160"/>
                <w:tab w:val="left" w:pos="2880"/>
                <w:tab w:val="left" w:pos="3600"/>
                <w:tab w:val="center" w:pos="4320"/>
                <w:tab w:val="left" w:pos="5040"/>
                <w:tab w:val="left" w:pos="5760"/>
                <w:tab w:val="left" w:pos="6480"/>
                <w:tab w:val="right" w:pos="8640"/>
              </w:tabs>
            </w:pPr>
          </w:p>
        </w:tc>
      </w:tr>
    </w:tbl>
    <w:p w14:paraId="5F2B7774" w14:textId="77777777" w:rsidR="0094283B" w:rsidRPr="0053759E" w:rsidRDefault="0094283B" w:rsidP="007C5663">
      <w:pPr>
        <w:pStyle w:val="Style1"/>
        <w:widowControl w:val="0"/>
        <w:numPr>
          <w:ilvl w:val="0"/>
          <w:numId w:val="0"/>
        </w:numPr>
        <w:spacing w:after="0" w:line="240" w:lineRule="auto"/>
      </w:pPr>
    </w:p>
    <w:sectPr w:rsidR="0094283B" w:rsidRPr="0053759E" w:rsidSect="007C566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CECD3" w14:textId="77777777" w:rsidR="00557E17" w:rsidRDefault="00557E17">
      <w:r>
        <w:separator/>
      </w:r>
    </w:p>
  </w:endnote>
  <w:endnote w:type="continuationSeparator" w:id="0">
    <w:p w14:paraId="6FEECD69" w14:textId="77777777" w:rsidR="00557E17" w:rsidRDefault="0055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1F8D0" w14:textId="40E9419C" w:rsidR="00557E17" w:rsidRPr="00C474FA" w:rsidRDefault="00557E17" w:rsidP="001678C8">
    <w:pPr>
      <w:pStyle w:val="Footer"/>
      <w:rPr>
        <w:noProof/>
        <w:sz w:val="22"/>
        <w:szCs w:val="22"/>
      </w:rPr>
    </w:pPr>
    <w:r>
      <w:rPr>
        <w:sz w:val="22"/>
        <w:szCs w:val="22"/>
      </w:rPr>
      <w:t xml:space="preserve"> </w:t>
    </w:r>
    <w:r w:rsidR="006363D2">
      <w:rPr>
        <w:sz w:val="22"/>
        <w:szCs w:val="22"/>
      </w:rPr>
      <w:t>02</w:t>
    </w:r>
    <w:r>
      <w:rPr>
        <w:sz w:val="22"/>
        <w:szCs w:val="22"/>
      </w:rPr>
      <w:t>/201</w:t>
    </w:r>
    <w:r w:rsidR="006363D2">
      <w:rPr>
        <w:sz w:val="22"/>
        <w:szCs w:val="22"/>
      </w:rPr>
      <w:t>7</w:t>
    </w:r>
    <w:r w:rsidRPr="00C474FA">
      <w:rPr>
        <w:sz w:val="22"/>
        <w:szCs w:val="22"/>
      </w:rPr>
      <w:tab/>
      <w:t>28-</w:t>
    </w:r>
    <w:r w:rsidRPr="00C474FA">
      <w:rPr>
        <w:sz w:val="22"/>
        <w:szCs w:val="22"/>
      </w:rPr>
      <w:fldChar w:fldCharType="begin"/>
    </w:r>
    <w:r w:rsidRPr="00C474FA">
      <w:rPr>
        <w:sz w:val="22"/>
        <w:szCs w:val="22"/>
      </w:rPr>
      <w:instrText xml:space="preserve"> PAGE   \* MERGEFORMAT </w:instrText>
    </w:r>
    <w:r w:rsidRPr="00C474FA">
      <w:rPr>
        <w:sz w:val="22"/>
        <w:szCs w:val="22"/>
      </w:rPr>
      <w:fldChar w:fldCharType="separate"/>
    </w:r>
    <w:r w:rsidR="00DE6AC8">
      <w:rPr>
        <w:noProof/>
        <w:sz w:val="22"/>
        <w:szCs w:val="22"/>
      </w:rPr>
      <w:t>2</w:t>
    </w:r>
    <w:r w:rsidRPr="00C474FA">
      <w:rPr>
        <w:noProof/>
        <w:sz w:val="22"/>
        <w:szCs w:val="22"/>
      </w:rPr>
      <w:fldChar w:fldCharType="end"/>
    </w:r>
  </w:p>
  <w:p w14:paraId="18635095" w14:textId="77777777" w:rsidR="00557E17" w:rsidRDefault="00557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6F0CF" w14:textId="21FE11C8" w:rsidR="00557E17" w:rsidRPr="00C474FA" w:rsidRDefault="00557E17">
    <w:pPr>
      <w:pStyle w:val="Footer"/>
      <w:jc w:val="center"/>
      <w:rPr>
        <w:noProof/>
        <w:sz w:val="22"/>
        <w:szCs w:val="22"/>
      </w:rPr>
    </w:pPr>
    <w:r>
      <w:t xml:space="preserve">                                                                      </w:t>
    </w:r>
    <w:r w:rsidRPr="00C474FA">
      <w:rPr>
        <w:sz w:val="22"/>
        <w:szCs w:val="22"/>
      </w:rPr>
      <w:t>28-</w:t>
    </w:r>
    <w:r w:rsidRPr="00C474FA">
      <w:rPr>
        <w:sz w:val="22"/>
        <w:szCs w:val="22"/>
      </w:rPr>
      <w:fldChar w:fldCharType="begin"/>
    </w:r>
    <w:r w:rsidRPr="00C474FA">
      <w:rPr>
        <w:sz w:val="22"/>
        <w:szCs w:val="22"/>
      </w:rPr>
      <w:instrText xml:space="preserve"> PAGE   \* MERGEFORMAT </w:instrText>
    </w:r>
    <w:r w:rsidRPr="00C474FA">
      <w:rPr>
        <w:sz w:val="22"/>
        <w:szCs w:val="22"/>
      </w:rPr>
      <w:fldChar w:fldCharType="separate"/>
    </w:r>
    <w:r w:rsidR="00DE6AC8">
      <w:rPr>
        <w:noProof/>
        <w:sz w:val="22"/>
        <w:szCs w:val="22"/>
      </w:rPr>
      <w:t>1</w:t>
    </w:r>
    <w:r w:rsidRPr="00C474FA">
      <w:rPr>
        <w:noProof/>
        <w:sz w:val="22"/>
        <w:szCs w:val="22"/>
      </w:rPr>
      <w:fldChar w:fldCharType="end"/>
    </w:r>
    <w:r w:rsidRPr="00C474FA">
      <w:rPr>
        <w:noProof/>
        <w:sz w:val="22"/>
        <w:szCs w:val="22"/>
      </w:rPr>
      <w:tab/>
      <w:t xml:space="preserve">                                                         </w:t>
    </w:r>
    <w:r>
      <w:rPr>
        <w:noProof/>
        <w:sz w:val="22"/>
        <w:szCs w:val="22"/>
      </w:rPr>
      <w:t xml:space="preserve"> </w:t>
    </w:r>
    <w:r w:rsidR="006363D2">
      <w:rPr>
        <w:noProof/>
        <w:sz w:val="22"/>
        <w:szCs w:val="22"/>
      </w:rPr>
      <w:t>02</w:t>
    </w:r>
    <w:r>
      <w:rPr>
        <w:noProof/>
        <w:sz w:val="22"/>
        <w:szCs w:val="22"/>
      </w:rPr>
      <w:t>/201</w:t>
    </w:r>
    <w:r w:rsidR="006363D2">
      <w:rPr>
        <w:noProof/>
        <w:sz w:val="22"/>
        <w:szCs w:val="22"/>
      </w:rPr>
      <w:t>7</w:t>
    </w:r>
  </w:p>
  <w:p w14:paraId="782114E1" w14:textId="77777777" w:rsidR="00557E17" w:rsidRPr="00C474FA" w:rsidRDefault="00557E17">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83B8E" w14:textId="77777777" w:rsidR="006363D2" w:rsidRDefault="00636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4C36A" w14:textId="77777777" w:rsidR="00557E17" w:rsidRDefault="00557E17">
      <w:r>
        <w:separator/>
      </w:r>
    </w:p>
  </w:footnote>
  <w:footnote w:type="continuationSeparator" w:id="0">
    <w:p w14:paraId="42409B8C" w14:textId="77777777" w:rsidR="00557E17" w:rsidRDefault="00557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24EDB" w14:textId="15BF80D1" w:rsidR="00557E17" w:rsidRPr="0053759E" w:rsidRDefault="00557E17" w:rsidP="001678C8">
    <w:pPr>
      <w:pStyle w:val="Level1"/>
      <w:keepNext/>
      <w:keepLines/>
      <w:tabs>
        <w:tab w:val="left" w:pos="720"/>
        <w:tab w:val="left" w:pos="1440"/>
        <w:tab w:val="left" w:pos="2160"/>
        <w:tab w:val="left" w:pos="2880"/>
        <w:tab w:val="left" w:pos="3600"/>
        <w:tab w:val="left" w:pos="5040"/>
        <w:tab w:val="left" w:pos="5760"/>
        <w:tab w:val="left" w:pos="6480"/>
      </w:tabs>
      <w:rPr>
        <w:rFonts w:eastAsia="Calibri"/>
      </w:rPr>
    </w:pPr>
    <w:r>
      <w:rPr>
        <w:rFonts w:eastAsia="Calibri"/>
      </w:rPr>
      <w:t xml:space="preserve">6509.2 </w:t>
    </w:r>
    <w:r w:rsidRPr="001678C8">
      <w:t>RE</w:t>
    </w:r>
    <w:r>
      <w:t xml:space="preserve">V-7 </w:t>
    </w:r>
    <w:r>
      <w:tab/>
    </w:r>
    <w:r>
      <w:tab/>
    </w:r>
    <w:r>
      <w:tab/>
    </w:r>
    <w:r w:rsidRPr="001678C8">
      <w:t>Exhibit</w:t>
    </w:r>
    <w:r w:rsidRPr="0053759E">
      <w:rPr>
        <w:rFonts w:eastAsia="Calibri"/>
      </w:rPr>
      <w:t xml:space="preserve"> 28-3</w:t>
    </w:r>
  </w:p>
  <w:p w14:paraId="0F881375" w14:textId="77777777" w:rsidR="00557E17" w:rsidRPr="0053759E" w:rsidRDefault="00557E17" w:rsidP="00285707">
    <w:pPr>
      <w:spacing w:after="200" w:line="276" w:lineRule="auto"/>
      <w:jc w:val="center"/>
    </w:pPr>
    <w:r w:rsidRPr="0053759E">
      <w:rPr>
        <w:rFonts w:eastAsia="Calibri"/>
      </w:rPr>
      <w:t>Emergency Solutions Grant</w:t>
    </w:r>
    <w:r>
      <w:rPr>
        <w:rFonts w:eastAsia="Calibri"/>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9A39C" w14:textId="6EBD7ECE" w:rsidR="00557E17" w:rsidRPr="0053759E" w:rsidRDefault="00557E17" w:rsidP="001029F9">
    <w:pPr>
      <w:pStyle w:val="Header"/>
      <w:tabs>
        <w:tab w:val="clear" w:pos="8640"/>
        <w:tab w:val="right" w:pos="9360"/>
      </w:tabs>
      <w:rPr>
        <w:rFonts w:eastAsia="Calibri"/>
      </w:rPr>
    </w:pPr>
    <w:r>
      <w:tab/>
    </w:r>
    <w:r w:rsidRPr="0053759E">
      <w:rPr>
        <w:rFonts w:eastAsia="Calibri"/>
      </w:rPr>
      <w:t xml:space="preserve">Exhibit 28-3 </w:t>
    </w:r>
    <w:r>
      <w:rPr>
        <w:rFonts w:eastAsia="Calibri"/>
      </w:rPr>
      <w:tab/>
      <w:t>6509.2 REV-7</w:t>
    </w:r>
  </w:p>
  <w:p w14:paraId="6ED6739B" w14:textId="77777777" w:rsidR="00557E17" w:rsidRPr="0053759E" w:rsidRDefault="00557E17" w:rsidP="004F3212">
    <w:pPr>
      <w:spacing w:after="200" w:line="276" w:lineRule="auto"/>
      <w:jc w:val="center"/>
    </w:pPr>
    <w:r w:rsidRPr="0053759E">
      <w:rPr>
        <w:rFonts w:eastAsia="Calibri"/>
      </w:rPr>
      <w:t>Emergency Solutions Grant</w:t>
    </w:r>
    <w:r>
      <w:rPr>
        <w:rFonts w:eastAsia="Calibri"/>
      </w:rP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43F8" w14:textId="77777777" w:rsidR="006363D2" w:rsidRDefault="006363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542"/>
    <w:multiLevelType w:val="hybridMultilevel"/>
    <w:tmpl w:val="B222564E"/>
    <w:lvl w:ilvl="0" w:tplc="6CB03076">
      <w:start w:val="1"/>
      <w:numFmt w:val="lowerLetter"/>
      <w:lvlText w:val="%1."/>
      <w:lvlJc w:val="left"/>
      <w:pPr>
        <w:ind w:left="420" w:hanging="360"/>
      </w:pPr>
      <w:rPr>
        <w:rFonts w:ascii="Times New Roman" w:eastAsia="Calibri" w:hAnsi="Times New Roman" w:cs="Times New Roman"/>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C3720E"/>
    <w:multiLevelType w:val="hybridMultilevel"/>
    <w:tmpl w:val="ED44E87A"/>
    <w:lvl w:ilvl="0" w:tplc="49AE23D4">
      <w:start w:val="1"/>
      <w:numFmt w:val="lowerLetter"/>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2244B"/>
    <w:multiLevelType w:val="hybridMultilevel"/>
    <w:tmpl w:val="30C2F85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D1F0110"/>
    <w:multiLevelType w:val="hybridMultilevel"/>
    <w:tmpl w:val="4E5EE9FA"/>
    <w:lvl w:ilvl="0" w:tplc="D9DC8E66">
      <w:start w:val="1"/>
      <w:numFmt w:val="lowerLetter"/>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129A4432"/>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55B"/>
    <w:multiLevelType w:val="hybridMultilevel"/>
    <w:tmpl w:val="E5545D94"/>
    <w:lvl w:ilvl="0" w:tplc="5F16582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261BC"/>
    <w:multiLevelType w:val="hybridMultilevel"/>
    <w:tmpl w:val="2D7EA5AC"/>
    <w:lvl w:ilvl="0" w:tplc="3FF06E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B47BA"/>
    <w:multiLevelType w:val="hybridMultilevel"/>
    <w:tmpl w:val="2D7EA5AC"/>
    <w:lvl w:ilvl="0" w:tplc="3FF06E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17ABA"/>
    <w:multiLevelType w:val="hybridMultilevel"/>
    <w:tmpl w:val="7A4E7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06466"/>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1D2F17"/>
    <w:multiLevelType w:val="hybridMultilevel"/>
    <w:tmpl w:val="C876F020"/>
    <w:lvl w:ilvl="0" w:tplc="0CF4565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5070F1"/>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51509"/>
    <w:multiLevelType w:val="hybridMultilevel"/>
    <w:tmpl w:val="5BEE338E"/>
    <w:lvl w:ilvl="0" w:tplc="73B8F804">
      <w:start w:val="1"/>
      <w:numFmt w:val="decimal"/>
      <w:pStyle w:val="Style1"/>
      <w:lvlText w:val="%1."/>
      <w:lvlJc w:val="left"/>
      <w:pPr>
        <w:ind w:left="360" w:hanging="360"/>
      </w:pPr>
      <w:rPr>
        <w:rFonts w:ascii="Times New Roman" w:hAnsi="Times New Roman" w:cs="Times New Roman"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8E5FFE"/>
    <w:multiLevelType w:val="hybridMultilevel"/>
    <w:tmpl w:val="D7C05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A0023"/>
    <w:multiLevelType w:val="hybridMultilevel"/>
    <w:tmpl w:val="3E34B8E6"/>
    <w:lvl w:ilvl="0" w:tplc="7F06846C">
      <w:start w:val="1"/>
      <w:numFmt w:val="decimal"/>
      <w:lvlText w:val="(%1)"/>
      <w:lvlJc w:val="right"/>
      <w:pPr>
        <w:ind w:left="720" w:hanging="360"/>
      </w:pPr>
      <w:rPr>
        <w:rFonts w:hint="default"/>
      </w:rPr>
    </w:lvl>
    <w:lvl w:ilvl="1" w:tplc="04090015">
      <w:start w:val="1"/>
      <w:numFmt w:val="upperLetter"/>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3160B"/>
    <w:multiLevelType w:val="hybridMultilevel"/>
    <w:tmpl w:val="0FE63E10"/>
    <w:lvl w:ilvl="0" w:tplc="38F2245C">
      <w:start w:val="1"/>
      <w:numFmt w:val="lowerLetter"/>
      <w:lvlText w:val="%1."/>
      <w:lvlJc w:val="left"/>
      <w:pPr>
        <w:ind w:left="720" w:hanging="360"/>
      </w:pPr>
      <w:rPr>
        <w:rFonts w:ascii="Times New Roman" w:eastAsia="Calibri" w:hAnsi="Times New Roman" w:cs="Times New Roman"/>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310FB3"/>
    <w:multiLevelType w:val="hybridMultilevel"/>
    <w:tmpl w:val="D7EE7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26395"/>
    <w:multiLevelType w:val="hybridMultilevel"/>
    <w:tmpl w:val="34785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A263B2"/>
    <w:multiLevelType w:val="hybridMultilevel"/>
    <w:tmpl w:val="E73A273A"/>
    <w:lvl w:ilvl="0" w:tplc="249860E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9D5A4D"/>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FB38E1"/>
    <w:multiLevelType w:val="hybridMultilevel"/>
    <w:tmpl w:val="BC689088"/>
    <w:lvl w:ilvl="0" w:tplc="1D3CCED0">
      <w:start w:val="1"/>
      <w:numFmt w:val="lowerLetter"/>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0559FB"/>
    <w:multiLevelType w:val="hybridMultilevel"/>
    <w:tmpl w:val="E4A883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C3D48"/>
    <w:multiLevelType w:val="hybridMultilevel"/>
    <w:tmpl w:val="454C03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94146"/>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B4014"/>
    <w:multiLevelType w:val="multilevel"/>
    <w:tmpl w:val="45A4171A"/>
    <w:lvl w:ilvl="0">
      <w:start w:val="1"/>
      <w:numFmt w:val="none"/>
      <w:lvlText w:val="1"/>
      <w:lvlJc w:val="left"/>
      <w:pPr>
        <w:tabs>
          <w:tab w:val="num" w:pos="360"/>
        </w:tabs>
        <w:ind w:left="0" w:firstLine="0"/>
      </w:pPr>
      <w:rPr>
        <w:rFonts w:hint="default"/>
      </w:rPr>
    </w:lvl>
    <w:lvl w:ilvl="1">
      <w:start w:val="1"/>
      <w:numFmt w:val="decimal"/>
      <w:lvlText w:val="%2"/>
      <w:lvlJc w:val="left"/>
      <w:pPr>
        <w:tabs>
          <w:tab w:val="num" w:pos="1080"/>
        </w:tabs>
        <w:ind w:left="720" w:firstLine="0"/>
      </w:pPr>
      <w:rPr>
        <w:rFonts w:hint="default"/>
      </w:rPr>
    </w:lvl>
    <w:lvl w:ilvl="2">
      <w:start w:val="1"/>
      <w:numFmt w:val="upperLetter"/>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low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25" w15:restartNumberingAfterBreak="0">
    <w:nsid w:val="5D5557EE"/>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0416D1"/>
    <w:multiLevelType w:val="hybridMultilevel"/>
    <w:tmpl w:val="392E0500"/>
    <w:lvl w:ilvl="0" w:tplc="445872FC">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4137F5E"/>
    <w:multiLevelType w:val="hybridMultilevel"/>
    <w:tmpl w:val="4E5EE9FA"/>
    <w:lvl w:ilvl="0" w:tplc="D9DC8E66">
      <w:start w:val="1"/>
      <w:numFmt w:val="lowerLetter"/>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9" w15:restartNumberingAfterBreak="0">
    <w:nsid w:val="6798722B"/>
    <w:multiLevelType w:val="hybridMultilevel"/>
    <w:tmpl w:val="D47E7A06"/>
    <w:lvl w:ilvl="0" w:tplc="600884B8">
      <w:start w:val="1"/>
      <w:numFmt w:val="decimal"/>
      <w:lvlText w:val="(%1)"/>
      <w:lvlJc w:val="left"/>
      <w:pPr>
        <w:ind w:left="725" w:hanging="360"/>
      </w:pPr>
      <w:rPr>
        <w:rFonts w:hint="default"/>
        <w:color w:val="auto"/>
      </w:rPr>
    </w:lvl>
    <w:lvl w:ilvl="1" w:tplc="B0B81AA8">
      <w:start w:val="1"/>
      <w:numFmt w:val="lowerLetter"/>
      <w:lvlText w:val="%2."/>
      <w:lvlJc w:val="left"/>
      <w:pPr>
        <w:ind w:left="1445" w:hanging="360"/>
      </w:pPr>
      <w:rPr>
        <w:rFonts w:ascii="Times New Roman" w:eastAsia="Times New Roman" w:hAnsi="Times New Roman" w:cs="Times New Roman"/>
      </w:rPr>
    </w:lvl>
    <w:lvl w:ilvl="2" w:tplc="0409001B" w:tentative="1">
      <w:start w:val="1"/>
      <w:numFmt w:val="lowerRoman"/>
      <w:lvlText w:val="%3."/>
      <w:lvlJc w:val="right"/>
      <w:pPr>
        <w:ind w:left="2165" w:hanging="180"/>
      </w:pPr>
    </w:lvl>
    <w:lvl w:ilvl="3" w:tplc="0409000F" w:tentative="1">
      <w:start w:val="1"/>
      <w:numFmt w:val="decimal"/>
      <w:lvlText w:val="%4."/>
      <w:lvlJc w:val="left"/>
      <w:pPr>
        <w:ind w:left="2885" w:hanging="360"/>
      </w:pPr>
    </w:lvl>
    <w:lvl w:ilvl="4" w:tplc="04090019" w:tentative="1">
      <w:start w:val="1"/>
      <w:numFmt w:val="lowerLetter"/>
      <w:lvlText w:val="%5."/>
      <w:lvlJc w:val="left"/>
      <w:pPr>
        <w:ind w:left="3605" w:hanging="360"/>
      </w:pPr>
    </w:lvl>
    <w:lvl w:ilvl="5" w:tplc="0409001B" w:tentative="1">
      <w:start w:val="1"/>
      <w:numFmt w:val="lowerRoman"/>
      <w:lvlText w:val="%6."/>
      <w:lvlJc w:val="right"/>
      <w:pPr>
        <w:ind w:left="4325" w:hanging="180"/>
      </w:pPr>
    </w:lvl>
    <w:lvl w:ilvl="6" w:tplc="0409000F" w:tentative="1">
      <w:start w:val="1"/>
      <w:numFmt w:val="decimal"/>
      <w:lvlText w:val="%7."/>
      <w:lvlJc w:val="left"/>
      <w:pPr>
        <w:ind w:left="5045" w:hanging="360"/>
      </w:pPr>
    </w:lvl>
    <w:lvl w:ilvl="7" w:tplc="04090019" w:tentative="1">
      <w:start w:val="1"/>
      <w:numFmt w:val="lowerLetter"/>
      <w:lvlText w:val="%8."/>
      <w:lvlJc w:val="left"/>
      <w:pPr>
        <w:ind w:left="5765" w:hanging="360"/>
      </w:pPr>
    </w:lvl>
    <w:lvl w:ilvl="8" w:tplc="0409001B" w:tentative="1">
      <w:start w:val="1"/>
      <w:numFmt w:val="lowerRoman"/>
      <w:lvlText w:val="%9."/>
      <w:lvlJc w:val="right"/>
      <w:pPr>
        <w:ind w:left="6485" w:hanging="180"/>
      </w:pPr>
    </w:lvl>
  </w:abstractNum>
  <w:abstractNum w:abstractNumId="30" w15:restartNumberingAfterBreak="0">
    <w:nsid w:val="68B40043"/>
    <w:multiLevelType w:val="hybridMultilevel"/>
    <w:tmpl w:val="4FA86C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B603F0"/>
    <w:multiLevelType w:val="hybridMultilevel"/>
    <w:tmpl w:val="F94464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85E98"/>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E51F7"/>
    <w:multiLevelType w:val="hybridMultilevel"/>
    <w:tmpl w:val="65ACF8F2"/>
    <w:lvl w:ilvl="0" w:tplc="62DAA15C">
      <w:start w:val="24"/>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DF3EEF"/>
    <w:multiLevelType w:val="hybridMultilevel"/>
    <w:tmpl w:val="BF54779E"/>
    <w:lvl w:ilvl="0" w:tplc="865AB764">
      <w:start w:val="1"/>
      <w:numFmt w:val="lowerLetter"/>
      <w:lvlText w:val="%1."/>
      <w:lvlJc w:val="left"/>
      <w:pPr>
        <w:ind w:left="648" w:hanging="360"/>
      </w:pPr>
      <w:rPr>
        <w:rFonts w:ascii="Times New Roman" w:eastAsia="Calibri" w:hAnsi="Times New Roman" w:cs="Times New Roman"/>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6FC073DD"/>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70068"/>
    <w:multiLevelType w:val="hybridMultilevel"/>
    <w:tmpl w:val="4E5EE9FA"/>
    <w:lvl w:ilvl="0" w:tplc="D9DC8E66">
      <w:start w:val="1"/>
      <w:numFmt w:val="lowerLetter"/>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F228D7"/>
    <w:multiLevelType w:val="hybridMultilevel"/>
    <w:tmpl w:val="ADC61F7E"/>
    <w:lvl w:ilvl="0" w:tplc="7374AAE4">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2C6A5A"/>
    <w:multiLevelType w:val="hybridMultilevel"/>
    <w:tmpl w:val="3D6CDC38"/>
    <w:lvl w:ilvl="0" w:tplc="00A059C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451777"/>
    <w:multiLevelType w:val="hybridMultilevel"/>
    <w:tmpl w:val="4E5EE9FA"/>
    <w:lvl w:ilvl="0" w:tplc="D9DC8E66">
      <w:start w:val="1"/>
      <w:numFmt w:val="lowerLetter"/>
      <w:lvlText w:val="%1)"/>
      <w:lvlJc w:val="left"/>
      <w:pPr>
        <w:ind w:left="648" w:hanging="360"/>
      </w:pPr>
      <w:rPr>
        <w:rFonts w:ascii="Times New Roman" w:hAnsi="Times New Roman" w:cs="Times New Roman" w:hint="default"/>
        <w:sz w:val="24"/>
        <w:szCs w:val="24"/>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0" w15:restartNumberingAfterBreak="0">
    <w:nsid w:val="764D3F62"/>
    <w:multiLevelType w:val="hybridMultilevel"/>
    <w:tmpl w:val="CC2A100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76404D3"/>
    <w:multiLevelType w:val="hybridMultilevel"/>
    <w:tmpl w:val="BE401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0670A"/>
    <w:multiLevelType w:val="hybridMultilevel"/>
    <w:tmpl w:val="6498A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46FF3"/>
    <w:multiLevelType w:val="hybridMultilevel"/>
    <w:tmpl w:val="26D2B1BA"/>
    <w:lvl w:ilvl="0" w:tplc="0CF4565E">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5D1D2D"/>
    <w:multiLevelType w:val="hybridMultilevel"/>
    <w:tmpl w:val="F0769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D57818"/>
    <w:multiLevelType w:val="hybridMultilevel"/>
    <w:tmpl w:val="D500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42"/>
  </w:num>
  <w:num w:numId="4">
    <w:abstractNumId w:val="13"/>
  </w:num>
  <w:num w:numId="5">
    <w:abstractNumId w:val="41"/>
  </w:num>
  <w:num w:numId="6">
    <w:abstractNumId w:val="43"/>
  </w:num>
  <w:num w:numId="7">
    <w:abstractNumId w:val="24"/>
  </w:num>
  <w:num w:numId="8">
    <w:abstractNumId w:val="24"/>
  </w:num>
  <w:num w:numId="9">
    <w:abstractNumId w:val="24"/>
  </w:num>
  <w:num w:numId="10">
    <w:abstractNumId w:val="20"/>
  </w:num>
  <w:num w:numId="11">
    <w:abstractNumId w:val="25"/>
  </w:num>
  <w:num w:numId="12">
    <w:abstractNumId w:val="36"/>
  </w:num>
  <w:num w:numId="13">
    <w:abstractNumId w:val="9"/>
  </w:num>
  <w:num w:numId="14">
    <w:abstractNumId w:val="11"/>
  </w:num>
  <w:num w:numId="15">
    <w:abstractNumId w:val="22"/>
  </w:num>
  <w:num w:numId="16">
    <w:abstractNumId w:val="30"/>
  </w:num>
  <w:num w:numId="17">
    <w:abstractNumId w:val="35"/>
  </w:num>
  <w:num w:numId="18">
    <w:abstractNumId w:val="23"/>
  </w:num>
  <w:num w:numId="19">
    <w:abstractNumId w:val="19"/>
  </w:num>
  <w:num w:numId="20">
    <w:abstractNumId w:val="32"/>
  </w:num>
  <w:num w:numId="21">
    <w:abstractNumId w:val="4"/>
  </w:num>
  <w:num w:numId="22">
    <w:abstractNumId w:val="28"/>
  </w:num>
  <w:num w:numId="23">
    <w:abstractNumId w:val="40"/>
  </w:num>
  <w:num w:numId="24">
    <w:abstractNumId w:val="39"/>
  </w:num>
  <w:num w:numId="25">
    <w:abstractNumId w:val="3"/>
  </w:num>
  <w:num w:numId="26">
    <w:abstractNumId w:val="1"/>
  </w:num>
  <w:num w:numId="27">
    <w:abstractNumId w:val="7"/>
  </w:num>
  <w:num w:numId="28">
    <w:abstractNumId w:val="15"/>
  </w:num>
  <w:num w:numId="29">
    <w:abstractNumId w:val="5"/>
  </w:num>
  <w:num w:numId="30">
    <w:abstractNumId w:val="38"/>
  </w:num>
  <w:num w:numId="31">
    <w:abstractNumId w:val="34"/>
  </w:num>
  <w:num w:numId="32">
    <w:abstractNumId w:val="37"/>
  </w:num>
  <w:num w:numId="33">
    <w:abstractNumId w:val="26"/>
  </w:num>
  <w:num w:numId="34">
    <w:abstractNumId w:val="0"/>
  </w:num>
  <w:num w:numId="35">
    <w:abstractNumId w:val="10"/>
  </w:num>
  <w:num w:numId="36">
    <w:abstractNumId w:val="33"/>
  </w:num>
  <w:num w:numId="37">
    <w:abstractNumId w:val="8"/>
  </w:num>
  <w:num w:numId="38">
    <w:abstractNumId w:val="18"/>
  </w:num>
  <w:num w:numId="39">
    <w:abstractNumId w:val="21"/>
  </w:num>
  <w:num w:numId="40">
    <w:abstractNumId w:val="16"/>
  </w:num>
  <w:num w:numId="41">
    <w:abstractNumId w:val="6"/>
  </w:num>
  <w:num w:numId="42">
    <w:abstractNumId w:val="44"/>
  </w:num>
  <w:num w:numId="43">
    <w:abstractNumId w:val="45"/>
  </w:num>
  <w:num w:numId="44">
    <w:abstractNumId w:val="29"/>
  </w:num>
  <w:num w:numId="45">
    <w:abstractNumId w:val="12"/>
  </w:num>
  <w:num w:numId="46">
    <w:abstractNumId w:val="14"/>
  </w:num>
  <w:num w:numId="47">
    <w:abstractNumId w:val="2"/>
  </w:num>
  <w:num w:numId="48">
    <w:abstractNumId w:val="31"/>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1C"/>
    <w:rsid w:val="00002B6F"/>
    <w:rsid w:val="00003331"/>
    <w:rsid w:val="000069D5"/>
    <w:rsid w:val="00010317"/>
    <w:rsid w:val="000118A8"/>
    <w:rsid w:val="00027348"/>
    <w:rsid w:val="000306C5"/>
    <w:rsid w:val="00031C48"/>
    <w:rsid w:val="00032658"/>
    <w:rsid w:val="00037B00"/>
    <w:rsid w:val="00040477"/>
    <w:rsid w:val="00046365"/>
    <w:rsid w:val="0004724F"/>
    <w:rsid w:val="00047E22"/>
    <w:rsid w:val="00055E7B"/>
    <w:rsid w:val="00070EF7"/>
    <w:rsid w:val="00082DAE"/>
    <w:rsid w:val="00084CDA"/>
    <w:rsid w:val="000858B0"/>
    <w:rsid w:val="00086AE1"/>
    <w:rsid w:val="00095779"/>
    <w:rsid w:val="000A2847"/>
    <w:rsid w:val="000B121E"/>
    <w:rsid w:val="000B31C2"/>
    <w:rsid w:val="000B545C"/>
    <w:rsid w:val="000C22DC"/>
    <w:rsid w:val="000C693B"/>
    <w:rsid w:val="000D10C8"/>
    <w:rsid w:val="000D1526"/>
    <w:rsid w:val="000D2C59"/>
    <w:rsid w:val="000D6C31"/>
    <w:rsid w:val="000E44FF"/>
    <w:rsid w:val="000E552E"/>
    <w:rsid w:val="000E5D2B"/>
    <w:rsid w:val="000E7A28"/>
    <w:rsid w:val="000F2AB4"/>
    <w:rsid w:val="000F2DA2"/>
    <w:rsid w:val="000F76B4"/>
    <w:rsid w:val="001029F9"/>
    <w:rsid w:val="00107653"/>
    <w:rsid w:val="00112BD9"/>
    <w:rsid w:val="001144FC"/>
    <w:rsid w:val="00115F9B"/>
    <w:rsid w:val="00136B28"/>
    <w:rsid w:val="00165EE9"/>
    <w:rsid w:val="001678C8"/>
    <w:rsid w:val="00170EE7"/>
    <w:rsid w:val="00170F61"/>
    <w:rsid w:val="001818F4"/>
    <w:rsid w:val="0018510C"/>
    <w:rsid w:val="00192806"/>
    <w:rsid w:val="001A1DE9"/>
    <w:rsid w:val="001A523D"/>
    <w:rsid w:val="001A7BBD"/>
    <w:rsid w:val="001B5EEB"/>
    <w:rsid w:val="001B61AD"/>
    <w:rsid w:val="001B7224"/>
    <w:rsid w:val="001B7CC0"/>
    <w:rsid w:val="001C02E1"/>
    <w:rsid w:val="001D0A10"/>
    <w:rsid w:val="001D59AA"/>
    <w:rsid w:val="001D5EA7"/>
    <w:rsid w:val="001D6007"/>
    <w:rsid w:val="001D614E"/>
    <w:rsid w:val="001E4EF2"/>
    <w:rsid w:val="001E5FFF"/>
    <w:rsid w:val="001F0BFA"/>
    <w:rsid w:val="001F5989"/>
    <w:rsid w:val="00203288"/>
    <w:rsid w:val="002148CD"/>
    <w:rsid w:val="002177B0"/>
    <w:rsid w:val="00231B0D"/>
    <w:rsid w:val="002343A1"/>
    <w:rsid w:val="00237FED"/>
    <w:rsid w:val="00241BD3"/>
    <w:rsid w:val="00243554"/>
    <w:rsid w:val="00250792"/>
    <w:rsid w:val="00256020"/>
    <w:rsid w:val="00262CB7"/>
    <w:rsid w:val="002631BD"/>
    <w:rsid w:val="002647F6"/>
    <w:rsid w:val="00270622"/>
    <w:rsid w:val="00276E06"/>
    <w:rsid w:val="0028219C"/>
    <w:rsid w:val="00283623"/>
    <w:rsid w:val="00284EB9"/>
    <w:rsid w:val="00285707"/>
    <w:rsid w:val="00291900"/>
    <w:rsid w:val="00292016"/>
    <w:rsid w:val="00295087"/>
    <w:rsid w:val="002A00FF"/>
    <w:rsid w:val="002A6D5F"/>
    <w:rsid w:val="002A76E7"/>
    <w:rsid w:val="002A7D97"/>
    <w:rsid w:val="002C309E"/>
    <w:rsid w:val="002C722F"/>
    <w:rsid w:val="002D2FB8"/>
    <w:rsid w:val="002D7359"/>
    <w:rsid w:val="002D7ED6"/>
    <w:rsid w:val="002F0CD5"/>
    <w:rsid w:val="002F3C8D"/>
    <w:rsid w:val="002F3D57"/>
    <w:rsid w:val="0030295F"/>
    <w:rsid w:val="00303E32"/>
    <w:rsid w:val="0030781C"/>
    <w:rsid w:val="00313265"/>
    <w:rsid w:val="0031467A"/>
    <w:rsid w:val="003147EF"/>
    <w:rsid w:val="00322AF8"/>
    <w:rsid w:val="00326B15"/>
    <w:rsid w:val="0032709F"/>
    <w:rsid w:val="00334B04"/>
    <w:rsid w:val="00342105"/>
    <w:rsid w:val="00343A12"/>
    <w:rsid w:val="00343ABD"/>
    <w:rsid w:val="003508F4"/>
    <w:rsid w:val="003549D7"/>
    <w:rsid w:val="00362D67"/>
    <w:rsid w:val="00363A72"/>
    <w:rsid w:val="003705FC"/>
    <w:rsid w:val="00371F93"/>
    <w:rsid w:val="003732A1"/>
    <w:rsid w:val="003774B3"/>
    <w:rsid w:val="003900F8"/>
    <w:rsid w:val="003A445F"/>
    <w:rsid w:val="003B2298"/>
    <w:rsid w:val="003B2874"/>
    <w:rsid w:val="003C0D83"/>
    <w:rsid w:val="003C28AC"/>
    <w:rsid w:val="003C2A32"/>
    <w:rsid w:val="003C6332"/>
    <w:rsid w:val="003C7085"/>
    <w:rsid w:val="003D2C93"/>
    <w:rsid w:val="003D5A6E"/>
    <w:rsid w:val="003D7143"/>
    <w:rsid w:val="003E12F1"/>
    <w:rsid w:val="003E1A7D"/>
    <w:rsid w:val="003E2D15"/>
    <w:rsid w:val="003E72AB"/>
    <w:rsid w:val="003F7574"/>
    <w:rsid w:val="004012EB"/>
    <w:rsid w:val="004013F6"/>
    <w:rsid w:val="004036BF"/>
    <w:rsid w:val="00410003"/>
    <w:rsid w:val="00425E8D"/>
    <w:rsid w:val="00436FA3"/>
    <w:rsid w:val="00441F91"/>
    <w:rsid w:val="004558C7"/>
    <w:rsid w:val="00457FC0"/>
    <w:rsid w:val="00460748"/>
    <w:rsid w:val="0048472E"/>
    <w:rsid w:val="0049354F"/>
    <w:rsid w:val="00496DB1"/>
    <w:rsid w:val="004A4344"/>
    <w:rsid w:val="004B09DD"/>
    <w:rsid w:val="004B1AE7"/>
    <w:rsid w:val="004B6A63"/>
    <w:rsid w:val="004C0653"/>
    <w:rsid w:val="004C1003"/>
    <w:rsid w:val="004C4DF4"/>
    <w:rsid w:val="004D1DDA"/>
    <w:rsid w:val="004D4C81"/>
    <w:rsid w:val="004E001B"/>
    <w:rsid w:val="004E0847"/>
    <w:rsid w:val="004E24C8"/>
    <w:rsid w:val="004E2935"/>
    <w:rsid w:val="004F3212"/>
    <w:rsid w:val="004F3904"/>
    <w:rsid w:val="004F5936"/>
    <w:rsid w:val="00501151"/>
    <w:rsid w:val="00502965"/>
    <w:rsid w:val="00503E7C"/>
    <w:rsid w:val="00506572"/>
    <w:rsid w:val="00507E35"/>
    <w:rsid w:val="00514ED3"/>
    <w:rsid w:val="00520558"/>
    <w:rsid w:val="005208AD"/>
    <w:rsid w:val="005250DA"/>
    <w:rsid w:val="0053759E"/>
    <w:rsid w:val="00542B9E"/>
    <w:rsid w:val="005463FA"/>
    <w:rsid w:val="005546E6"/>
    <w:rsid w:val="00557A86"/>
    <w:rsid w:val="00557E17"/>
    <w:rsid w:val="005819A5"/>
    <w:rsid w:val="00585CD3"/>
    <w:rsid w:val="00586ADC"/>
    <w:rsid w:val="00590C06"/>
    <w:rsid w:val="005977EE"/>
    <w:rsid w:val="005A2604"/>
    <w:rsid w:val="005A4B54"/>
    <w:rsid w:val="005B2C51"/>
    <w:rsid w:val="005B39D8"/>
    <w:rsid w:val="005B44F8"/>
    <w:rsid w:val="005B477A"/>
    <w:rsid w:val="005C16B7"/>
    <w:rsid w:val="005C2EDF"/>
    <w:rsid w:val="005C32A2"/>
    <w:rsid w:val="005C61DD"/>
    <w:rsid w:val="005D3087"/>
    <w:rsid w:val="005D6AA9"/>
    <w:rsid w:val="005D7916"/>
    <w:rsid w:val="005F2C68"/>
    <w:rsid w:val="005F3E68"/>
    <w:rsid w:val="006066BF"/>
    <w:rsid w:val="00606880"/>
    <w:rsid w:val="006133D0"/>
    <w:rsid w:val="00613BA9"/>
    <w:rsid w:val="00620F49"/>
    <w:rsid w:val="00623446"/>
    <w:rsid w:val="00623C48"/>
    <w:rsid w:val="00631208"/>
    <w:rsid w:val="006363D2"/>
    <w:rsid w:val="00641E33"/>
    <w:rsid w:val="00641F81"/>
    <w:rsid w:val="00646424"/>
    <w:rsid w:val="006612A1"/>
    <w:rsid w:val="00663954"/>
    <w:rsid w:val="006679EA"/>
    <w:rsid w:val="00671996"/>
    <w:rsid w:val="00680A51"/>
    <w:rsid w:val="00682868"/>
    <w:rsid w:val="00685FA3"/>
    <w:rsid w:val="00686436"/>
    <w:rsid w:val="00690303"/>
    <w:rsid w:val="00697C19"/>
    <w:rsid w:val="006A154E"/>
    <w:rsid w:val="006A3197"/>
    <w:rsid w:val="006A4DE3"/>
    <w:rsid w:val="006A6D72"/>
    <w:rsid w:val="006B259C"/>
    <w:rsid w:val="006B63A9"/>
    <w:rsid w:val="006E5441"/>
    <w:rsid w:val="006F0E01"/>
    <w:rsid w:val="006F2CC0"/>
    <w:rsid w:val="00702392"/>
    <w:rsid w:val="007037A3"/>
    <w:rsid w:val="00710E6D"/>
    <w:rsid w:val="007166D1"/>
    <w:rsid w:val="00721DF3"/>
    <w:rsid w:val="00722C07"/>
    <w:rsid w:val="0072391F"/>
    <w:rsid w:val="00723A00"/>
    <w:rsid w:val="007500EE"/>
    <w:rsid w:val="00756B35"/>
    <w:rsid w:val="00756B3C"/>
    <w:rsid w:val="00757E00"/>
    <w:rsid w:val="0076100B"/>
    <w:rsid w:val="00761F3C"/>
    <w:rsid w:val="00762856"/>
    <w:rsid w:val="00763FA7"/>
    <w:rsid w:val="00765B0B"/>
    <w:rsid w:val="0077385E"/>
    <w:rsid w:val="007751EE"/>
    <w:rsid w:val="007818F7"/>
    <w:rsid w:val="00787D61"/>
    <w:rsid w:val="0079606E"/>
    <w:rsid w:val="007A1F2E"/>
    <w:rsid w:val="007A566F"/>
    <w:rsid w:val="007A694E"/>
    <w:rsid w:val="007B32CA"/>
    <w:rsid w:val="007B6522"/>
    <w:rsid w:val="007B7C2E"/>
    <w:rsid w:val="007C0A65"/>
    <w:rsid w:val="007C1B99"/>
    <w:rsid w:val="007C2C29"/>
    <w:rsid w:val="007C5663"/>
    <w:rsid w:val="007D00B8"/>
    <w:rsid w:val="007E16FD"/>
    <w:rsid w:val="007E3464"/>
    <w:rsid w:val="007F758F"/>
    <w:rsid w:val="0080004C"/>
    <w:rsid w:val="00801F1C"/>
    <w:rsid w:val="00802351"/>
    <w:rsid w:val="00804854"/>
    <w:rsid w:val="00806394"/>
    <w:rsid w:val="00807487"/>
    <w:rsid w:val="008108AD"/>
    <w:rsid w:val="00812BBE"/>
    <w:rsid w:val="00812F21"/>
    <w:rsid w:val="0082440B"/>
    <w:rsid w:val="00827EF2"/>
    <w:rsid w:val="008302E5"/>
    <w:rsid w:val="00835790"/>
    <w:rsid w:val="00837026"/>
    <w:rsid w:val="00845BEF"/>
    <w:rsid w:val="00846403"/>
    <w:rsid w:val="00850B1F"/>
    <w:rsid w:val="00852402"/>
    <w:rsid w:val="00854584"/>
    <w:rsid w:val="008557F0"/>
    <w:rsid w:val="00857E0D"/>
    <w:rsid w:val="00865629"/>
    <w:rsid w:val="0087082A"/>
    <w:rsid w:val="008829D4"/>
    <w:rsid w:val="00882AF1"/>
    <w:rsid w:val="00893F30"/>
    <w:rsid w:val="00895552"/>
    <w:rsid w:val="008B29FE"/>
    <w:rsid w:val="008B4134"/>
    <w:rsid w:val="008B4915"/>
    <w:rsid w:val="008D3D63"/>
    <w:rsid w:val="008E77C1"/>
    <w:rsid w:val="008F0EF6"/>
    <w:rsid w:val="008F179C"/>
    <w:rsid w:val="008F2B99"/>
    <w:rsid w:val="008F63B4"/>
    <w:rsid w:val="008F7C2D"/>
    <w:rsid w:val="00903DE2"/>
    <w:rsid w:val="00906134"/>
    <w:rsid w:val="00906C26"/>
    <w:rsid w:val="009170EC"/>
    <w:rsid w:val="00922652"/>
    <w:rsid w:val="00926727"/>
    <w:rsid w:val="00926BDB"/>
    <w:rsid w:val="0094283B"/>
    <w:rsid w:val="00950799"/>
    <w:rsid w:val="00953347"/>
    <w:rsid w:val="00954AEC"/>
    <w:rsid w:val="00956A80"/>
    <w:rsid w:val="0096039A"/>
    <w:rsid w:val="009607DE"/>
    <w:rsid w:val="009616A3"/>
    <w:rsid w:val="00963611"/>
    <w:rsid w:val="00970992"/>
    <w:rsid w:val="009778A6"/>
    <w:rsid w:val="00982822"/>
    <w:rsid w:val="00985F3E"/>
    <w:rsid w:val="00986900"/>
    <w:rsid w:val="00995314"/>
    <w:rsid w:val="009A6E4A"/>
    <w:rsid w:val="009B133A"/>
    <w:rsid w:val="009B47A0"/>
    <w:rsid w:val="009B6802"/>
    <w:rsid w:val="009C5636"/>
    <w:rsid w:val="009C5840"/>
    <w:rsid w:val="009D15D8"/>
    <w:rsid w:val="009D332C"/>
    <w:rsid w:val="009D69B0"/>
    <w:rsid w:val="009E6B50"/>
    <w:rsid w:val="009F231D"/>
    <w:rsid w:val="009F64C3"/>
    <w:rsid w:val="00A03CC1"/>
    <w:rsid w:val="00A10BE4"/>
    <w:rsid w:val="00A11DF7"/>
    <w:rsid w:val="00A133E9"/>
    <w:rsid w:val="00A16B1C"/>
    <w:rsid w:val="00A22721"/>
    <w:rsid w:val="00A2360A"/>
    <w:rsid w:val="00A25835"/>
    <w:rsid w:val="00A25F28"/>
    <w:rsid w:val="00A30377"/>
    <w:rsid w:val="00A31833"/>
    <w:rsid w:val="00A32DC0"/>
    <w:rsid w:val="00A34999"/>
    <w:rsid w:val="00A36441"/>
    <w:rsid w:val="00A41A1B"/>
    <w:rsid w:val="00A42C7D"/>
    <w:rsid w:val="00A45806"/>
    <w:rsid w:val="00A52FA4"/>
    <w:rsid w:val="00A54381"/>
    <w:rsid w:val="00A669A1"/>
    <w:rsid w:val="00A71CE9"/>
    <w:rsid w:val="00A71E80"/>
    <w:rsid w:val="00A748BE"/>
    <w:rsid w:val="00A81B79"/>
    <w:rsid w:val="00A862DD"/>
    <w:rsid w:val="00A911B8"/>
    <w:rsid w:val="00A923A5"/>
    <w:rsid w:val="00AA523F"/>
    <w:rsid w:val="00AA5AEF"/>
    <w:rsid w:val="00AB77D8"/>
    <w:rsid w:val="00AC4112"/>
    <w:rsid w:val="00AD0484"/>
    <w:rsid w:val="00AD0BEB"/>
    <w:rsid w:val="00AD0FA3"/>
    <w:rsid w:val="00AD78E2"/>
    <w:rsid w:val="00AD7DE8"/>
    <w:rsid w:val="00AE2158"/>
    <w:rsid w:val="00AE29C1"/>
    <w:rsid w:val="00AF2675"/>
    <w:rsid w:val="00AF4415"/>
    <w:rsid w:val="00B00744"/>
    <w:rsid w:val="00B06FD7"/>
    <w:rsid w:val="00B075AA"/>
    <w:rsid w:val="00B10268"/>
    <w:rsid w:val="00B168BF"/>
    <w:rsid w:val="00B21E91"/>
    <w:rsid w:val="00B32258"/>
    <w:rsid w:val="00B34E58"/>
    <w:rsid w:val="00B40460"/>
    <w:rsid w:val="00B44053"/>
    <w:rsid w:val="00B447AD"/>
    <w:rsid w:val="00B57685"/>
    <w:rsid w:val="00B61D79"/>
    <w:rsid w:val="00B62852"/>
    <w:rsid w:val="00B64231"/>
    <w:rsid w:val="00B660D5"/>
    <w:rsid w:val="00B71A0C"/>
    <w:rsid w:val="00B7231F"/>
    <w:rsid w:val="00B746C0"/>
    <w:rsid w:val="00B76B7B"/>
    <w:rsid w:val="00B77379"/>
    <w:rsid w:val="00B858DF"/>
    <w:rsid w:val="00B859E9"/>
    <w:rsid w:val="00B95C72"/>
    <w:rsid w:val="00B96A68"/>
    <w:rsid w:val="00BA3D36"/>
    <w:rsid w:val="00BB17F5"/>
    <w:rsid w:val="00BB5ABB"/>
    <w:rsid w:val="00BC0D68"/>
    <w:rsid w:val="00BD224A"/>
    <w:rsid w:val="00BD7803"/>
    <w:rsid w:val="00BE00BC"/>
    <w:rsid w:val="00BF6BF9"/>
    <w:rsid w:val="00BF6E56"/>
    <w:rsid w:val="00C0506F"/>
    <w:rsid w:val="00C05A85"/>
    <w:rsid w:val="00C07257"/>
    <w:rsid w:val="00C10823"/>
    <w:rsid w:val="00C150DA"/>
    <w:rsid w:val="00C22D5A"/>
    <w:rsid w:val="00C22EE0"/>
    <w:rsid w:val="00C33FE5"/>
    <w:rsid w:val="00C4003C"/>
    <w:rsid w:val="00C417FC"/>
    <w:rsid w:val="00C45495"/>
    <w:rsid w:val="00C4567E"/>
    <w:rsid w:val="00C474FA"/>
    <w:rsid w:val="00C61085"/>
    <w:rsid w:val="00C62040"/>
    <w:rsid w:val="00C62099"/>
    <w:rsid w:val="00C67567"/>
    <w:rsid w:val="00C6795C"/>
    <w:rsid w:val="00C75093"/>
    <w:rsid w:val="00C807B8"/>
    <w:rsid w:val="00C87406"/>
    <w:rsid w:val="00C876DB"/>
    <w:rsid w:val="00C87FB6"/>
    <w:rsid w:val="00CA2456"/>
    <w:rsid w:val="00CA62FB"/>
    <w:rsid w:val="00CA6527"/>
    <w:rsid w:val="00CB3A7D"/>
    <w:rsid w:val="00CC3956"/>
    <w:rsid w:val="00CE0EB8"/>
    <w:rsid w:val="00CF0106"/>
    <w:rsid w:val="00CF16F1"/>
    <w:rsid w:val="00CF285F"/>
    <w:rsid w:val="00CF30FD"/>
    <w:rsid w:val="00CF39F9"/>
    <w:rsid w:val="00CF488E"/>
    <w:rsid w:val="00CF5C8C"/>
    <w:rsid w:val="00D0144E"/>
    <w:rsid w:val="00D0539A"/>
    <w:rsid w:val="00D115BE"/>
    <w:rsid w:val="00D16E02"/>
    <w:rsid w:val="00D2240E"/>
    <w:rsid w:val="00D22602"/>
    <w:rsid w:val="00D33D97"/>
    <w:rsid w:val="00D4086C"/>
    <w:rsid w:val="00D41F2F"/>
    <w:rsid w:val="00D42553"/>
    <w:rsid w:val="00D42B09"/>
    <w:rsid w:val="00D47D7B"/>
    <w:rsid w:val="00D50520"/>
    <w:rsid w:val="00D74E63"/>
    <w:rsid w:val="00D75416"/>
    <w:rsid w:val="00D76806"/>
    <w:rsid w:val="00D76ECF"/>
    <w:rsid w:val="00D87932"/>
    <w:rsid w:val="00D97205"/>
    <w:rsid w:val="00D973E7"/>
    <w:rsid w:val="00DA349D"/>
    <w:rsid w:val="00DB7511"/>
    <w:rsid w:val="00DC1292"/>
    <w:rsid w:val="00DC26B8"/>
    <w:rsid w:val="00DD0C08"/>
    <w:rsid w:val="00DE2FDB"/>
    <w:rsid w:val="00DE5997"/>
    <w:rsid w:val="00DE6AC8"/>
    <w:rsid w:val="00DE7FB7"/>
    <w:rsid w:val="00DF0B2A"/>
    <w:rsid w:val="00DF2546"/>
    <w:rsid w:val="00E046E3"/>
    <w:rsid w:val="00E04BCD"/>
    <w:rsid w:val="00E05C7F"/>
    <w:rsid w:val="00E10ADF"/>
    <w:rsid w:val="00E257F7"/>
    <w:rsid w:val="00E275CE"/>
    <w:rsid w:val="00E312DE"/>
    <w:rsid w:val="00E32802"/>
    <w:rsid w:val="00E33017"/>
    <w:rsid w:val="00E41EE5"/>
    <w:rsid w:val="00E513AB"/>
    <w:rsid w:val="00E52DE4"/>
    <w:rsid w:val="00E55ED8"/>
    <w:rsid w:val="00E66443"/>
    <w:rsid w:val="00E72697"/>
    <w:rsid w:val="00E7720F"/>
    <w:rsid w:val="00E82FE7"/>
    <w:rsid w:val="00E83065"/>
    <w:rsid w:val="00E8397C"/>
    <w:rsid w:val="00E83F72"/>
    <w:rsid w:val="00E8440C"/>
    <w:rsid w:val="00E85095"/>
    <w:rsid w:val="00E855C4"/>
    <w:rsid w:val="00E8628B"/>
    <w:rsid w:val="00E96776"/>
    <w:rsid w:val="00EA2EC6"/>
    <w:rsid w:val="00EB0191"/>
    <w:rsid w:val="00EB0A25"/>
    <w:rsid w:val="00EB5B15"/>
    <w:rsid w:val="00EC2888"/>
    <w:rsid w:val="00EC5988"/>
    <w:rsid w:val="00EC74E5"/>
    <w:rsid w:val="00ED01CC"/>
    <w:rsid w:val="00ED5D07"/>
    <w:rsid w:val="00ED6C2D"/>
    <w:rsid w:val="00EE10F4"/>
    <w:rsid w:val="00EE20C2"/>
    <w:rsid w:val="00EF099A"/>
    <w:rsid w:val="00F0028A"/>
    <w:rsid w:val="00F1012F"/>
    <w:rsid w:val="00F10167"/>
    <w:rsid w:val="00F14FCD"/>
    <w:rsid w:val="00F1736E"/>
    <w:rsid w:val="00F36F59"/>
    <w:rsid w:val="00F36FBD"/>
    <w:rsid w:val="00F41BAB"/>
    <w:rsid w:val="00F5351E"/>
    <w:rsid w:val="00F66810"/>
    <w:rsid w:val="00F67DCB"/>
    <w:rsid w:val="00F70363"/>
    <w:rsid w:val="00F7249D"/>
    <w:rsid w:val="00F7419B"/>
    <w:rsid w:val="00F75B91"/>
    <w:rsid w:val="00F836EB"/>
    <w:rsid w:val="00F84774"/>
    <w:rsid w:val="00F937C1"/>
    <w:rsid w:val="00F94B01"/>
    <w:rsid w:val="00F95621"/>
    <w:rsid w:val="00F96B42"/>
    <w:rsid w:val="00F970EA"/>
    <w:rsid w:val="00FA2BE2"/>
    <w:rsid w:val="00FA3256"/>
    <w:rsid w:val="00FA3B9E"/>
    <w:rsid w:val="00FA41FC"/>
    <w:rsid w:val="00FA4912"/>
    <w:rsid w:val="00FB0445"/>
    <w:rsid w:val="00FB65A8"/>
    <w:rsid w:val="00FC0DEE"/>
    <w:rsid w:val="00FD35D6"/>
    <w:rsid w:val="00FE49E3"/>
    <w:rsid w:val="00FF480B"/>
    <w:rsid w:val="00FF5D97"/>
    <w:rsid w:val="00FF6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BA0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Indent">
    <w:name w:val="Body Text Indent"/>
    <w:basedOn w:val="Normal"/>
    <w:pPr>
      <w:ind w:left="720"/>
    </w:pPr>
    <w:rPr>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vel1">
    <w:name w:val="Level 1"/>
    <w:basedOn w:val="Header"/>
    <w:link w:val="Level1Cha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5208AD"/>
    <w:pPr>
      <w:ind w:left="720"/>
      <w:contextualSpacing/>
    </w:pPr>
    <w:rPr>
      <w:rFonts w:ascii="Calibri" w:eastAsia="Calibri" w:hAnsi="Calibri"/>
      <w:sz w:val="22"/>
      <w:szCs w:val="22"/>
    </w:rPr>
  </w:style>
  <w:style w:type="character" w:styleId="CommentReference">
    <w:name w:val="annotation reference"/>
    <w:uiPriority w:val="99"/>
    <w:rsid w:val="005208AD"/>
    <w:rPr>
      <w:sz w:val="16"/>
      <w:szCs w:val="16"/>
    </w:rPr>
  </w:style>
  <w:style w:type="paragraph" w:styleId="CommentText">
    <w:name w:val="annotation text"/>
    <w:basedOn w:val="Normal"/>
    <w:link w:val="CommentTextChar"/>
    <w:uiPriority w:val="99"/>
    <w:rsid w:val="005208AD"/>
    <w:rPr>
      <w:sz w:val="20"/>
      <w:szCs w:val="20"/>
    </w:rPr>
  </w:style>
  <w:style w:type="character" w:customStyle="1" w:styleId="CommentTextChar">
    <w:name w:val="Comment Text Char"/>
    <w:basedOn w:val="DefaultParagraphFont"/>
    <w:link w:val="CommentText"/>
    <w:uiPriority w:val="99"/>
    <w:rsid w:val="005208AD"/>
  </w:style>
  <w:style w:type="paragraph" w:styleId="CommentSubject">
    <w:name w:val="annotation subject"/>
    <w:basedOn w:val="CommentText"/>
    <w:next w:val="CommentText"/>
    <w:link w:val="CommentSubjectChar"/>
    <w:rsid w:val="005208AD"/>
    <w:rPr>
      <w:b/>
      <w:bCs/>
    </w:rPr>
  </w:style>
  <w:style w:type="character" w:customStyle="1" w:styleId="CommentSubjectChar">
    <w:name w:val="Comment Subject Char"/>
    <w:link w:val="CommentSubject"/>
    <w:rsid w:val="005208AD"/>
    <w:rPr>
      <w:b/>
      <w:bCs/>
    </w:rPr>
  </w:style>
  <w:style w:type="character" w:customStyle="1" w:styleId="FooterChar">
    <w:name w:val="Footer Char"/>
    <w:link w:val="Footer"/>
    <w:uiPriority w:val="99"/>
    <w:rsid w:val="00E33017"/>
    <w:rPr>
      <w:sz w:val="24"/>
      <w:szCs w:val="24"/>
    </w:rPr>
  </w:style>
  <w:style w:type="character" w:customStyle="1" w:styleId="Level1Char">
    <w:name w:val="Level 1 Char"/>
    <w:link w:val="Level1"/>
    <w:locked/>
    <w:rsid w:val="00E8440C"/>
    <w:rPr>
      <w:sz w:val="24"/>
      <w:szCs w:val="24"/>
    </w:rPr>
  </w:style>
  <w:style w:type="character" w:customStyle="1" w:styleId="HeaderChar">
    <w:name w:val="Header Char"/>
    <w:link w:val="Header"/>
    <w:rsid w:val="00EB5B15"/>
    <w:rPr>
      <w:sz w:val="24"/>
      <w:szCs w:val="24"/>
    </w:rPr>
  </w:style>
  <w:style w:type="paragraph" w:customStyle="1" w:styleId="Style1">
    <w:name w:val="Style1"/>
    <w:basedOn w:val="Normal"/>
    <w:rsid w:val="00C05A85"/>
    <w:pPr>
      <w:numPr>
        <w:numId w:val="45"/>
      </w:numPr>
      <w:spacing w:after="200" w:line="276" w:lineRule="auto"/>
    </w:pPr>
    <w:rPr>
      <w:rFonts w:ascii="Calibri" w:eastAsia="Calibri" w:hAnsi="Calibri"/>
      <w:sz w:val="22"/>
      <w:szCs w:val="22"/>
    </w:rPr>
  </w:style>
  <w:style w:type="paragraph" w:customStyle="1" w:styleId="ColorfulList-Accent11">
    <w:name w:val="Colorful List - Accent 11"/>
    <w:basedOn w:val="Normal"/>
    <w:uiPriority w:val="34"/>
    <w:qFormat/>
    <w:rsid w:val="00A81B79"/>
    <w:pPr>
      <w:ind w:left="720"/>
      <w:contextualSpacing/>
    </w:pPr>
    <w:rPr>
      <w:rFonts w:ascii="Calibri" w:eastAsia="Calibri" w:hAnsi="Calibri"/>
      <w:sz w:val="22"/>
      <w:szCs w:val="22"/>
    </w:rPr>
  </w:style>
  <w:style w:type="paragraph" w:styleId="Revision">
    <w:name w:val="Revision"/>
    <w:hidden/>
    <w:uiPriority w:val="99"/>
    <w:semiHidden/>
    <w:rsid w:val="00882AF1"/>
    <w:rPr>
      <w:sz w:val="24"/>
      <w:szCs w:val="24"/>
    </w:rPr>
  </w:style>
  <w:style w:type="paragraph" w:styleId="NormalWeb">
    <w:name w:val="Normal (Web)"/>
    <w:basedOn w:val="Normal"/>
    <w:rsid w:val="007C2C29"/>
    <w:pPr>
      <w:spacing w:before="100" w:beforeAutospacing="1" w:after="100" w:afterAutospacing="1"/>
    </w:pPr>
  </w:style>
  <w:style w:type="character" w:styleId="Hyperlink">
    <w:name w:val="Hyperlink"/>
    <w:basedOn w:val="DefaultParagraphFont"/>
    <w:rsid w:val="002C309E"/>
    <w:rPr>
      <w:color w:val="0000FF" w:themeColor="hyperlink"/>
      <w:u w:val="single"/>
    </w:rPr>
  </w:style>
  <w:style w:type="paragraph" w:customStyle="1" w:styleId="level10">
    <w:name w:val="level1"/>
    <w:basedOn w:val="Normal"/>
    <w:rsid w:val="00BE00B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hud.gov/hudportal/documents/huddoc?id=16-04cpdn.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2BE59-28FD-48EE-8088-8FD66ACE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4467</Words>
  <Characters>28392</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2017-05-05T14:15:00Z</dcterms:created>
  <dcterms:modified xsi:type="dcterms:W3CDTF">2017-05-05T14:15:00Z</dcterms:modified>
</cp:coreProperties>
</file>