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7D" w:rsidRDefault="0011037D" w:rsidP="0011037D">
      <w:pPr>
        <w:pStyle w:val="Level1"/>
        <w:numPr>
          <w:ilvl w:val="0"/>
          <w:numId w:val="0"/>
        </w:numPr>
        <w:tabs>
          <w:tab w:val="left" w:pos="2160"/>
        </w:tabs>
        <w:jc w:val="center"/>
        <w:rPr>
          <w:b/>
          <w:bCs/>
        </w:rPr>
      </w:pPr>
      <w:bookmarkStart w:id="0" w:name="_GoBack"/>
      <w:bookmarkEnd w:id="0"/>
      <w:r w:rsidRPr="00585A4F">
        <w:rPr>
          <w:b/>
          <w:bCs/>
        </w:rPr>
        <w:t>CHAPTER 4</w:t>
      </w:r>
      <w:r w:rsidR="00CB0E4D">
        <w:rPr>
          <w:b/>
          <w:bCs/>
        </w:rPr>
        <w:t xml:space="preserve"> </w:t>
      </w:r>
    </w:p>
    <w:p w:rsidR="00007D80" w:rsidRPr="00585A4F" w:rsidRDefault="00007D80" w:rsidP="0011037D">
      <w:pPr>
        <w:pStyle w:val="Level1"/>
        <w:numPr>
          <w:ilvl w:val="0"/>
          <w:numId w:val="0"/>
        </w:numPr>
        <w:tabs>
          <w:tab w:val="left" w:pos="2160"/>
        </w:tabs>
        <w:jc w:val="center"/>
        <w:rPr>
          <w:b/>
          <w:bCs/>
        </w:rPr>
      </w:pPr>
    </w:p>
    <w:p w:rsidR="0011037D" w:rsidRPr="00585A4F" w:rsidRDefault="0011037D" w:rsidP="0011037D">
      <w:pPr>
        <w:pStyle w:val="Level1"/>
        <w:numPr>
          <w:ilvl w:val="0"/>
          <w:numId w:val="0"/>
        </w:numPr>
        <w:tabs>
          <w:tab w:val="left" w:pos="2160"/>
        </w:tabs>
        <w:jc w:val="center"/>
        <w:rPr>
          <w:b/>
          <w:bCs/>
          <w:sz w:val="28"/>
        </w:rPr>
      </w:pPr>
      <w:r w:rsidRPr="00585A4F">
        <w:rPr>
          <w:b/>
          <w:bCs/>
          <w:sz w:val="28"/>
        </w:rPr>
        <w:t xml:space="preserve">STATE COMMUNITY DEVELOPMENT BLOCK </w:t>
      </w:r>
    </w:p>
    <w:p w:rsidR="0011037D" w:rsidRPr="00585A4F" w:rsidRDefault="0011037D" w:rsidP="0011037D">
      <w:pPr>
        <w:pStyle w:val="Level1"/>
        <w:numPr>
          <w:ilvl w:val="0"/>
          <w:numId w:val="0"/>
        </w:numPr>
        <w:tabs>
          <w:tab w:val="left" w:pos="2160"/>
        </w:tabs>
        <w:jc w:val="center"/>
        <w:rPr>
          <w:b/>
          <w:bCs/>
          <w:sz w:val="28"/>
        </w:rPr>
      </w:pPr>
      <w:r w:rsidRPr="00585A4F">
        <w:rPr>
          <w:b/>
          <w:bCs/>
          <w:sz w:val="28"/>
        </w:rPr>
        <w:t>GRANT (CDBG) PROGRAM</w:t>
      </w:r>
    </w:p>
    <w:p w:rsidR="0011037D" w:rsidRDefault="0011037D" w:rsidP="004D68B0">
      <w:pPr>
        <w:pStyle w:val="Level1"/>
        <w:numPr>
          <w:ilvl w:val="0"/>
          <w:numId w:val="0"/>
        </w:numPr>
        <w:tabs>
          <w:tab w:val="clear" w:pos="4320"/>
          <w:tab w:val="clear" w:pos="8640"/>
        </w:tabs>
        <w:rPr>
          <w:u w:val="single"/>
        </w:rPr>
      </w:pPr>
    </w:p>
    <w:p w:rsidR="004E49A9" w:rsidRDefault="00E670C0" w:rsidP="004D68B0">
      <w:pPr>
        <w:pStyle w:val="Level1"/>
        <w:numPr>
          <w:ilvl w:val="0"/>
          <w:numId w:val="0"/>
        </w:numPr>
        <w:tabs>
          <w:tab w:val="clear" w:pos="4320"/>
          <w:tab w:val="clear" w:pos="8640"/>
        </w:tabs>
        <w:rPr>
          <w:u w:val="single"/>
        </w:rPr>
      </w:pPr>
      <w:r>
        <w:t xml:space="preserve">4-1 </w:t>
      </w:r>
      <w:r w:rsidR="00007D80">
        <w:t xml:space="preserve">   </w:t>
      </w:r>
      <w:r w:rsidR="00C73C96">
        <w:rPr>
          <w:u w:val="single"/>
        </w:rPr>
        <w:t>APPLICABILIT</w:t>
      </w:r>
      <w:r w:rsidR="00980C00">
        <w:rPr>
          <w:u w:val="single"/>
        </w:rPr>
        <w:t>Y</w:t>
      </w:r>
      <w:r w:rsidR="00C73C96">
        <w:rPr>
          <w:u w:val="single"/>
        </w:rPr>
        <w:t>.</w:t>
      </w:r>
    </w:p>
    <w:p w:rsidR="008C1C4D" w:rsidRPr="008C1C4D" w:rsidRDefault="008C1C4D" w:rsidP="004D68B0">
      <w:pPr>
        <w:pStyle w:val="Level1"/>
        <w:numPr>
          <w:ilvl w:val="0"/>
          <w:numId w:val="0"/>
        </w:numPr>
        <w:tabs>
          <w:tab w:val="clear" w:pos="4320"/>
          <w:tab w:val="clear" w:pos="8640"/>
        </w:tabs>
        <w:rPr>
          <w:u w:val="single"/>
        </w:rPr>
      </w:pPr>
    </w:p>
    <w:p w:rsidR="00E670C0" w:rsidRDefault="00E670C0" w:rsidP="001F50C6">
      <w:pPr>
        <w:pStyle w:val="Level1"/>
        <w:numPr>
          <w:ilvl w:val="0"/>
          <w:numId w:val="10"/>
        </w:numPr>
        <w:tabs>
          <w:tab w:val="clear" w:pos="4320"/>
          <w:tab w:val="clear" w:pos="8640"/>
        </w:tabs>
        <w:ind w:hanging="180"/>
      </w:pPr>
      <w:r w:rsidRPr="00585A4F">
        <w:t xml:space="preserve">Chapter 4 is applicable to the review of the State Community Development Block Grant (CDBG) Program </w:t>
      </w:r>
      <w:r>
        <w:t>ONLY</w:t>
      </w:r>
      <w:r w:rsidRPr="00585A4F">
        <w:t xml:space="preserve">. </w:t>
      </w:r>
    </w:p>
    <w:p w:rsidR="004E49A9" w:rsidRDefault="004E49A9" w:rsidP="004E49A9">
      <w:pPr>
        <w:pStyle w:val="Level1"/>
        <w:numPr>
          <w:ilvl w:val="0"/>
          <w:numId w:val="0"/>
        </w:numPr>
        <w:tabs>
          <w:tab w:val="clear" w:pos="4320"/>
          <w:tab w:val="clear" w:pos="8640"/>
        </w:tabs>
        <w:ind w:left="720"/>
      </w:pPr>
    </w:p>
    <w:p w:rsidR="00E670C0" w:rsidRDefault="00E670C0" w:rsidP="00063E7A">
      <w:pPr>
        <w:pStyle w:val="Level1"/>
        <w:numPr>
          <w:ilvl w:val="0"/>
          <w:numId w:val="10"/>
        </w:numPr>
        <w:tabs>
          <w:tab w:val="clear" w:pos="4320"/>
          <w:tab w:val="clear" w:pos="8640"/>
        </w:tabs>
        <w:ind w:hanging="180"/>
      </w:pPr>
      <w:r>
        <w:t>Exhibit 4-9,</w:t>
      </w:r>
      <w:r>
        <w:rPr>
          <w:i/>
        </w:rPr>
        <w:t xml:space="preserve"> Guide for the Review of Colonias Set-aside,</w:t>
      </w:r>
      <w:r>
        <w:t xml:space="preserve"> is only applicable to the S</w:t>
      </w:r>
      <w:r w:rsidRPr="00C36612">
        <w:t>tates of Arizona, California, New Mexico, and Texas</w:t>
      </w:r>
      <w:r>
        <w:t>.</w:t>
      </w:r>
      <w:r w:rsidRPr="00C36612">
        <w:t xml:space="preserve"> </w:t>
      </w:r>
      <w:r w:rsidR="00662168">
        <w:t xml:space="preserve"> </w:t>
      </w:r>
      <w:r>
        <w:t xml:space="preserve">These States are additionally </w:t>
      </w:r>
      <w:r w:rsidRPr="00C36612">
        <w:t>required to comply with Section 916 of the Cranston-Gonzalez National Affordable Housing Act of 1990 (Cranston-Gonzalez).</w:t>
      </w:r>
    </w:p>
    <w:p w:rsidR="00063E7A" w:rsidRDefault="00063E7A" w:rsidP="00063E7A">
      <w:pPr>
        <w:pStyle w:val="ListParagraph"/>
      </w:pPr>
    </w:p>
    <w:p w:rsidR="00063E7A" w:rsidRDefault="00063E7A" w:rsidP="004E0344">
      <w:pPr>
        <w:pStyle w:val="Level1"/>
        <w:numPr>
          <w:ilvl w:val="1"/>
          <w:numId w:val="12"/>
        </w:numPr>
        <w:tabs>
          <w:tab w:val="clear" w:pos="4320"/>
          <w:tab w:val="clear" w:pos="8640"/>
        </w:tabs>
        <w:ind w:left="630" w:hanging="630"/>
        <w:rPr>
          <w:u w:val="single"/>
        </w:rPr>
      </w:pPr>
      <w:r>
        <w:rPr>
          <w:u w:val="single"/>
        </w:rPr>
        <w:t>PURPOSES</w:t>
      </w:r>
      <w:r w:rsidR="004E0344">
        <w:rPr>
          <w:u w:val="single"/>
        </w:rPr>
        <w:t>.</w:t>
      </w:r>
    </w:p>
    <w:p w:rsidR="004E49A9" w:rsidRDefault="004E49A9" w:rsidP="004E49A9">
      <w:pPr>
        <w:pStyle w:val="Level1"/>
        <w:numPr>
          <w:ilvl w:val="0"/>
          <w:numId w:val="0"/>
        </w:numPr>
        <w:tabs>
          <w:tab w:val="clear" w:pos="4320"/>
          <w:tab w:val="clear" w:pos="8640"/>
        </w:tabs>
        <w:ind w:left="360"/>
        <w:rPr>
          <w:u w:val="single"/>
        </w:rPr>
      </w:pPr>
    </w:p>
    <w:p w:rsidR="00063E7A" w:rsidRDefault="00063E7A" w:rsidP="001F50C6">
      <w:pPr>
        <w:pStyle w:val="Level1"/>
        <w:numPr>
          <w:ilvl w:val="0"/>
          <w:numId w:val="14"/>
        </w:numPr>
        <w:tabs>
          <w:tab w:val="clear" w:pos="4320"/>
          <w:tab w:val="clear" w:pos="8640"/>
        </w:tabs>
        <w:ind w:left="720" w:hanging="180"/>
      </w:pPr>
      <w:r w:rsidRPr="00585A4F">
        <w:t>To ensure that a state’s program is being administered in accordance with applicable statutory and regulatory requirements;</w:t>
      </w:r>
    </w:p>
    <w:p w:rsidR="004E49A9" w:rsidRDefault="004E49A9" w:rsidP="004E49A9">
      <w:pPr>
        <w:pStyle w:val="Level1"/>
        <w:numPr>
          <w:ilvl w:val="0"/>
          <w:numId w:val="0"/>
        </w:numPr>
        <w:tabs>
          <w:tab w:val="clear" w:pos="4320"/>
          <w:tab w:val="clear" w:pos="8640"/>
        </w:tabs>
        <w:ind w:left="720"/>
      </w:pPr>
    </w:p>
    <w:p w:rsidR="00063E7A" w:rsidRDefault="00063E7A" w:rsidP="001F50C6">
      <w:pPr>
        <w:pStyle w:val="Level1"/>
        <w:numPr>
          <w:ilvl w:val="0"/>
          <w:numId w:val="14"/>
        </w:numPr>
        <w:tabs>
          <w:tab w:val="clear" w:pos="4320"/>
          <w:tab w:val="clear" w:pos="8640"/>
        </w:tabs>
        <w:ind w:left="720" w:hanging="180"/>
      </w:pPr>
      <w:r w:rsidRPr="00585A4F">
        <w:t>To provide an early indication of problems or potential problems in meeting applicable program requirements and to avoid fraud, waste, and mismanagement;</w:t>
      </w:r>
      <w:r>
        <w:t xml:space="preserve"> and </w:t>
      </w:r>
    </w:p>
    <w:p w:rsidR="004E49A9" w:rsidRDefault="004E49A9" w:rsidP="004E49A9">
      <w:pPr>
        <w:pStyle w:val="ListParagraph"/>
      </w:pPr>
    </w:p>
    <w:p w:rsidR="00063E7A" w:rsidRPr="001F50C6" w:rsidRDefault="00063E7A" w:rsidP="001F50C6">
      <w:pPr>
        <w:pStyle w:val="Level1"/>
        <w:numPr>
          <w:ilvl w:val="0"/>
          <w:numId w:val="14"/>
        </w:numPr>
        <w:tabs>
          <w:tab w:val="clear" w:pos="4320"/>
          <w:tab w:val="clear" w:pos="8640"/>
        </w:tabs>
        <w:ind w:left="720" w:hanging="180"/>
      </w:pPr>
      <w:r w:rsidRPr="00585A4F">
        <w:t>To promote efficient and effective program participant performance</w:t>
      </w:r>
      <w:r>
        <w:t>.</w:t>
      </w:r>
    </w:p>
    <w:p w:rsidR="00E670C0" w:rsidRDefault="00E670C0" w:rsidP="004D68B0">
      <w:pPr>
        <w:pStyle w:val="Level1"/>
        <w:numPr>
          <w:ilvl w:val="0"/>
          <w:numId w:val="0"/>
        </w:numPr>
        <w:tabs>
          <w:tab w:val="clear" w:pos="4320"/>
          <w:tab w:val="clear" w:pos="8640"/>
        </w:tabs>
        <w:rPr>
          <w:u w:val="single"/>
        </w:rPr>
      </w:pPr>
    </w:p>
    <w:p w:rsidR="00063E7A" w:rsidRDefault="00CA12FF" w:rsidP="00DB2326">
      <w:pPr>
        <w:pStyle w:val="Level1"/>
        <w:numPr>
          <w:ilvl w:val="1"/>
          <w:numId w:val="12"/>
        </w:numPr>
        <w:tabs>
          <w:tab w:val="clear" w:pos="4320"/>
          <w:tab w:val="clear" w:pos="8640"/>
        </w:tabs>
        <w:ind w:left="540" w:hanging="540"/>
        <w:rPr>
          <w:u w:val="single"/>
        </w:rPr>
      </w:pPr>
      <w:r w:rsidRPr="00CA12FF">
        <w:rPr>
          <w:u w:val="single"/>
        </w:rPr>
        <w:t>R</w:t>
      </w:r>
      <w:r w:rsidR="00063E7A">
        <w:rPr>
          <w:u w:val="single"/>
        </w:rPr>
        <w:t>EVIEW OF STATE VERSUS REVIEW OF LOCAL GOVERNMENTS</w:t>
      </w:r>
      <w:r w:rsidR="004E0344">
        <w:rPr>
          <w:u w:val="single"/>
        </w:rPr>
        <w:t>.</w:t>
      </w:r>
    </w:p>
    <w:p w:rsidR="004E49A9" w:rsidRPr="00063E7A" w:rsidRDefault="004E49A9" w:rsidP="004E49A9">
      <w:pPr>
        <w:pStyle w:val="Level1"/>
        <w:numPr>
          <w:ilvl w:val="0"/>
          <w:numId w:val="0"/>
        </w:numPr>
        <w:tabs>
          <w:tab w:val="clear" w:pos="4320"/>
          <w:tab w:val="clear" w:pos="8640"/>
        </w:tabs>
        <w:ind w:left="360"/>
      </w:pPr>
    </w:p>
    <w:p w:rsidR="004E49A9" w:rsidRDefault="006B126D" w:rsidP="008C1C4D">
      <w:pPr>
        <w:pStyle w:val="Level1"/>
        <w:numPr>
          <w:ilvl w:val="0"/>
          <w:numId w:val="0"/>
        </w:numPr>
        <w:tabs>
          <w:tab w:val="clear" w:pos="4320"/>
          <w:tab w:val="clear" w:pos="8640"/>
        </w:tabs>
        <w:ind w:left="540"/>
      </w:pPr>
      <w:r>
        <w:t xml:space="preserve">The review is generally limited to the state’s administration, management and oversight of the CDBG program.  The state is </w:t>
      </w:r>
      <w:r w:rsidRPr="001C71FE">
        <w:t>considered to be HUD’s program participant</w:t>
      </w:r>
      <w:r>
        <w:t xml:space="preserve"> or a pass-through entity</w:t>
      </w:r>
      <w:r w:rsidR="00F72F31">
        <w:t>, w</w:t>
      </w:r>
      <w:r>
        <w:t>hereas the u</w:t>
      </w:r>
      <w:r w:rsidRPr="001C71FE">
        <w:t>n</w:t>
      </w:r>
      <w:r>
        <w:t xml:space="preserve">its of general local government </w:t>
      </w:r>
      <w:r w:rsidRPr="001C71FE">
        <w:t xml:space="preserve">funded by a state </w:t>
      </w:r>
      <w:r>
        <w:t xml:space="preserve">(local governments) </w:t>
      </w:r>
      <w:r w:rsidRPr="001C71FE">
        <w:t xml:space="preserve">are considered to be their recipients. </w:t>
      </w:r>
      <w:r>
        <w:t xml:space="preserve"> While local government visits and reviews may be performed during monitoring, </w:t>
      </w:r>
      <w:r w:rsidRPr="001C71FE">
        <w:t>state officials must be given the opportunity to participate</w:t>
      </w:r>
      <w:r>
        <w:t xml:space="preserve"> and t</w:t>
      </w:r>
      <w:r w:rsidRPr="001C71FE">
        <w:t xml:space="preserve">he primary focus of a </w:t>
      </w:r>
      <w:r w:rsidR="001F50C6">
        <w:t xml:space="preserve">local government </w:t>
      </w:r>
      <w:r w:rsidRPr="001C71FE">
        <w:t>review is to test a state’s oversight and documentation systems by verifying state system information against information available in the recipient’s records.</w:t>
      </w:r>
      <w:r>
        <w:t xml:space="preserve">  If a local government is found to be in noncompliance during the monitoring, a finding would be issued against the state </w:t>
      </w:r>
      <w:r w:rsidR="00C73D2C">
        <w:t>for</w:t>
      </w:r>
      <w:r>
        <w:t xml:space="preserve"> failure to oversee the program or otherwise carry out its duties as the program administrator.  </w:t>
      </w:r>
    </w:p>
    <w:p w:rsidR="00063E7A" w:rsidRDefault="00063E7A" w:rsidP="00063E7A">
      <w:pPr>
        <w:pStyle w:val="Level1"/>
        <w:numPr>
          <w:ilvl w:val="0"/>
          <w:numId w:val="0"/>
        </w:numPr>
        <w:tabs>
          <w:tab w:val="clear" w:pos="4320"/>
          <w:tab w:val="clear" w:pos="8640"/>
        </w:tabs>
      </w:pPr>
    </w:p>
    <w:p w:rsidR="006B126D" w:rsidRDefault="004E0344" w:rsidP="004E0344">
      <w:pPr>
        <w:pStyle w:val="Level1"/>
        <w:numPr>
          <w:ilvl w:val="1"/>
          <w:numId w:val="12"/>
        </w:numPr>
        <w:tabs>
          <w:tab w:val="clear" w:pos="4320"/>
          <w:tab w:val="clear" w:pos="8640"/>
          <w:tab w:val="left" w:pos="630"/>
        </w:tabs>
        <w:rPr>
          <w:u w:val="single"/>
        </w:rPr>
      </w:pPr>
      <w:r>
        <w:t xml:space="preserve">   </w:t>
      </w:r>
      <w:r w:rsidR="00063E7A">
        <w:rPr>
          <w:u w:val="single"/>
        </w:rPr>
        <w:t>APPLICABLE REQUIREMENTS</w:t>
      </w:r>
      <w:r>
        <w:rPr>
          <w:u w:val="single"/>
        </w:rPr>
        <w:t>.</w:t>
      </w:r>
    </w:p>
    <w:p w:rsidR="004E49A9" w:rsidRPr="006B126D" w:rsidRDefault="004E49A9" w:rsidP="004E49A9">
      <w:pPr>
        <w:pStyle w:val="Level1"/>
        <w:numPr>
          <w:ilvl w:val="0"/>
          <w:numId w:val="0"/>
        </w:numPr>
        <w:tabs>
          <w:tab w:val="clear" w:pos="4320"/>
          <w:tab w:val="clear" w:pos="8640"/>
        </w:tabs>
        <w:ind w:left="360"/>
        <w:rPr>
          <w:u w:val="single"/>
        </w:rPr>
      </w:pPr>
    </w:p>
    <w:p w:rsidR="00A902C2" w:rsidRPr="006B126D" w:rsidRDefault="00EB45FB" w:rsidP="00063E7A">
      <w:pPr>
        <w:pStyle w:val="Level1"/>
        <w:numPr>
          <w:ilvl w:val="0"/>
          <w:numId w:val="0"/>
        </w:numPr>
        <w:tabs>
          <w:tab w:val="clear" w:pos="4320"/>
          <w:tab w:val="clear" w:pos="8640"/>
        </w:tabs>
        <w:ind w:left="540"/>
        <w:rPr>
          <w:u w:val="single"/>
        </w:rPr>
      </w:pPr>
      <w:r>
        <w:rPr>
          <w:b/>
        </w:rPr>
        <w:t>Consider the s</w:t>
      </w:r>
      <w:r w:rsidR="00B91618" w:rsidRPr="00B91618">
        <w:rPr>
          <w:b/>
        </w:rPr>
        <w:t>tate’</w:t>
      </w:r>
      <w:r>
        <w:rPr>
          <w:b/>
        </w:rPr>
        <w:t>s own r</w:t>
      </w:r>
      <w:r w:rsidR="00B91618" w:rsidRPr="00B91618">
        <w:rPr>
          <w:b/>
        </w:rPr>
        <w:t>equirements</w:t>
      </w:r>
      <w:r w:rsidR="00B91618">
        <w:t xml:space="preserve">:  </w:t>
      </w:r>
      <w:r w:rsidR="004D68B0">
        <w:t xml:space="preserve">The </w:t>
      </w:r>
      <w:r w:rsidR="00B91618">
        <w:t>s</w:t>
      </w:r>
      <w:r w:rsidR="00476601">
        <w:t>tate</w:t>
      </w:r>
      <w:r w:rsidR="004D68B0">
        <w:t>, in many cases,</w:t>
      </w:r>
      <w:r w:rsidR="00A902C2">
        <w:t xml:space="preserve"> has</w:t>
      </w:r>
      <w:r w:rsidR="00B91618">
        <w:t xml:space="preserve"> flexibility t</w:t>
      </w:r>
      <w:r w:rsidR="00A902C2">
        <w:t>o establish its</w:t>
      </w:r>
      <w:r w:rsidR="00B91618">
        <w:t xml:space="preserve"> own requirements</w:t>
      </w:r>
      <w:r w:rsidR="00A902C2">
        <w:t xml:space="preserve">. </w:t>
      </w:r>
      <w:r w:rsidR="00C664AF">
        <w:t xml:space="preserve"> </w:t>
      </w:r>
      <w:r w:rsidR="00A902C2">
        <w:t>For example, the state may use it</w:t>
      </w:r>
      <w:r w:rsidR="00C664AF">
        <w:t xml:space="preserve">s own fiscal requirements; and </w:t>
      </w:r>
      <w:r w:rsidR="00A902C2">
        <w:t>24 CFR 570.489(d) provides a minimum threshold for what those fiscal requirements should contain.  Additionally, t</w:t>
      </w:r>
      <w:r w:rsidR="00B91618">
        <w:t>he</w:t>
      </w:r>
      <w:r w:rsidR="00A902C2">
        <w:t xml:space="preserve"> states have the</w:t>
      </w:r>
      <w:r w:rsidR="0011037D">
        <w:t xml:space="preserve"> authority to interpret</w:t>
      </w:r>
      <w:r>
        <w:t xml:space="preserve"> the CDBG program rules;</w:t>
      </w:r>
      <w:r w:rsidR="00A902C2">
        <w:t xml:space="preserve"> 24 CFR 570.480(c)</w:t>
      </w:r>
      <w:r w:rsidR="0011037D">
        <w:t xml:space="preserve"> </w:t>
      </w:r>
      <w:r w:rsidR="00B91618">
        <w:t>says</w:t>
      </w:r>
      <w:r w:rsidR="0011037D">
        <w:t xml:space="preserve"> that </w:t>
      </w:r>
      <w:r w:rsidR="0011037D" w:rsidRPr="00585A4F">
        <w:t xml:space="preserve">HUD will give maximum feasible deference to a state’s </w:t>
      </w:r>
      <w:r w:rsidR="0011037D" w:rsidRPr="00585A4F">
        <w:lastRenderedPageBreak/>
        <w:t xml:space="preserve">interpretation of the regulatory requirements of </w:t>
      </w:r>
      <w:r w:rsidR="0011037D">
        <w:t xml:space="preserve">Subpart I and the requirements of the Housing and Community Development Act.  However, there are limits; the </w:t>
      </w:r>
      <w:r w:rsidR="00B91618">
        <w:t>s</w:t>
      </w:r>
      <w:r w:rsidR="0011037D">
        <w:t>tate’s interpretation must not be</w:t>
      </w:r>
      <w:r w:rsidR="0011037D" w:rsidRPr="00585A4F">
        <w:t xml:space="preserve"> plainly inconsistent with the </w:t>
      </w:r>
      <w:r w:rsidR="00B91618">
        <w:t xml:space="preserve">Act.  </w:t>
      </w:r>
    </w:p>
    <w:p w:rsidR="006B126D" w:rsidRPr="00A902C2" w:rsidRDefault="006B126D" w:rsidP="00063E7A">
      <w:pPr>
        <w:pStyle w:val="Level1"/>
        <w:numPr>
          <w:ilvl w:val="0"/>
          <w:numId w:val="0"/>
        </w:numPr>
        <w:tabs>
          <w:tab w:val="clear" w:pos="4320"/>
          <w:tab w:val="clear" w:pos="8640"/>
        </w:tabs>
        <w:ind w:left="720" w:hanging="180"/>
        <w:rPr>
          <w:u w:val="single"/>
        </w:rPr>
      </w:pPr>
    </w:p>
    <w:p w:rsidR="00063E7A" w:rsidRDefault="0011037D" w:rsidP="00063E7A">
      <w:pPr>
        <w:pStyle w:val="Level1"/>
        <w:numPr>
          <w:ilvl w:val="0"/>
          <w:numId w:val="0"/>
        </w:numPr>
        <w:tabs>
          <w:tab w:val="clear" w:pos="4320"/>
          <w:tab w:val="clear" w:pos="8640"/>
        </w:tabs>
        <w:ind w:left="540"/>
        <w:rPr>
          <w:u w:val="single"/>
        </w:rPr>
      </w:pPr>
      <w:r>
        <w:t>When monitoring</w:t>
      </w:r>
      <w:r w:rsidR="00EB45FB">
        <w:t>,</w:t>
      </w:r>
      <w:r>
        <w:t xml:space="preserve"> the </w:t>
      </w:r>
      <w:r w:rsidRPr="001C71FE">
        <w:t>reviewer may issue a finding of noncompliance based on evidence of failure to comply with the State’s own requirements.</w:t>
      </w:r>
      <w:r>
        <w:t xml:space="preserve"> </w:t>
      </w:r>
      <w:r w:rsidR="00A764C5">
        <w:t xml:space="preserve"> </w:t>
      </w:r>
      <w:r>
        <w:t xml:space="preserve">In such findings, the reviewer would </w:t>
      </w:r>
      <w:r w:rsidR="00A902C2">
        <w:t>cite the s</w:t>
      </w:r>
      <w:r>
        <w:t>tate’s requirement</w:t>
      </w:r>
      <w:r w:rsidR="008A21D4">
        <w:t xml:space="preserve"> in the </w:t>
      </w:r>
      <w:r w:rsidR="00296424">
        <w:t xml:space="preserve">Exhibit’s </w:t>
      </w:r>
      <w:r w:rsidR="00A764C5">
        <w:t>Describe Basis for Conclusion tex</w:t>
      </w:r>
      <w:r w:rsidR="008A21D4">
        <w:t>t box</w:t>
      </w:r>
      <w:r>
        <w:t>, in addition to applicable HUD requirements.</w:t>
      </w:r>
    </w:p>
    <w:p w:rsidR="00063E7A" w:rsidRDefault="00063E7A" w:rsidP="00063E7A">
      <w:pPr>
        <w:pStyle w:val="Level1"/>
        <w:numPr>
          <w:ilvl w:val="0"/>
          <w:numId w:val="0"/>
        </w:numPr>
        <w:tabs>
          <w:tab w:val="clear" w:pos="4320"/>
          <w:tab w:val="clear" w:pos="8640"/>
        </w:tabs>
        <w:ind w:left="540"/>
        <w:rPr>
          <w:u w:val="single"/>
        </w:rPr>
      </w:pPr>
    </w:p>
    <w:p w:rsidR="00EB45FB" w:rsidRPr="006B126D" w:rsidRDefault="006B126D" w:rsidP="00063E7A">
      <w:pPr>
        <w:pStyle w:val="Level1"/>
        <w:numPr>
          <w:ilvl w:val="0"/>
          <w:numId w:val="0"/>
        </w:numPr>
        <w:tabs>
          <w:tab w:val="clear" w:pos="4320"/>
          <w:tab w:val="clear" w:pos="8640"/>
        </w:tabs>
        <w:ind w:left="540"/>
        <w:rPr>
          <w:u w:val="single"/>
        </w:rPr>
      </w:pPr>
      <w:r>
        <w:rPr>
          <w:b/>
        </w:rPr>
        <w:t>Find the right requirements</w:t>
      </w:r>
      <w:r w:rsidR="00EB45FB">
        <w:t>:</w:t>
      </w:r>
      <w:r>
        <w:t xml:space="preserve">  </w:t>
      </w:r>
      <w:r w:rsidR="00440297">
        <w:t>Finding the right State CDBG requirements can often be confusing.  A common mistake is</w:t>
      </w:r>
      <w:r w:rsidR="004E49A9">
        <w:t xml:space="preserve"> to cite</w:t>
      </w:r>
      <w:r w:rsidR="00440297">
        <w:t xml:space="preserve"> Entitlement CDBG regulations.  </w:t>
      </w:r>
      <w:r>
        <w:t>Citing Entitlement CDBG regulations when reviewing State CDBG is only permissible if the state has adopted that portion of the Entitlement regulations in its own rules and requirements.</w:t>
      </w:r>
    </w:p>
    <w:p w:rsidR="006B126D" w:rsidRPr="006B126D" w:rsidRDefault="006B126D" w:rsidP="00063E7A">
      <w:pPr>
        <w:pStyle w:val="Level1"/>
        <w:numPr>
          <w:ilvl w:val="0"/>
          <w:numId w:val="0"/>
        </w:numPr>
        <w:tabs>
          <w:tab w:val="clear" w:pos="4320"/>
          <w:tab w:val="clear" w:pos="8640"/>
        </w:tabs>
        <w:ind w:left="720" w:hanging="180"/>
        <w:rPr>
          <w:u w:val="single"/>
        </w:rPr>
      </w:pPr>
    </w:p>
    <w:p w:rsidR="00EC034F" w:rsidRDefault="006B126D" w:rsidP="00EC034F">
      <w:pPr>
        <w:pStyle w:val="Level1"/>
        <w:numPr>
          <w:ilvl w:val="0"/>
          <w:numId w:val="0"/>
        </w:numPr>
        <w:ind w:left="540"/>
      </w:pPr>
      <w:r w:rsidRPr="006B126D">
        <w:t>Of the regul</w:t>
      </w:r>
      <w:r w:rsidR="00EC034F">
        <w:t>ations at 24 CFR part 570, only</w:t>
      </w:r>
      <w:r w:rsidR="001F50C6">
        <w:t xml:space="preserve"> </w:t>
      </w:r>
      <w:r w:rsidR="00440297">
        <w:t xml:space="preserve">the following regulations are </w:t>
      </w:r>
      <w:r w:rsidRPr="006B126D">
        <w:t xml:space="preserve">directly applicable to the State CDBG program: </w:t>
      </w:r>
    </w:p>
    <w:p w:rsidR="004E49A9" w:rsidRDefault="004E49A9" w:rsidP="00EC034F">
      <w:pPr>
        <w:pStyle w:val="Level1"/>
        <w:numPr>
          <w:ilvl w:val="0"/>
          <w:numId w:val="0"/>
        </w:numPr>
        <w:ind w:left="540"/>
      </w:pPr>
    </w:p>
    <w:p w:rsidR="00EC034F" w:rsidRDefault="00EC034F" w:rsidP="001F50C6">
      <w:pPr>
        <w:pStyle w:val="Level1"/>
        <w:numPr>
          <w:ilvl w:val="0"/>
          <w:numId w:val="5"/>
        </w:numPr>
      </w:pPr>
      <w:r w:rsidRPr="007B3745">
        <w:rPr>
          <w:b/>
        </w:rPr>
        <w:t>Subpart I</w:t>
      </w:r>
      <w:r w:rsidR="00CA12FF">
        <w:t>,</w:t>
      </w:r>
      <w:r w:rsidR="004E49A9">
        <w:t xml:space="preserve"> </w:t>
      </w:r>
      <w:r w:rsidR="004E49A9">
        <w:rPr>
          <w:i/>
        </w:rPr>
        <w:t>State Community Development Block Grant Program</w:t>
      </w:r>
      <w:r w:rsidRPr="006B126D">
        <w:t xml:space="preserve"> (24 CFR 570.480 through 497)</w:t>
      </w:r>
      <w:r w:rsidR="00CA12FF">
        <w:t>;</w:t>
      </w:r>
    </w:p>
    <w:p w:rsidR="004E49A9" w:rsidRDefault="004E49A9" w:rsidP="004E49A9">
      <w:pPr>
        <w:pStyle w:val="Level1"/>
        <w:numPr>
          <w:ilvl w:val="0"/>
          <w:numId w:val="0"/>
        </w:numPr>
        <w:ind w:left="1080"/>
      </w:pPr>
    </w:p>
    <w:p w:rsidR="001F50C6" w:rsidRDefault="00C73C96" w:rsidP="001F50C6">
      <w:pPr>
        <w:pStyle w:val="Level1"/>
        <w:numPr>
          <w:ilvl w:val="0"/>
          <w:numId w:val="5"/>
        </w:numPr>
      </w:pPr>
      <w:r w:rsidRPr="007B3745">
        <w:rPr>
          <w:b/>
        </w:rPr>
        <w:t>24 CFR 570.606</w:t>
      </w:r>
      <w:r>
        <w:t xml:space="preserve">, </w:t>
      </w:r>
      <w:r w:rsidR="006B126D" w:rsidRPr="006B126D">
        <w:t>Displacement, relocation, acquisition, and replacement of housing, applies to the State program per 24 CFR 570.488;</w:t>
      </w:r>
    </w:p>
    <w:p w:rsidR="004E49A9" w:rsidRDefault="004E49A9" w:rsidP="004E49A9">
      <w:pPr>
        <w:pStyle w:val="ListParagraph"/>
      </w:pPr>
    </w:p>
    <w:p w:rsidR="004E49A9" w:rsidRDefault="006B126D" w:rsidP="008C1C4D">
      <w:pPr>
        <w:pStyle w:val="Level1"/>
        <w:numPr>
          <w:ilvl w:val="0"/>
          <w:numId w:val="5"/>
        </w:numPr>
      </w:pPr>
      <w:r w:rsidRPr="007B3745">
        <w:rPr>
          <w:b/>
        </w:rPr>
        <w:t>24 CFR 570.200(j)</w:t>
      </w:r>
      <w:r w:rsidRPr="006B126D">
        <w:t xml:space="preserve">, Faith-based activities, applies per 24 CFR 570.480(e); </w:t>
      </w:r>
    </w:p>
    <w:p w:rsidR="008C1C4D" w:rsidRDefault="008C1C4D" w:rsidP="008C1C4D">
      <w:pPr>
        <w:pStyle w:val="Level1"/>
        <w:numPr>
          <w:ilvl w:val="0"/>
          <w:numId w:val="0"/>
        </w:numPr>
      </w:pPr>
    </w:p>
    <w:p w:rsidR="006B126D" w:rsidRDefault="006B126D" w:rsidP="001F50C6">
      <w:pPr>
        <w:pStyle w:val="Level1"/>
        <w:numPr>
          <w:ilvl w:val="0"/>
          <w:numId w:val="5"/>
        </w:numPr>
      </w:pPr>
      <w:r w:rsidRPr="007B3745">
        <w:rPr>
          <w:b/>
        </w:rPr>
        <w:t>24 CFR 570.707(b)</w:t>
      </w:r>
      <w:r w:rsidRPr="006B126D">
        <w:t xml:space="preserve"> applies the requirements of Subpart M to State-assisted public entities for the Section 108 Loan Guarantee Program.</w:t>
      </w:r>
    </w:p>
    <w:p w:rsidR="006B126D" w:rsidRDefault="006B126D" w:rsidP="001F50C6">
      <w:pPr>
        <w:pStyle w:val="Level1"/>
        <w:numPr>
          <w:ilvl w:val="0"/>
          <w:numId w:val="0"/>
        </w:numPr>
        <w:tabs>
          <w:tab w:val="clear" w:pos="4320"/>
          <w:tab w:val="clear" w:pos="8640"/>
        </w:tabs>
        <w:ind w:left="1080" w:hanging="180"/>
      </w:pPr>
    </w:p>
    <w:p w:rsidR="001F50C6" w:rsidRDefault="00B330FD" w:rsidP="001F50C6">
      <w:pPr>
        <w:pStyle w:val="Level1"/>
        <w:numPr>
          <w:ilvl w:val="0"/>
          <w:numId w:val="0"/>
        </w:numPr>
        <w:tabs>
          <w:tab w:val="clear" w:pos="4320"/>
          <w:tab w:val="clear" w:pos="8640"/>
        </w:tabs>
        <w:ind w:left="540"/>
      </w:pPr>
      <w:r>
        <w:t>Four</w:t>
      </w:r>
      <w:r w:rsidR="006B126D">
        <w:t xml:space="preserve"> </w:t>
      </w:r>
      <w:r w:rsidR="00174DA8">
        <w:t xml:space="preserve">of the most common questions about State CDBG requirements </w:t>
      </w:r>
      <w:r w:rsidR="006B126D">
        <w:t>relate to eligible activit</w:t>
      </w:r>
      <w:r>
        <w:t>ies, the public service cap,</w:t>
      </w:r>
      <w:r w:rsidR="006B126D">
        <w:t xml:space="preserve"> the record-keeping requirements</w:t>
      </w:r>
      <w:r>
        <w:t>, and the uniform administrative requirements</w:t>
      </w:r>
      <w:r w:rsidR="006B126D">
        <w:t>.</w:t>
      </w:r>
    </w:p>
    <w:p w:rsidR="004E49A9" w:rsidRDefault="004E49A9" w:rsidP="001F50C6">
      <w:pPr>
        <w:pStyle w:val="Level1"/>
        <w:numPr>
          <w:ilvl w:val="0"/>
          <w:numId w:val="0"/>
        </w:numPr>
        <w:tabs>
          <w:tab w:val="clear" w:pos="4320"/>
          <w:tab w:val="clear" w:pos="8640"/>
        </w:tabs>
        <w:ind w:left="540"/>
      </w:pPr>
    </w:p>
    <w:p w:rsidR="001F50C6" w:rsidRDefault="006B126D" w:rsidP="001F50C6">
      <w:pPr>
        <w:pStyle w:val="Level1"/>
        <w:numPr>
          <w:ilvl w:val="0"/>
          <w:numId w:val="15"/>
        </w:numPr>
        <w:tabs>
          <w:tab w:val="clear" w:pos="4320"/>
          <w:tab w:val="clear" w:pos="8640"/>
        </w:tabs>
        <w:ind w:left="1080"/>
      </w:pPr>
      <w:r>
        <w:t xml:space="preserve">For </w:t>
      </w:r>
      <w:r w:rsidR="008A21D4">
        <w:t xml:space="preserve">a </w:t>
      </w:r>
      <w:r w:rsidR="00440297">
        <w:t xml:space="preserve">full list of </w:t>
      </w:r>
      <w:r w:rsidRPr="007B3745">
        <w:rPr>
          <w:b/>
        </w:rPr>
        <w:t>eligible activities</w:t>
      </w:r>
      <w:r>
        <w:t>, State CDBG ref</w:t>
      </w:r>
      <w:r w:rsidR="00440297">
        <w:t>ers to Section 105 of the HCDA [</w:t>
      </w:r>
      <w:r w:rsidR="001535ED" w:rsidRPr="008C1C4D">
        <w:t>42 U.S.</w:t>
      </w:r>
      <w:r w:rsidR="001535ED">
        <w:t>C</w:t>
      </w:r>
      <w:r w:rsidR="00C73C96">
        <w:t>.</w:t>
      </w:r>
      <w:r w:rsidR="001535ED" w:rsidRPr="008C1C4D">
        <w:t xml:space="preserve"> § 5305</w:t>
      </w:r>
      <w:r w:rsidR="00440297">
        <w:t>] and has addition</w:t>
      </w:r>
      <w:r w:rsidR="00A10756">
        <w:t>al</w:t>
      </w:r>
      <w:r w:rsidR="00440297">
        <w:t xml:space="preserve"> parameters at 24 CFR 570.482.  State CDBG does</w:t>
      </w:r>
      <w:r w:rsidR="00A10756">
        <w:t xml:space="preserve"> not </w:t>
      </w:r>
      <w:r w:rsidR="001535ED">
        <w:t xml:space="preserve">incorporate the requirements of </w:t>
      </w:r>
      <w:r w:rsidR="00A10756">
        <w:t>24 CFR 570.201 from</w:t>
      </w:r>
      <w:r w:rsidR="00440297">
        <w:t xml:space="preserve"> the </w:t>
      </w:r>
      <w:r w:rsidR="00A82687">
        <w:t>E</w:t>
      </w:r>
      <w:r w:rsidR="00440297">
        <w:t>ntitlement regulations.</w:t>
      </w:r>
    </w:p>
    <w:p w:rsidR="004E49A9" w:rsidRDefault="004E49A9" w:rsidP="004E49A9">
      <w:pPr>
        <w:pStyle w:val="Level1"/>
        <w:numPr>
          <w:ilvl w:val="0"/>
          <w:numId w:val="0"/>
        </w:numPr>
        <w:tabs>
          <w:tab w:val="clear" w:pos="4320"/>
          <w:tab w:val="clear" w:pos="8640"/>
        </w:tabs>
        <w:ind w:left="1080"/>
      </w:pPr>
    </w:p>
    <w:p w:rsidR="001F50C6" w:rsidRDefault="00440297" w:rsidP="001F50C6">
      <w:pPr>
        <w:pStyle w:val="Level1"/>
        <w:numPr>
          <w:ilvl w:val="0"/>
          <w:numId w:val="15"/>
        </w:numPr>
        <w:tabs>
          <w:tab w:val="clear" w:pos="4320"/>
          <w:tab w:val="clear" w:pos="8640"/>
        </w:tabs>
        <w:ind w:left="1080"/>
      </w:pPr>
      <w:r>
        <w:t xml:space="preserve">The </w:t>
      </w:r>
      <w:r w:rsidRPr="003279E6">
        <w:rPr>
          <w:b/>
        </w:rPr>
        <w:t>public service cap</w:t>
      </w:r>
      <w:r>
        <w:t xml:space="preserve"> for State CDBG is not in 24 CFR 570.  It is found at 105(a)(8) of the HCDA [</w:t>
      </w:r>
      <w:r w:rsidR="000F0561" w:rsidRPr="008C1C4D">
        <w:t>42 U.S.C</w:t>
      </w:r>
      <w:r w:rsidR="00B634D3">
        <w:t>.</w:t>
      </w:r>
      <w:r w:rsidR="000F0561" w:rsidRPr="008C1C4D">
        <w:t xml:space="preserve"> § 5305(a)(8)</w:t>
      </w:r>
      <w:r>
        <w:t>]</w:t>
      </w:r>
    </w:p>
    <w:p w:rsidR="004E49A9" w:rsidRDefault="004E49A9" w:rsidP="004E49A9">
      <w:pPr>
        <w:pStyle w:val="Level1"/>
        <w:numPr>
          <w:ilvl w:val="0"/>
          <w:numId w:val="0"/>
        </w:numPr>
        <w:tabs>
          <w:tab w:val="clear" w:pos="4320"/>
          <w:tab w:val="clear" w:pos="8640"/>
        </w:tabs>
        <w:ind w:left="1080"/>
      </w:pPr>
    </w:p>
    <w:p w:rsidR="00F26195" w:rsidRDefault="00440297" w:rsidP="008C1C4D">
      <w:pPr>
        <w:pStyle w:val="Level1"/>
        <w:numPr>
          <w:ilvl w:val="0"/>
          <w:numId w:val="15"/>
        </w:numPr>
        <w:tabs>
          <w:tab w:val="clear" w:pos="4320"/>
          <w:tab w:val="clear" w:pos="8640"/>
        </w:tabs>
        <w:ind w:left="1080"/>
      </w:pPr>
      <w:r>
        <w:t xml:space="preserve">The </w:t>
      </w:r>
      <w:r w:rsidRPr="003279E6">
        <w:rPr>
          <w:b/>
        </w:rPr>
        <w:t>record-keeping requirements</w:t>
      </w:r>
      <w:r>
        <w:t xml:space="preserve"> for State CDBG are referred to at 24 CFR 570.490(a) as </w:t>
      </w:r>
      <w:r w:rsidR="00174DA8">
        <w:t>“</w:t>
      </w:r>
      <w:r w:rsidR="00174DA8" w:rsidRPr="00174DA8">
        <w:t>jointly agreed upon by HUD and the States and sufficient to enable HUD to make the</w:t>
      </w:r>
      <w:r w:rsidR="00174DA8">
        <w:t xml:space="preserve"> [review and audit]</w:t>
      </w:r>
      <w:r w:rsidR="00174DA8" w:rsidRPr="00174DA8">
        <w:t xml:space="preserve"> determinations described at §570.493.</w:t>
      </w:r>
      <w:r w:rsidR="00174DA8">
        <w:t xml:space="preserve">”  Where those jointly agreed upon requirements can actually be found is in Appendix I, </w:t>
      </w:r>
      <w:r w:rsidR="00174DA8" w:rsidRPr="001F50C6">
        <w:rPr>
          <w:i/>
        </w:rPr>
        <w:t>Model Recording-Keeping Requirements</w:t>
      </w:r>
      <w:r w:rsidR="00174DA8">
        <w:t xml:space="preserve">, of the </w:t>
      </w:r>
      <w:hyperlink r:id="rId7" w:history="1">
        <w:r w:rsidR="00174DA8" w:rsidRPr="00174DA8">
          <w:rPr>
            <w:rStyle w:val="Hyperlink"/>
          </w:rPr>
          <w:t>Guide to National Objectives and Eligible Activities for State CDBG Programs</w:t>
        </w:r>
      </w:hyperlink>
      <w:r w:rsidR="00174DA8">
        <w:t>.</w:t>
      </w:r>
      <w:r w:rsidR="00F26195">
        <w:t xml:space="preserve">  </w:t>
      </w:r>
      <w:r w:rsidR="008C1C4D">
        <w:t>R</w:t>
      </w:r>
      <w:r w:rsidR="00EA23C0">
        <w:t xml:space="preserve">eviewers should exercise caution </w:t>
      </w:r>
      <w:r w:rsidR="008C1C4D">
        <w:t xml:space="preserve">when </w:t>
      </w:r>
      <w:r w:rsidR="008C1C4D">
        <w:lastRenderedPageBreak/>
        <w:t xml:space="preserve">referencing </w:t>
      </w:r>
      <w:r w:rsidR="008C1C4D" w:rsidRPr="008C1C4D">
        <w:rPr>
          <w:i/>
        </w:rPr>
        <w:t>Model Record-Keeping Requirements</w:t>
      </w:r>
      <w:r w:rsidR="008C1C4D">
        <w:t xml:space="preserve"> </w:t>
      </w:r>
      <w:r w:rsidR="00EA23C0">
        <w:t xml:space="preserve">because, at the time of the </w:t>
      </w:r>
      <w:r w:rsidR="00D361DE">
        <w:t>issuance</w:t>
      </w:r>
      <w:r w:rsidR="00EA23C0">
        <w:t xml:space="preserve"> of this </w:t>
      </w:r>
      <w:r w:rsidR="00D361DE">
        <w:t>H</w:t>
      </w:r>
      <w:r w:rsidR="00EA23C0">
        <w:t>andbook chapter</w:t>
      </w:r>
      <w:r w:rsidR="00D361DE">
        <w:t xml:space="preserve"> (REV-7)</w:t>
      </w:r>
      <w:r w:rsidR="00EA23C0">
        <w:t>, the req</w:t>
      </w:r>
      <w:r w:rsidR="008C1C4D">
        <w:t>uirements had not been updated.</w:t>
      </w:r>
    </w:p>
    <w:p w:rsidR="004E0344" w:rsidRDefault="004E0344" w:rsidP="004E0344">
      <w:pPr>
        <w:pStyle w:val="ListParagraph"/>
      </w:pPr>
    </w:p>
    <w:p w:rsidR="00421248" w:rsidRDefault="008C1C4D" w:rsidP="00F26195">
      <w:pPr>
        <w:pStyle w:val="Level1"/>
        <w:numPr>
          <w:ilvl w:val="0"/>
          <w:numId w:val="0"/>
        </w:numPr>
        <w:tabs>
          <w:tab w:val="clear" w:pos="4320"/>
          <w:tab w:val="clear" w:pos="8640"/>
        </w:tabs>
        <w:ind w:left="1080"/>
      </w:pPr>
      <w:r>
        <w:t>However, a</w:t>
      </w:r>
      <w:r w:rsidR="00421248" w:rsidRPr="00585A4F">
        <w:t xml:space="preserve">s stated in 24 CFR 570.493(b), a state’s failure to maintain records </w:t>
      </w:r>
      <w:r w:rsidR="00421248" w:rsidRPr="00585A4F">
        <w:rPr>
          <w:i/>
          <w:iCs/>
        </w:rPr>
        <w:t>may</w:t>
      </w:r>
      <w:r w:rsidR="00421248" w:rsidRPr="00585A4F">
        <w:t xml:space="preserve"> result in a finding that a state has failed to meet the applicable requirement to which the record pertains.  At the reviewer’s discretion, a finding related to a lack of documentation may be based on this citation alone or in conjunction with the citation from another technical compliance area.</w:t>
      </w:r>
    </w:p>
    <w:p w:rsidR="004E49A9" w:rsidRPr="00EA23C0" w:rsidRDefault="004E49A9" w:rsidP="00F26195">
      <w:pPr>
        <w:pStyle w:val="Level1"/>
        <w:numPr>
          <w:ilvl w:val="0"/>
          <w:numId w:val="0"/>
        </w:numPr>
        <w:tabs>
          <w:tab w:val="clear" w:pos="4320"/>
          <w:tab w:val="clear" w:pos="8640"/>
        </w:tabs>
        <w:ind w:left="1080"/>
      </w:pPr>
    </w:p>
    <w:p w:rsidR="00B330FD" w:rsidRDefault="009303E3" w:rsidP="00354AF8">
      <w:pPr>
        <w:pStyle w:val="Level1"/>
        <w:numPr>
          <w:ilvl w:val="0"/>
          <w:numId w:val="0"/>
        </w:numPr>
        <w:tabs>
          <w:tab w:val="clear" w:pos="4320"/>
          <w:tab w:val="clear" w:pos="8640"/>
        </w:tabs>
        <w:ind w:left="1080"/>
      </w:pPr>
      <w:r>
        <w:t xml:space="preserve">The State CDBG program is subject to </w:t>
      </w:r>
      <w:r w:rsidR="00B330FD" w:rsidRPr="00B330FD">
        <w:t xml:space="preserve">portions of </w:t>
      </w:r>
      <w:r w:rsidR="00B330FD" w:rsidRPr="00646575">
        <w:rPr>
          <w:b/>
        </w:rPr>
        <w:t>2 CFR</w:t>
      </w:r>
      <w:r w:rsidRPr="00646575">
        <w:rPr>
          <w:b/>
        </w:rPr>
        <w:t xml:space="preserve"> Part</w:t>
      </w:r>
      <w:r w:rsidR="00B330FD" w:rsidRPr="00646575">
        <w:rPr>
          <w:b/>
        </w:rPr>
        <w:t xml:space="preserve"> 200</w:t>
      </w:r>
      <w:r w:rsidR="00B330FD" w:rsidRPr="00B330FD">
        <w:t xml:space="preserve">, </w:t>
      </w:r>
      <w:r w:rsidR="00B330FD" w:rsidRPr="00646575">
        <w:rPr>
          <w:i/>
        </w:rPr>
        <w:t>Uniform Administrative Requirements, Cost Prin</w:t>
      </w:r>
      <w:r w:rsidR="00E677E4" w:rsidRPr="00646575">
        <w:rPr>
          <w:i/>
        </w:rPr>
        <w:t xml:space="preserve">ciples, </w:t>
      </w:r>
      <w:r w:rsidR="004125BD" w:rsidRPr="00646575">
        <w:rPr>
          <w:i/>
        </w:rPr>
        <w:t>a</w:t>
      </w:r>
      <w:r w:rsidR="00E677E4" w:rsidRPr="00646575">
        <w:rPr>
          <w:i/>
        </w:rPr>
        <w:t>nd Audit Requirements f</w:t>
      </w:r>
      <w:r w:rsidR="00B330FD" w:rsidRPr="00646575">
        <w:rPr>
          <w:i/>
        </w:rPr>
        <w:t>or Federal Awards</w:t>
      </w:r>
      <w:r w:rsidR="00B330FD" w:rsidRPr="00B330FD">
        <w:t xml:space="preserve">, </w:t>
      </w:r>
      <w:r>
        <w:t xml:space="preserve">as further specified in the program regulations in 24 CFR Part 570.  </w:t>
      </w:r>
      <w:r w:rsidR="00B330FD">
        <w:t>More details are provided below in the following section discussing how to use Chapter 3</w:t>
      </w:r>
      <w:r w:rsidR="004125BD">
        <w:t>4</w:t>
      </w:r>
      <w:r w:rsidR="000D77E4">
        <w:t>.</w:t>
      </w:r>
      <w:r w:rsidR="00646575">
        <w:t xml:space="preserve">  </w:t>
      </w:r>
      <w:r w:rsidR="008C1C4D" w:rsidRPr="008C1C4D">
        <w:t xml:space="preserve">If reviewing State CDBG grants subject to </w:t>
      </w:r>
      <w:r w:rsidR="008C1C4D" w:rsidRPr="00646575">
        <w:rPr>
          <w:b/>
        </w:rPr>
        <w:t>24 CFR part 85 and Circular A-133</w:t>
      </w:r>
      <w:r w:rsidR="008C1C4D" w:rsidRPr="008C1C4D">
        <w:t>, and not sub</w:t>
      </w:r>
      <w:r w:rsidR="000C169B">
        <w:t>ject to 2 CFR P</w:t>
      </w:r>
      <w:r w:rsidR="008C1C4D" w:rsidRPr="008C1C4D">
        <w:t>art 200 [pursuant to CPD Notice 16-04] then use the prior version of Exhibit 4-7, which can be found in Chg.2 Rev.6</w:t>
      </w:r>
      <w:r w:rsidR="00035690">
        <w:t xml:space="preserve"> of this </w:t>
      </w:r>
      <w:r w:rsidR="00035690" w:rsidRPr="008C1C4D">
        <w:t>Handbook 6509.2</w:t>
      </w:r>
    </w:p>
    <w:p w:rsidR="001F50C6" w:rsidRDefault="001F50C6" w:rsidP="006B126D">
      <w:pPr>
        <w:pStyle w:val="Level1"/>
        <w:numPr>
          <w:ilvl w:val="0"/>
          <w:numId w:val="0"/>
        </w:numPr>
      </w:pPr>
    </w:p>
    <w:p w:rsidR="001F50C6" w:rsidRDefault="001F50C6" w:rsidP="004E0344">
      <w:pPr>
        <w:pStyle w:val="Level1"/>
        <w:numPr>
          <w:ilvl w:val="1"/>
          <w:numId w:val="16"/>
        </w:numPr>
        <w:ind w:left="540" w:hanging="540"/>
        <w:rPr>
          <w:u w:val="single"/>
        </w:rPr>
      </w:pPr>
      <w:r>
        <w:rPr>
          <w:u w:val="single"/>
        </w:rPr>
        <w:t>OTHER MONITORING EX</w:t>
      </w:r>
      <w:r w:rsidR="004E0344">
        <w:rPr>
          <w:u w:val="single"/>
        </w:rPr>
        <w:t>H</w:t>
      </w:r>
      <w:r>
        <w:rPr>
          <w:u w:val="single"/>
        </w:rPr>
        <w:t>IBITS</w:t>
      </w:r>
      <w:r w:rsidR="004E0344">
        <w:rPr>
          <w:u w:val="single"/>
        </w:rPr>
        <w:t>.</w:t>
      </w:r>
    </w:p>
    <w:p w:rsidR="004E0344" w:rsidRDefault="004E0344" w:rsidP="004E0344">
      <w:pPr>
        <w:pStyle w:val="Level1"/>
        <w:numPr>
          <w:ilvl w:val="0"/>
          <w:numId w:val="0"/>
        </w:numPr>
        <w:ind w:left="540"/>
        <w:rPr>
          <w:u w:val="single"/>
        </w:rPr>
      </w:pPr>
    </w:p>
    <w:p w:rsidR="008A21D4" w:rsidRDefault="001F50C6" w:rsidP="004E0344">
      <w:pPr>
        <w:pStyle w:val="Level1"/>
        <w:numPr>
          <w:ilvl w:val="0"/>
          <w:numId w:val="0"/>
        </w:numPr>
        <w:ind w:left="540"/>
      </w:pPr>
      <w:r w:rsidRPr="001F50C6">
        <w:t>In addition to</w:t>
      </w:r>
      <w:r w:rsidR="00FF138F">
        <w:t xml:space="preserve"> the E</w:t>
      </w:r>
      <w:r>
        <w:t xml:space="preserve">xhibits in Chapter 4, the following list addresses other </w:t>
      </w:r>
      <w:r w:rsidR="00FF138F">
        <w:t>E</w:t>
      </w:r>
      <w:r>
        <w:t>xhibits that may be used when monitoring State CDBG</w:t>
      </w:r>
      <w:r w:rsidR="009303E3">
        <w:t xml:space="preserve"> grantees</w:t>
      </w:r>
      <w:r>
        <w:t>.</w:t>
      </w:r>
    </w:p>
    <w:p w:rsidR="008A21D4" w:rsidRDefault="008A21D4" w:rsidP="008A21D4">
      <w:pPr>
        <w:pStyle w:val="Level1"/>
        <w:numPr>
          <w:ilvl w:val="0"/>
          <w:numId w:val="0"/>
        </w:numPr>
        <w:ind w:left="360"/>
        <w:rPr>
          <w:u w:val="single"/>
        </w:rPr>
      </w:pPr>
    </w:p>
    <w:p w:rsidR="00B330FD" w:rsidRPr="00C73C96" w:rsidRDefault="00476601" w:rsidP="00C73C96">
      <w:pPr>
        <w:pStyle w:val="Level1"/>
        <w:numPr>
          <w:ilvl w:val="0"/>
          <w:numId w:val="15"/>
        </w:numPr>
        <w:tabs>
          <w:tab w:val="left" w:pos="1170"/>
        </w:tabs>
        <w:ind w:left="1080"/>
        <w:rPr>
          <w:u w:val="single"/>
        </w:rPr>
      </w:pPr>
      <w:r w:rsidRPr="00AC66A4">
        <w:rPr>
          <w:b/>
        </w:rPr>
        <w:t>Chapter 3</w:t>
      </w:r>
      <w:r>
        <w:t xml:space="preserve">, </w:t>
      </w:r>
      <w:r w:rsidR="00C73C96" w:rsidRPr="00C73C96">
        <w:rPr>
          <w:i/>
        </w:rPr>
        <w:t>Community Development Block Grant (CDBG) Entitlement, Small Cities, Non</w:t>
      </w:r>
      <w:r w:rsidR="00CA12FF">
        <w:rPr>
          <w:i/>
        </w:rPr>
        <w:t>-</w:t>
      </w:r>
      <w:r w:rsidR="00C73C96" w:rsidRPr="00C73C96">
        <w:rPr>
          <w:i/>
        </w:rPr>
        <w:t>Entitlement CDBG Grants in Hawaii, and Insular Areas Programs</w:t>
      </w:r>
      <w:r>
        <w:t xml:space="preserve">, is </w:t>
      </w:r>
      <w:r w:rsidRPr="00AC66A4">
        <w:rPr>
          <w:b/>
        </w:rPr>
        <w:t>not generally applicable</w:t>
      </w:r>
      <w:r>
        <w:t xml:space="preserve"> to State CDBG.  Chapter 3 may</w:t>
      </w:r>
      <w:r w:rsidRPr="00585A4F">
        <w:t xml:space="preserve"> </w:t>
      </w:r>
      <w:r>
        <w:t>be used for review of State CDBG only if the state has adopted that portion of the Entitlement CDBG regulations.</w:t>
      </w:r>
      <w:r w:rsidR="008A21D4">
        <w:t xml:space="preserve">  Otherwise, Chapter 3 may only serve as interpretative guidance and the Entitlement regulations </w:t>
      </w:r>
      <w:r w:rsidR="008A21D4" w:rsidRPr="00585A4F">
        <w:t>cannot be used to support a Finding of Noncompliance under the State CDBG program</w:t>
      </w:r>
      <w:r w:rsidR="008A21D4">
        <w:t>.</w:t>
      </w:r>
      <w:r>
        <w:t xml:space="preserve">  Additionally, </w:t>
      </w:r>
      <w:r w:rsidR="008A21D4">
        <w:t>Chapter 3</w:t>
      </w:r>
      <w:r>
        <w:t xml:space="preserve"> contain</w:t>
      </w:r>
      <w:r w:rsidR="008A21D4">
        <w:t>s</w:t>
      </w:r>
      <w:r>
        <w:t xml:space="preserve"> guidance on the r</w:t>
      </w:r>
      <w:r w:rsidRPr="00585A4F">
        <w:t>eview of activities under the HUD Small Cities/Hawaii nonentitlement and Insular Areas CDBG Programs</w:t>
      </w:r>
      <w:r>
        <w:t>.</w:t>
      </w:r>
    </w:p>
    <w:p w:rsidR="008A21D4" w:rsidRPr="008A21D4" w:rsidRDefault="008A21D4" w:rsidP="008A21D4">
      <w:pPr>
        <w:pStyle w:val="Level1"/>
        <w:numPr>
          <w:ilvl w:val="0"/>
          <w:numId w:val="0"/>
        </w:numPr>
        <w:ind w:left="1080"/>
        <w:rPr>
          <w:u w:val="single"/>
        </w:rPr>
      </w:pPr>
    </w:p>
    <w:p w:rsidR="00476601" w:rsidRDefault="00476601" w:rsidP="00476601">
      <w:pPr>
        <w:pStyle w:val="Level1"/>
        <w:numPr>
          <w:ilvl w:val="0"/>
          <w:numId w:val="9"/>
        </w:numPr>
        <w:tabs>
          <w:tab w:val="clear" w:pos="4320"/>
          <w:tab w:val="clear" w:pos="8640"/>
        </w:tabs>
        <w:ind w:left="1080"/>
      </w:pPr>
      <w:r w:rsidRPr="00AC66A4">
        <w:rPr>
          <w:b/>
        </w:rPr>
        <w:t>Chapter 19</w:t>
      </w:r>
      <w:r>
        <w:t xml:space="preserve">, </w:t>
      </w:r>
      <w:r>
        <w:rPr>
          <w:i/>
        </w:rPr>
        <w:t xml:space="preserve">Citizen Participation, </w:t>
      </w:r>
      <w:r w:rsidR="00C73C96">
        <w:t>contains monitoring E</w:t>
      </w:r>
      <w:r>
        <w:t xml:space="preserve">xhibits 19-2 and 19-4, which are </w:t>
      </w:r>
      <w:r w:rsidRPr="00AC66A4">
        <w:rPr>
          <w:b/>
        </w:rPr>
        <w:t>applicable</w:t>
      </w:r>
      <w:r>
        <w:t xml:space="preserve"> to State CDBG under 24 CFR 91.115.  Additionally, 24 CFR 570.486(a) has specific requirements for citizen participation by local governments, whi</w:t>
      </w:r>
      <w:r w:rsidR="00C73C96">
        <w:t>ch are addressed in monitoring E</w:t>
      </w:r>
      <w:r>
        <w:t>xhibit 4-4.</w:t>
      </w:r>
    </w:p>
    <w:p w:rsidR="00476601" w:rsidRDefault="00476601" w:rsidP="00476601">
      <w:pPr>
        <w:pStyle w:val="ListParagraph"/>
        <w:ind w:left="1080" w:hanging="360"/>
      </w:pPr>
    </w:p>
    <w:p w:rsidR="00476601" w:rsidRDefault="00476601" w:rsidP="00476601">
      <w:pPr>
        <w:pStyle w:val="Level1"/>
        <w:numPr>
          <w:ilvl w:val="0"/>
          <w:numId w:val="9"/>
        </w:numPr>
        <w:tabs>
          <w:tab w:val="clear" w:pos="4320"/>
          <w:tab w:val="clear" w:pos="8640"/>
        </w:tabs>
        <w:ind w:left="1080"/>
      </w:pPr>
      <w:r w:rsidRPr="008013FF">
        <w:rPr>
          <w:b/>
        </w:rPr>
        <w:t>Chapter 21</w:t>
      </w:r>
      <w:r>
        <w:t xml:space="preserve">, </w:t>
      </w:r>
      <w:r>
        <w:rPr>
          <w:i/>
        </w:rPr>
        <w:t>Environmental Monitoring</w:t>
      </w:r>
      <w:r>
        <w:t>,</w:t>
      </w:r>
      <w:r w:rsidR="00EC034F">
        <w:t xml:space="preserve"> is </w:t>
      </w:r>
      <w:r w:rsidR="00EC034F" w:rsidRPr="008013FF">
        <w:rPr>
          <w:b/>
        </w:rPr>
        <w:t>applicable</w:t>
      </w:r>
      <w:r w:rsidR="00EC034F">
        <w:t xml:space="preserve"> to State CDBG.</w:t>
      </w:r>
    </w:p>
    <w:p w:rsidR="00476601" w:rsidRDefault="00476601" w:rsidP="00476601">
      <w:pPr>
        <w:pStyle w:val="ListParagraph"/>
        <w:ind w:left="1080" w:hanging="360"/>
      </w:pPr>
    </w:p>
    <w:p w:rsidR="00476601" w:rsidRDefault="00476601" w:rsidP="00476601">
      <w:pPr>
        <w:pStyle w:val="Level1"/>
        <w:numPr>
          <w:ilvl w:val="0"/>
          <w:numId w:val="9"/>
        </w:numPr>
        <w:tabs>
          <w:tab w:val="clear" w:pos="4320"/>
          <w:tab w:val="clear" w:pos="8640"/>
        </w:tabs>
        <w:ind w:left="1080"/>
      </w:pPr>
      <w:r w:rsidRPr="008013FF">
        <w:rPr>
          <w:b/>
        </w:rPr>
        <w:t>Chapter 22</w:t>
      </w:r>
      <w:r>
        <w:t xml:space="preserve">, </w:t>
      </w:r>
      <w:r w:rsidRPr="00511368">
        <w:rPr>
          <w:i/>
        </w:rPr>
        <w:t>Fair Housing and Equal Opportunity</w:t>
      </w:r>
      <w:r>
        <w:t>,</w:t>
      </w:r>
      <w:r w:rsidR="00EC034F">
        <w:t xml:space="preserve"> is </w:t>
      </w:r>
      <w:r w:rsidR="00EC034F" w:rsidRPr="008013FF">
        <w:rPr>
          <w:b/>
        </w:rPr>
        <w:t>applicable</w:t>
      </w:r>
      <w:r w:rsidR="00EC034F">
        <w:t xml:space="preserve"> to State CDBG.</w:t>
      </w:r>
    </w:p>
    <w:p w:rsidR="00476601" w:rsidRDefault="00476601" w:rsidP="00476601">
      <w:pPr>
        <w:pStyle w:val="ListParagraph"/>
        <w:ind w:left="1080" w:hanging="360"/>
      </w:pPr>
    </w:p>
    <w:p w:rsidR="00476601" w:rsidRDefault="00476601" w:rsidP="00476601">
      <w:pPr>
        <w:pStyle w:val="Level1"/>
        <w:numPr>
          <w:ilvl w:val="0"/>
          <w:numId w:val="9"/>
        </w:numPr>
        <w:tabs>
          <w:tab w:val="clear" w:pos="4320"/>
          <w:tab w:val="clear" w:pos="8640"/>
        </w:tabs>
        <w:ind w:left="1080"/>
      </w:pPr>
      <w:r w:rsidRPr="008013FF">
        <w:rPr>
          <w:b/>
        </w:rPr>
        <w:t>Chapter 23</w:t>
      </w:r>
      <w:r>
        <w:t xml:space="preserve">, </w:t>
      </w:r>
      <w:r>
        <w:rPr>
          <w:i/>
        </w:rPr>
        <w:t>Labor Standards Administration</w:t>
      </w:r>
      <w:r>
        <w:t xml:space="preserve">, </w:t>
      </w:r>
      <w:r w:rsidR="00EC034F">
        <w:t xml:space="preserve">is </w:t>
      </w:r>
      <w:r w:rsidR="00EC034F" w:rsidRPr="00DC0188">
        <w:rPr>
          <w:b/>
        </w:rPr>
        <w:t>applicable</w:t>
      </w:r>
      <w:r w:rsidR="00EC034F">
        <w:t xml:space="preserve"> to State CDBG.</w:t>
      </w:r>
    </w:p>
    <w:p w:rsidR="00476601" w:rsidRDefault="00476601" w:rsidP="00476601">
      <w:pPr>
        <w:pStyle w:val="ListParagraph"/>
        <w:ind w:left="1080" w:hanging="360"/>
      </w:pPr>
    </w:p>
    <w:p w:rsidR="00476601" w:rsidRDefault="00476601" w:rsidP="00476601">
      <w:pPr>
        <w:pStyle w:val="Level1"/>
        <w:numPr>
          <w:ilvl w:val="0"/>
          <w:numId w:val="9"/>
        </w:numPr>
        <w:tabs>
          <w:tab w:val="clear" w:pos="4320"/>
          <w:tab w:val="clear" w:pos="8640"/>
        </w:tabs>
        <w:ind w:left="1080"/>
      </w:pPr>
      <w:r w:rsidRPr="00DC0188">
        <w:rPr>
          <w:b/>
        </w:rPr>
        <w:t>Chapter 24</w:t>
      </w:r>
      <w:r>
        <w:t xml:space="preserve">, </w:t>
      </w:r>
      <w:r>
        <w:rPr>
          <w:i/>
        </w:rPr>
        <w:t>Lead-based Paint Compliance</w:t>
      </w:r>
      <w:r>
        <w:t xml:space="preserve">, </w:t>
      </w:r>
      <w:r w:rsidR="00EC034F">
        <w:t xml:space="preserve">is </w:t>
      </w:r>
      <w:r w:rsidR="00EC034F" w:rsidRPr="00DC0188">
        <w:rPr>
          <w:b/>
        </w:rPr>
        <w:t>applicable</w:t>
      </w:r>
      <w:r w:rsidR="00EC034F">
        <w:t xml:space="preserve"> to State CDBG.</w:t>
      </w:r>
    </w:p>
    <w:p w:rsidR="00476601" w:rsidRDefault="00476601" w:rsidP="00476601">
      <w:pPr>
        <w:pStyle w:val="ListParagraph"/>
        <w:ind w:left="1080" w:hanging="360"/>
      </w:pPr>
    </w:p>
    <w:p w:rsidR="00B330FD" w:rsidRDefault="00476601" w:rsidP="00404381">
      <w:pPr>
        <w:pStyle w:val="Level1"/>
        <w:numPr>
          <w:ilvl w:val="0"/>
          <w:numId w:val="9"/>
        </w:numPr>
        <w:tabs>
          <w:tab w:val="clear" w:pos="4320"/>
          <w:tab w:val="clear" w:pos="8640"/>
        </w:tabs>
        <w:ind w:left="1080"/>
      </w:pPr>
      <w:r w:rsidRPr="00501387">
        <w:rPr>
          <w:b/>
        </w:rPr>
        <w:t>Chapter 25</w:t>
      </w:r>
      <w:r>
        <w:t xml:space="preserve">, </w:t>
      </w:r>
      <w:r w:rsidRPr="00EC034F">
        <w:rPr>
          <w:i/>
        </w:rPr>
        <w:t>Relocation and Real Property Acquisition</w:t>
      </w:r>
      <w:r>
        <w:t xml:space="preserve">, </w:t>
      </w:r>
      <w:r w:rsidR="00EC034F">
        <w:t xml:space="preserve">is </w:t>
      </w:r>
      <w:r w:rsidR="00EC034F" w:rsidRPr="00501387">
        <w:rPr>
          <w:b/>
        </w:rPr>
        <w:t>applicable</w:t>
      </w:r>
      <w:r w:rsidR="00EC034F">
        <w:t xml:space="preserve"> to State CDBG.</w:t>
      </w:r>
    </w:p>
    <w:p w:rsidR="00404381" w:rsidRDefault="00404381" w:rsidP="00404381">
      <w:pPr>
        <w:pStyle w:val="Level1"/>
        <w:numPr>
          <w:ilvl w:val="0"/>
          <w:numId w:val="0"/>
        </w:numPr>
        <w:tabs>
          <w:tab w:val="clear" w:pos="4320"/>
          <w:tab w:val="clear" w:pos="8640"/>
        </w:tabs>
        <w:ind w:left="1080"/>
      </w:pPr>
    </w:p>
    <w:p w:rsidR="008A21D4" w:rsidRPr="00421248" w:rsidRDefault="00476601" w:rsidP="00421248">
      <w:pPr>
        <w:pStyle w:val="Level1"/>
        <w:numPr>
          <w:ilvl w:val="0"/>
          <w:numId w:val="9"/>
        </w:numPr>
        <w:tabs>
          <w:tab w:val="clear" w:pos="4320"/>
          <w:tab w:val="clear" w:pos="8640"/>
        </w:tabs>
        <w:ind w:left="1080"/>
      </w:pPr>
      <w:r w:rsidRPr="00501387">
        <w:rPr>
          <w:b/>
        </w:rPr>
        <w:t>Chapter 27</w:t>
      </w:r>
      <w:r>
        <w:t xml:space="preserve">, </w:t>
      </w:r>
      <w:r w:rsidRPr="00B330FD">
        <w:rPr>
          <w:i/>
        </w:rPr>
        <w:t>Flood Insurance Protection</w:t>
      </w:r>
      <w:r>
        <w:t>,</w:t>
      </w:r>
      <w:r w:rsidR="00EC034F">
        <w:t xml:space="preserve"> is </w:t>
      </w:r>
      <w:r w:rsidR="00EC034F" w:rsidRPr="00501387">
        <w:rPr>
          <w:b/>
        </w:rPr>
        <w:t>applicable</w:t>
      </w:r>
      <w:r w:rsidR="00EC034F">
        <w:t xml:space="preserve"> to State CDBG.</w:t>
      </w:r>
    </w:p>
    <w:p w:rsidR="008A21D4" w:rsidRDefault="008A21D4" w:rsidP="00421248">
      <w:pPr>
        <w:pStyle w:val="Level1"/>
        <w:numPr>
          <w:ilvl w:val="0"/>
          <w:numId w:val="0"/>
        </w:numPr>
        <w:tabs>
          <w:tab w:val="clear" w:pos="4320"/>
          <w:tab w:val="clear" w:pos="8640"/>
        </w:tabs>
        <w:rPr>
          <w:u w:val="single"/>
        </w:rPr>
      </w:pPr>
    </w:p>
    <w:p w:rsidR="00B330FD" w:rsidRDefault="00501387" w:rsidP="00B330FD">
      <w:pPr>
        <w:pStyle w:val="Level1"/>
        <w:numPr>
          <w:ilvl w:val="0"/>
          <w:numId w:val="7"/>
        </w:numPr>
        <w:tabs>
          <w:tab w:val="clear" w:pos="4320"/>
          <w:tab w:val="clear" w:pos="8640"/>
        </w:tabs>
        <w:ind w:left="1080"/>
      </w:pPr>
      <w:r w:rsidRPr="00AD771A">
        <w:rPr>
          <w:b/>
        </w:rPr>
        <w:t>Chapter 34</w:t>
      </w:r>
      <w:r w:rsidR="00FF138F">
        <w:t xml:space="preserve"> monitoring E</w:t>
      </w:r>
      <w:r w:rsidR="00B330FD">
        <w:t xml:space="preserve">xhibits contain portions that apply to State CDBG and portions that do not.  Limited </w:t>
      </w:r>
      <w:r w:rsidR="009303E3">
        <w:t xml:space="preserve">sections in </w:t>
      </w:r>
      <w:r w:rsidR="00B330FD">
        <w:t>2 CFR</w:t>
      </w:r>
      <w:r w:rsidR="009303E3">
        <w:t xml:space="preserve"> Part</w:t>
      </w:r>
      <w:r w:rsidR="00B330FD">
        <w:t xml:space="preserve"> 200, </w:t>
      </w:r>
      <w:r w:rsidR="00B330FD" w:rsidRPr="00B330FD">
        <w:rPr>
          <w:i/>
        </w:rPr>
        <w:t>Uniform Administrative Requirements, Cost Principles, And Audit Requirements For Federal Awards</w:t>
      </w:r>
      <w:r w:rsidR="00B330FD">
        <w:t xml:space="preserve">, </w:t>
      </w:r>
      <w:r w:rsidR="009303E3">
        <w:t xml:space="preserve">apply </w:t>
      </w:r>
      <w:r w:rsidR="00B330FD">
        <w:t>to the State CDBG program</w:t>
      </w:r>
      <w:r w:rsidR="00946B6E">
        <w:t>.</w:t>
      </w:r>
      <w:r w:rsidR="00B330FD">
        <w:t xml:space="preserve"> </w:t>
      </w:r>
      <w:r w:rsidR="008009A1">
        <w:t xml:space="preserve"> </w:t>
      </w:r>
      <w:r w:rsidR="00B330FD">
        <w:t>The following list summarizes the applicability:</w:t>
      </w:r>
    </w:p>
    <w:p w:rsidR="00B330FD" w:rsidRDefault="00B330FD" w:rsidP="00B330FD">
      <w:pPr>
        <w:pStyle w:val="Level1"/>
        <w:numPr>
          <w:ilvl w:val="1"/>
          <w:numId w:val="7"/>
        </w:numPr>
        <w:tabs>
          <w:tab w:val="clear" w:pos="4320"/>
          <w:tab w:val="clear" w:pos="8640"/>
        </w:tabs>
      </w:pPr>
      <w:r>
        <w:t xml:space="preserve">Applicable: Subpart A, </w:t>
      </w:r>
      <w:r w:rsidRPr="00B330FD">
        <w:rPr>
          <w:i/>
        </w:rPr>
        <w:t xml:space="preserve">Acronyms and Definitions </w:t>
      </w:r>
      <w:r>
        <w:t>(2 CFR 200.0 through 200.99);</w:t>
      </w:r>
    </w:p>
    <w:p w:rsidR="00B330FD" w:rsidRDefault="00B330FD" w:rsidP="00B330FD">
      <w:pPr>
        <w:pStyle w:val="Level1"/>
        <w:numPr>
          <w:ilvl w:val="1"/>
          <w:numId w:val="7"/>
        </w:numPr>
        <w:tabs>
          <w:tab w:val="clear" w:pos="4320"/>
          <w:tab w:val="clear" w:pos="8640"/>
        </w:tabs>
      </w:pPr>
      <w:r>
        <w:t xml:space="preserve">Applicable: Subpart B, </w:t>
      </w:r>
      <w:r w:rsidRPr="00B330FD">
        <w:rPr>
          <w:i/>
        </w:rPr>
        <w:t>General Provisions</w:t>
      </w:r>
      <w:r>
        <w:t xml:space="preserve"> (2 CFR 200.100 through 200.113);</w:t>
      </w:r>
    </w:p>
    <w:p w:rsidR="00945FBE" w:rsidRDefault="00945FBE" w:rsidP="00B330FD">
      <w:pPr>
        <w:pStyle w:val="Level1"/>
        <w:numPr>
          <w:ilvl w:val="1"/>
          <w:numId w:val="7"/>
        </w:numPr>
        <w:tabs>
          <w:tab w:val="clear" w:pos="4320"/>
          <w:tab w:val="clear" w:pos="8640"/>
        </w:tabs>
      </w:pPr>
      <w:r>
        <w:t>Partially Applicable</w:t>
      </w:r>
      <w:r w:rsidR="00B330FD">
        <w:t>:</w:t>
      </w:r>
      <w:r>
        <w:t xml:space="preserve"> Subpart D</w:t>
      </w:r>
      <w:r w:rsidR="00A74EE8">
        <w:t xml:space="preserve">, </w:t>
      </w:r>
      <w:r w:rsidR="00A74EE8">
        <w:rPr>
          <w:i/>
        </w:rPr>
        <w:t xml:space="preserve">Post </w:t>
      </w:r>
      <w:r w:rsidR="00A74EE8" w:rsidRPr="00B330FD">
        <w:rPr>
          <w:i/>
        </w:rPr>
        <w:t>Federal Award Requirements</w:t>
      </w:r>
      <w:r>
        <w:t xml:space="preserve"> </w:t>
      </w:r>
      <w:r w:rsidR="00A74EE8">
        <w:t>(2 CFR 200</w:t>
      </w:r>
      <w:r w:rsidR="009646DF">
        <w:t xml:space="preserve">.330, 331, 332 and 343 </w:t>
      </w:r>
      <w:r w:rsidR="00946B6E">
        <w:t xml:space="preserve">are </w:t>
      </w:r>
      <w:r w:rsidR="009646DF">
        <w:t>applicable</w:t>
      </w:r>
      <w:r w:rsidR="00A74EE8">
        <w:t xml:space="preserve"> [see 24 CFR 570.489(m) and (o)]);</w:t>
      </w:r>
      <w:r w:rsidR="00B330FD">
        <w:t xml:space="preserve"> </w:t>
      </w:r>
    </w:p>
    <w:p w:rsidR="00B330FD" w:rsidRDefault="00A74EE8" w:rsidP="00B330FD">
      <w:pPr>
        <w:pStyle w:val="Level1"/>
        <w:numPr>
          <w:ilvl w:val="1"/>
          <w:numId w:val="7"/>
        </w:numPr>
        <w:tabs>
          <w:tab w:val="clear" w:pos="4320"/>
          <w:tab w:val="clear" w:pos="8640"/>
        </w:tabs>
      </w:pPr>
      <w:r>
        <w:t>If adopted by the State to demonstrate compliance with 24 CFR 570.489(</w:t>
      </w:r>
      <w:r w:rsidR="00886D0D">
        <w:t xml:space="preserve">d)&amp;(g): </w:t>
      </w:r>
      <w:r>
        <w:t xml:space="preserve"> </w:t>
      </w:r>
      <w:r w:rsidR="00B330FD" w:rsidRPr="00B330FD">
        <w:rPr>
          <w:i/>
        </w:rPr>
        <w:t xml:space="preserve">Post Federal Award Requirements </w:t>
      </w:r>
      <w:r w:rsidR="00B330FD">
        <w:t xml:space="preserve">(2 CFR 200.300 through </w:t>
      </w:r>
      <w:r w:rsidR="009646DF">
        <w:t>200.345)</w:t>
      </w:r>
      <w:r w:rsidR="00AD771A">
        <w:t xml:space="preserve">.  </w:t>
      </w:r>
      <w:r w:rsidR="003B1008">
        <w:t xml:space="preserve">Therefore, </w:t>
      </w:r>
      <w:r w:rsidR="003B1008" w:rsidRPr="000639C2">
        <w:rPr>
          <w:b/>
        </w:rPr>
        <w:t>Sections A-J of Exhibit 34-1, and all of Exhibit 34-4</w:t>
      </w:r>
      <w:r w:rsidR="00D00DAE" w:rsidRPr="000639C2">
        <w:rPr>
          <w:b/>
        </w:rPr>
        <w:t>, are not applicable</w:t>
      </w:r>
      <w:r w:rsidR="00D00DAE">
        <w:t xml:space="preserve"> to State CDBG grantees, unless the grantee has chosen to apply this portion of 2 CFR part 200 to satisfy the requirement for fiscal controls and accounting procedures pursuant to 24 CFR 570.489</w:t>
      </w:r>
      <w:r w:rsidR="00B45B32">
        <w:t xml:space="preserve">(d).  Additionally, </w:t>
      </w:r>
      <w:r w:rsidR="00B45B32" w:rsidRPr="000639C2">
        <w:rPr>
          <w:b/>
        </w:rPr>
        <w:t>Exhibit 34-3 is not applicable</w:t>
      </w:r>
      <w:r w:rsidR="00B45B32">
        <w:t xml:space="preserve"> to State CDBG grantees, unless the grantee has chosen to apply this portion of 2 CFR part 200 to satisfy the requirement for procurement policies and procedure</w:t>
      </w:r>
      <w:r w:rsidR="00886D0D">
        <w:t>s pursuant to 24 CFR 570.489(g);</w:t>
      </w:r>
    </w:p>
    <w:p w:rsidR="00B330FD" w:rsidRDefault="00B330FD" w:rsidP="009646DF">
      <w:pPr>
        <w:pStyle w:val="Level1"/>
        <w:numPr>
          <w:ilvl w:val="1"/>
          <w:numId w:val="7"/>
        </w:numPr>
        <w:tabs>
          <w:tab w:val="clear" w:pos="4320"/>
          <w:tab w:val="clear" w:pos="8640"/>
        </w:tabs>
      </w:pPr>
      <w:r w:rsidRPr="007E3AC2">
        <w:rPr>
          <w:b/>
        </w:rPr>
        <w:t>Applicable</w:t>
      </w:r>
      <w:r w:rsidR="009646DF" w:rsidRPr="007E3AC2">
        <w:rPr>
          <w:b/>
        </w:rPr>
        <w:t xml:space="preserve"> with </w:t>
      </w:r>
      <w:r w:rsidRPr="007E3AC2">
        <w:rPr>
          <w:b/>
        </w:rPr>
        <w:t>modification</w:t>
      </w:r>
      <w:r w:rsidR="009646DF" w:rsidRPr="007E3AC2">
        <w:rPr>
          <w:b/>
        </w:rPr>
        <w:t>s</w:t>
      </w:r>
      <w:r>
        <w:t xml:space="preserve">: Subpart E, </w:t>
      </w:r>
      <w:r w:rsidRPr="00B330FD">
        <w:rPr>
          <w:i/>
        </w:rPr>
        <w:t>Cost Principles</w:t>
      </w:r>
      <w:r>
        <w:t xml:space="preserve"> (2 CFR 200.400 through 475),</w:t>
      </w:r>
      <w:r w:rsidR="007E3AC2">
        <w:t xml:space="preserve"> and </w:t>
      </w:r>
      <w:r w:rsidR="007E3AC2" w:rsidRPr="009A01E5">
        <w:rPr>
          <w:b/>
        </w:rPr>
        <w:t>Exhibit 34-2</w:t>
      </w:r>
      <w:r w:rsidR="007E3AC2">
        <w:t>,</w:t>
      </w:r>
      <w:r>
        <w:t xml:space="preserve"> are made applicable by 24 CFR 570.489(p) which also states that all cost items</w:t>
      </w:r>
      <w:r w:rsidRPr="00B357CC">
        <w:t xml:space="preserve"> that require Federal agency approval are allowable without prior approval of HUD, except for the following:</w:t>
      </w:r>
      <w:r>
        <w:t xml:space="preserve">  </w:t>
      </w:r>
      <w:r w:rsidRPr="00B357CC">
        <w:t>Depreciation methods for fixed assets</w:t>
      </w:r>
      <w:r>
        <w:t xml:space="preserve">; </w:t>
      </w:r>
      <w:r w:rsidRPr="00B357CC">
        <w:t>Fines, penalties, damages, and other settlements</w:t>
      </w:r>
      <w:r>
        <w:t xml:space="preserve">; </w:t>
      </w:r>
      <w:r w:rsidRPr="00B357CC">
        <w:t>Costs of housing, housing allowances, and personal living expenses</w:t>
      </w:r>
      <w:r>
        <w:t xml:space="preserve">; and </w:t>
      </w:r>
      <w:r w:rsidRPr="00B357CC">
        <w:t>Organization costs</w:t>
      </w:r>
      <w:r>
        <w:t>.</w:t>
      </w:r>
      <w:r w:rsidR="009646DF">
        <w:t xml:space="preserve">  Additionally, p</w:t>
      </w:r>
      <w:r w:rsidR="009646DF" w:rsidRPr="009646DF">
        <w:t xml:space="preserve">ursuant to 24 CFR 570.489(a)(3)(iv), funds from any State CDBG grants may be used to pay planning and program administrative costs associated </w:t>
      </w:r>
      <w:r w:rsidR="009646DF">
        <w:t>with any other State CDBG grant; therefore, p</w:t>
      </w:r>
      <w:r w:rsidR="009646DF" w:rsidRPr="009646DF">
        <w:t>lanning and administration costs are not required to be alloc</w:t>
      </w:r>
      <w:r w:rsidR="00886D0D">
        <w:t>ated to a particular CDBG grant;</w:t>
      </w:r>
    </w:p>
    <w:p w:rsidR="00B330FD" w:rsidRDefault="00B330FD" w:rsidP="00B330FD">
      <w:pPr>
        <w:pStyle w:val="Level1"/>
        <w:numPr>
          <w:ilvl w:val="1"/>
          <w:numId w:val="7"/>
        </w:numPr>
        <w:tabs>
          <w:tab w:val="clear" w:pos="4320"/>
          <w:tab w:val="clear" w:pos="8640"/>
        </w:tabs>
      </w:pPr>
      <w:r w:rsidRPr="009A01E5">
        <w:rPr>
          <w:b/>
        </w:rPr>
        <w:t>Applicable</w:t>
      </w:r>
      <w:r>
        <w:t xml:space="preserve">: Subpart F, </w:t>
      </w:r>
      <w:r w:rsidRPr="00B330FD">
        <w:rPr>
          <w:i/>
        </w:rPr>
        <w:t>Audit Requirements</w:t>
      </w:r>
      <w:r>
        <w:t xml:space="preserve"> (2 CFR 200.500 through 512) found in </w:t>
      </w:r>
      <w:r w:rsidRPr="009A01E5">
        <w:rPr>
          <w:b/>
        </w:rPr>
        <w:t>Section K of Exhibit 3</w:t>
      </w:r>
      <w:r w:rsidR="009A01E5" w:rsidRPr="009A01E5">
        <w:rPr>
          <w:b/>
        </w:rPr>
        <w:t>4</w:t>
      </w:r>
      <w:r w:rsidRPr="009A01E5">
        <w:rPr>
          <w:b/>
        </w:rPr>
        <w:t>-1</w:t>
      </w:r>
      <w:r>
        <w:t>.</w:t>
      </w:r>
    </w:p>
    <w:p w:rsidR="004E0344" w:rsidRDefault="004E0344" w:rsidP="007F41ED">
      <w:pPr>
        <w:pStyle w:val="Level1"/>
        <w:numPr>
          <w:ilvl w:val="0"/>
          <w:numId w:val="0"/>
        </w:numPr>
        <w:tabs>
          <w:tab w:val="clear" w:pos="4320"/>
          <w:tab w:val="clear" w:pos="8640"/>
        </w:tabs>
        <w:ind w:left="1080"/>
      </w:pPr>
    </w:p>
    <w:p w:rsidR="00F26195" w:rsidRDefault="00F26195" w:rsidP="0001007E">
      <w:pPr>
        <w:pStyle w:val="Level1"/>
        <w:numPr>
          <w:ilvl w:val="1"/>
          <w:numId w:val="16"/>
        </w:numPr>
        <w:tabs>
          <w:tab w:val="left" w:pos="540"/>
        </w:tabs>
        <w:ind w:left="540" w:hanging="540"/>
      </w:pPr>
      <w:r w:rsidRPr="00F26195">
        <w:rPr>
          <w:u w:val="single"/>
        </w:rPr>
        <w:t>FILE SELECTION AND SAMPLING</w:t>
      </w:r>
      <w:r w:rsidRPr="00980C00">
        <w:rPr>
          <w:u w:val="single"/>
        </w:rPr>
        <w:t xml:space="preserve">. </w:t>
      </w:r>
      <w:r>
        <w:t xml:space="preserve"> </w:t>
      </w:r>
    </w:p>
    <w:p w:rsidR="004E49A9" w:rsidRDefault="004E49A9" w:rsidP="004E49A9">
      <w:pPr>
        <w:pStyle w:val="Level1"/>
        <w:numPr>
          <w:ilvl w:val="0"/>
          <w:numId w:val="0"/>
        </w:numPr>
        <w:ind w:left="360"/>
      </w:pPr>
    </w:p>
    <w:p w:rsidR="00F26195" w:rsidRDefault="00F26195" w:rsidP="0001007E">
      <w:pPr>
        <w:pStyle w:val="Level1"/>
        <w:numPr>
          <w:ilvl w:val="0"/>
          <w:numId w:val="0"/>
        </w:numPr>
        <w:ind w:left="540"/>
      </w:pPr>
      <w:r>
        <w:t>As described in Chapter 2, the risk analysis process will be used to determine which states and areas should be reviewed.  Once that process has been completed, the HUD reviewer should consider the following factors when determining which specific files within an area should comprise the review sample for the selected state</w:t>
      </w:r>
      <w:r w:rsidR="0001007E">
        <w:t xml:space="preserve">.  </w:t>
      </w:r>
      <w:r>
        <w:t>In general, initial file selection should be made using a random selection method.</w:t>
      </w:r>
      <w:r>
        <w:tab/>
      </w:r>
      <w:r w:rsidR="002363F8">
        <w:t xml:space="preserve">  </w:t>
      </w:r>
      <w:r>
        <w:t>The reviewer would consider adding more files to this selection or using a non-random selection in order to:</w:t>
      </w:r>
    </w:p>
    <w:p w:rsidR="004E49A9" w:rsidRDefault="004E49A9" w:rsidP="00F26195">
      <w:pPr>
        <w:pStyle w:val="Level1"/>
        <w:numPr>
          <w:ilvl w:val="0"/>
          <w:numId w:val="0"/>
        </w:numPr>
        <w:ind w:left="360"/>
      </w:pPr>
    </w:p>
    <w:p w:rsidR="00F26195" w:rsidRDefault="00F26195" w:rsidP="00F26195">
      <w:pPr>
        <w:pStyle w:val="Level1"/>
        <w:numPr>
          <w:ilvl w:val="0"/>
          <w:numId w:val="7"/>
        </w:numPr>
      </w:pPr>
      <w:r>
        <w:t>Examine files from each category of activity being reviewed (e.g., economic development, public facilities);</w:t>
      </w:r>
    </w:p>
    <w:p w:rsidR="004E49A9" w:rsidRDefault="004E49A9" w:rsidP="004E49A9">
      <w:pPr>
        <w:pStyle w:val="Level1"/>
        <w:numPr>
          <w:ilvl w:val="0"/>
          <w:numId w:val="0"/>
        </w:numPr>
        <w:ind w:left="360"/>
      </w:pPr>
    </w:p>
    <w:p w:rsidR="00F26195" w:rsidRDefault="00F26195" w:rsidP="00F26195">
      <w:pPr>
        <w:pStyle w:val="Level1"/>
        <w:numPr>
          <w:ilvl w:val="0"/>
          <w:numId w:val="7"/>
        </w:numPr>
      </w:pPr>
      <w:r>
        <w:t xml:space="preserve">Include a file(s) from each state staff person responsible for oversight of state recipients; </w:t>
      </w:r>
    </w:p>
    <w:p w:rsidR="004E49A9" w:rsidRDefault="004E49A9" w:rsidP="004E49A9">
      <w:pPr>
        <w:pStyle w:val="ListParagraph"/>
      </w:pPr>
    </w:p>
    <w:p w:rsidR="00F26195" w:rsidRDefault="00F26195" w:rsidP="00F26195">
      <w:pPr>
        <w:pStyle w:val="Level1"/>
        <w:numPr>
          <w:ilvl w:val="0"/>
          <w:numId w:val="7"/>
        </w:numPr>
      </w:pPr>
      <w:r>
        <w:t>Expand the sample</w:t>
      </w:r>
      <w:r w:rsidR="002363F8">
        <w:t>,</w:t>
      </w:r>
      <w:r>
        <w:t xml:space="preserve"> if possible</w:t>
      </w:r>
      <w:r w:rsidR="002363F8">
        <w:t>,</w:t>
      </w:r>
      <w:r>
        <w:t xml:space="preserve"> to include additional files with the same characteristics, if indicated by the severity or nature of any problems(s) noted during the initial selection’s review (for example, same problem category, same state staff person, same activities or other characteristics).  This expanded sampling aids in determining whether problems were isolated events or represent a systemic problem;</w:t>
      </w:r>
      <w:r w:rsidR="004E49A9">
        <w:t xml:space="preserve"> or</w:t>
      </w:r>
    </w:p>
    <w:p w:rsidR="004E49A9" w:rsidRDefault="004E49A9" w:rsidP="004E49A9">
      <w:pPr>
        <w:pStyle w:val="ListParagraph"/>
      </w:pPr>
    </w:p>
    <w:p w:rsidR="00B330FD" w:rsidRPr="00FB62A9" w:rsidRDefault="00F26195" w:rsidP="00FB62A9">
      <w:pPr>
        <w:pStyle w:val="Level1"/>
        <w:numPr>
          <w:ilvl w:val="0"/>
          <w:numId w:val="7"/>
        </w:numPr>
      </w:pPr>
      <w:r>
        <w:t>Expand the sample to include new types of activities, activities considered high risk, and unresolved past problems.</w:t>
      </w:r>
    </w:p>
    <w:sectPr w:rsidR="00B330FD" w:rsidRPr="00FB62A9" w:rsidSect="00C44D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A8" w:rsidRDefault="00CB5DA8" w:rsidP="00C44D12">
      <w:pPr>
        <w:spacing w:after="0" w:line="240" w:lineRule="auto"/>
      </w:pPr>
      <w:r>
        <w:separator/>
      </w:r>
    </w:p>
  </w:endnote>
  <w:endnote w:type="continuationSeparator" w:id="0">
    <w:p w:rsidR="00CB5DA8" w:rsidRDefault="00CB5DA8" w:rsidP="00C4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12" w:rsidRPr="00D059AF" w:rsidRDefault="00007D80">
    <w:pPr>
      <w:pStyle w:val="Footer"/>
      <w:rPr>
        <w:rFonts w:ascii="Times New Roman" w:hAnsi="Times New Roman" w:cs="Times New Roman"/>
      </w:rPr>
    </w:pPr>
    <w:r>
      <w:rPr>
        <w:rFonts w:ascii="Times New Roman" w:hAnsi="Times New Roman" w:cs="Times New Roman"/>
        <w:sz w:val="24"/>
        <w:szCs w:val="24"/>
      </w:rPr>
      <w:t xml:space="preserve"> </w:t>
    </w:r>
    <w:r w:rsidR="00F31652">
      <w:rPr>
        <w:rFonts w:ascii="Times New Roman" w:hAnsi="Times New Roman" w:cs="Times New Roman"/>
        <w:sz w:val="24"/>
        <w:szCs w:val="24"/>
      </w:rPr>
      <w:t>02</w:t>
    </w:r>
    <w:r w:rsidRPr="00D059AF">
      <w:rPr>
        <w:rFonts w:ascii="Times New Roman" w:hAnsi="Times New Roman" w:cs="Times New Roman"/>
      </w:rPr>
      <w:t>/201</w:t>
    </w:r>
    <w:r w:rsidR="00F31652">
      <w:rPr>
        <w:rFonts w:ascii="Times New Roman" w:hAnsi="Times New Roman" w:cs="Times New Roman"/>
      </w:rPr>
      <w:t>7</w:t>
    </w:r>
    <w:r w:rsidR="00C44D12" w:rsidRPr="00D059AF">
      <w:rPr>
        <w:rFonts w:ascii="Times New Roman" w:hAnsi="Times New Roman" w:cs="Times New Roman"/>
      </w:rPr>
      <w:t xml:space="preserve">                              </w:t>
    </w:r>
    <w:r w:rsidR="00CB0E4D" w:rsidRPr="00D059AF">
      <w:rPr>
        <w:rFonts w:ascii="Times New Roman" w:hAnsi="Times New Roman" w:cs="Times New Roman"/>
      </w:rPr>
      <w:t xml:space="preserve">                   </w:t>
    </w:r>
    <w:r w:rsidR="005E50EE" w:rsidRPr="00D059AF">
      <w:rPr>
        <w:rFonts w:ascii="Times New Roman" w:hAnsi="Times New Roman" w:cs="Times New Roman"/>
      </w:rPr>
      <w:t xml:space="preserve">    </w:t>
    </w:r>
    <w:r w:rsidR="00BE2177" w:rsidRPr="00D059AF">
      <w:rPr>
        <w:rFonts w:ascii="Times New Roman" w:hAnsi="Times New Roman" w:cs="Times New Roman"/>
      </w:rPr>
      <w:t xml:space="preserve">          4-</w:t>
    </w:r>
    <w:r w:rsidR="00CB0E4D" w:rsidRPr="00D059AF">
      <w:rPr>
        <w:rFonts w:ascii="Times New Roman" w:hAnsi="Times New Roman" w:cs="Times New Roman"/>
      </w:rPr>
      <w:fldChar w:fldCharType="begin"/>
    </w:r>
    <w:r w:rsidR="00CB0E4D" w:rsidRPr="00D059AF">
      <w:rPr>
        <w:rFonts w:ascii="Times New Roman" w:hAnsi="Times New Roman" w:cs="Times New Roman"/>
      </w:rPr>
      <w:instrText xml:space="preserve"> PAGE   \* MERGEFORMAT </w:instrText>
    </w:r>
    <w:r w:rsidR="00CB0E4D" w:rsidRPr="00D059AF">
      <w:rPr>
        <w:rFonts w:ascii="Times New Roman" w:hAnsi="Times New Roman" w:cs="Times New Roman"/>
      </w:rPr>
      <w:fldChar w:fldCharType="separate"/>
    </w:r>
    <w:r w:rsidR="000904EB">
      <w:rPr>
        <w:rFonts w:ascii="Times New Roman" w:hAnsi="Times New Roman" w:cs="Times New Roman"/>
        <w:noProof/>
      </w:rPr>
      <w:t>4</w:t>
    </w:r>
    <w:r w:rsidR="00CB0E4D" w:rsidRPr="00D059AF">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12" w:rsidRPr="00F31652" w:rsidRDefault="00BE2177" w:rsidP="00BE2177">
    <w:pPr>
      <w:pStyle w:val="Footer"/>
      <w:jc w:val="right"/>
      <w:rPr>
        <w:rFonts w:ascii="Times New Roman" w:hAnsi="Times New Roman" w:cs="Times New Roman"/>
      </w:rPr>
    </w:pPr>
    <w:r w:rsidRPr="00F31652">
      <w:rPr>
        <w:rFonts w:ascii="Times New Roman" w:hAnsi="Times New Roman" w:cs="Times New Roman"/>
      </w:rPr>
      <w:t>4-</w:t>
    </w:r>
    <w:r w:rsidR="00CB0E4D" w:rsidRPr="00F31652">
      <w:rPr>
        <w:rFonts w:ascii="Times New Roman" w:hAnsi="Times New Roman" w:cs="Times New Roman"/>
      </w:rPr>
      <w:fldChar w:fldCharType="begin"/>
    </w:r>
    <w:r w:rsidR="00CB0E4D" w:rsidRPr="00F31652">
      <w:rPr>
        <w:rFonts w:ascii="Times New Roman" w:hAnsi="Times New Roman" w:cs="Times New Roman"/>
      </w:rPr>
      <w:instrText xml:space="preserve"> PAGE   \* MERGEFORMAT </w:instrText>
    </w:r>
    <w:r w:rsidR="00CB0E4D" w:rsidRPr="00F31652">
      <w:rPr>
        <w:rFonts w:ascii="Times New Roman" w:hAnsi="Times New Roman" w:cs="Times New Roman"/>
      </w:rPr>
      <w:fldChar w:fldCharType="separate"/>
    </w:r>
    <w:r w:rsidR="000904EB">
      <w:rPr>
        <w:rFonts w:ascii="Times New Roman" w:hAnsi="Times New Roman" w:cs="Times New Roman"/>
        <w:noProof/>
      </w:rPr>
      <w:t>1</w:t>
    </w:r>
    <w:r w:rsidR="00CB0E4D" w:rsidRPr="00F31652">
      <w:rPr>
        <w:rFonts w:ascii="Times New Roman" w:hAnsi="Times New Roman" w:cs="Times New Roman"/>
        <w:noProof/>
      </w:rPr>
      <w:fldChar w:fldCharType="end"/>
    </w:r>
    <w:r w:rsidR="00C44D12" w:rsidRPr="00F31652">
      <w:rPr>
        <w:rFonts w:ascii="Times New Roman" w:hAnsi="Times New Roman" w:cs="Times New Roman"/>
      </w:rPr>
      <w:t xml:space="preserve">        </w:t>
    </w:r>
    <w:r w:rsidR="00CB0E4D" w:rsidRPr="00F31652">
      <w:rPr>
        <w:rFonts w:ascii="Times New Roman" w:hAnsi="Times New Roman" w:cs="Times New Roman"/>
      </w:rPr>
      <w:t xml:space="preserve">                  </w:t>
    </w:r>
    <w:r w:rsidRPr="00F31652">
      <w:rPr>
        <w:rFonts w:ascii="Times New Roman" w:hAnsi="Times New Roman" w:cs="Times New Roman"/>
      </w:rPr>
      <w:t xml:space="preserve">          </w:t>
    </w:r>
    <w:r w:rsidR="00CB0E4D" w:rsidRPr="00F31652">
      <w:rPr>
        <w:rFonts w:ascii="Times New Roman" w:hAnsi="Times New Roman" w:cs="Times New Roman"/>
      </w:rPr>
      <w:t xml:space="preserve">        </w:t>
    </w:r>
    <w:r w:rsidR="00C44D12" w:rsidRPr="00F31652">
      <w:rPr>
        <w:rFonts w:ascii="Times New Roman" w:hAnsi="Times New Roman" w:cs="Times New Roman"/>
      </w:rPr>
      <w:t xml:space="preserve">                 </w:t>
    </w:r>
    <w:r w:rsidR="00F31652" w:rsidRPr="00F31652">
      <w:rPr>
        <w:rFonts w:ascii="Times New Roman" w:hAnsi="Times New Roman" w:cs="Times New Roman"/>
      </w:rPr>
      <w:t>02</w:t>
    </w:r>
    <w:r w:rsidR="00007D80" w:rsidRPr="00F31652">
      <w:rPr>
        <w:rFonts w:ascii="Times New Roman" w:hAnsi="Times New Roman" w:cs="Times New Roman"/>
      </w:rPr>
      <w:t>/201</w:t>
    </w:r>
    <w:r w:rsidR="00F31652" w:rsidRPr="00F31652">
      <w:rPr>
        <w:rFonts w:ascii="Times New Roman" w:hAnsi="Times New Roman" w:cs="Times New Roman"/>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52" w:rsidRDefault="00F3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A8" w:rsidRDefault="00CB5DA8" w:rsidP="00C44D12">
      <w:pPr>
        <w:spacing w:after="0" w:line="240" w:lineRule="auto"/>
      </w:pPr>
      <w:r>
        <w:separator/>
      </w:r>
    </w:p>
  </w:footnote>
  <w:footnote w:type="continuationSeparator" w:id="0">
    <w:p w:rsidR="00CB5DA8" w:rsidRDefault="00CB5DA8" w:rsidP="00C44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EA" w:rsidRPr="00007D80" w:rsidRDefault="00013AF6" w:rsidP="00013AF6">
    <w:pPr>
      <w:pStyle w:val="Header"/>
      <w:rPr>
        <w:rFonts w:ascii="Times New Roman" w:hAnsi="Times New Roman" w:cs="Times New Roman"/>
        <w:sz w:val="24"/>
        <w:szCs w:val="24"/>
      </w:rPr>
    </w:pPr>
    <w:r w:rsidRPr="00007D80">
      <w:rPr>
        <w:rFonts w:ascii="Times New Roman" w:hAnsi="Times New Roman" w:cs="Times New Roman"/>
        <w:sz w:val="24"/>
        <w:szCs w:val="24"/>
      </w:rPr>
      <w:t>6509.2 REV-</w:t>
    </w:r>
    <w:r w:rsidR="00007D80">
      <w:rPr>
        <w:rFonts w:ascii="Times New Roman" w:hAnsi="Times New Roman" w:cs="Times New Roman"/>
        <w:sz w:val="24"/>
        <w:szCs w:val="24"/>
      </w:rPr>
      <w:t>7</w:t>
    </w:r>
    <w:r w:rsidRPr="00007D80">
      <w:rPr>
        <w:rFonts w:ascii="Times New Roman" w:hAnsi="Times New Roman" w:cs="Times New Roman"/>
        <w:sz w:val="24"/>
        <w:szCs w:val="24"/>
      </w:rPr>
      <w:t xml:space="preserve">                                          </w:t>
    </w:r>
  </w:p>
  <w:p w:rsidR="005A64EA" w:rsidRPr="00CB0E4D" w:rsidRDefault="005A64EA" w:rsidP="005A64EA">
    <w:pPr>
      <w:pStyle w:val="Header"/>
      <w:rPr>
        <w:rFonts w:ascii="Times New Roman" w:hAnsi="Times New Roman" w:cs="Times New Roman"/>
        <w:i/>
        <w:sz w:val="24"/>
        <w:szCs w:val="24"/>
      </w:rPr>
    </w:pPr>
    <w:r w:rsidRPr="00CB0E4D">
      <w:rPr>
        <w:rFonts w:ascii="Times New Roman" w:hAnsi="Times New Roman" w:cs="Times New Roman"/>
        <w:i/>
        <w:sz w:val="24"/>
        <w:szCs w:val="24"/>
      </w:rPr>
      <w:tab/>
    </w:r>
  </w:p>
  <w:p w:rsidR="005A64EA" w:rsidRDefault="005A6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4D" w:rsidRPr="00007D80" w:rsidRDefault="00CB0E4D" w:rsidP="00CB0E4D">
    <w:pPr>
      <w:pStyle w:val="Header"/>
      <w:jc w:val="right"/>
      <w:rPr>
        <w:rFonts w:ascii="Times New Roman" w:hAnsi="Times New Roman" w:cs="Times New Roman"/>
        <w:sz w:val="24"/>
        <w:szCs w:val="24"/>
      </w:rPr>
    </w:pPr>
    <w:r w:rsidRPr="00CB0E4D">
      <w:rPr>
        <w:rFonts w:ascii="Times New Roman" w:hAnsi="Times New Roman" w:cs="Times New Roman"/>
        <w:i/>
        <w:sz w:val="24"/>
        <w:szCs w:val="24"/>
      </w:rPr>
      <w:t xml:space="preserve">                                                                                                             </w:t>
    </w:r>
    <w:r w:rsidRPr="00007D80">
      <w:rPr>
        <w:rFonts w:ascii="Times New Roman" w:hAnsi="Times New Roman" w:cs="Times New Roman"/>
        <w:sz w:val="24"/>
        <w:szCs w:val="24"/>
      </w:rPr>
      <w:t>6509.2 REV-</w:t>
    </w:r>
    <w:r w:rsidR="00007D80">
      <w:rPr>
        <w:rFonts w:ascii="Times New Roman" w:hAnsi="Times New Roman" w:cs="Times New Roman"/>
        <w:sz w:val="24"/>
        <w:szCs w:val="24"/>
      </w:rPr>
      <w:t>7</w:t>
    </w:r>
  </w:p>
  <w:p w:rsidR="00CB0E4D" w:rsidRDefault="00CB0E4D">
    <w:pPr>
      <w:pStyle w:val="Header"/>
    </w:pPr>
    <w:r w:rsidRPr="00CB0E4D">
      <w:rPr>
        <w:rFonts w:ascii="Times New Roman" w:hAnsi="Times New Roman" w:cs="Times New Roman"/>
        <w:i/>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52" w:rsidRDefault="00F3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EC0"/>
    <w:multiLevelType w:val="hybridMultilevel"/>
    <w:tmpl w:val="7D709CC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80728ED"/>
    <w:multiLevelType w:val="hybridMultilevel"/>
    <w:tmpl w:val="9EB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13C51D6A"/>
    <w:multiLevelType w:val="hybridMultilevel"/>
    <w:tmpl w:val="2FB6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5038D"/>
    <w:multiLevelType w:val="multilevel"/>
    <w:tmpl w:val="5478D860"/>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FC508E2"/>
    <w:multiLevelType w:val="hybridMultilevel"/>
    <w:tmpl w:val="FB6E396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33C7E6D"/>
    <w:multiLevelType w:val="hybridMultilevel"/>
    <w:tmpl w:val="0D167E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A87C2D"/>
    <w:multiLevelType w:val="multilevel"/>
    <w:tmpl w:val="1A2ED3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6D5018"/>
    <w:multiLevelType w:val="hybridMultilevel"/>
    <w:tmpl w:val="EE68C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CA7488"/>
    <w:multiLevelType w:val="hybridMultilevel"/>
    <w:tmpl w:val="1214F968"/>
    <w:lvl w:ilvl="0" w:tplc="018807E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8C6A375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74566D0"/>
    <w:multiLevelType w:val="hybridMultilevel"/>
    <w:tmpl w:val="30A80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76467"/>
    <w:multiLevelType w:val="hybridMultilevel"/>
    <w:tmpl w:val="30127F9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FA0785C"/>
    <w:multiLevelType w:val="hybridMultilevel"/>
    <w:tmpl w:val="5B80CFC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E3782"/>
    <w:multiLevelType w:val="hybridMultilevel"/>
    <w:tmpl w:val="8D6E3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B4014"/>
    <w:multiLevelType w:val="multilevel"/>
    <w:tmpl w:val="D260240C"/>
    <w:lvl w:ilvl="0">
      <w:start w:val="1"/>
      <w:numFmt w:val="decimal"/>
      <w:pStyle w:val="Level1"/>
      <w:lvlText w:val="4-%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5" w15:restartNumberingAfterBreak="0">
    <w:nsid w:val="6BF439BB"/>
    <w:multiLevelType w:val="hybridMultilevel"/>
    <w:tmpl w:val="B734D69E"/>
    <w:lvl w:ilvl="0" w:tplc="0409000D">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7403A"/>
    <w:multiLevelType w:val="multilevel"/>
    <w:tmpl w:val="5478D860"/>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73822142"/>
    <w:multiLevelType w:val="hybridMultilevel"/>
    <w:tmpl w:val="24D8FD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1"/>
  </w:num>
  <w:num w:numId="4">
    <w:abstractNumId w:val="0"/>
  </w:num>
  <w:num w:numId="5">
    <w:abstractNumId w:val="6"/>
  </w:num>
  <w:num w:numId="6">
    <w:abstractNumId w:val="5"/>
  </w:num>
  <w:num w:numId="7">
    <w:abstractNumId w:val="15"/>
  </w:num>
  <w:num w:numId="8">
    <w:abstractNumId w:val="12"/>
  </w:num>
  <w:num w:numId="9">
    <w:abstractNumId w:val="10"/>
  </w:num>
  <w:num w:numId="10">
    <w:abstractNumId w:val="3"/>
  </w:num>
  <w:num w:numId="11">
    <w:abstractNumId w:val="7"/>
  </w:num>
  <w:num w:numId="12">
    <w:abstractNumId w:val="16"/>
  </w:num>
  <w:num w:numId="13">
    <w:abstractNumId w:val="9"/>
  </w:num>
  <w:num w:numId="14">
    <w:abstractNumId w:val="8"/>
  </w:num>
  <w:num w:numId="15">
    <w:abstractNumId w:val="11"/>
  </w:num>
  <w:num w:numId="16">
    <w:abstractNumId w:val="4"/>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B0"/>
    <w:rsid w:val="00007D80"/>
    <w:rsid w:val="0001007E"/>
    <w:rsid w:val="00013AF6"/>
    <w:rsid w:val="00035690"/>
    <w:rsid w:val="000639C2"/>
    <w:rsid w:val="00063E7A"/>
    <w:rsid w:val="00065B30"/>
    <w:rsid w:val="000904EB"/>
    <w:rsid w:val="000C169B"/>
    <w:rsid w:val="000D270F"/>
    <w:rsid w:val="000D77E4"/>
    <w:rsid w:val="000F0561"/>
    <w:rsid w:val="0011037D"/>
    <w:rsid w:val="001535ED"/>
    <w:rsid w:val="00153922"/>
    <w:rsid w:val="00174DA8"/>
    <w:rsid w:val="001B55CE"/>
    <w:rsid w:val="001C71FE"/>
    <w:rsid w:val="001F50C6"/>
    <w:rsid w:val="002363F8"/>
    <w:rsid w:val="002376EB"/>
    <w:rsid w:val="00270900"/>
    <w:rsid w:val="00296424"/>
    <w:rsid w:val="003279E6"/>
    <w:rsid w:val="003B1008"/>
    <w:rsid w:val="003C69BE"/>
    <w:rsid w:val="00404381"/>
    <w:rsid w:val="004125BD"/>
    <w:rsid w:val="00421248"/>
    <w:rsid w:val="00440297"/>
    <w:rsid w:val="00476601"/>
    <w:rsid w:val="004D68B0"/>
    <w:rsid w:val="004E0344"/>
    <w:rsid w:val="004E49A9"/>
    <w:rsid w:val="00501387"/>
    <w:rsid w:val="0051539A"/>
    <w:rsid w:val="00563140"/>
    <w:rsid w:val="005A64EA"/>
    <w:rsid w:val="005D5666"/>
    <w:rsid w:val="005E50EE"/>
    <w:rsid w:val="00646575"/>
    <w:rsid w:val="00662168"/>
    <w:rsid w:val="006B126D"/>
    <w:rsid w:val="00734E17"/>
    <w:rsid w:val="007B052A"/>
    <w:rsid w:val="007B3745"/>
    <w:rsid w:val="007E3AC2"/>
    <w:rsid w:val="007F41ED"/>
    <w:rsid w:val="008009A1"/>
    <w:rsid w:val="008013FF"/>
    <w:rsid w:val="0083374A"/>
    <w:rsid w:val="00886D0D"/>
    <w:rsid w:val="0089426E"/>
    <w:rsid w:val="008A21D4"/>
    <w:rsid w:val="008C1C4D"/>
    <w:rsid w:val="008F4962"/>
    <w:rsid w:val="009303E3"/>
    <w:rsid w:val="00945FBE"/>
    <w:rsid w:val="00946B6E"/>
    <w:rsid w:val="00954FBD"/>
    <w:rsid w:val="009646DF"/>
    <w:rsid w:val="00980C00"/>
    <w:rsid w:val="009A01E5"/>
    <w:rsid w:val="00A10756"/>
    <w:rsid w:val="00A1496E"/>
    <w:rsid w:val="00A635A4"/>
    <w:rsid w:val="00A74EE8"/>
    <w:rsid w:val="00A764C5"/>
    <w:rsid w:val="00A82687"/>
    <w:rsid w:val="00A902C2"/>
    <w:rsid w:val="00AC66A4"/>
    <w:rsid w:val="00AD771A"/>
    <w:rsid w:val="00B330FD"/>
    <w:rsid w:val="00B45B32"/>
    <w:rsid w:val="00B634D3"/>
    <w:rsid w:val="00B91618"/>
    <w:rsid w:val="00BE2177"/>
    <w:rsid w:val="00C44D12"/>
    <w:rsid w:val="00C664AF"/>
    <w:rsid w:val="00C73C96"/>
    <w:rsid w:val="00C73D2C"/>
    <w:rsid w:val="00C92048"/>
    <w:rsid w:val="00CA12FF"/>
    <w:rsid w:val="00CB0E4D"/>
    <w:rsid w:val="00CB5DA8"/>
    <w:rsid w:val="00D00DAE"/>
    <w:rsid w:val="00D059AF"/>
    <w:rsid w:val="00D361DE"/>
    <w:rsid w:val="00DB2326"/>
    <w:rsid w:val="00DC0188"/>
    <w:rsid w:val="00E670C0"/>
    <w:rsid w:val="00E677E4"/>
    <w:rsid w:val="00EA23C0"/>
    <w:rsid w:val="00EB45FB"/>
    <w:rsid w:val="00EC034F"/>
    <w:rsid w:val="00F26195"/>
    <w:rsid w:val="00F31652"/>
    <w:rsid w:val="00F72F31"/>
    <w:rsid w:val="00F735A3"/>
    <w:rsid w:val="00F83636"/>
    <w:rsid w:val="00FA051A"/>
    <w:rsid w:val="00FB62A9"/>
    <w:rsid w:val="00FF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4D68B0"/>
    <w:pPr>
      <w:numPr>
        <w:numId w:val="1"/>
      </w:numPr>
      <w:tabs>
        <w:tab w:val="clear" w:pos="720"/>
        <w:tab w:val="clear" w:pos="4680"/>
        <w:tab w:val="clear" w:pos="9360"/>
        <w:tab w:val="num" w:pos="360"/>
        <w:tab w:val="center" w:pos="4320"/>
        <w:tab w:val="right" w:pos="8640"/>
      </w:tabs>
    </w:pPr>
    <w:rPr>
      <w:rFonts w:ascii="Times New Roman" w:eastAsia="Times New Roman" w:hAnsi="Times New Roman" w:cs="Times New Roman"/>
      <w:sz w:val="24"/>
      <w:szCs w:val="24"/>
    </w:rPr>
  </w:style>
  <w:style w:type="paragraph" w:styleId="ListParagraph">
    <w:name w:val="List Paragraph"/>
    <w:basedOn w:val="Normal"/>
    <w:uiPriority w:val="34"/>
    <w:qFormat/>
    <w:rsid w:val="004D68B0"/>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nhideWhenUsed/>
    <w:rsid w:val="004D68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68B0"/>
  </w:style>
  <w:style w:type="character" w:styleId="Hyperlink">
    <w:name w:val="Hyperlink"/>
    <w:basedOn w:val="DefaultParagraphFont"/>
    <w:uiPriority w:val="99"/>
    <w:unhideWhenUsed/>
    <w:rsid w:val="00440297"/>
    <w:rPr>
      <w:color w:val="0563C1" w:themeColor="hyperlink"/>
      <w:u w:val="single"/>
    </w:rPr>
  </w:style>
  <w:style w:type="character" w:styleId="CommentReference">
    <w:name w:val="annotation reference"/>
    <w:rsid w:val="00476601"/>
    <w:rPr>
      <w:sz w:val="16"/>
      <w:szCs w:val="16"/>
    </w:rPr>
  </w:style>
  <w:style w:type="paragraph" w:styleId="CommentText">
    <w:name w:val="annotation text"/>
    <w:basedOn w:val="Normal"/>
    <w:link w:val="CommentTextChar"/>
    <w:rsid w:val="004766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66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6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3D2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3D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303E3"/>
    <w:rPr>
      <w:color w:val="954F72" w:themeColor="followedHyperlink"/>
      <w:u w:val="single"/>
    </w:rPr>
  </w:style>
  <w:style w:type="paragraph" w:styleId="Footer">
    <w:name w:val="footer"/>
    <w:basedOn w:val="Normal"/>
    <w:link w:val="FooterChar"/>
    <w:uiPriority w:val="99"/>
    <w:unhideWhenUsed/>
    <w:rsid w:val="00C44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udexchange.info/resource/2179/guide-national-objectives-eligible-activities-state-cdbg-program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2017-03-07T16:07:00Z</dcterms:created>
  <dcterms:modified xsi:type="dcterms:W3CDTF">2017-03-07T16:07:00Z</dcterms:modified>
</cp:coreProperties>
</file>