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EC" w:rsidRDefault="008C44CF">
      <w:pPr>
        <w:pStyle w:val="Level1"/>
        <w:numPr>
          <w:ilvl w:val="0"/>
          <w:numId w:val="0"/>
        </w:numPr>
        <w:tabs>
          <w:tab w:val="left" w:pos="2160"/>
        </w:tabs>
        <w:jc w:val="center"/>
        <w:rPr>
          <w:b/>
          <w:bCs/>
        </w:rPr>
      </w:pPr>
      <w:r>
        <w:rPr>
          <w:b/>
          <w:bCs/>
        </w:rPr>
        <w:t>CHAPTER 28</w:t>
      </w:r>
    </w:p>
    <w:p w:rsidR="00DD30EC" w:rsidRDefault="00DD30EC">
      <w:pPr>
        <w:pStyle w:val="Level1"/>
        <w:numPr>
          <w:ilvl w:val="0"/>
          <w:numId w:val="0"/>
        </w:numPr>
        <w:tabs>
          <w:tab w:val="left" w:pos="2160"/>
        </w:tabs>
        <w:jc w:val="center"/>
        <w:rPr>
          <w:b/>
          <w:bCs/>
        </w:rPr>
      </w:pPr>
    </w:p>
    <w:p w:rsidR="00DD30EC" w:rsidRDefault="00DD30EC">
      <w:pPr>
        <w:pStyle w:val="Level1"/>
        <w:numPr>
          <w:ilvl w:val="0"/>
          <w:numId w:val="0"/>
        </w:numPr>
        <w:tabs>
          <w:tab w:val="left" w:pos="2160"/>
        </w:tabs>
        <w:jc w:val="center"/>
        <w:rPr>
          <w:b/>
          <w:bCs/>
        </w:rPr>
      </w:pPr>
      <w:r>
        <w:rPr>
          <w:b/>
          <w:bCs/>
        </w:rPr>
        <w:t xml:space="preserve">EMERGENCY </w:t>
      </w:r>
      <w:r w:rsidR="00E430FD">
        <w:rPr>
          <w:b/>
          <w:bCs/>
        </w:rPr>
        <w:t xml:space="preserve">SOLUTIONS </w:t>
      </w:r>
      <w:r>
        <w:rPr>
          <w:b/>
          <w:bCs/>
        </w:rPr>
        <w:t>GRANTS (ESG) PROGRAM</w:t>
      </w:r>
    </w:p>
    <w:p w:rsidR="00DD30EC" w:rsidRDefault="00DD30EC">
      <w:pPr>
        <w:pStyle w:val="Level1"/>
        <w:numPr>
          <w:ilvl w:val="0"/>
          <w:numId w:val="0"/>
        </w:numPr>
        <w:tabs>
          <w:tab w:val="left" w:pos="2160"/>
        </w:tabs>
        <w:jc w:val="center"/>
        <w:rPr>
          <w:b/>
          <w:bCs/>
        </w:rPr>
      </w:pPr>
      <w:r>
        <w:rPr>
          <w:b/>
          <w:bCs/>
        </w:rPr>
        <w:t xml:space="preserve"> </w:t>
      </w:r>
    </w:p>
    <w:p w:rsidR="00DD30EC" w:rsidRDefault="00DD30EC">
      <w:pPr>
        <w:pStyle w:val="Level1"/>
        <w:numPr>
          <w:ilvl w:val="0"/>
          <w:numId w:val="0"/>
        </w:numPr>
        <w:tabs>
          <w:tab w:val="left" w:pos="2160"/>
        </w:tabs>
      </w:pPr>
    </w:p>
    <w:p w:rsidR="003E60F0" w:rsidRDefault="00FD2092" w:rsidP="003E60F0">
      <w:pPr>
        <w:pStyle w:val="NormalWeb"/>
        <w:spacing w:before="0" w:beforeAutospacing="0" w:after="0" w:afterAutospacing="0"/>
        <w:ind w:left="720" w:hanging="720"/>
      </w:pPr>
      <w:r>
        <w:t xml:space="preserve">28-1 </w:t>
      </w:r>
      <w:r w:rsidR="00546BC9">
        <w:t xml:space="preserve">    </w:t>
      </w:r>
      <w:r w:rsidR="00DD30EC">
        <w:rPr>
          <w:u w:val="single"/>
        </w:rPr>
        <w:t>APPLICABILITY.</w:t>
      </w:r>
      <w:r w:rsidR="00DD30EC">
        <w:t xml:space="preserve"> </w:t>
      </w:r>
      <w:r w:rsidR="00BD3C50">
        <w:t xml:space="preserve"> This C</w:t>
      </w:r>
      <w:r w:rsidR="00DD30EC">
        <w:t xml:space="preserve">hapter provides guidance for monitoring </w:t>
      </w:r>
      <w:r w:rsidR="00D524A4">
        <w:t xml:space="preserve">compliance with </w:t>
      </w:r>
      <w:r w:rsidR="00DD30EC">
        <w:t xml:space="preserve">the Emergency </w:t>
      </w:r>
      <w:r w:rsidR="00E430FD">
        <w:t xml:space="preserve">Solutions </w:t>
      </w:r>
      <w:r w:rsidR="00DD30EC">
        <w:t>Grants (ESG) Program</w:t>
      </w:r>
      <w:r w:rsidR="00D524A4">
        <w:t xml:space="preserve"> regulations at 24 CFR part 576.</w:t>
      </w:r>
      <w:r w:rsidR="00BD3C50">
        <w:t xml:space="preserve"> </w:t>
      </w:r>
      <w:r w:rsidR="00DD30EC">
        <w:t xml:space="preserve"> </w:t>
      </w:r>
      <w:r w:rsidR="00D524A4">
        <w:t>P</w:t>
      </w:r>
      <w:r w:rsidR="00F70419" w:rsidRPr="00F70419">
        <w:t>art 576</w:t>
      </w:r>
      <w:r w:rsidR="00D524A4">
        <w:t xml:space="preserve"> </w:t>
      </w:r>
      <w:r w:rsidR="00F70419" w:rsidRPr="00F70419">
        <w:t>generally incorporates the uniform administrative requirements, cost principles, and audit requirements</w:t>
      </w:r>
      <w:r w:rsidR="0041524F">
        <w:t xml:space="preserve">, which were recently revised and codified </w:t>
      </w:r>
      <w:r w:rsidR="00D50C2D">
        <w:t>at 2 CFR part 200</w:t>
      </w:r>
      <w:r w:rsidR="00F70419" w:rsidRPr="00F70419">
        <w:t xml:space="preserve">.  </w:t>
      </w:r>
      <w:r w:rsidR="0041524F">
        <w:t xml:space="preserve">This </w:t>
      </w:r>
      <w:r w:rsidR="00BD3C50">
        <w:t>C</w:t>
      </w:r>
      <w:r w:rsidR="0041524F">
        <w:t xml:space="preserve">hapter contains (or incorporates) both questions to monitor compliance with </w:t>
      </w:r>
      <w:r w:rsidR="0041524F" w:rsidRPr="0041524F">
        <w:t>2 CFR part 200</w:t>
      </w:r>
      <w:r w:rsidR="0041524F">
        <w:t xml:space="preserve"> and questions to monitor compliance with the former </w:t>
      </w:r>
      <w:r w:rsidR="0041524F" w:rsidRPr="0041524F">
        <w:t>uniform administrative requirements, cost principles, and audit requirements</w:t>
      </w:r>
      <w:r w:rsidR="0041524F">
        <w:t xml:space="preserve"> (</w:t>
      </w:r>
      <w:r w:rsidR="00A152DB">
        <w:t xml:space="preserve">i.e., 24 CFR parts 84 and 85 (2013), 2 CFR 225 and 230 (2013), OMB Circular A-133).  For HUD guidance on monitoring for compliance with the </w:t>
      </w:r>
      <w:r w:rsidR="00A152DB" w:rsidRPr="00A152DB">
        <w:t>uniform administrative requirements, cost principles, and audit requirements</w:t>
      </w:r>
      <w:r w:rsidR="00BD3C50">
        <w:t xml:space="preserve"> during the</w:t>
      </w:r>
      <w:r w:rsidR="00A152DB">
        <w:t xml:space="preserve"> period of transition to 2 CFR part 200, please see</w:t>
      </w:r>
      <w:r w:rsidR="00D524A4">
        <w:t xml:space="preserve"> </w:t>
      </w:r>
      <w:r w:rsidR="00F1211E">
        <w:t>HUD’s April 13, 2016, No</w:t>
      </w:r>
      <w:r w:rsidR="00D524A4" w:rsidRPr="00F70419">
        <w:t>tice CPD-16-04</w:t>
      </w:r>
      <w:r w:rsidR="00A152DB">
        <w:t xml:space="preserve"> </w:t>
      </w:r>
      <w:r w:rsidR="00A152DB" w:rsidRPr="00F1211E">
        <w:rPr>
          <w:b/>
        </w:rPr>
        <w:t>(</w:t>
      </w:r>
      <w:hyperlink r:id="rId8" w:history="1">
        <w:r w:rsidR="00D524A4" w:rsidRPr="00F1211E">
          <w:rPr>
            <w:rStyle w:val="Hyperlink"/>
            <w:b w:val="0"/>
          </w:rPr>
          <w:t>http://portal.hud.gov/hudportal/documents/huddoc?id=16-04cpdn.pdf</w:t>
        </w:r>
      </w:hyperlink>
      <w:r w:rsidR="0041524F">
        <w:t>)</w:t>
      </w:r>
      <w:r w:rsidR="00A152DB">
        <w:t>.</w:t>
      </w:r>
      <w:r w:rsidR="003E60F0">
        <w:t xml:space="preserve">  </w:t>
      </w:r>
    </w:p>
    <w:p w:rsidR="003E60F0" w:rsidRDefault="003E60F0" w:rsidP="003E60F0">
      <w:pPr>
        <w:pStyle w:val="NormalWeb"/>
        <w:spacing w:before="0" w:beforeAutospacing="0" w:after="0" w:afterAutospacing="0"/>
        <w:ind w:left="720" w:hanging="720"/>
      </w:pPr>
    </w:p>
    <w:p w:rsidR="00C6096F" w:rsidRPr="003E60F0" w:rsidRDefault="00C6096F" w:rsidP="003E60F0">
      <w:pPr>
        <w:pStyle w:val="NormalWeb"/>
        <w:spacing w:before="0" w:beforeAutospacing="0" w:after="0" w:afterAutospacing="0"/>
        <w:ind w:left="720"/>
      </w:pPr>
      <w:r w:rsidRPr="00A42CE7">
        <w:rPr>
          <w:rFonts w:eastAsia="Calibri"/>
        </w:rPr>
        <w:t>Where ESG funds were used for rental assistance or services, the HUD reviewer MUST complete the applicable Exhibits in Chapter 24 of this Handbook</w:t>
      </w:r>
      <w:r w:rsidR="00844015">
        <w:rPr>
          <w:rFonts w:eastAsia="Calibri"/>
        </w:rPr>
        <w:t>,</w:t>
      </w:r>
      <w:r w:rsidR="00844015" w:rsidRPr="00844015">
        <w:rPr>
          <w:rFonts w:eastAsia="Calibri"/>
        </w:rPr>
        <w:t xml:space="preserve"> </w:t>
      </w:r>
      <w:r w:rsidR="00844015" w:rsidRPr="00844015">
        <w:rPr>
          <w:rFonts w:eastAsia="Calibri"/>
          <w:i/>
        </w:rPr>
        <w:t>Lead-Based Paint Compliance</w:t>
      </w:r>
      <w:r w:rsidRPr="00A42CE7">
        <w:rPr>
          <w:rFonts w:eastAsia="Calibri"/>
        </w:rPr>
        <w:t xml:space="preserve">. </w:t>
      </w:r>
      <w:r w:rsidR="00A20C45">
        <w:rPr>
          <w:rFonts w:eastAsia="Calibri"/>
        </w:rPr>
        <w:t xml:space="preserve"> </w:t>
      </w:r>
      <w:r w:rsidRPr="00A42CE7">
        <w:rPr>
          <w:rFonts w:eastAsia="Calibri"/>
        </w:rPr>
        <w:t xml:space="preserve">NOTE: </w:t>
      </w:r>
      <w:r w:rsidR="006E6FA1">
        <w:rPr>
          <w:rFonts w:eastAsia="Calibri"/>
        </w:rPr>
        <w:t xml:space="preserve"> See </w:t>
      </w:r>
      <w:r w:rsidRPr="00A42CE7">
        <w:rPr>
          <w:rFonts w:eastAsia="Calibri"/>
        </w:rPr>
        <w:t>Exhibit 24-2 (S</w:t>
      </w:r>
      <w:r w:rsidR="00A20C45">
        <w:rPr>
          <w:rFonts w:eastAsia="Calibri"/>
        </w:rPr>
        <w:t>ervices), Exhibit 24-3 (Tenant-B</w:t>
      </w:r>
      <w:r w:rsidRPr="00A42CE7">
        <w:rPr>
          <w:rFonts w:eastAsia="Calibri"/>
        </w:rPr>
        <w:t xml:space="preserve">ased </w:t>
      </w:r>
      <w:r w:rsidR="00A20C45">
        <w:rPr>
          <w:rFonts w:eastAsia="Calibri"/>
        </w:rPr>
        <w:t>R</w:t>
      </w:r>
      <w:r w:rsidRPr="00A42CE7">
        <w:rPr>
          <w:rFonts w:eastAsia="Calibri"/>
        </w:rPr>
        <w:t xml:space="preserve">ental </w:t>
      </w:r>
      <w:r w:rsidR="00A20C45">
        <w:rPr>
          <w:rFonts w:eastAsia="Calibri"/>
        </w:rPr>
        <w:t>A</w:t>
      </w:r>
      <w:r w:rsidRPr="00A42CE7">
        <w:rPr>
          <w:rFonts w:eastAsia="Calibri"/>
        </w:rPr>
        <w:t>ssista</w:t>
      </w:r>
      <w:r w:rsidR="00A20C45">
        <w:rPr>
          <w:rFonts w:eastAsia="Calibri"/>
        </w:rPr>
        <w:t>nce), or Exhibit 24-4 (Project-B</w:t>
      </w:r>
      <w:r w:rsidRPr="00A42CE7">
        <w:rPr>
          <w:rFonts w:eastAsia="Calibri"/>
        </w:rPr>
        <w:t xml:space="preserve">ased </w:t>
      </w:r>
      <w:r w:rsidR="00A20C45">
        <w:rPr>
          <w:rFonts w:eastAsia="Calibri"/>
        </w:rPr>
        <w:t>R</w:t>
      </w:r>
      <w:r w:rsidRPr="00A42CE7">
        <w:rPr>
          <w:rFonts w:eastAsia="Calibri"/>
        </w:rPr>
        <w:t xml:space="preserve">ental </w:t>
      </w:r>
      <w:r w:rsidR="00A20C45">
        <w:rPr>
          <w:rFonts w:eastAsia="Calibri"/>
        </w:rPr>
        <w:t>As</w:t>
      </w:r>
      <w:r w:rsidR="00844015">
        <w:rPr>
          <w:rFonts w:eastAsia="Calibri"/>
        </w:rPr>
        <w:t>sistance).</w:t>
      </w:r>
    </w:p>
    <w:p w:rsidR="00C6096F" w:rsidRDefault="00C6096F" w:rsidP="00FD2092">
      <w:pPr>
        <w:pStyle w:val="NormalWeb"/>
        <w:spacing w:before="0" w:beforeAutospacing="0" w:after="0" w:afterAutospacing="0"/>
        <w:ind w:left="720" w:hanging="720"/>
      </w:pPr>
    </w:p>
    <w:p w:rsidR="00AF5050" w:rsidRDefault="00AF5050" w:rsidP="00F60ACE">
      <w:pPr>
        <w:pStyle w:val="NormalWeb"/>
        <w:spacing w:before="0" w:beforeAutospacing="0" w:after="0" w:afterAutospacing="0"/>
        <w:ind w:left="720"/>
      </w:pPr>
      <w:r>
        <w:t xml:space="preserve">The </w:t>
      </w:r>
      <w:r w:rsidR="00C64CD7" w:rsidRPr="009E660F">
        <w:t>Homeless Emergency Assistance and Rapid Transition to Housing</w:t>
      </w:r>
      <w:r w:rsidR="00C64CD7">
        <w:t xml:space="preserve"> (</w:t>
      </w:r>
      <w:r>
        <w:t>HEARTH</w:t>
      </w:r>
      <w:r w:rsidR="00C64CD7">
        <w:t>)</w:t>
      </w:r>
      <w:r>
        <w:t xml:space="preserve"> Act revised the Emergency Shelter Grants program and renamed it </w:t>
      </w:r>
      <w:r w:rsidRPr="00936279">
        <w:t>the</w:t>
      </w:r>
      <w:r>
        <w:t xml:space="preserve"> </w:t>
      </w:r>
      <w:r w:rsidRPr="00936279">
        <w:t>Emergency Solutions Grants (ESG)</w:t>
      </w:r>
      <w:r>
        <w:t xml:space="preserve"> </w:t>
      </w:r>
      <w:r w:rsidRPr="00936279">
        <w:t xml:space="preserve">program. </w:t>
      </w:r>
      <w:r w:rsidR="006E6FA1">
        <w:t xml:space="preserve"> </w:t>
      </w:r>
      <w:r>
        <w:t>T</w:t>
      </w:r>
      <w:r w:rsidRPr="00742C27">
        <w:t xml:space="preserve">he </w:t>
      </w:r>
      <w:r>
        <w:t xml:space="preserve">HEARTH Act </w:t>
      </w:r>
      <w:r w:rsidRPr="00742C27">
        <w:t>broaden</w:t>
      </w:r>
      <w:r>
        <w:t>ed</w:t>
      </w:r>
      <w:r w:rsidRPr="00742C27">
        <w:t xml:space="preserve"> </w:t>
      </w:r>
      <w:r>
        <w:t xml:space="preserve">the </w:t>
      </w:r>
      <w:r w:rsidRPr="00742C27">
        <w:t xml:space="preserve">emergency shelter and homelessness prevention activities </w:t>
      </w:r>
      <w:r>
        <w:t xml:space="preserve">of the </w:t>
      </w:r>
      <w:r w:rsidRPr="00742C27">
        <w:t>Emergency Solutions Grants program</w:t>
      </w:r>
      <w:r>
        <w:t xml:space="preserve"> beyond those of its predecessor program, the Emergency Shelter Grants program, and</w:t>
      </w:r>
      <w:r w:rsidRPr="00742C27">
        <w:t xml:space="preserve"> add</w:t>
      </w:r>
      <w:r>
        <w:t>ed</w:t>
      </w:r>
      <w:r w:rsidRPr="00742C27">
        <w:t xml:space="preserve"> short</w:t>
      </w:r>
      <w:r>
        <w:t>-</w:t>
      </w:r>
      <w:r w:rsidRPr="00742C27">
        <w:t xml:space="preserve"> and medium-term rental assistance and services to rapidly re-house </w:t>
      </w:r>
      <w:r>
        <w:t>persons experiencing homelessness</w:t>
      </w:r>
      <w:r w:rsidRPr="00742C27">
        <w:t xml:space="preserve">.  The change in the program’s name reflects the change in the program’s focus from addressing the needs of homeless people in emergency or transitional shelters to assisting people to quickly regain stability in permanent housing after experiencing a housing crisis or </w:t>
      </w:r>
      <w:r>
        <w:t>becoming homeless.</w:t>
      </w:r>
    </w:p>
    <w:p w:rsidR="00AF5050" w:rsidRDefault="00AF5050">
      <w:pPr>
        <w:pStyle w:val="NormalWeb"/>
        <w:tabs>
          <w:tab w:val="left" w:pos="720"/>
        </w:tabs>
        <w:spacing w:before="0" w:beforeAutospacing="0" w:after="0" w:afterAutospacing="0"/>
        <w:ind w:left="720" w:hanging="720"/>
      </w:pPr>
    </w:p>
    <w:p w:rsidR="00DD30EC" w:rsidRDefault="00AF5050">
      <w:pPr>
        <w:pStyle w:val="NormalWeb"/>
        <w:tabs>
          <w:tab w:val="left" w:pos="720"/>
        </w:tabs>
        <w:spacing w:before="0" w:beforeAutospacing="0" w:after="0" w:afterAutospacing="0"/>
        <w:ind w:left="720" w:hanging="720"/>
      </w:pPr>
      <w:r>
        <w:tab/>
      </w:r>
      <w:r w:rsidR="00DD30EC">
        <w:t xml:space="preserve">The ESG program awards funds, on a formula basis, to </w:t>
      </w:r>
      <w:r w:rsidR="00DD30EC" w:rsidRPr="00E430FD">
        <w:t xml:space="preserve">state governments, </w:t>
      </w:r>
      <w:r w:rsidR="00E430FD" w:rsidRPr="00E430FD">
        <w:t xml:space="preserve">metropolitan </w:t>
      </w:r>
      <w:r w:rsidR="00DD30EC" w:rsidRPr="00E430FD">
        <w:t xml:space="preserve">cities, urban counties, and U.S. territories </w:t>
      </w:r>
      <w:r w:rsidR="00421B34">
        <w:t xml:space="preserve">for five components, plus Administrative activities:  Street Outreach, Emergency Shelter, Rapid Re-housing, Homelessness Prevention, and </w:t>
      </w:r>
      <w:r w:rsidR="00421B34" w:rsidRPr="009E660F">
        <w:t>H</w:t>
      </w:r>
      <w:r w:rsidR="00C64CD7" w:rsidRPr="009E660F">
        <w:t>omeless Management Information System</w:t>
      </w:r>
      <w:r w:rsidR="00C64CD7">
        <w:t xml:space="preserve"> (H</w:t>
      </w:r>
      <w:r w:rsidR="00421B34">
        <w:t>MIS</w:t>
      </w:r>
      <w:r w:rsidR="00C64CD7">
        <w:t>)</w:t>
      </w:r>
      <w:r w:rsidR="00421B34">
        <w:t xml:space="preserve">. </w:t>
      </w:r>
      <w:r w:rsidR="00E430FD">
        <w:t xml:space="preserve"> </w:t>
      </w:r>
      <w:r w:rsidR="00DD30EC">
        <w:t>ESG funds are available for</w:t>
      </w:r>
      <w:r w:rsidR="00421B34">
        <w:t xml:space="preserve"> the following purpose</w:t>
      </w:r>
      <w:r w:rsidR="00C64CD7" w:rsidRPr="009E660F">
        <w:t>s</w:t>
      </w:r>
      <w:r w:rsidR="00421B34" w:rsidRPr="00E430FD">
        <w:t>: (1) engage homeless individuals and families living on the street; (2) improve the number and quality of emergency shelters for homeless individuals and families; (3) help operate these shelters; (4) provide essential services to shelter residents, (5) rapidly re-house homeless individuals and families, and (6) prevent families/individuals from becoming homeless.</w:t>
      </w:r>
    </w:p>
    <w:p w:rsidR="002E289A" w:rsidRDefault="002E289A" w:rsidP="00F10279">
      <w:pPr>
        <w:ind w:left="720"/>
      </w:pPr>
    </w:p>
    <w:p w:rsidR="00DD30EC" w:rsidRDefault="00F11F75" w:rsidP="00F10279">
      <w:pPr>
        <w:ind w:left="720"/>
      </w:pPr>
      <w:r>
        <w:t xml:space="preserve">Territories and local governments that receive ESG funds may carry out the program directly and/or </w:t>
      </w:r>
      <w:proofErr w:type="spellStart"/>
      <w:r>
        <w:t>subgrant</w:t>
      </w:r>
      <w:proofErr w:type="spellEnd"/>
      <w:r>
        <w:t xml:space="preserve"> all or part of their ESG funds to private nonprofit organizations </w:t>
      </w:r>
      <w:r>
        <w:lastRenderedPageBreak/>
        <w:t xml:space="preserve">to carry out eligible program activities.  States receiving ESG funds must </w:t>
      </w:r>
      <w:proofErr w:type="spellStart"/>
      <w:r>
        <w:t>subgrant</w:t>
      </w:r>
      <w:proofErr w:type="spellEnd"/>
      <w:r>
        <w:t xml:space="preserve"> all of the ESG funds they receive, except for </w:t>
      </w:r>
      <w:r w:rsidR="002A5FD6">
        <w:t>their allowable portion</w:t>
      </w:r>
      <w:r>
        <w:t xml:space="preserve"> of the grant for administration costs</w:t>
      </w:r>
      <w:r w:rsidR="002A5FD6">
        <w:t xml:space="preserve"> </w:t>
      </w:r>
      <w:r w:rsidR="002A5FD6" w:rsidRPr="002A5FD6">
        <w:t>(sta</w:t>
      </w:r>
      <w:r w:rsidR="002A5FD6">
        <w:t>tes must share some of the 7.5 percent</w:t>
      </w:r>
      <w:r w:rsidR="002A5FD6" w:rsidRPr="002A5FD6">
        <w:t xml:space="preserve"> allotment for administrative costs with their subrecipients that are local governments)</w:t>
      </w:r>
      <w:r w:rsidR="006E2B5A" w:rsidRPr="002A5FD6">
        <w:t>,</w:t>
      </w:r>
      <w:r w:rsidR="006A3C08" w:rsidRPr="002A5FD6">
        <w:t xml:space="preserve"> and</w:t>
      </w:r>
      <w:r w:rsidR="006A3C08">
        <w:t xml:space="preserve"> HMIS cost</w:t>
      </w:r>
      <w:r w:rsidR="003E60F0">
        <w:t>s if the recipient is the HMIS L</w:t>
      </w:r>
      <w:r w:rsidR="006A3C08">
        <w:t>ead</w:t>
      </w:r>
      <w:r>
        <w:t>, to units of general purpose local government and/or private nonprofit organizations to carry out the program.</w:t>
      </w:r>
    </w:p>
    <w:p w:rsidR="00DD30EC" w:rsidRDefault="00DD30EC">
      <w:pPr>
        <w:pStyle w:val="Level1"/>
        <w:numPr>
          <w:ilvl w:val="0"/>
          <w:numId w:val="0"/>
        </w:numPr>
      </w:pPr>
    </w:p>
    <w:p w:rsidR="00F312E6" w:rsidRDefault="00910D3C" w:rsidP="00F312E6">
      <w:pPr>
        <w:pStyle w:val="Level1"/>
        <w:numPr>
          <w:ilvl w:val="0"/>
          <w:numId w:val="0"/>
        </w:numPr>
        <w:tabs>
          <w:tab w:val="clear" w:pos="4320"/>
          <w:tab w:val="center" w:pos="-90"/>
        </w:tabs>
        <w:ind w:left="720" w:hanging="720"/>
      </w:pPr>
      <w:r>
        <w:t xml:space="preserve">28-2 </w:t>
      </w:r>
      <w:r w:rsidR="00DD30EC">
        <w:tab/>
      </w:r>
      <w:r w:rsidR="00DD30EC">
        <w:rPr>
          <w:u w:val="single"/>
        </w:rPr>
        <w:t>PREPARING FOR MONITORING.</w:t>
      </w:r>
      <w:r w:rsidR="00DD30EC">
        <w:t xml:space="preserve">  The specific ESG program areas or requirements to be monitored are determined as part of the risk a</w:t>
      </w:r>
      <w:r w:rsidR="006503AC">
        <w:t>nalysis</w:t>
      </w:r>
      <w:r w:rsidR="00DD30EC">
        <w:t xml:space="preserve"> process (see additional guidance provided in Chapter 2).  Before monitoring, the </w:t>
      </w:r>
      <w:r w:rsidR="003E60F0">
        <w:t xml:space="preserve">HUD </w:t>
      </w:r>
      <w:r w:rsidR="00DD30EC">
        <w:t>reviewer should be familiar with both the ESG program requirements and the design and operation of the participant’s ESG program, particularly any areas th</w:t>
      </w:r>
      <w:r w:rsidR="00F312E6">
        <w:t>at have been identified as high-</w:t>
      </w:r>
      <w:r w:rsidR="00DD30EC">
        <w:t xml:space="preserve">risk or that are the subject of the monitoring.  Whether monitoring on-site or assembling materials for a remote </w:t>
      </w:r>
      <w:r w:rsidR="00F3545E">
        <w:t>monitoring, reviewers</w:t>
      </w:r>
      <w:r w:rsidR="00DD30EC">
        <w:t xml:space="preserve"> will need specific items to successfully monitor a participant’s ESG Program</w:t>
      </w:r>
      <w:r w:rsidR="00F312E6">
        <w:t>.</w:t>
      </w:r>
      <w:r w:rsidR="00DD30EC">
        <w:t xml:space="preserve">  </w:t>
      </w:r>
      <w:r w:rsidR="006E2B5A" w:rsidRPr="006E2B5A">
        <w:t xml:space="preserve">Information that will assist in ESG Program monitoring </w:t>
      </w:r>
      <w:r w:rsidR="0079777E" w:rsidRPr="006E2B5A">
        <w:t>includes</w:t>
      </w:r>
      <w:r w:rsidR="006E2B5A" w:rsidRPr="006E2B5A">
        <w:t xml:space="preserve">: </w:t>
      </w:r>
    </w:p>
    <w:p w:rsidR="00F312E6" w:rsidRDefault="00F312E6" w:rsidP="003C2C3B">
      <w:pPr>
        <w:pStyle w:val="Level1"/>
        <w:numPr>
          <w:ilvl w:val="0"/>
          <w:numId w:val="0"/>
        </w:numPr>
        <w:tabs>
          <w:tab w:val="clear" w:pos="4320"/>
          <w:tab w:val="center" w:pos="-90"/>
        </w:tabs>
        <w:spacing w:line="120" w:lineRule="auto"/>
        <w:ind w:left="720" w:hanging="720"/>
      </w:pPr>
    </w:p>
    <w:p w:rsidR="00DD30EC" w:rsidRPr="00073990" w:rsidRDefault="006E2B5A" w:rsidP="00F312E6">
      <w:pPr>
        <w:pStyle w:val="Level1"/>
        <w:numPr>
          <w:ilvl w:val="0"/>
          <w:numId w:val="11"/>
        </w:numPr>
        <w:tabs>
          <w:tab w:val="clear" w:pos="4320"/>
          <w:tab w:val="center" w:pos="-90"/>
        </w:tabs>
        <w:rPr>
          <w:color w:val="161E0D"/>
          <w:szCs w:val="20"/>
        </w:rPr>
      </w:pPr>
      <w:r w:rsidRPr="005C1782">
        <w:rPr>
          <w:color w:val="000000"/>
        </w:rPr>
        <w:t>the authorizing legislation</w:t>
      </w:r>
      <w:r w:rsidR="00DD30EC" w:rsidRPr="005C1782">
        <w:t xml:space="preserve">, </w:t>
      </w:r>
      <w:r w:rsidR="00C577A4" w:rsidRPr="00CE1D39">
        <w:t xml:space="preserve">Title IV, Subtitle B of the McKinney-Vento Homeless Assistance Act of 1987, as amended (42 </w:t>
      </w:r>
      <w:proofErr w:type="spellStart"/>
      <w:r w:rsidR="00C577A4" w:rsidRPr="00CE1D39">
        <w:t>U.S.C</w:t>
      </w:r>
      <w:proofErr w:type="spellEnd"/>
      <w:r w:rsidR="00C577A4" w:rsidRPr="00CE1D39">
        <w:t xml:space="preserve">. 11371 et </w:t>
      </w:r>
      <w:proofErr w:type="spellStart"/>
      <w:r w:rsidR="00C577A4" w:rsidRPr="00CE1D39">
        <w:t>seq</w:t>
      </w:r>
      <w:proofErr w:type="spellEnd"/>
      <w:r w:rsidR="00C577A4" w:rsidRPr="00CE1D39">
        <w:t>)</w:t>
      </w:r>
      <w:r w:rsidR="00DD30EC" w:rsidRPr="005C1782">
        <w:t>;</w:t>
      </w:r>
    </w:p>
    <w:p w:rsidR="00DD30EC" w:rsidRPr="00073990" w:rsidRDefault="00DD30EC" w:rsidP="000B6F78">
      <w:pPr>
        <w:pStyle w:val="Level1"/>
        <w:numPr>
          <w:ilvl w:val="0"/>
          <w:numId w:val="11"/>
        </w:numPr>
        <w:tabs>
          <w:tab w:val="clear" w:pos="4320"/>
          <w:tab w:val="center" w:pos="-90"/>
        </w:tabs>
        <w:rPr>
          <w:color w:val="161E0D"/>
          <w:szCs w:val="20"/>
        </w:rPr>
      </w:pPr>
      <w:r w:rsidRPr="005C1782">
        <w:t xml:space="preserve">the ESG </w:t>
      </w:r>
      <w:r w:rsidR="0068634B" w:rsidRPr="005C1782">
        <w:t xml:space="preserve">rule </w:t>
      </w:r>
      <w:r w:rsidRPr="005C1782">
        <w:t xml:space="preserve">at </w:t>
      </w:r>
      <w:hyperlink r:id="rId9" w:history="1">
        <w:r w:rsidRPr="005C1782">
          <w:rPr>
            <w:rStyle w:val="Hyperlink"/>
          </w:rPr>
          <w:t xml:space="preserve">24 CFR </w:t>
        </w:r>
        <w:r w:rsidR="00901E97">
          <w:rPr>
            <w:rStyle w:val="Hyperlink"/>
          </w:rPr>
          <w:t xml:space="preserve">part </w:t>
        </w:r>
        <w:r w:rsidRPr="005C1782">
          <w:rPr>
            <w:rStyle w:val="Hyperlink"/>
          </w:rPr>
          <w:t>576</w:t>
        </w:r>
      </w:hyperlink>
      <w:r w:rsidR="000B6F78">
        <w:rPr>
          <w:rStyle w:val="Hyperlink"/>
        </w:rPr>
        <w:t xml:space="preserve">, </w:t>
      </w:r>
      <w:r w:rsidR="00544283">
        <w:rPr>
          <w:rStyle w:val="Hyperlink"/>
        </w:rPr>
        <w:t>as amended by</w:t>
      </w:r>
      <w:r w:rsidR="000B6F78">
        <w:rPr>
          <w:rStyle w:val="Hyperlink"/>
        </w:rPr>
        <w:t xml:space="preserve"> 76 FR 75974 (Dec. 5, 2011) and 80 FR 75939 (</w:t>
      </w:r>
      <w:r w:rsidR="00544283" w:rsidRPr="00544283">
        <w:rPr>
          <w:rStyle w:val="Hyperlink"/>
        </w:rPr>
        <w:t>Dec. 7, 2015</w:t>
      </w:r>
      <w:r w:rsidR="00544283">
        <w:rPr>
          <w:rStyle w:val="Hyperlink"/>
        </w:rPr>
        <w:t>)</w:t>
      </w:r>
      <w:r w:rsidRPr="005C1782">
        <w:t xml:space="preserve">; </w:t>
      </w:r>
    </w:p>
    <w:p w:rsidR="00DD30EC" w:rsidRPr="00073990" w:rsidRDefault="001046DD" w:rsidP="00073990">
      <w:pPr>
        <w:pStyle w:val="Level1"/>
        <w:numPr>
          <w:ilvl w:val="0"/>
          <w:numId w:val="11"/>
        </w:numPr>
        <w:tabs>
          <w:tab w:val="clear" w:pos="4320"/>
          <w:tab w:val="center" w:pos="-90"/>
        </w:tabs>
        <w:rPr>
          <w:color w:val="161E0D"/>
          <w:szCs w:val="20"/>
        </w:rPr>
      </w:pPr>
      <w:r>
        <w:t xml:space="preserve">the </w:t>
      </w:r>
      <w:r w:rsidR="00DD30EC" w:rsidRPr="005C1782">
        <w:t>most recent approved Consolidated Plan Annual Action Plan</w:t>
      </w:r>
      <w:r w:rsidR="00DD30EC" w:rsidRPr="00073990">
        <w:rPr>
          <w:b/>
        </w:rPr>
        <w:t>;</w:t>
      </w:r>
    </w:p>
    <w:p w:rsidR="005C1782" w:rsidRPr="00073990" w:rsidRDefault="001046DD" w:rsidP="00073990">
      <w:pPr>
        <w:pStyle w:val="Level1"/>
        <w:numPr>
          <w:ilvl w:val="0"/>
          <w:numId w:val="11"/>
        </w:numPr>
        <w:tabs>
          <w:tab w:val="clear" w:pos="4320"/>
          <w:tab w:val="center" w:pos="-90"/>
        </w:tabs>
        <w:rPr>
          <w:color w:val="161E0D"/>
          <w:szCs w:val="20"/>
        </w:rPr>
      </w:pPr>
      <w:r>
        <w:t xml:space="preserve">the </w:t>
      </w:r>
      <w:r w:rsidR="00DD30EC" w:rsidRPr="005C1782">
        <w:t xml:space="preserve">grant agreement </w:t>
      </w:r>
      <w:r w:rsidR="005C1782" w:rsidRPr="00073990">
        <w:rPr>
          <w:color w:val="000000"/>
        </w:rPr>
        <w:t>and any amendment(s) to the grant agreement, and any subrecipient agreements and/or procurement contracts;</w:t>
      </w:r>
    </w:p>
    <w:p w:rsidR="005C1782" w:rsidRPr="00073990" w:rsidRDefault="00DD30EC" w:rsidP="00073990">
      <w:pPr>
        <w:pStyle w:val="Level1"/>
        <w:numPr>
          <w:ilvl w:val="0"/>
          <w:numId w:val="11"/>
        </w:numPr>
        <w:tabs>
          <w:tab w:val="clear" w:pos="4320"/>
          <w:tab w:val="center" w:pos="-90"/>
        </w:tabs>
        <w:rPr>
          <w:color w:val="161E0D"/>
          <w:szCs w:val="20"/>
        </w:rPr>
      </w:pPr>
      <w:r w:rsidRPr="005C1782">
        <w:t xml:space="preserve">any HUD-approved ESG waivers; </w:t>
      </w:r>
    </w:p>
    <w:p w:rsidR="00DD30EC" w:rsidRPr="00073990" w:rsidRDefault="00DD30EC" w:rsidP="00073990">
      <w:pPr>
        <w:pStyle w:val="Level1"/>
        <w:numPr>
          <w:ilvl w:val="0"/>
          <w:numId w:val="11"/>
        </w:numPr>
        <w:tabs>
          <w:tab w:val="clear" w:pos="4320"/>
          <w:tab w:val="center" w:pos="-90"/>
        </w:tabs>
        <w:rPr>
          <w:color w:val="161E0D"/>
          <w:szCs w:val="20"/>
        </w:rPr>
      </w:pPr>
      <w:r w:rsidRPr="005C1782">
        <w:t>Integrated Disbursement and Information System (IDIS) draw information</w:t>
      </w:r>
      <w:r w:rsidR="005C1782" w:rsidRPr="005C1782">
        <w:t xml:space="preserve"> and reports</w:t>
      </w:r>
      <w:r w:rsidRPr="005C1782">
        <w:t>; and</w:t>
      </w:r>
    </w:p>
    <w:p w:rsidR="00DD30EC" w:rsidRPr="00073990" w:rsidRDefault="00C64CD7" w:rsidP="00073990">
      <w:pPr>
        <w:pStyle w:val="Level1"/>
        <w:numPr>
          <w:ilvl w:val="0"/>
          <w:numId w:val="11"/>
        </w:numPr>
        <w:tabs>
          <w:tab w:val="clear" w:pos="4320"/>
          <w:tab w:val="center" w:pos="-90"/>
        </w:tabs>
        <w:rPr>
          <w:color w:val="161E0D"/>
          <w:szCs w:val="20"/>
        </w:rPr>
      </w:pPr>
      <w:r w:rsidRPr="009E660F">
        <w:t>the</w:t>
      </w:r>
      <w:r>
        <w:t xml:space="preserve"> </w:t>
      </w:r>
      <w:r w:rsidR="00DD30EC" w:rsidRPr="005C1782">
        <w:t>latest Consolidated Annual Performance and Evaluation Report (CAPER).</w:t>
      </w:r>
    </w:p>
    <w:p w:rsidR="00DD30EC" w:rsidRDefault="00DD30EC">
      <w:pPr>
        <w:pStyle w:val="NormalWeb"/>
        <w:tabs>
          <w:tab w:val="left" w:pos="720"/>
        </w:tabs>
        <w:spacing w:before="0" w:beforeAutospacing="0" w:after="0" w:afterAutospacing="0"/>
        <w:ind w:left="720"/>
      </w:pPr>
    </w:p>
    <w:p w:rsidR="00DD30EC" w:rsidRDefault="001046DD" w:rsidP="001046DD">
      <w:pPr>
        <w:pStyle w:val="Level1"/>
        <w:numPr>
          <w:ilvl w:val="0"/>
          <w:numId w:val="0"/>
        </w:numPr>
        <w:tabs>
          <w:tab w:val="left" w:pos="720"/>
        </w:tabs>
        <w:ind w:left="720" w:hanging="720"/>
      </w:pPr>
      <w:r>
        <w:t xml:space="preserve">28-3     </w:t>
      </w:r>
      <w:r w:rsidR="00DD30EC">
        <w:rPr>
          <w:u w:val="single"/>
        </w:rPr>
        <w:t>FILE SELECTION AND SAMPLING</w:t>
      </w:r>
      <w:r w:rsidR="00DD30EC">
        <w:t xml:space="preserve">.  As described </w:t>
      </w:r>
      <w:r w:rsidR="00DD30EC" w:rsidRPr="008C44CF">
        <w:t>in Chapter 2, the</w:t>
      </w:r>
      <w:r w:rsidR="00DD30EC">
        <w:t xml:space="preserve"> risk analysis process will be used to determine which ESG </w:t>
      </w:r>
      <w:r w:rsidR="00756CA9">
        <w:t>recipient</w:t>
      </w:r>
      <w:r w:rsidR="00DD30EC">
        <w:t>s and areas should be reviewed.  Once that process has been completed, where it is indicated that a file review is necessary to answer Exhibit questions, the HUD reviewer should consider the following factors when determining the specific files that will comprise the review sample:</w:t>
      </w:r>
    </w:p>
    <w:p w:rsidR="00DD30EC" w:rsidRDefault="00DD30EC">
      <w:pPr>
        <w:pStyle w:val="Level1"/>
        <w:numPr>
          <w:ilvl w:val="0"/>
          <w:numId w:val="0"/>
        </w:numPr>
      </w:pPr>
    </w:p>
    <w:p w:rsidR="00DD30EC" w:rsidRDefault="00DD30EC">
      <w:pPr>
        <w:pStyle w:val="Level1"/>
        <w:numPr>
          <w:ilvl w:val="0"/>
          <w:numId w:val="10"/>
        </w:numPr>
      </w:pPr>
      <w:r>
        <w:t xml:space="preserve">Where feasible, initial file selection should be made using a random selection method. </w:t>
      </w:r>
    </w:p>
    <w:p w:rsidR="00DD30EC" w:rsidRDefault="00DD30EC">
      <w:pPr>
        <w:pStyle w:val="Level1"/>
        <w:numPr>
          <w:ilvl w:val="0"/>
          <w:numId w:val="0"/>
        </w:numPr>
        <w:ind w:left="720"/>
      </w:pPr>
      <w:r>
        <w:t xml:space="preserve"> </w:t>
      </w:r>
    </w:p>
    <w:p w:rsidR="00DD30EC" w:rsidRDefault="00DD30EC">
      <w:pPr>
        <w:pStyle w:val="Level1"/>
        <w:numPr>
          <w:ilvl w:val="0"/>
          <w:numId w:val="10"/>
        </w:numPr>
      </w:pPr>
      <w:r>
        <w:t>The reviewer would consider adding more files to this selection in order to:</w:t>
      </w:r>
    </w:p>
    <w:p w:rsidR="00DD30EC" w:rsidRDefault="00DD30EC" w:rsidP="00BB583B">
      <w:pPr>
        <w:pStyle w:val="Level1"/>
        <w:numPr>
          <w:ilvl w:val="0"/>
          <w:numId w:val="0"/>
        </w:numPr>
        <w:spacing w:line="120" w:lineRule="auto"/>
        <w:ind w:left="720"/>
      </w:pPr>
    </w:p>
    <w:p w:rsidR="00DD30EC" w:rsidRDefault="00DD30EC">
      <w:pPr>
        <w:pStyle w:val="Level1"/>
        <w:numPr>
          <w:ilvl w:val="0"/>
          <w:numId w:val="0"/>
        </w:numPr>
        <w:tabs>
          <w:tab w:val="clear" w:pos="4320"/>
        </w:tabs>
        <w:ind w:left="1800" w:hanging="360"/>
      </w:pPr>
      <w:r>
        <w:t xml:space="preserve">i.    Include a file or files from each staff person working in the respective program area being monitored; </w:t>
      </w:r>
    </w:p>
    <w:p w:rsidR="00DD30EC" w:rsidRDefault="00DD30EC" w:rsidP="00BB583B">
      <w:pPr>
        <w:pStyle w:val="Level1"/>
        <w:numPr>
          <w:ilvl w:val="0"/>
          <w:numId w:val="0"/>
        </w:numPr>
        <w:tabs>
          <w:tab w:val="num" w:pos="-3420"/>
        </w:tabs>
        <w:spacing w:line="120" w:lineRule="auto"/>
        <w:ind w:left="1627"/>
      </w:pPr>
    </w:p>
    <w:p w:rsidR="00DD30EC" w:rsidRDefault="00DD30EC">
      <w:pPr>
        <w:pStyle w:val="Level1"/>
        <w:numPr>
          <w:ilvl w:val="1"/>
          <w:numId w:val="10"/>
        </w:numPr>
        <w:tabs>
          <w:tab w:val="clear" w:pos="2160"/>
          <w:tab w:val="num" w:pos="1800"/>
        </w:tabs>
        <w:ind w:left="1800" w:hanging="360"/>
      </w:pPr>
      <w:r>
        <w:t>Expand the sample, if possible, to include additional files with the same characteristics, if indicated by the severity or nature of any problems(s) noted during the initial selection’s review (for example, same problem category, same staff person, same activities or other characteristics).  This expanded sampling aids in determining whether problems are isolated events or represent a systemic problem.</w:t>
      </w:r>
    </w:p>
    <w:p w:rsidR="00DD30EC" w:rsidRDefault="00DD30EC">
      <w:pPr>
        <w:pStyle w:val="Level1"/>
        <w:numPr>
          <w:ilvl w:val="0"/>
          <w:numId w:val="0"/>
        </w:numPr>
        <w:ind w:left="1440"/>
      </w:pPr>
    </w:p>
    <w:p w:rsidR="00DD30EC" w:rsidRDefault="00DD30EC">
      <w:pPr>
        <w:pStyle w:val="Level1"/>
        <w:numPr>
          <w:ilvl w:val="0"/>
          <w:numId w:val="0"/>
        </w:numPr>
        <w:ind w:left="1080" w:hanging="360"/>
      </w:pPr>
      <w:r>
        <w:t xml:space="preserve">C.  The </w:t>
      </w:r>
      <w:r w:rsidR="003E60F0">
        <w:t xml:space="preserve">HUD </w:t>
      </w:r>
      <w:r>
        <w:t xml:space="preserve">reviewer may also add files to the selection from any project that the HUD reviewer has reason to believe may have compliance problems or that is substantially different in terms of size, complexity, or other factors from other projects the </w:t>
      </w:r>
      <w:r w:rsidR="00756CA9">
        <w:t>recipient</w:t>
      </w:r>
      <w:r>
        <w:t xml:space="preserve"> has funded.</w:t>
      </w:r>
    </w:p>
    <w:p w:rsidR="00DD30EC" w:rsidRDefault="00DD30EC">
      <w:pPr>
        <w:pStyle w:val="Level1"/>
        <w:numPr>
          <w:ilvl w:val="0"/>
          <w:numId w:val="0"/>
        </w:numPr>
        <w:ind w:left="1440" w:hanging="360"/>
      </w:pPr>
    </w:p>
    <w:p w:rsidR="00DD30EC" w:rsidRDefault="00DD30EC">
      <w:pPr>
        <w:pStyle w:val="Level1"/>
        <w:numPr>
          <w:ilvl w:val="0"/>
          <w:numId w:val="0"/>
        </w:numPr>
        <w:tabs>
          <w:tab w:val="left" w:pos="720"/>
        </w:tabs>
      </w:pPr>
    </w:p>
    <w:p w:rsidR="00DD30EC" w:rsidRDefault="00DD30EC">
      <w:pPr>
        <w:pStyle w:val="Level1"/>
        <w:numPr>
          <w:ilvl w:val="0"/>
          <w:numId w:val="0"/>
        </w:numPr>
      </w:pPr>
    </w:p>
    <w:p w:rsidR="00DD30EC" w:rsidRDefault="00DD30EC">
      <w:pPr>
        <w:pStyle w:val="Level1"/>
        <w:numPr>
          <w:ilvl w:val="0"/>
          <w:numId w:val="0"/>
        </w:numPr>
        <w:ind w:left="720"/>
      </w:pPr>
    </w:p>
    <w:p w:rsidR="00DD30EC" w:rsidRDefault="00DD30EC"/>
    <w:p w:rsidR="00DD30EC" w:rsidRDefault="00DD30EC">
      <w:pPr>
        <w:pStyle w:val="Header"/>
        <w:tabs>
          <w:tab w:val="clear" w:pos="4320"/>
          <w:tab w:val="clear" w:pos="8640"/>
          <w:tab w:val="left" w:pos="4830"/>
        </w:tabs>
      </w:pPr>
      <w:r>
        <w:tab/>
      </w:r>
    </w:p>
    <w:sectPr w:rsidR="00DD30EC" w:rsidSect="001046D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F88" w:rsidRDefault="00BF0F88">
      <w:r>
        <w:separator/>
      </w:r>
    </w:p>
  </w:endnote>
  <w:endnote w:type="continuationSeparator" w:id="0">
    <w:p w:rsidR="00BF0F88" w:rsidRDefault="00BF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0EC" w:rsidRPr="00166E19" w:rsidRDefault="00F60ACE" w:rsidP="0027323E">
    <w:pPr>
      <w:pStyle w:val="Footer"/>
      <w:rPr>
        <w:rStyle w:val="PageNumber"/>
        <w:sz w:val="22"/>
        <w:szCs w:val="22"/>
      </w:rPr>
    </w:pPr>
    <w:r>
      <w:rPr>
        <w:rStyle w:val="PageNumber"/>
        <w:sz w:val="22"/>
        <w:szCs w:val="22"/>
      </w:rPr>
      <w:t xml:space="preserve"> </w:t>
    </w:r>
    <w:r w:rsidR="001D7D6D">
      <w:rPr>
        <w:rStyle w:val="PageNumber"/>
        <w:sz w:val="22"/>
        <w:szCs w:val="22"/>
      </w:rPr>
      <w:t>02</w:t>
    </w:r>
    <w:r>
      <w:rPr>
        <w:rStyle w:val="PageNumber"/>
        <w:sz w:val="22"/>
        <w:szCs w:val="22"/>
      </w:rPr>
      <w:t>/201</w:t>
    </w:r>
    <w:r w:rsidR="001D7D6D">
      <w:rPr>
        <w:rStyle w:val="PageNumber"/>
        <w:sz w:val="22"/>
        <w:szCs w:val="22"/>
      </w:rPr>
      <w:t>7</w:t>
    </w:r>
    <w:bookmarkStart w:id="0" w:name="_GoBack"/>
    <w:bookmarkEnd w:id="0"/>
    <w:r w:rsidR="0027323E" w:rsidRPr="00166E19">
      <w:rPr>
        <w:rStyle w:val="PageNumber"/>
        <w:sz w:val="22"/>
        <w:szCs w:val="22"/>
      </w:rPr>
      <w:tab/>
    </w:r>
    <w:r w:rsidR="00166E19" w:rsidRPr="00166E19">
      <w:rPr>
        <w:rStyle w:val="PageNumber"/>
        <w:sz w:val="22"/>
        <w:szCs w:val="22"/>
      </w:rPr>
      <w:t>28-</w:t>
    </w:r>
    <w:r w:rsidR="00DD30EC" w:rsidRPr="00166E19">
      <w:rPr>
        <w:rStyle w:val="PageNumber"/>
        <w:sz w:val="22"/>
        <w:szCs w:val="22"/>
      </w:rPr>
      <w:fldChar w:fldCharType="begin"/>
    </w:r>
    <w:r w:rsidR="00DD30EC" w:rsidRPr="00166E19">
      <w:rPr>
        <w:rStyle w:val="PageNumber"/>
        <w:sz w:val="22"/>
        <w:szCs w:val="22"/>
      </w:rPr>
      <w:instrText xml:space="preserve"> PAGE </w:instrText>
    </w:r>
    <w:r w:rsidR="00DD30EC" w:rsidRPr="00166E19">
      <w:rPr>
        <w:rStyle w:val="PageNumber"/>
        <w:sz w:val="22"/>
        <w:szCs w:val="22"/>
      </w:rPr>
      <w:fldChar w:fldCharType="separate"/>
    </w:r>
    <w:r w:rsidR="001D7D6D">
      <w:rPr>
        <w:rStyle w:val="PageNumber"/>
        <w:noProof/>
        <w:sz w:val="22"/>
        <w:szCs w:val="22"/>
      </w:rPr>
      <w:t>2</w:t>
    </w:r>
    <w:r w:rsidR="00DD30EC" w:rsidRPr="00166E19">
      <w:rPr>
        <w:rStyle w:val="PageNumber"/>
        <w:sz w:val="22"/>
        <w:szCs w:val="22"/>
      </w:rPr>
      <w:fldChar w:fldCharType="end"/>
    </w:r>
  </w:p>
  <w:p w:rsidR="008C44CF" w:rsidRDefault="008C44CF" w:rsidP="008C4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267174"/>
      <w:docPartObj>
        <w:docPartGallery w:val="Page Numbers (Bottom of Page)"/>
        <w:docPartUnique/>
      </w:docPartObj>
    </w:sdtPr>
    <w:sdtEndPr>
      <w:rPr>
        <w:noProof/>
        <w:sz w:val="22"/>
        <w:szCs w:val="22"/>
      </w:rPr>
    </w:sdtEndPr>
    <w:sdtContent>
      <w:p w:rsidR="0027323E" w:rsidRPr="00166E19" w:rsidRDefault="0027323E">
        <w:pPr>
          <w:pStyle w:val="Footer"/>
          <w:jc w:val="center"/>
          <w:rPr>
            <w:sz w:val="22"/>
            <w:szCs w:val="22"/>
          </w:rPr>
        </w:pPr>
        <w:r>
          <w:t xml:space="preserve">                                                                 </w:t>
        </w:r>
        <w:r w:rsidR="00166E19" w:rsidRPr="00166E19">
          <w:rPr>
            <w:sz w:val="22"/>
            <w:szCs w:val="22"/>
          </w:rPr>
          <w:t>28-</w:t>
        </w:r>
        <w:r w:rsidRPr="00166E19">
          <w:rPr>
            <w:sz w:val="22"/>
            <w:szCs w:val="22"/>
          </w:rPr>
          <w:fldChar w:fldCharType="begin"/>
        </w:r>
        <w:r w:rsidRPr="00166E19">
          <w:rPr>
            <w:sz w:val="22"/>
            <w:szCs w:val="22"/>
          </w:rPr>
          <w:instrText xml:space="preserve"> PAGE   \* MERGEFORMAT </w:instrText>
        </w:r>
        <w:r w:rsidRPr="00166E19">
          <w:rPr>
            <w:sz w:val="22"/>
            <w:szCs w:val="22"/>
          </w:rPr>
          <w:fldChar w:fldCharType="separate"/>
        </w:r>
        <w:r w:rsidR="001D7D6D">
          <w:rPr>
            <w:noProof/>
            <w:sz w:val="22"/>
            <w:szCs w:val="22"/>
          </w:rPr>
          <w:t>1</w:t>
        </w:r>
        <w:r w:rsidRPr="00166E19">
          <w:rPr>
            <w:noProof/>
            <w:sz w:val="22"/>
            <w:szCs w:val="22"/>
          </w:rPr>
          <w:fldChar w:fldCharType="end"/>
        </w:r>
        <w:r w:rsidRPr="00166E19">
          <w:rPr>
            <w:noProof/>
            <w:sz w:val="22"/>
            <w:szCs w:val="22"/>
          </w:rPr>
          <w:t xml:space="preserve">                                                              </w:t>
        </w:r>
        <w:r w:rsidR="00F60ACE">
          <w:rPr>
            <w:noProof/>
            <w:sz w:val="22"/>
            <w:szCs w:val="22"/>
          </w:rPr>
          <w:t xml:space="preserve"> </w:t>
        </w:r>
        <w:r w:rsidR="001D7D6D">
          <w:rPr>
            <w:noProof/>
            <w:sz w:val="22"/>
            <w:szCs w:val="22"/>
          </w:rPr>
          <w:t>02</w:t>
        </w:r>
        <w:r w:rsidR="00F60ACE">
          <w:rPr>
            <w:noProof/>
            <w:sz w:val="22"/>
            <w:szCs w:val="22"/>
          </w:rPr>
          <w:t>/201</w:t>
        </w:r>
        <w:r w:rsidR="001D7D6D">
          <w:rPr>
            <w:noProof/>
            <w:sz w:val="22"/>
            <w:szCs w:val="22"/>
          </w:rPr>
          <w:t>7</w:t>
        </w:r>
      </w:p>
    </w:sdtContent>
  </w:sdt>
  <w:p w:rsidR="00DD30EC" w:rsidRPr="00166E19" w:rsidRDefault="00DD30EC">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179194"/>
      <w:docPartObj>
        <w:docPartGallery w:val="Page Numbers (Bottom of Page)"/>
        <w:docPartUnique/>
      </w:docPartObj>
    </w:sdtPr>
    <w:sdtEndPr>
      <w:rPr>
        <w:noProof/>
      </w:rPr>
    </w:sdtEndPr>
    <w:sdtContent>
      <w:p w:rsidR="008C44CF" w:rsidRDefault="008C44CF">
        <w:pPr>
          <w:pStyle w:val="Footer"/>
          <w:jc w:val="center"/>
          <w:rPr>
            <w:noProof/>
          </w:rPr>
        </w:pPr>
        <w:r>
          <w:fldChar w:fldCharType="begin"/>
        </w:r>
        <w:r>
          <w:instrText xml:space="preserve"> PAGE   \* MERGEFORMAT </w:instrText>
        </w:r>
        <w:r>
          <w:fldChar w:fldCharType="separate"/>
        </w:r>
        <w:r w:rsidR="001046DD">
          <w:rPr>
            <w:noProof/>
          </w:rPr>
          <w:t>1</w:t>
        </w:r>
        <w:r>
          <w:rPr>
            <w:noProof/>
          </w:rPr>
          <w:fldChar w:fldCharType="end"/>
        </w:r>
      </w:p>
      <w:p w:rsidR="008C44CF" w:rsidRDefault="001D7D6D" w:rsidP="008C44CF">
        <w:pPr>
          <w:pStyle w:val="Footer"/>
        </w:pPr>
      </w:p>
    </w:sdtContent>
  </w:sdt>
  <w:p w:rsidR="00DD30EC" w:rsidRDefault="00DD30EC">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F88" w:rsidRDefault="00BF0F88">
      <w:r>
        <w:separator/>
      </w:r>
    </w:p>
  </w:footnote>
  <w:footnote w:type="continuationSeparator" w:id="0">
    <w:p w:rsidR="00BF0F88" w:rsidRDefault="00BF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0EC" w:rsidRDefault="0027323E">
    <w:pPr>
      <w:pStyle w:val="Header"/>
    </w:pPr>
    <w:r>
      <w:t>6509.2 REV-</w:t>
    </w:r>
    <w:r w:rsidR="00F60ACE">
      <w:t>7</w:t>
    </w:r>
    <w:r w:rsidR="00DD30EC">
      <w:tab/>
    </w:r>
    <w:r w:rsidR="00DD30EC">
      <w:tab/>
    </w:r>
  </w:p>
  <w:p w:rsidR="00DD30EC" w:rsidRDefault="00DD3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0EC" w:rsidRDefault="00DD30EC" w:rsidP="00C64CD7">
    <w:pPr>
      <w:pStyle w:val="Header"/>
      <w:tabs>
        <w:tab w:val="clear" w:pos="8640"/>
        <w:tab w:val="right" w:pos="9360"/>
      </w:tabs>
    </w:pPr>
    <w:r>
      <w:tab/>
    </w:r>
    <w:r w:rsidR="0027323E">
      <w:tab/>
      <w:t>6509.2 REV-</w:t>
    </w:r>
    <w:r w:rsidR="00F60ACE">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0EC" w:rsidRDefault="00DD30EC">
    <w:pPr>
      <w:pStyle w:val="Header"/>
      <w:tabs>
        <w:tab w:val="clear" w:pos="8640"/>
        <w:tab w:val="right" w:pos="93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11662FFA"/>
    <w:multiLevelType w:val="multilevel"/>
    <w:tmpl w:val="AB382C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32476C"/>
    <w:multiLevelType w:val="hybridMultilevel"/>
    <w:tmpl w:val="D7AC5D04"/>
    <w:lvl w:ilvl="0" w:tplc="5A5289D4">
      <w:start w:val="1"/>
      <w:numFmt w:val="upperLetter"/>
      <w:lvlText w:val="%1."/>
      <w:lvlJc w:val="left"/>
      <w:pPr>
        <w:tabs>
          <w:tab w:val="num" w:pos="1080"/>
        </w:tabs>
        <w:ind w:left="1080" w:hanging="360"/>
      </w:pPr>
      <w:rPr>
        <w:rFonts w:hint="default"/>
      </w:rPr>
    </w:lvl>
    <w:lvl w:ilvl="1" w:tplc="CB703E2A">
      <w:start w:val="2"/>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A263A4"/>
    <w:multiLevelType w:val="hybridMultilevel"/>
    <w:tmpl w:val="A0ECF7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2F7878"/>
    <w:multiLevelType w:val="hybridMultilevel"/>
    <w:tmpl w:val="09821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8"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0"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num>
  <w:num w:numId="6">
    <w:abstractNumId w:val="10"/>
  </w:num>
  <w:num w:numId="7">
    <w:abstractNumId w:val="8"/>
  </w:num>
  <w:num w:numId="8">
    <w:abstractNumId w:val="9"/>
  </w:num>
  <w:num w:numId="9">
    <w:abstractNumId w:val="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1D"/>
    <w:rsid w:val="000130CD"/>
    <w:rsid w:val="000222C4"/>
    <w:rsid w:val="00040491"/>
    <w:rsid w:val="00056F7C"/>
    <w:rsid w:val="000700DE"/>
    <w:rsid w:val="00071851"/>
    <w:rsid w:val="00073990"/>
    <w:rsid w:val="00080D2F"/>
    <w:rsid w:val="000B502A"/>
    <w:rsid w:val="000B6F78"/>
    <w:rsid w:val="001046DD"/>
    <w:rsid w:val="001232A1"/>
    <w:rsid w:val="0013187A"/>
    <w:rsid w:val="00141AEA"/>
    <w:rsid w:val="001452E5"/>
    <w:rsid w:val="00152275"/>
    <w:rsid w:val="00166E19"/>
    <w:rsid w:val="001D7D6D"/>
    <w:rsid w:val="00212EE1"/>
    <w:rsid w:val="00220873"/>
    <w:rsid w:val="00235CDD"/>
    <w:rsid w:val="00245288"/>
    <w:rsid w:val="00246388"/>
    <w:rsid w:val="0027323E"/>
    <w:rsid w:val="002A5FD6"/>
    <w:rsid w:val="002E289A"/>
    <w:rsid w:val="002F13BE"/>
    <w:rsid w:val="003070C4"/>
    <w:rsid w:val="003073F7"/>
    <w:rsid w:val="003C2C3B"/>
    <w:rsid w:val="003E09FC"/>
    <w:rsid w:val="003E60F0"/>
    <w:rsid w:val="00411ADA"/>
    <w:rsid w:val="0041524F"/>
    <w:rsid w:val="00421B34"/>
    <w:rsid w:val="0046231D"/>
    <w:rsid w:val="00465EAE"/>
    <w:rsid w:val="00505D0B"/>
    <w:rsid w:val="00507ABD"/>
    <w:rsid w:val="00534041"/>
    <w:rsid w:val="00537CA7"/>
    <w:rsid w:val="00544283"/>
    <w:rsid w:val="00546BC9"/>
    <w:rsid w:val="00563E6A"/>
    <w:rsid w:val="0058133C"/>
    <w:rsid w:val="005B5B82"/>
    <w:rsid w:val="005C1782"/>
    <w:rsid w:val="005E6D61"/>
    <w:rsid w:val="006503AC"/>
    <w:rsid w:val="00661554"/>
    <w:rsid w:val="0068634B"/>
    <w:rsid w:val="006A3C08"/>
    <w:rsid w:val="006E2B5A"/>
    <w:rsid w:val="006E6FA1"/>
    <w:rsid w:val="00753DE3"/>
    <w:rsid w:val="00756CA9"/>
    <w:rsid w:val="0079777E"/>
    <w:rsid w:val="00803C1A"/>
    <w:rsid w:val="00844015"/>
    <w:rsid w:val="00861D94"/>
    <w:rsid w:val="00876A0F"/>
    <w:rsid w:val="008B00A5"/>
    <w:rsid w:val="008C44CF"/>
    <w:rsid w:val="00901E97"/>
    <w:rsid w:val="00910D3C"/>
    <w:rsid w:val="00924421"/>
    <w:rsid w:val="00952176"/>
    <w:rsid w:val="009673E7"/>
    <w:rsid w:val="00987E61"/>
    <w:rsid w:val="009C2B64"/>
    <w:rsid w:val="009E660F"/>
    <w:rsid w:val="00A152DB"/>
    <w:rsid w:val="00A1637E"/>
    <w:rsid w:val="00A20C45"/>
    <w:rsid w:val="00A245C6"/>
    <w:rsid w:val="00A360D1"/>
    <w:rsid w:val="00A70378"/>
    <w:rsid w:val="00A82C62"/>
    <w:rsid w:val="00AE6750"/>
    <w:rsid w:val="00AE6EB5"/>
    <w:rsid w:val="00AF0123"/>
    <w:rsid w:val="00AF5050"/>
    <w:rsid w:val="00B03F3C"/>
    <w:rsid w:val="00B1049C"/>
    <w:rsid w:val="00B1079B"/>
    <w:rsid w:val="00B3423E"/>
    <w:rsid w:val="00B34C75"/>
    <w:rsid w:val="00B51DCF"/>
    <w:rsid w:val="00B553C4"/>
    <w:rsid w:val="00B667B1"/>
    <w:rsid w:val="00BB583B"/>
    <w:rsid w:val="00BD2F8D"/>
    <w:rsid w:val="00BD3C50"/>
    <w:rsid w:val="00BF0F88"/>
    <w:rsid w:val="00C55CD9"/>
    <w:rsid w:val="00C577A4"/>
    <w:rsid w:val="00C6096F"/>
    <w:rsid w:val="00C64B15"/>
    <w:rsid w:val="00C64CD7"/>
    <w:rsid w:val="00C70803"/>
    <w:rsid w:val="00D215B9"/>
    <w:rsid w:val="00D50C2D"/>
    <w:rsid w:val="00D524A4"/>
    <w:rsid w:val="00D77F61"/>
    <w:rsid w:val="00D95E79"/>
    <w:rsid w:val="00DD30EC"/>
    <w:rsid w:val="00E430FD"/>
    <w:rsid w:val="00E84BBF"/>
    <w:rsid w:val="00EA6CF1"/>
    <w:rsid w:val="00EE70D2"/>
    <w:rsid w:val="00F10279"/>
    <w:rsid w:val="00F11F75"/>
    <w:rsid w:val="00F1211E"/>
    <w:rsid w:val="00F312E6"/>
    <w:rsid w:val="00F3545E"/>
    <w:rsid w:val="00F60ACE"/>
    <w:rsid w:val="00F70419"/>
    <w:rsid w:val="00FD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53AD8D"/>
  <w15:docId w15:val="{C5F0F7D4-EE13-4629-8C92-C5A666A8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NormalWeb">
    <w:name w:val="Normal (Web)"/>
    <w:basedOn w:val="Normal"/>
    <w:pPr>
      <w:spacing w:before="100" w:beforeAutospacing="1" w:after="100" w:afterAutospacing="1"/>
    </w:pPr>
  </w:style>
  <w:style w:type="character" w:styleId="Hyperlink">
    <w:name w:val="Hyperlink"/>
    <w:rPr>
      <w:b/>
      <w:bCs/>
      <w:color w:val="auto"/>
      <w:u w:val="single"/>
    </w:rPr>
  </w:style>
  <w:style w:type="character" w:styleId="FollowedHyperlink">
    <w:name w:val="FollowedHyperlink"/>
    <w:rPr>
      <w:color w:val="auto"/>
      <w:u w:val="single"/>
    </w:rPr>
  </w:style>
  <w:style w:type="paragraph" w:styleId="BalloonText">
    <w:name w:val="Balloon Text"/>
    <w:basedOn w:val="Normal"/>
    <w:link w:val="BalloonTextChar"/>
    <w:rsid w:val="00E430FD"/>
    <w:rPr>
      <w:rFonts w:ascii="Tahoma" w:hAnsi="Tahoma" w:cs="Tahoma"/>
      <w:sz w:val="16"/>
      <w:szCs w:val="16"/>
    </w:rPr>
  </w:style>
  <w:style w:type="character" w:customStyle="1" w:styleId="BalloonTextChar">
    <w:name w:val="Balloon Text Char"/>
    <w:basedOn w:val="DefaultParagraphFont"/>
    <w:link w:val="BalloonText"/>
    <w:rsid w:val="00E430FD"/>
    <w:rPr>
      <w:rFonts w:ascii="Tahoma" w:hAnsi="Tahoma" w:cs="Tahoma"/>
      <w:sz w:val="16"/>
      <w:szCs w:val="16"/>
    </w:rPr>
  </w:style>
  <w:style w:type="paragraph" w:styleId="CommentText">
    <w:name w:val="annotation text"/>
    <w:basedOn w:val="Normal"/>
    <w:link w:val="CommentTextChar"/>
    <w:rsid w:val="00AF5050"/>
    <w:rPr>
      <w:sz w:val="20"/>
      <w:szCs w:val="20"/>
    </w:rPr>
  </w:style>
  <w:style w:type="character" w:customStyle="1" w:styleId="CommentTextChar">
    <w:name w:val="Comment Text Char"/>
    <w:basedOn w:val="DefaultParagraphFont"/>
    <w:link w:val="CommentText"/>
    <w:rsid w:val="00AF5050"/>
  </w:style>
  <w:style w:type="paragraph" w:styleId="CommentSubject">
    <w:name w:val="annotation subject"/>
    <w:basedOn w:val="CommentText"/>
    <w:next w:val="CommentText"/>
    <w:link w:val="CommentSubjectChar"/>
    <w:uiPriority w:val="99"/>
    <w:unhideWhenUsed/>
    <w:rsid w:val="00AF505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AF5050"/>
    <w:rPr>
      <w:rFonts w:asciiTheme="minorHAnsi" w:eastAsiaTheme="minorHAnsi" w:hAnsiTheme="minorHAnsi" w:cstheme="minorBidi"/>
      <w:b/>
      <w:bCs/>
    </w:rPr>
  </w:style>
  <w:style w:type="character" w:customStyle="1" w:styleId="FooterChar">
    <w:name w:val="Footer Char"/>
    <w:basedOn w:val="DefaultParagraphFont"/>
    <w:link w:val="Footer"/>
    <w:uiPriority w:val="99"/>
    <w:rsid w:val="008C44CF"/>
    <w:rPr>
      <w:sz w:val="24"/>
      <w:szCs w:val="24"/>
    </w:rPr>
  </w:style>
  <w:style w:type="paragraph" w:customStyle="1" w:styleId="level10">
    <w:name w:val="level1"/>
    <w:basedOn w:val="Normal"/>
    <w:rsid w:val="00507ABD"/>
    <w:rPr>
      <w:rFonts w:eastAsiaTheme="minorHAnsi"/>
    </w:rPr>
  </w:style>
  <w:style w:type="character" w:styleId="CommentReference">
    <w:name w:val="annotation reference"/>
    <w:basedOn w:val="DefaultParagraphFont"/>
    <w:rsid w:val="00B1079B"/>
    <w:rPr>
      <w:sz w:val="16"/>
      <w:szCs w:val="16"/>
    </w:rPr>
  </w:style>
  <w:style w:type="table" w:styleId="TableGrid">
    <w:name w:val="Table Grid"/>
    <w:basedOn w:val="TableNormal"/>
    <w:rsid w:val="0001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156">
      <w:bodyDiv w:val="1"/>
      <w:marLeft w:val="0"/>
      <w:marRight w:val="0"/>
      <w:marTop w:val="0"/>
      <w:marBottom w:val="0"/>
      <w:divBdr>
        <w:top w:val="none" w:sz="0" w:space="0" w:color="auto"/>
        <w:left w:val="none" w:sz="0" w:space="0" w:color="auto"/>
        <w:bottom w:val="none" w:sz="0" w:space="0" w:color="auto"/>
        <w:right w:val="none" w:sz="0" w:space="0" w:color="auto"/>
      </w:divBdr>
    </w:div>
    <w:div w:id="2073576167">
      <w:bodyDiv w:val="1"/>
      <w:marLeft w:val="0"/>
      <w:marRight w:val="0"/>
      <w:marTop w:val="0"/>
      <w:marBottom w:val="0"/>
      <w:divBdr>
        <w:top w:val="none" w:sz="0" w:space="0" w:color="auto"/>
        <w:left w:val="none" w:sz="0" w:space="0" w:color="auto"/>
        <w:bottom w:val="none" w:sz="0" w:space="0" w:color="auto"/>
        <w:right w:val="none" w:sz="0" w:space="0" w:color="auto"/>
      </w:divBdr>
    </w:div>
    <w:div w:id="21326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16-04cpd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d.gov/offices/cpd/homeless/rulesandregs/regulations/576esg/index.cf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7C01-8971-498E-BCB8-22FCC7ED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6403</CharactersWithSpaces>
  <SharedDoc>false</SharedDoc>
  <HLinks>
    <vt:vector size="12" baseType="variant">
      <vt:variant>
        <vt:i4>1245198</vt:i4>
      </vt:variant>
      <vt:variant>
        <vt:i4>3</vt:i4>
      </vt:variant>
      <vt:variant>
        <vt:i4>0</vt:i4>
      </vt:variant>
      <vt:variant>
        <vt:i4>5</vt:i4>
      </vt:variant>
      <vt:variant>
        <vt:lpwstr>http://www.hud.gov/offices/cpd/homeless/rulesandregs/regulations/576esg/index.cfm</vt:lpwstr>
      </vt:variant>
      <vt:variant>
        <vt:lpwstr/>
      </vt:variant>
      <vt:variant>
        <vt:i4>4522013</vt:i4>
      </vt:variant>
      <vt:variant>
        <vt:i4>0</vt:i4>
      </vt:variant>
      <vt:variant>
        <vt:i4>0</vt:i4>
      </vt:variant>
      <vt:variant>
        <vt:i4>5</vt:i4>
      </vt:variant>
      <vt:variant>
        <vt:lpwstr>http://www.hud.gov/offices/cpd/homeless/rulesandregs/laws/title4/sec11375.cfm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5</cp:revision>
  <cp:lastPrinted>2016-04-28T15:31:00Z</cp:lastPrinted>
  <dcterms:created xsi:type="dcterms:W3CDTF">2016-10-03T12:44:00Z</dcterms:created>
  <dcterms:modified xsi:type="dcterms:W3CDTF">2017-02-27T12:38:00Z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