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19ABE" w14:textId="77777777" w:rsidR="00A070C0" w:rsidRDefault="00A070C0" w:rsidP="00A070C0">
      <w:pPr>
        <w:spacing w:after="0" w:line="276" w:lineRule="auto"/>
      </w:pPr>
      <w:r>
        <w:t>Eviction Protection Grant Program FR-6500-N-79</w:t>
      </w:r>
    </w:p>
    <w:p w14:paraId="49EA26E4" w14:textId="77777777" w:rsidR="00A070C0" w:rsidRDefault="00A070C0" w:rsidP="00A070C0">
      <w:pPr>
        <w:spacing w:after="0" w:line="276" w:lineRule="auto"/>
      </w:pPr>
      <w:r>
        <w:t>Questions and Answers</w:t>
      </w:r>
    </w:p>
    <w:p w14:paraId="36E2D7B0" w14:textId="77777777" w:rsidR="00A070C0" w:rsidRDefault="00A070C0" w:rsidP="00A070C0">
      <w:pPr>
        <w:spacing w:after="0" w:line="276" w:lineRule="auto"/>
      </w:pPr>
    </w:p>
    <w:p w14:paraId="462EB706" w14:textId="77777777" w:rsidR="00A070C0" w:rsidRDefault="00A070C0" w:rsidP="00A070C0">
      <w:pPr>
        <w:spacing w:after="0" w:line="276" w:lineRule="auto"/>
      </w:pPr>
      <w:r>
        <w:t>ELIGIBILITY</w:t>
      </w:r>
    </w:p>
    <w:p w14:paraId="093037CD" w14:textId="77777777" w:rsidR="00A070C0" w:rsidRPr="00542F85" w:rsidRDefault="00A070C0" w:rsidP="00A070C0">
      <w:pPr>
        <w:spacing w:after="0" w:line="276" w:lineRule="auto"/>
        <w:rPr>
          <w:b/>
          <w:bCs/>
        </w:rPr>
      </w:pPr>
      <w:r w:rsidRPr="00542F85">
        <w:rPr>
          <w:b/>
          <w:bCs/>
        </w:rPr>
        <w:t>Are law school clinics eligible?</w:t>
      </w:r>
    </w:p>
    <w:p w14:paraId="19D9660D" w14:textId="77777777" w:rsidR="00A070C0" w:rsidRDefault="00A070C0" w:rsidP="00A070C0">
      <w:pPr>
        <w:spacing w:after="0" w:line="276" w:lineRule="auto"/>
      </w:pPr>
      <w:r>
        <w:t>The grant is available to governmental entities and to non-profits. If the clinic is part of a law school that is a non-profit or a state institution, it would be eligible.</w:t>
      </w:r>
    </w:p>
    <w:p w14:paraId="0587D1FC" w14:textId="77777777" w:rsidR="00A070C0" w:rsidRDefault="00A070C0" w:rsidP="00A070C0">
      <w:pPr>
        <w:spacing w:after="0" w:line="276" w:lineRule="auto"/>
      </w:pPr>
    </w:p>
    <w:p w14:paraId="468F53EA" w14:textId="77777777" w:rsidR="00A070C0" w:rsidRPr="00BA35D9" w:rsidRDefault="00A070C0" w:rsidP="00A070C0">
      <w:pPr>
        <w:spacing w:after="0" w:line="276" w:lineRule="auto"/>
        <w:rPr>
          <w:b/>
          <w:bCs/>
        </w:rPr>
      </w:pPr>
      <w:r w:rsidRPr="00BA35D9">
        <w:rPr>
          <w:b/>
          <w:bCs/>
        </w:rPr>
        <w:t>Are housing counseling organizations eligible?</w:t>
      </w:r>
    </w:p>
    <w:p w14:paraId="30F98420" w14:textId="5C536F77" w:rsidR="00A070C0" w:rsidRPr="00A070C0" w:rsidRDefault="00A070C0" w:rsidP="00A070C0">
      <w:pPr>
        <w:spacing w:after="0" w:line="276" w:lineRule="auto"/>
      </w:pPr>
      <w:r>
        <w:t xml:space="preserve">The core of this grant program is legal services. If the housing counseling organization </w:t>
      </w:r>
      <w:r w:rsidR="005760D9">
        <w:t xml:space="preserve">is an experienced non-profit with at least 3 years of experience and </w:t>
      </w:r>
      <w:r>
        <w:t xml:space="preserve">includes legal professionals who provide legal services to low-income individuals, the organization can apply if it meets the other requirements. </w:t>
      </w:r>
    </w:p>
    <w:p w14:paraId="6F4E8142" w14:textId="77777777" w:rsidR="00A070C0" w:rsidRDefault="00A070C0" w:rsidP="00A070C0">
      <w:pPr>
        <w:spacing w:after="0" w:line="276" w:lineRule="auto"/>
      </w:pPr>
    </w:p>
    <w:p w14:paraId="31C1C5AD" w14:textId="5E42B993" w:rsidR="00A070C0" w:rsidRPr="00BA35D9" w:rsidRDefault="00A070C0" w:rsidP="00A070C0">
      <w:pPr>
        <w:spacing w:after="0" w:line="276" w:lineRule="auto"/>
        <w:rPr>
          <w:b/>
          <w:bCs/>
        </w:rPr>
      </w:pPr>
      <w:r w:rsidRPr="00BA35D9">
        <w:rPr>
          <w:b/>
          <w:bCs/>
        </w:rPr>
        <w:t xml:space="preserve">Are </w:t>
      </w:r>
      <w:r>
        <w:rPr>
          <w:b/>
          <w:bCs/>
        </w:rPr>
        <w:t xml:space="preserve">public </w:t>
      </w:r>
      <w:r w:rsidRPr="00BA35D9">
        <w:rPr>
          <w:b/>
          <w:bCs/>
        </w:rPr>
        <w:t xml:space="preserve">housing </w:t>
      </w:r>
      <w:r>
        <w:rPr>
          <w:b/>
          <w:bCs/>
        </w:rPr>
        <w:t xml:space="preserve">authorities (PHAs) </w:t>
      </w:r>
      <w:r w:rsidRPr="00BA35D9">
        <w:rPr>
          <w:b/>
          <w:bCs/>
        </w:rPr>
        <w:t>eligible?</w:t>
      </w:r>
    </w:p>
    <w:p w14:paraId="71C94BB2" w14:textId="7573EF50" w:rsidR="00A070C0" w:rsidRDefault="006E7180" w:rsidP="00A070C0">
      <w:pPr>
        <w:spacing w:after="0" w:line="276" w:lineRule="auto"/>
      </w:pPr>
      <w:r>
        <w:t xml:space="preserve">PHAs are not eligible entities. </w:t>
      </w:r>
      <w:r w:rsidR="00804DD6">
        <w:t xml:space="preserve"> </w:t>
      </w:r>
    </w:p>
    <w:p w14:paraId="5269E14D" w14:textId="77777777" w:rsidR="00A070C0" w:rsidRDefault="00A070C0" w:rsidP="00A070C0">
      <w:pPr>
        <w:spacing w:after="0" w:line="276" w:lineRule="auto"/>
      </w:pPr>
    </w:p>
    <w:p w14:paraId="42F527B5" w14:textId="77777777" w:rsidR="00A070C0" w:rsidRPr="00BA35D9" w:rsidRDefault="00A070C0" w:rsidP="00A070C0">
      <w:pPr>
        <w:spacing w:after="0" w:line="276" w:lineRule="auto"/>
        <w:rPr>
          <w:b/>
          <w:bCs/>
        </w:rPr>
      </w:pPr>
      <w:r w:rsidRPr="00BA35D9">
        <w:rPr>
          <w:b/>
          <w:bCs/>
        </w:rPr>
        <w:t xml:space="preserve">Are </w:t>
      </w:r>
      <w:r w:rsidRPr="001916AE">
        <w:rPr>
          <w:b/>
          <w:bCs/>
        </w:rPr>
        <w:t>Tribally Designated Housing Entit</w:t>
      </w:r>
      <w:r>
        <w:rPr>
          <w:b/>
          <w:bCs/>
        </w:rPr>
        <w:t>ies</w:t>
      </w:r>
      <w:r w:rsidRPr="001916AE">
        <w:rPr>
          <w:b/>
          <w:bCs/>
        </w:rPr>
        <w:t xml:space="preserve"> (TDHE</w:t>
      </w:r>
      <w:r>
        <w:rPr>
          <w:b/>
          <w:bCs/>
        </w:rPr>
        <w:t>s</w:t>
      </w:r>
      <w:r w:rsidRPr="001916AE">
        <w:rPr>
          <w:b/>
          <w:bCs/>
        </w:rPr>
        <w:t>)</w:t>
      </w:r>
      <w:r>
        <w:rPr>
          <w:b/>
          <w:bCs/>
        </w:rPr>
        <w:t xml:space="preserve"> </w:t>
      </w:r>
      <w:r w:rsidRPr="00BA35D9">
        <w:rPr>
          <w:b/>
          <w:bCs/>
        </w:rPr>
        <w:t>eligible?</w:t>
      </w:r>
    </w:p>
    <w:p w14:paraId="21763252" w14:textId="03A3F7C3" w:rsidR="00A070C0" w:rsidRDefault="001E64FF" w:rsidP="00A070C0">
      <w:pPr>
        <w:spacing w:after="0" w:line="276" w:lineRule="auto"/>
      </w:pPr>
      <w:r>
        <w:t xml:space="preserve">TDHEs are not eligible entities. </w:t>
      </w:r>
      <w:r w:rsidR="006F70CE" w:rsidRPr="006F70CE" w:rsidDel="006F70CE">
        <w:t xml:space="preserve"> </w:t>
      </w:r>
    </w:p>
    <w:p w14:paraId="4E752E75" w14:textId="77777777" w:rsidR="00A070C0" w:rsidRDefault="00A070C0" w:rsidP="00A070C0">
      <w:pPr>
        <w:spacing w:after="0" w:line="276" w:lineRule="auto"/>
      </w:pPr>
    </w:p>
    <w:p w14:paraId="008420F7" w14:textId="3DA043C0" w:rsidR="00A070C0" w:rsidRPr="00542F85" w:rsidRDefault="00A070C0" w:rsidP="00A070C0">
      <w:pPr>
        <w:spacing w:after="0" w:line="276" w:lineRule="auto"/>
        <w:rPr>
          <w:b/>
          <w:bCs/>
        </w:rPr>
      </w:pPr>
      <w:r w:rsidRPr="00542F85">
        <w:rPr>
          <w:b/>
          <w:bCs/>
        </w:rPr>
        <w:t xml:space="preserve">Are </w:t>
      </w:r>
      <w:r>
        <w:rPr>
          <w:b/>
          <w:bCs/>
        </w:rPr>
        <w:t>non</w:t>
      </w:r>
      <w:r w:rsidR="001F71F9">
        <w:rPr>
          <w:b/>
          <w:bCs/>
        </w:rPr>
        <w:t>-</w:t>
      </w:r>
      <w:r>
        <w:rPr>
          <w:b/>
          <w:bCs/>
        </w:rPr>
        <w:t xml:space="preserve">profits that partner with legal aid organizations </w:t>
      </w:r>
      <w:r w:rsidRPr="00542F85">
        <w:rPr>
          <w:b/>
          <w:bCs/>
        </w:rPr>
        <w:t>eligible?</w:t>
      </w:r>
    </w:p>
    <w:p w14:paraId="0FD681D3" w14:textId="61B5908D" w:rsidR="00C77D3D" w:rsidRDefault="7F11DC04" w:rsidP="00A070C0">
      <w:pPr>
        <w:spacing w:after="0" w:line="276" w:lineRule="auto"/>
      </w:pPr>
      <w:r>
        <w:t>The non-profit</w:t>
      </w:r>
      <w:r w:rsidR="4856A799">
        <w:t xml:space="preserve"> applicant</w:t>
      </w:r>
      <w:r>
        <w:t xml:space="preserve"> </w:t>
      </w:r>
      <w:r w:rsidRPr="1D72AD1B">
        <w:rPr>
          <w:u w:val="single"/>
        </w:rPr>
        <w:t>itself</w:t>
      </w:r>
      <w:r>
        <w:t xml:space="preserve"> must </w:t>
      </w:r>
      <w:bookmarkStart w:id="0" w:name="_Hlk80966176"/>
      <w:r>
        <w:t xml:space="preserve">have at least </w:t>
      </w:r>
      <w:r w:rsidR="183E18D5">
        <w:t>3</w:t>
      </w:r>
      <w:r w:rsidR="317CE3BF">
        <w:t xml:space="preserve"> years of experience providing </w:t>
      </w:r>
      <w:r w:rsidR="5084B526">
        <w:t xml:space="preserve">relevant legal and related </w:t>
      </w:r>
      <w:r w:rsidR="317CE3BF">
        <w:t xml:space="preserve">services to low-income </w:t>
      </w:r>
      <w:r w:rsidR="5F709859">
        <w:t xml:space="preserve">individuals </w:t>
      </w:r>
      <w:r w:rsidR="317CE3BF">
        <w:t xml:space="preserve">to be eligible. </w:t>
      </w:r>
      <w:bookmarkEnd w:id="0"/>
      <w:r w:rsidR="4856A799">
        <w:t xml:space="preserve">Simply partnering with a legal aid organization is not sufficient to make a non-profit eligible.  </w:t>
      </w:r>
    </w:p>
    <w:p w14:paraId="0D775BB3" w14:textId="370599C6" w:rsidR="00D91F3C" w:rsidRDefault="00D91F3C" w:rsidP="00A070C0">
      <w:pPr>
        <w:spacing w:after="0" w:line="276" w:lineRule="auto"/>
      </w:pPr>
    </w:p>
    <w:p w14:paraId="6CE92029" w14:textId="22C8F812" w:rsidR="00D91F3C" w:rsidRPr="008471B8" w:rsidRDefault="00D91F3C" w:rsidP="00A070C0">
      <w:pPr>
        <w:spacing w:after="0" w:line="276" w:lineRule="auto"/>
        <w:rPr>
          <w:b/>
          <w:bCs/>
        </w:rPr>
      </w:pPr>
      <w:r w:rsidRPr="008471B8">
        <w:rPr>
          <w:b/>
          <w:bCs/>
        </w:rPr>
        <w:t xml:space="preserve">Are cities that contract with legal service providers as part of an eviction diversion program eligible? </w:t>
      </w:r>
    </w:p>
    <w:p w14:paraId="12E195B2" w14:textId="68D4A09F" w:rsidR="00D91F3C" w:rsidRDefault="00EC5F74" w:rsidP="008471B8">
      <w:pPr>
        <w:spacing w:after="0" w:line="276" w:lineRule="auto"/>
      </w:pPr>
      <w:r>
        <w:t>C</w:t>
      </w:r>
      <w:r w:rsidR="00D91F3C">
        <w:t xml:space="preserve">ity governments must </w:t>
      </w:r>
      <w:r w:rsidR="00D91F3C" w:rsidRPr="00D91F3C">
        <w:t xml:space="preserve">have at least 3 years of experience providing </w:t>
      </w:r>
      <w:r>
        <w:t xml:space="preserve">legal </w:t>
      </w:r>
      <w:r w:rsidR="00D91F3C" w:rsidRPr="00D91F3C">
        <w:t>services</w:t>
      </w:r>
      <w:r w:rsidR="008471B8">
        <w:t xml:space="preserve"> </w:t>
      </w:r>
      <w:r>
        <w:t xml:space="preserve">to low-income individuals </w:t>
      </w:r>
      <w:r w:rsidR="008471B8">
        <w:t>via in-house staff, contractors, or consultants</w:t>
      </w:r>
      <w:r>
        <w:t xml:space="preserve"> to be eligible</w:t>
      </w:r>
      <w:r w:rsidR="00D91F3C" w:rsidRPr="00D91F3C">
        <w:t xml:space="preserve">. </w:t>
      </w:r>
      <w:r w:rsidR="00D91F3C">
        <w:t xml:space="preserve"> </w:t>
      </w:r>
    </w:p>
    <w:p w14:paraId="3796881A" w14:textId="77777777" w:rsidR="00A070C0" w:rsidRDefault="00A070C0" w:rsidP="00A070C0">
      <w:pPr>
        <w:spacing w:after="0" w:line="276" w:lineRule="auto"/>
      </w:pPr>
    </w:p>
    <w:p w14:paraId="24F02231" w14:textId="0E95415A" w:rsidR="00A070C0" w:rsidRPr="00542F85" w:rsidRDefault="362B48B1" w:rsidP="00A070C0">
      <w:pPr>
        <w:spacing w:after="0" w:line="276" w:lineRule="auto"/>
        <w:rPr>
          <w:b/>
          <w:bCs/>
        </w:rPr>
      </w:pPr>
      <w:r w:rsidRPr="1D72AD1B">
        <w:rPr>
          <w:b/>
          <w:bCs/>
        </w:rPr>
        <w:t xml:space="preserve">Are entities that have been operating for less than </w:t>
      </w:r>
      <w:r w:rsidR="180EC664" w:rsidRPr="1D72AD1B">
        <w:rPr>
          <w:b/>
          <w:bCs/>
        </w:rPr>
        <w:t>3</w:t>
      </w:r>
      <w:r w:rsidRPr="1D72AD1B">
        <w:rPr>
          <w:b/>
          <w:bCs/>
        </w:rPr>
        <w:t xml:space="preserve"> years eligible?</w:t>
      </w:r>
    </w:p>
    <w:p w14:paraId="03BBF030" w14:textId="7DBD053D" w:rsidR="00D22970" w:rsidRDefault="00D22970" w:rsidP="00D22970">
      <w:pPr>
        <w:spacing w:after="0" w:line="276" w:lineRule="auto"/>
      </w:pPr>
      <w:r>
        <w:t xml:space="preserve">No. The governmental or non-profit entity must have </w:t>
      </w:r>
      <w:r w:rsidR="00315522">
        <w:t xml:space="preserve">been operating for </w:t>
      </w:r>
      <w:r>
        <w:t xml:space="preserve">at least 3 years </w:t>
      </w:r>
      <w:r w:rsidR="00315522">
        <w:t>in providing</w:t>
      </w:r>
      <w:r>
        <w:t xml:space="preserve"> relevant legal and related services to low-income </w:t>
      </w:r>
      <w:r w:rsidR="00DF6C6C">
        <w:t xml:space="preserve">individuals </w:t>
      </w:r>
      <w:r>
        <w:t>to be eligible.</w:t>
      </w:r>
    </w:p>
    <w:p w14:paraId="5DA07427" w14:textId="77777777" w:rsidR="00D22970" w:rsidRDefault="00D22970" w:rsidP="00A070C0">
      <w:pPr>
        <w:spacing w:after="0" w:line="276" w:lineRule="auto"/>
      </w:pPr>
    </w:p>
    <w:p w14:paraId="0B198B35" w14:textId="77777777" w:rsidR="00A070C0" w:rsidRDefault="00A070C0" w:rsidP="00A070C0">
      <w:pPr>
        <w:spacing w:after="0" w:line="276" w:lineRule="auto"/>
        <w:rPr>
          <w:b/>
          <w:bCs/>
        </w:rPr>
      </w:pPr>
      <w:r w:rsidRPr="00DF0505">
        <w:rPr>
          <w:b/>
          <w:bCs/>
        </w:rPr>
        <w:t>Are individuals eligible</w:t>
      </w:r>
      <w:r w:rsidRPr="44FA23D2">
        <w:rPr>
          <w:b/>
          <w:bCs/>
        </w:rPr>
        <w:t xml:space="preserve"> to apply</w:t>
      </w:r>
      <w:r w:rsidRPr="00DF0505">
        <w:rPr>
          <w:b/>
          <w:bCs/>
        </w:rPr>
        <w:t>?</w:t>
      </w:r>
    </w:p>
    <w:p w14:paraId="6DFE29F2" w14:textId="77777777" w:rsidR="00A070C0" w:rsidRDefault="00A070C0" w:rsidP="00A070C0">
      <w:pPr>
        <w:spacing w:after="0" w:line="276" w:lineRule="auto"/>
      </w:pPr>
      <w:r>
        <w:t xml:space="preserve">Individuals, foreign entities, and sole proprietorship organizations </w:t>
      </w:r>
      <w:r w:rsidRPr="00DF0505">
        <w:rPr>
          <w:u w:val="single"/>
        </w:rPr>
        <w:t>are not eligible</w:t>
      </w:r>
      <w:r>
        <w:t xml:space="preserve"> to compete for, or receive, awards made under this announcement. Governmental entities and non-profits that receive grant funding for the program will provide legal assistance to low-income tenants at risk of or subject to eviction.</w:t>
      </w:r>
    </w:p>
    <w:p w14:paraId="0AC0B916" w14:textId="77777777" w:rsidR="00A070C0" w:rsidRDefault="00A070C0" w:rsidP="00A070C0">
      <w:pPr>
        <w:spacing w:after="0" w:line="276" w:lineRule="auto"/>
        <w:rPr>
          <w:rStyle w:val="CommentReference"/>
        </w:rPr>
      </w:pPr>
    </w:p>
    <w:p w14:paraId="146E5E91" w14:textId="15236AB1" w:rsidR="00A070C0" w:rsidRDefault="00A070C0" w:rsidP="00A070C0">
      <w:pPr>
        <w:spacing w:after="0" w:line="276" w:lineRule="auto"/>
      </w:pPr>
      <w:r>
        <w:t>SERVICES</w:t>
      </w:r>
    </w:p>
    <w:p w14:paraId="692E99B2" w14:textId="77777777" w:rsidR="00A070C0" w:rsidRDefault="00A070C0" w:rsidP="00A070C0">
      <w:pPr>
        <w:spacing w:after="0" w:line="276" w:lineRule="auto"/>
        <w:rPr>
          <w:b/>
          <w:bCs/>
        </w:rPr>
      </w:pPr>
      <w:r w:rsidRPr="00DD0F47">
        <w:rPr>
          <w:b/>
          <w:bCs/>
        </w:rPr>
        <w:t xml:space="preserve">Is this funding opportunity available only for programs that serve rural </w:t>
      </w:r>
      <w:r>
        <w:rPr>
          <w:b/>
          <w:bCs/>
        </w:rPr>
        <w:t>communities</w:t>
      </w:r>
      <w:r w:rsidRPr="00DD0F47">
        <w:rPr>
          <w:b/>
          <w:bCs/>
        </w:rPr>
        <w:t>?</w:t>
      </w:r>
    </w:p>
    <w:p w14:paraId="2C08C75E" w14:textId="3EB9DDC3" w:rsidR="00A070C0" w:rsidRDefault="00A070C0" w:rsidP="00A070C0">
      <w:pPr>
        <w:spacing w:after="0" w:line="276" w:lineRule="auto"/>
      </w:pPr>
      <w:r>
        <w:t>No. A portion of the funds will be awarded to rural-serving programs, but not every applicant is expected to serve rural areas.</w:t>
      </w:r>
    </w:p>
    <w:p w14:paraId="67D534FE" w14:textId="61E32297" w:rsidR="00A070C0" w:rsidRDefault="00A070C0" w:rsidP="00A070C0">
      <w:pPr>
        <w:spacing w:after="0" w:line="276" w:lineRule="auto"/>
      </w:pPr>
    </w:p>
    <w:p w14:paraId="61B2F3F0" w14:textId="29452C69" w:rsidR="006A65C6" w:rsidRDefault="006A65C6" w:rsidP="00A070C0">
      <w:pPr>
        <w:spacing w:after="0" w:line="276" w:lineRule="auto"/>
      </w:pPr>
    </w:p>
    <w:p w14:paraId="5DC57309" w14:textId="77777777" w:rsidR="006A65C6" w:rsidRDefault="006A65C6" w:rsidP="00A070C0">
      <w:pPr>
        <w:spacing w:after="0" w:line="276" w:lineRule="auto"/>
      </w:pPr>
    </w:p>
    <w:p w14:paraId="795ED7ED" w14:textId="77777777" w:rsidR="00A070C0" w:rsidRDefault="00A070C0" w:rsidP="00A070C0">
      <w:pPr>
        <w:spacing w:after="0" w:line="276" w:lineRule="auto"/>
        <w:rPr>
          <w:b/>
          <w:bCs/>
        </w:rPr>
      </w:pPr>
      <w:r w:rsidRPr="0041442E">
        <w:rPr>
          <w:b/>
          <w:bCs/>
        </w:rPr>
        <w:t>Can the funding be used to expand an existing program</w:t>
      </w:r>
      <w:r>
        <w:rPr>
          <w:b/>
          <w:bCs/>
        </w:rPr>
        <w:t xml:space="preserve"> that does not currently serve rural communities so that it can </w:t>
      </w:r>
      <w:r w:rsidRPr="0041442E">
        <w:rPr>
          <w:b/>
          <w:bCs/>
        </w:rPr>
        <w:t xml:space="preserve">serve </w:t>
      </w:r>
      <w:r>
        <w:rPr>
          <w:b/>
          <w:bCs/>
        </w:rPr>
        <w:t xml:space="preserve">nearby </w:t>
      </w:r>
      <w:r w:rsidRPr="0041442E">
        <w:rPr>
          <w:b/>
          <w:bCs/>
        </w:rPr>
        <w:t>rural communities?</w:t>
      </w:r>
    </w:p>
    <w:p w14:paraId="3404D49A" w14:textId="3C6C8274" w:rsidR="00A070C0" w:rsidRPr="00A070C0" w:rsidRDefault="00A070C0" w:rsidP="00A070C0">
      <w:pPr>
        <w:spacing w:after="0" w:line="276" w:lineRule="auto"/>
      </w:pPr>
      <w:r>
        <w:t>Yes. The grant funding can be used to expand capacity of existing organizations to serve more tenants at risk of or subject to eviction. If an organization proposes to expand its operations to reach tenants in underserved communities, which can include rural communities, funding can be used for that purpose, subject to restrictions on administrative costs.</w:t>
      </w:r>
    </w:p>
    <w:p w14:paraId="385CDE9A" w14:textId="77777777" w:rsidR="00A070C0" w:rsidRDefault="00A070C0" w:rsidP="00A070C0">
      <w:pPr>
        <w:spacing w:after="0" w:line="276" w:lineRule="auto"/>
      </w:pPr>
    </w:p>
    <w:p w14:paraId="5DD49ECC" w14:textId="77777777" w:rsidR="00A070C0" w:rsidRDefault="00A070C0" w:rsidP="00A070C0">
      <w:pPr>
        <w:spacing w:after="0" w:line="276" w:lineRule="auto"/>
        <w:rPr>
          <w:b/>
          <w:bCs/>
        </w:rPr>
      </w:pPr>
      <w:r>
        <w:rPr>
          <w:b/>
          <w:bCs/>
        </w:rPr>
        <w:t>Will a program that provides only legal services, representing tenants once an eviction notice has been filed, have a chance of receiving funding? Or is the organization required to provide other services to assist tenants?</w:t>
      </w:r>
    </w:p>
    <w:p w14:paraId="753DC89D" w14:textId="1DB1EC75" w:rsidR="00A070C0" w:rsidRPr="00A070C0" w:rsidRDefault="00A070C0" w:rsidP="00A070C0">
      <w:pPr>
        <w:spacing w:after="0" w:line="276" w:lineRule="auto"/>
      </w:pPr>
      <w:r>
        <w:t xml:space="preserve">The applicant should identify the needs in its service area, in accordance with Rating Factor 2, and its plans for addressing those needs in accordance with Rating Factor 3. </w:t>
      </w:r>
    </w:p>
    <w:p w14:paraId="5E463455" w14:textId="77777777" w:rsidR="00A070C0" w:rsidRDefault="00A070C0" w:rsidP="00A070C0">
      <w:pPr>
        <w:spacing w:after="0" w:line="276" w:lineRule="auto"/>
      </w:pPr>
    </w:p>
    <w:p w14:paraId="4652801D" w14:textId="77777777" w:rsidR="00A070C0" w:rsidRDefault="00A070C0" w:rsidP="00A070C0">
      <w:pPr>
        <w:spacing w:after="0" w:line="276" w:lineRule="auto"/>
        <w:rPr>
          <w:b/>
          <w:bCs/>
        </w:rPr>
      </w:pPr>
      <w:r w:rsidRPr="00A23770">
        <w:rPr>
          <w:b/>
          <w:bCs/>
        </w:rPr>
        <w:t xml:space="preserve">Is </w:t>
      </w:r>
      <w:r>
        <w:rPr>
          <w:b/>
          <w:bCs/>
        </w:rPr>
        <w:t xml:space="preserve">a legal provider </w:t>
      </w:r>
      <w:r w:rsidRPr="00A23770">
        <w:rPr>
          <w:b/>
          <w:bCs/>
        </w:rPr>
        <w:t xml:space="preserve">required to have </w:t>
      </w:r>
      <w:r>
        <w:rPr>
          <w:b/>
          <w:bCs/>
        </w:rPr>
        <w:t>partnerships with non-legal organizations to have a chance of receiving funding?</w:t>
      </w:r>
    </w:p>
    <w:p w14:paraId="1C468779" w14:textId="7F5F139E" w:rsidR="00A070C0" w:rsidRDefault="00A070C0" w:rsidP="00A070C0">
      <w:pPr>
        <w:spacing w:after="0" w:line="276" w:lineRule="auto"/>
      </w:pPr>
      <w:r>
        <w:t xml:space="preserve">Partnerships are not required. The applicant should identify the needs in its service area, in accordance with Rating Factor 2, and its plans for addressing those needs in accordance with Rating Factor 3. </w:t>
      </w:r>
    </w:p>
    <w:p w14:paraId="58C7EFCB" w14:textId="77777777" w:rsidR="00A070C0" w:rsidRDefault="00A070C0" w:rsidP="00A070C0">
      <w:pPr>
        <w:spacing w:after="0" w:line="276" w:lineRule="auto"/>
      </w:pPr>
      <w:r>
        <w:t xml:space="preserve">  </w:t>
      </w:r>
    </w:p>
    <w:p w14:paraId="0947197D" w14:textId="77777777" w:rsidR="00A070C0" w:rsidRDefault="00A070C0" w:rsidP="00A070C0">
      <w:pPr>
        <w:spacing w:after="0" w:line="276" w:lineRule="auto"/>
      </w:pPr>
      <w:r>
        <w:t>ADMINISTRATIVE COSTS</w:t>
      </w:r>
    </w:p>
    <w:p w14:paraId="07A9829E" w14:textId="77777777" w:rsidR="00A070C0" w:rsidRDefault="00A070C0" w:rsidP="00A070C0">
      <w:pPr>
        <w:spacing w:after="0" w:line="276" w:lineRule="auto"/>
        <w:rPr>
          <w:b/>
          <w:bCs/>
        </w:rPr>
      </w:pPr>
      <w:r>
        <w:rPr>
          <w:b/>
          <w:bCs/>
        </w:rPr>
        <w:t xml:space="preserve">What percentage of grant funds can be used for administrative costs? </w:t>
      </w:r>
    </w:p>
    <w:p w14:paraId="0D048F57" w14:textId="77777777" w:rsidR="00A070C0" w:rsidRDefault="00A070C0" w:rsidP="00A070C0">
      <w:pPr>
        <w:spacing w:after="0" w:line="276" w:lineRule="auto"/>
      </w:pPr>
      <w:r>
        <w:t xml:space="preserve">Up to 10 percent of grant funds can be used for costs associated with administering the grant. </w:t>
      </w:r>
      <w:r w:rsidRPr="00365168">
        <w:t>The applicant should</w:t>
      </w:r>
      <w:r>
        <w:t xml:space="preserve"> detail its plan for administrative and program costs </w:t>
      </w:r>
      <w:r w:rsidRPr="00365168">
        <w:t xml:space="preserve">in accordance with Rating Factor </w:t>
      </w:r>
      <w:r>
        <w:t xml:space="preserve">4. </w:t>
      </w:r>
    </w:p>
    <w:p w14:paraId="318C0EC3" w14:textId="77777777" w:rsidR="002B1D03" w:rsidRPr="00A070C0" w:rsidRDefault="002B1D03" w:rsidP="00A070C0"/>
    <w:sectPr w:rsidR="002B1D03" w:rsidRPr="00A070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C7FF5"/>
    <w:multiLevelType w:val="hybridMultilevel"/>
    <w:tmpl w:val="4BA69E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003"/>
    <w:rsid w:val="000B640D"/>
    <w:rsid w:val="000E41DF"/>
    <w:rsid w:val="00103C26"/>
    <w:rsid w:val="00126694"/>
    <w:rsid w:val="00165637"/>
    <w:rsid w:val="001E64FF"/>
    <w:rsid w:val="001F71F9"/>
    <w:rsid w:val="00210A2D"/>
    <w:rsid w:val="002536AE"/>
    <w:rsid w:val="002B1D03"/>
    <w:rsid w:val="00302AA6"/>
    <w:rsid w:val="00305512"/>
    <w:rsid w:val="00315522"/>
    <w:rsid w:val="004230B6"/>
    <w:rsid w:val="004A3B39"/>
    <w:rsid w:val="004D1666"/>
    <w:rsid w:val="00527D7C"/>
    <w:rsid w:val="005523E9"/>
    <w:rsid w:val="005760D9"/>
    <w:rsid w:val="005C6D99"/>
    <w:rsid w:val="005F27BD"/>
    <w:rsid w:val="00630BEB"/>
    <w:rsid w:val="006A65C6"/>
    <w:rsid w:val="006C2F99"/>
    <w:rsid w:val="006E7180"/>
    <w:rsid w:val="006F70CE"/>
    <w:rsid w:val="00702BC2"/>
    <w:rsid w:val="007A4585"/>
    <w:rsid w:val="007D1FE8"/>
    <w:rsid w:val="00804DD6"/>
    <w:rsid w:val="008471B8"/>
    <w:rsid w:val="00906971"/>
    <w:rsid w:val="00934146"/>
    <w:rsid w:val="00953D0A"/>
    <w:rsid w:val="00A070C0"/>
    <w:rsid w:val="00AA78AC"/>
    <w:rsid w:val="00AD6244"/>
    <w:rsid w:val="00B06B7F"/>
    <w:rsid w:val="00B23003"/>
    <w:rsid w:val="00B233D7"/>
    <w:rsid w:val="00BA32FE"/>
    <w:rsid w:val="00BD616E"/>
    <w:rsid w:val="00C239B3"/>
    <w:rsid w:val="00C77D3D"/>
    <w:rsid w:val="00CD4C2D"/>
    <w:rsid w:val="00D07FE3"/>
    <w:rsid w:val="00D22970"/>
    <w:rsid w:val="00D5551E"/>
    <w:rsid w:val="00D6738C"/>
    <w:rsid w:val="00D91F3C"/>
    <w:rsid w:val="00DB6DEB"/>
    <w:rsid w:val="00DC5B1B"/>
    <w:rsid w:val="00DE5BA7"/>
    <w:rsid w:val="00DF6C6C"/>
    <w:rsid w:val="00E511A9"/>
    <w:rsid w:val="00E56E5B"/>
    <w:rsid w:val="00E9480F"/>
    <w:rsid w:val="00EA3240"/>
    <w:rsid w:val="00EC5F74"/>
    <w:rsid w:val="00F115F1"/>
    <w:rsid w:val="00F148D9"/>
    <w:rsid w:val="00FF476B"/>
    <w:rsid w:val="04AD94F4"/>
    <w:rsid w:val="08EB57A4"/>
    <w:rsid w:val="10B2E216"/>
    <w:rsid w:val="180EC664"/>
    <w:rsid w:val="183E18D5"/>
    <w:rsid w:val="1D72AD1B"/>
    <w:rsid w:val="1E0AE173"/>
    <w:rsid w:val="20C8B923"/>
    <w:rsid w:val="317CE3BF"/>
    <w:rsid w:val="362B48B1"/>
    <w:rsid w:val="3D467DEE"/>
    <w:rsid w:val="40D36E43"/>
    <w:rsid w:val="4856A799"/>
    <w:rsid w:val="5084B526"/>
    <w:rsid w:val="5196BAAB"/>
    <w:rsid w:val="5BCEF717"/>
    <w:rsid w:val="5F709859"/>
    <w:rsid w:val="6B896400"/>
    <w:rsid w:val="723B9244"/>
    <w:rsid w:val="76ED0382"/>
    <w:rsid w:val="7F11D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CFDF3"/>
  <w15:chartTrackingRefBased/>
  <w15:docId w15:val="{D2393432-25DF-444A-A77E-C1DA5148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0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3003"/>
    <w:rPr>
      <w:sz w:val="16"/>
      <w:szCs w:val="16"/>
    </w:rPr>
  </w:style>
  <w:style w:type="paragraph" w:styleId="CommentText">
    <w:name w:val="annotation text"/>
    <w:basedOn w:val="Normal"/>
    <w:link w:val="CommentTextChar"/>
    <w:uiPriority w:val="99"/>
    <w:unhideWhenUsed/>
    <w:rsid w:val="00B23003"/>
    <w:pPr>
      <w:spacing w:line="240" w:lineRule="auto"/>
    </w:pPr>
    <w:rPr>
      <w:sz w:val="20"/>
      <w:szCs w:val="20"/>
    </w:rPr>
  </w:style>
  <w:style w:type="character" w:customStyle="1" w:styleId="CommentTextChar">
    <w:name w:val="Comment Text Char"/>
    <w:basedOn w:val="DefaultParagraphFont"/>
    <w:link w:val="CommentText"/>
    <w:uiPriority w:val="99"/>
    <w:rsid w:val="00B23003"/>
    <w:rPr>
      <w:sz w:val="20"/>
      <w:szCs w:val="20"/>
    </w:rPr>
  </w:style>
  <w:style w:type="character" w:styleId="Mention">
    <w:name w:val="Mention"/>
    <w:basedOn w:val="DefaultParagraphFont"/>
    <w:uiPriority w:val="99"/>
    <w:unhideWhenUsed/>
    <w:rsid w:val="00B23003"/>
    <w:rPr>
      <w:color w:val="2B579A"/>
      <w:shd w:val="clear" w:color="auto" w:fill="E1DFDD"/>
    </w:rPr>
  </w:style>
  <w:style w:type="paragraph" w:styleId="ListParagraph">
    <w:name w:val="List Paragraph"/>
    <w:basedOn w:val="Normal"/>
    <w:uiPriority w:val="34"/>
    <w:qFormat/>
    <w:rsid w:val="00B23003"/>
    <w:pPr>
      <w:ind w:left="720"/>
      <w:contextualSpacing/>
    </w:pPr>
  </w:style>
  <w:style w:type="paragraph" w:styleId="CommentSubject">
    <w:name w:val="annotation subject"/>
    <w:basedOn w:val="CommentText"/>
    <w:next w:val="CommentText"/>
    <w:link w:val="CommentSubjectChar"/>
    <w:uiPriority w:val="99"/>
    <w:semiHidden/>
    <w:unhideWhenUsed/>
    <w:rsid w:val="00CD4C2D"/>
    <w:rPr>
      <w:b/>
      <w:bCs/>
    </w:rPr>
  </w:style>
  <w:style w:type="character" w:customStyle="1" w:styleId="CommentSubjectChar">
    <w:name w:val="Comment Subject Char"/>
    <w:basedOn w:val="CommentTextChar"/>
    <w:link w:val="CommentSubject"/>
    <w:uiPriority w:val="99"/>
    <w:semiHidden/>
    <w:rsid w:val="00CD4C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589DB664FA8C4CAC16E7D7103C0CC6" ma:contentTypeVersion="5" ma:contentTypeDescription="Create a new document." ma:contentTypeScope="" ma:versionID="02da5b317c78a100b3dcbc6893c6b3c7">
  <xsd:schema xmlns:xsd="http://www.w3.org/2001/XMLSchema" xmlns:xs="http://www.w3.org/2001/XMLSchema" xmlns:p="http://schemas.microsoft.com/office/2006/metadata/properties" xmlns:ns3="54bf11d7-e2a9-4ba6-9683-7588679c1239" xmlns:ns4="25987e62-6269-4082-8f97-fa90d8674ea3" targetNamespace="http://schemas.microsoft.com/office/2006/metadata/properties" ma:root="true" ma:fieldsID="6dc27c8c7a80cebb175b7a2019b7b093" ns3:_="" ns4:_="">
    <xsd:import namespace="54bf11d7-e2a9-4ba6-9683-7588679c1239"/>
    <xsd:import namespace="25987e62-6269-4082-8f97-fa90d8674ea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f11d7-e2a9-4ba6-9683-7588679c1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987e62-6269-4082-8f97-fa90d8674e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EF3366-5C94-48D9-A656-A2B3B4586169}">
  <ds:schemaRefs>
    <ds:schemaRef ds:uri="http://schemas.microsoft.com/sharepoint/v3/contenttype/forms"/>
  </ds:schemaRefs>
</ds:datastoreItem>
</file>

<file path=customXml/itemProps2.xml><?xml version="1.0" encoding="utf-8"?>
<ds:datastoreItem xmlns:ds="http://schemas.openxmlformats.org/officeDocument/2006/customXml" ds:itemID="{B5F07E3C-D35D-4E19-8485-5BE597D6B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f11d7-e2a9-4ba6-9683-7588679c1239"/>
    <ds:schemaRef ds:uri="25987e62-6269-4082-8f97-fa90d8674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F81B16-7B17-41DA-B44A-A0E72904B0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Goldberg, Jenna A</dc:creator>
  <cp:keywords/>
  <dc:description/>
  <cp:lastModifiedBy>Watson, Nicole E</cp:lastModifiedBy>
  <cp:revision>3</cp:revision>
  <dcterms:created xsi:type="dcterms:W3CDTF">2021-08-27T19:35:00Z</dcterms:created>
  <dcterms:modified xsi:type="dcterms:W3CDTF">2021-08-27T20:06:00Z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0x010100B3589DB664FA8C4CAC16E7D7103C0CC6</vt:lpwstr>
  </property>
</Properties>
</file>