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9C33A" w14:textId="05BB2ECA" w:rsidR="00EA593F" w:rsidRPr="00122F97" w:rsidRDefault="00EA593F" w:rsidP="00F379FF">
      <w:pPr>
        <w:pStyle w:val="Heading1"/>
        <w:jc w:val="center"/>
      </w:pPr>
      <w:r w:rsidRPr="00122F97">
        <w:t>L</w:t>
      </w:r>
      <w:r w:rsidR="00F379FF">
        <w:t>ead-based Paint Cap</w:t>
      </w:r>
      <w:bookmarkStart w:id="0" w:name="_GoBack"/>
      <w:bookmarkEnd w:id="0"/>
      <w:r w:rsidR="00F379FF">
        <w:t>ital Fund</w:t>
      </w:r>
      <w:r w:rsidRPr="00122F97">
        <w:t xml:space="preserve"> Grant Awardees FAQ</w:t>
      </w:r>
    </w:p>
    <w:p w14:paraId="0C936A88" w14:textId="77777777" w:rsidR="00EA593F" w:rsidRPr="00694065" w:rsidRDefault="00EA593F" w:rsidP="00F37C3C">
      <w:pPr>
        <w:pStyle w:val="Default"/>
        <w:rPr>
          <w:sz w:val="23"/>
          <w:szCs w:val="23"/>
        </w:rPr>
      </w:pPr>
    </w:p>
    <w:p w14:paraId="0E6A8A72" w14:textId="77777777" w:rsidR="00EA593F" w:rsidRPr="00694065" w:rsidRDefault="00EA593F" w:rsidP="00F37C3C">
      <w:pPr>
        <w:pStyle w:val="Default"/>
        <w:numPr>
          <w:ilvl w:val="0"/>
          <w:numId w:val="3"/>
        </w:numPr>
        <w:rPr>
          <w:sz w:val="23"/>
          <w:szCs w:val="23"/>
        </w:rPr>
      </w:pPr>
      <w:r w:rsidRPr="00694065">
        <w:rPr>
          <w:b/>
          <w:bCs/>
          <w:sz w:val="23"/>
          <w:szCs w:val="23"/>
        </w:rPr>
        <w:t xml:space="preserve">Are developments that have converted under the Rental Assistance Demonstration (RAD) eligible for this grant? </w:t>
      </w:r>
    </w:p>
    <w:p w14:paraId="284E033E" w14:textId="77777777" w:rsidR="00EA593F" w:rsidRPr="00694065" w:rsidRDefault="00EA593F" w:rsidP="00F37C3C">
      <w:pPr>
        <w:spacing w:after="0" w:line="240" w:lineRule="auto"/>
        <w:rPr>
          <w:iCs/>
          <w:sz w:val="23"/>
          <w:szCs w:val="23"/>
        </w:rPr>
      </w:pPr>
    </w:p>
    <w:p w14:paraId="53DF3478" w14:textId="77777777" w:rsidR="00EA593F" w:rsidRPr="00694065" w:rsidRDefault="00EA593F" w:rsidP="00F37C3C">
      <w:pPr>
        <w:spacing w:after="0" w:line="240" w:lineRule="auto"/>
        <w:ind w:left="720"/>
        <w:rPr>
          <w:i/>
          <w:iCs/>
          <w:sz w:val="23"/>
          <w:szCs w:val="23"/>
        </w:rPr>
      </w:pPr>
      <w:r w:rsidRPr="00694065">
        <w:rPr>
          <w:i/>
          <w:iCs/>
          <w:sz w:val="23"/>
          <w:szCs w:val="23"/>
        </w:rPr>
        <w:t>No. Properties that have been converted under RAD are no longer considered public housing, as they have converted to the project-based voucher (PBV) or project-based rental assistance (PBRA) program.</w:t>
      </w:r>
    </w:p>
    <w:p w14:paraId="34ECBC5B" w14:textId="77777777" w:rsidR="00EA593F" w:rsidRPr="00EA593F" w:rsidRDefault="00EA593F" w:rsidP="00F37C3C">
      <w:pPr>
        <w:autoSpaceDE w:val="0"/>
        <w:autoSpaceDN w:val="0"/>
        <w:adjustRightInd w:val="0"/>
        <w:spacing w:after="0" w:line="240" w:lineRule="auto"/>
        <w:rPr>
          <w:rFonts w:ascii="Calibri" w:hAnsi="Calibri" w:cs="Calibri"/>
          <w:color w:val="000000"/>
          <w:sz w:val="23"/>
          <w:szCs w:val="23"/>
        </w:rPr>
      </w:pPr>
    </w:p>
    <w:p w14:paraId="7902C3F3" w14:textId="77777777" w:rsidR="00EA593F" w:rsidRPr="00694065" w:rsidRDefault="00EA593F" w:rsidP="00F37C3C">
      <w:pPr>
        <w:pStyle w:val="ListParagraph"/>
        <w:numPr>
          <w:ilvl w:val="0"/>
          <w:numId w:val="3"/>
        </w:numPr>
        <w:autoSpaceDE w:val="0"/>
        <w:autoSpaceDN w:val="0"/>
        <w:adjustRightInd w:val="0"/>
        <w:spacing w:after="0" w:line="240" w:lineRule="auto"/>
        <w:rPr>
          <w:rFonts w:ascii="Calibri" w:hAnsi="Calibri" w:cs="Calibri"/>
          <w:color w:val="000000"/>
          <w:sz w:val="23"/>
          <w:szCs w:val="23"/>
        </w:rPr>
      </w:pPr>
      <w:r w:rsidRPr="00694065">
        <w:rPr>
          <w:rFonts w:ascii="Calibri" w:hAnsi="Calibri" w:cs="Calibri"/>
          <w:b/>
          <w:bCs/>
          <w:color w:val="000000"/>
          <w:sz w:val="23"/>
          <w:szCs w:val="23"/>
        </w:rPr>
        <w:t xml:space="preserve">The guidance says that funds may not be used at projects under </w:t>
      </w:r>
      <w:proofErr w:type="spellStart"/>
      <w:r w:rsidRPr="00694065">
        <w:rPr>
          <w:rFonts w:ascii="Calibri" w:hAnsi="Calibri" w:cs="Calibri"/>
          <w:b/>
          <w:bCs/>
          <w:color w:val="000000"/>
          <w:sz w:val="23"/>
          <w:szCs w:val="23"/>
        </w:rPr>
        <w:t>CHAPs.</w:t>
      </w:r>
      <w:proofErr w:type="spellEnd"/>
      <w:r w:rsidRPr="00694065">
        <w:rPr>
          <w:rFonts w:ascii="Calibri" w:hAnsi="Calibri" w:cs="Calibri"/>
          <w:b/>
          <w:bCs/>
          <w:color w:val="000000"/>
          <w:sz w:val="23"/>
          <w:szCs w:val="23"/>
        </w:rPr>
        <w:t xml:space="preserve">  Is it possible to </w:t>
      </w:r>
      <w:r w:rsidR="00122F97">
        <w:rPr>
          <w:rFonts w:ascii="Calibri" w:hAnsi="Calibri" w:cs="Calibri"/>
          <w:b/>
          <w:bCs/>
          <w:color w:val="000000"/>
          <w:sz w:val="23"/>
          <w:szCs w:val="23"/>
        </w:rPr>
        <w:t>use grant funds</w:t>
      </w:r>
      <w:r w:rsidRPr="00694065">
        <w:rPr>
          <w:rFonts w:ascii="Calibri" w:hAnsi="Calibri" w:cs="Calibri"/>
          <w:b/>
          <w:bCs/>
          <w:color w:val="000000"/>
          <w:sz w:val="23"/>
          <w:szCs w:val="23"/>
        </w:rPr>
        <w:t xml:space="preserve"> for a development that we intend to place under a CHAP in the future - </w:t>
      </w:r>
      <w:proofErr w:type="gramStart"/>
      <w:r w:rsidRPr="00694065">
        <w:rPr>
          <w:rFonts w:ascii="Calibri" w:hAnsi="Calibri" w:cs="Calibri"/>
          <w:b/>
          <w:bCs/>
          <w:color w:val="000000"/>
          <w:sz w:val="23"/>
          <w:szCs w:val="23"/>
        </w:rPr>
        <w:t>as long as</w:t>
      </w:r>
      <w:proofErr w:type="gramEnd"/>
      <w:r w:rsidRPr="00694065">
        <w:rPr>
          <w:rFonts w:ascii="Calibri" w:hAnsi="Calibri" w:cs="Calibri"/>
          <w:b/>
          <w:bCs/>
          <w:color w:val="000000"/>
          <w:sz w:val="23"/>
          <w:szCs w:val="23"/>
        </w:rPr>
        <w:t xml:space="preserve"> the work is completed before the CHAPs are in place</w:t>
      </w:r>
      <w:r w:rsidRPr="00694065">
        <w:rPr>
          <w:rFonts w:ascii="Calibri" w:hAnsi="Calibri" w:cs="Calibri"/>
          <w:color w:val="000000"/>
          <w:sz w:val="23"/>
          <w:szCs w:val="23"/>
        </w:rPr>
        <w:t xml:space="preserve">? </w:t>
      </w:r>
    </w:p>
    <w:p w14:paraId="7A2439C2" w14:textId="77777777" w:rsidR="00EA593F" w:rsidRPr="00694065" w:rsidRDefault="00EA593F" w:rsidP="00F37C3C">
      <w:pPr>
        <w:spacing w:after="0" w:line="240" w:lineRule="auto"/>
        <w:rPr>
          <w:rFonts w:ascii="Calibri" w:hAnsi="Calibri" w:cs="Calibri"/>
          <w:iCs/>
          <w:color w:val="000000"/>
          <w:sz w:val="23"/>
          <w:szCs w:val="23"/>
        </w:rPr>
      </w:pPr>
    </w:p>
    <w:p w14:paraId="5AC8CAAD" w14:textId="77777777" w:rsidR="00EA593F" w:rsidRPr="00694065" w:rsidRDefault="00EA593F" w:rsidP="00F37C3C">
      <w:pPr>
        <w:spacing w:after="0" w:line="240" w:lineRule="auto"/>
        <w:ind w:left="720"/>
        <w:rPr>
          <w:rFonts w:ascii="Calibri" w:hAnsi="Calibri" w:cs="Calibri"/>
          <w:iCs/>
          <w:color w:val="000000"/>
          <w:sz w:val="23"/>
          <w:szCs w:val="23"/>
        </w:rPr>
      </w:pPr>
      <w:r w:rsidRPr="00694065">
        <w:rPr>
          <w:rFonts w:ascii="Calibri" w:hAnsi="Calibri" w:cs="Calibri"/>
          <w:i/>
          <w:iCs/>
          <w:color w:val="000000"/>
          <w:sz w:val="23"/>
          <w:szCs w:val="23"/>
        </w:rPr>
        <w:t xml:space="preserve">It is allowable to use these funds on public housing properties that are not yet under a CHAP. The intent of this NOFA, however, </w:t>
      </w:r>
      <w:r w:rsidR="0067755D" w:rsidRPr="00694065">
        <w:rPr>
          <w:rFonts w:ascii="Calibri" w:hAnsi="Calibri" w:cs="Calibri"/>
          <w:i/>
          <w:iCs/>
          <w:color w:val="000000"/>
          <w:sz w:val="23"/>
          <w:szCs w:val="23"/>
        </w:rPr>
        <w:t>was</w:t>
      </w:r>
      <w:r w:rsidRPr="00694065">
        <w:rPr>
          <w:rFonts w:ascii="Calibri" w:hAnsi="Calibri" w:cs="Calibri"/>
          <w:i/>
          <w:iCs/>
          <w:color w:val="000000"/>
          <w:sz w:val="23"/>
          <w:szCs w:val="23"/>
        </w:rPr>
        <w:t xml:space="preserve"> to provide funds for lead hazard evaluation and abatement or hazard control in public housing managed by public housing authorities. Owners participating in the PBV and PBRA programs have different requirements for lead-based paint evaluation and hazard control.</w:t>
      </w:r>
    </w:p>
    <w:p w14:paraId="64142AC8" w14:textId="77777777" w:rsidR="0067755D" w:rsidRPr="0067755D" w:rsidRDefault="0067755D" w:rsidP="00F37C3C">
      <w:pPr>
        <w:autoSpaceDE w:val="0"/>
        <w:autoSpaceDN w:val="0"/>
        <w:adjustRightInd w:val="0"/>
        <w:spacing w:after="0" w:line="240" w:lineRule="auto"/>
        <w:rPr>
          <w:rFonts w:ascii="Calibri" w:hAnsi="Calibri" w:cs="Calibri"/>
          <w:color w:val="000000"/>
          <w:sz w:val="23"/>
          <w:szCs w:val="23"/>
        </w:rPr>
      </w:pPr>
    </w:p>
    <w:p w14:paraId="74BA35FC" w14:textId="77777777" w:rsidR="0067755D" w:rsidRPr="00694065" w:rsidRDefault="0067755D" w:rsidP="00F37C3C">
      <w:pPr>
        <w:pStyle w:val="ListParagraph"/>
        <w:numPr>
          <w:ilvl w:val="0"/>
          <w:numId w:val="3"/>
        </w:numPr>
        <w:autoSpaceDE w:val="0"/>
        <w:autoSpaceDN w:val="0"/>
        <w:adjustRightInd w:val="0"/>
        <w:spacing w:after="0" w:line="240" w:lineRule="auto"/>
        <w:rPr>
          <w:rFonts w:ascii="Calibri" w:hAnsi="Calibri" w:cs="Calibri"/>
          <w:color w:val="000000"/>
          <w:sz w:val="23"/>
          <w:szCs w:val="23"/>
        </w:rPr>
      </w:pPr>
      <w:r w:rsidRPr="00694065">
        <w:rPr>
          <w:rFonts w:ascii="Calibri" w:hAnsi="Calibri" w:cs="Calibri"/>
          <w:b/>
          <w:bCs/>
          <w:color w:val="000000"/>
          <w:sz w:val="23"/>
          <w:szCs w:val="23"/>
        </w:rPr>
        <w:t>The NOFA states that eligible properties may include playgrounds or child-care centers that are part of the public housing project. Will “community centers/management offices” also be considered as eligible if they are part of the public housing project?</w:t>
      </w:r>
    </w:p>
    <w:p w14:paraId="26B60400" w14:textId="77777777" w:rsidR="0067755D" w:rsidRPr="00694065" w:rsidRDefault="0067755D" w:rsidP="00F37C3C">
      <w:pPr>
        <w:autoSpaceDE w:val="0"/>
        <w:autoSpaceDN w:val="0"/>
        <w:adjustRightInd w:val="0"/>
        <w:spacing w:after="0" w:line="240" w:lineRule="auto"/>
        <w:rPr>
          <w:rFonts w:ascii="Calibri" w:hAnsi="Calibri" w:cs="Calibri"/>
          <w:color w:val="000000"/>
          <w:sz w:val="23"/>
          <w:szCs w:val="23"/>
        </w:rPr>
      </w:pPr>
    </w:p>
    <w:p w14:paraId="2FC44CCB" w14:textId="25E96390" w:rsidR="0067755D" w:rsidRPr="00694065" w:rsidRDefault="006E75E9" w:rsidP="00F37C3C">
      <w:pPr>
        <w:spacing w:after="0" w:line="240" w:lineRule="auto"/>
        <w:ind w:left="720"/>
        <w:rPr>
          <w:rFonts w:ascii="Calibri" w:hAnsi="Calibri" w:cs="Calibri"/>
          <w:iCs/>
          <w:color w:val="000000"/>
          <w:sz w:val="23"/>
          <w:szCs w:val="23"/>
        </w:rPr>
      </w:pPr>
      <w:r>
        <w:rPr>
          <w:rFonts w:ascii="Calibri" w:hAnsi="Calibri" w:cs="Calibri"/>
          <w:i/>
          <w:iCs/>
          <w:color w:val="000000"/>
          <w:sz w:val="23"/>
          <w:szCs w:val="23"/>
        </w:rPr>
        <w:t xml:space="preserve">No.  </w:t>
      </w:r>
      <w:r w:rsidR="0067755D" w:rsidRPr="00694065">
        <w:rPr>
          <w:rFonts w:ascii="Calibri" w:hAnsi="Calibri" w:cs="Calibri"/>
          <w:i/>
          <w:iCs/>
          <w:color w:val="000000"/>
          <w:sz w:val="23"/>
          <w:szCs w:val="23"/>
        </w:rPr>
        <w:t>Section III, Eligibility Information, part C of the NOFA refers to the types of properties eligible for funding. See Section IV, Application and Submission Information, part F, Funding Restrictions, for information about eligible uses of funds.</w:t>
      </w:r>
    </w:p>
    <w:p w14:paraId="18C2C497" w14:textId="77777777" w:rsidR="0067755D" w:rsidRPr="0067755D" w:rsidRDefault="0067755D" w:rsidP="00F37C3C">
      <w:pPr>
        <w:autoSpaceDE w:val="0"/>
        <w:autoSpaceDN w:val="0"/>
        <w:adjustRightInd w:val="0"/>
        <w:spacing w:after="0" w:line="240" w:lineRule="auto"/>
        <w:rPr>
          <w:rFonts w:ascii="Calibri" w:hAnsi="Calibri" w:cs="Calibri"/>
          <w:color w:val="000000"/>
          <w:sz w:val="23"/>
          <w:szCs w:val="23"/>
        </w:rPr>
      </w:pPr>
    </w:p>
    <w:p w14:paraId="02FC9B38" w14:textId="77777777" w:rsidR="0067755D" w:rsidRPr="00694065" w:rsidRDefault="0067755D" w:rsidP="00F37C3C">
      <w:pPr>
        <w:pStyle w:val="ListParagraph"/>
        <w:numPr>
          <w:ilvl w:val="0"/>
          <w:numId w:val="3"/>
        </w:numPr>
        <w:autoSpaceDE w:val="0"/>
        <w:autoSpaceDN w:val="0"/>
        <w:adjustRightInd w:val="0"/>
        <w:spacing w:after="0" w:line="240" w:lineRule="auto"/>
        <w:rPr>
          <w:rFonts w:ascii="Calibri" w:hAnsi="Calibri" w:cs="Calibri"/>
          <w:color w:val="000000"/>
          <w:sz w:val="23"/>
          <w:szCs w:val="23"/>
        </w:rPr>
      </w:pPr>
      <w:r w:rsidRPr="00694065">
        <w:rPr>
          <w:rFonts w:ascii="Calibri" w:hAnsi="Calibri" w:cs="Calibri"/>
          <w:b/>
          <w:bCs/>
          <w:color w:val="000000"/>
          <w:sz w:val="23"/>
          <w:szCs w:val="23"/>
        </w:rPr>
        <w:t xml:space="preserve">Is a PHA still eligible to receive a grant award if it is issued a Commitment to </w:t>
      </w:r>
      <w:proofErr w:type="gramStart"/>
      <w:r w:rsidRPr="00694065">
        <w:rPr>
          <w:rFonts w:ascii="Calibri" w:hAnsi="Calibri" w:cs="Calibri"/>
          <w:b/>
          <w:bCs/>
          <w:color w:val="000000"/>
          <w:sz w:val="23"/>
          <w:szCs w:val="23"/>
        </w:rPr>
        <w:t>enter into</w:t>
      </w:r>
      <w:proofErr w:type="gramEnd"/>
      <w:r w:rsidRPr="00694065">
        <w:rPr>
          <w:rFonts w:ascii="Calibri" w:hAnsi="Calibri" w:cs="Calibri"/>
          <w:b/>
          <w:bCs/>
          <w:color w:val="000000"/>
          <w:sz w:val="23"/>
          <w:szCs w:val="23"/>
        </w:rPr>
        <w:t xml:space="preserve"> a Housing Assistance Payment (CHAP) since the time of submission?</w:t>
      </w:r>
    </w:p>
    <w:p w14:paraId="2FDB55F6" w14:textId="77777777" w:rsidR="00694065" w:rsidRPr="00694065" w:rsidRDefault="00694065" w:rsidP="00F37C3C">
      <w:pPr>
        <w:autoSpaceDE w:val="0"/>
        <w:autoSpaceDN w:val="0"/>
        <w:adjustRightInd w:val="0"/>
        <w:spacing w:after="0" w:line="240" w:lineRule="auto"/>
        <w:rPr>
          <w:rFonts w:ascii="Calibri" w:hAnsi="Calibri" w:cs="Calibri"/>
          <w:color w:val="000000"/>
          <w:sz w:val="23"/>
          <w:szCs w:val="23"/>
        </w:rPr>
      </w:pPr>
    </w:p>
    <w:p w14:paraId="0C7D9511" w14:textId="77777777" w:rsidR="00694065" w:rsidRPr="00694065" w:rsidRDefault="00694065" w:rsidP="00F37C3C">
      <w:pPr>
        <w:autoSpaceDE w:val="0"/>
        <w:autoSpaceDN w:val="0"/>
        <w:adjustRightInd w:val="0"/>
        <w:spacing w:after="0" w:line="240" w:lineRule="auto"/>
        <w:ind w:left="720"/>
        <w:rPr>
          <w:rFonts w:ascii="Calibri" w:hAnsi="Calibri" w:cs="Calibri"/>
          <w:color w:val="000000"/>
          <w:sz w:val="23"/>
          <w:szCs w:val="23"/>
        </w:rPr>
      </w:pPr>
      <w:r w:rsidRPr="00694065">
        <w:rPr>
          <w:i/>
          <w:iCs/>
          <w:sz w:val="23"/>
          <w:szCs w:val="23"/>
        </w:rPr>
        <w:t xml:space="preserve">No. Funds cannot be used for projects with active </w:t>
      </w:r>
      <w:proofErr w:type="spellStart"/>
      <w:r w:rsidRPr="00694065">
        <w:rPr>
          <w:i/>
          <w:iCs/>
          <w:sz w:val="23"/>
          <w:szCs w:val="23"/>
        </w:rPr>
        <w:t>CHAPs.</w:t>
      </w:r>
      <w:proofErr w:type="spellEnd"/>
      <w:r w:rsidRPr="00694065">
        <w:rPr>
          <w:i/>
          <w:iCs/>
          <w:sz w:val="23"/>
          <w:szCs w:val="23"/>
        </w:rPr>
        <w:t xml:space="preserve"> If an applicant is awarded grant funds </w:t>
      </w:r>
      <w:proofErr w:type="gramStart"/>
      <w:r w:rsidRPr="00694065">
        <w:rPr>
          <w:i/>
          <w:iCs/>
          <w:sz w:val="23"/>
          <w:szCs w:val="23"/>
        </w:rPr>
        <w:t>and also</w:t>
      </w:r>
      <w:proofErr w:type="gramEnd"/>
      <w:r w:rsidRPr="00694065">
        <w:rPr>
          <w:i/>
          <w:iCs/>
          <w:sz w:val="23"/>
          <w:szCs w:val="23"/>
        </w:rPr>
        <w:t xml:space="preserve"> has an active CHAP, the applicant will be required to withdraw the CHAP or refuse the grant award</w:t>
      </w:r>
      <w:r w:rsidR="00C45E18">
        <w:rPr>
          <w:i/>
          <w:iCs/>
          <w:sz w:val="23"/>
          <w:szCs w:val="23"/>
        </w:rPr>
        <w:t xml:space="preserve"> for each development associated with the CHAP</w:t>
      </w:r>
      <w:r w:rsidRPr="00694065">
        <w:rPr>
          <w:sz w:val="23"/>
          <w:szCs w:val="23"/>
        </w:rPr>
        <w:t>.</w:t>
      </w:r>
    </w:p>
    <w:p w14:paraId="48CC575C" w14:textId="77777777" w:rsidR="0067755D" w:rsidRPr="00694065" w:rsidRDefault="0067755D" w:rsidP="00F37C3C">
      <w:pPr>
        <w:spacing w:after="0" w:line="240" w:lineRule="auto"/>
        <w:rPr>
          <w:sz w:val="23"/>
          <w:szCs w:val="23"/>
        </w:rPr>
      </w:pPr>
    </w:p>
    <w:p w14:paraId="62404860" w14:textId="77777777" w:rsidR="00694065" w:rsidRPr="00C45E18" w:rsidRDefault="00694065" w:rsidP="00F37C3C">
      <w:pPr>
        <w:pStyle w:val="ListParagraph"/>
        <w:numPr>
          <w:ilvl w:val="0"/>
          <w:numId w:val="3"/>
        </w:numPr>
        <w:spacing w:after="0" w:line="240" w:lineRule="auto"/>
        <w:rPr>
          <w:b/>
          <w:sz w:val="23"/>
          <w:szCs w:val="23"/>
        </w:rPr>
      </w:pPr>
      <w:r w:rsidRPr="00694065">
        <w:rPr>
          <w:b/>
          <w:sz w:val="23"/>
          <w:szCs w:val="23"/>
        </w:rPr>
        <w:t xml:space="preserve">Can funds be transferred from one IMS/PIC Development to another </w:t>
      </w:r>
      <w:r w:rsidR="00AF54E0">
        <w:rPr>
          <w:b/>
          <w:sz w:val="23"/>
          <w:szCs w:val="23"/>
        </w:rPr>
        <w:t>D</w:t>
      </w:r>
      <w:r w:rsidR="00C45E18">
        <w:rPr>
          <w:b/>
          <w:sz w:val="23"/>
          <w:szCs w:val="23"/>
        </w:rPr>
        <w:t xml:space="preserve">evelopment </w:t>
      </w:r>
      <w:r w:rsidRPr="00694065">
        <w:rPr>
          <w:b/>
          <w:sz w:val="23"/>
          <w:szCs w:val="23"/>
        </w:rPr>
        <w:t>in the Housing Authority’s portfolio</w:t>
      </w:r>
      <w:r>
        <w:rPr>
          <w:b/>
          <w:sz w:val="23"/>
          <w:szCs w:val="23"/>
        </w:rPr>
        <w:t>?</w:t>
      </w:r>
    </w:p>
    <w:p w14:paraId="5725708D" w14:textId="77777777" w:rsidR="00C45E18" w:rsidRDefault="00C45E18" w:rsidP="00F37C3C">
      <w:pPr>
        <w:spacing w:after="0" w:line="240" w:lineRule="auto"/>
        <w:rPr>
          <w:sz w:val="23"/>
          <w:szCs w:val="23"/>
        </w:rPr>
      </w:pPr>
    </w:p>
    <w:p w14:paraId="525BBDB8" w14:textId="77777777" w:rsidR="00C45E18" w:rsidRPr="00AF54E0" w:rsidRDefault="00AF54E0" w:rsidP="00F37C3C">
      <w:pPr>
        <w:spacing w:after="0" w:line="240" w:lineRule="auto"/>
        <w:ind w:left="720"/>
        <w:rPr>
          <w:i/>
          <w:sz w:val="23"/>
          <w:szCs w:val="23"/>
        </w:rPr>
      </w:pPr>
      <w:r w:rsidRPr="00AF54E0">
        <w:rPr>
          <w:i/>
          <w:sz w:val="23"/>
          <w:szCs w:val="23"/>
        </w:rPr>
        <w:t>Yes and No.  Funds can be transferred to eligible IMS/PIC Developments identified in the application.  Funds may not be used at developments that were not previously reviewed for eligibility through the application process.</w:t>
      </w:r>
    </w:p>
    <w:p w14:paraId="248A1649" w14:textId="77777777" w:rsidR="00694065" w:rsidRDefault="00694065" w:rsidP="00F37C3C">
      <w:pPr>
        <w:spacing w:after="0" w:line="240" w:lineRule="auto"/>
        <w:rPr>
          <w:b/>
          <w:sz w:val="23"/>
          <w:szCs w:val="23"/>
        </w:rPr>
      </w:pPr>
    </w:p>
    <w:p w14:paraId="6085AB36" w14:textId="77777777" w:rsidR="00AF54E0" w:rsidRPr="00AF54E0" w:rsidRDefault="00694065" w:rsidP="00F37C3C">
      <w:pPr>
        <w:pStyle w:val="ListParagraph"/>
        <w:numPr>
          <w:ilvl w:val="0"/>
          <w:numId w:val="3"/>
        </w:numPr>
        <w:spacing w:after="0" w:line="240" w:lineRule="auto"/>
        <w:rPr>
          <w:b/>
          <w:sz w:val="23"/>
          <w:szCs w:val="23"/>
        </w:rPr>
      </w:pPr>
      <w:r>
        <w:rPr>
          <w:b/>
          <w:sz w:val="23"/>
          <w:szCs w:val="23"/>
        </w:rPr>
        <w:t>Can a LBPCF grant awardee reject their award?  If so, how is this done?</w:t>
      </w:r>
    </w:p>
    <w:p w14:paraId="03061568" w14:textId="77777777" w:rsidR="00AF54E0" w:rsidRPr="00AF54E0" w:rsidRDefault="00AF54E0" w:rsidP="00F37C3C">
      <w:pPr>
        <w:autoSpaceDE w:val="0"/>
        <w:autoSpaceDN w:val="0"/>
        <w:adjustRightInd w:val="0"/>
        <w:spacing w:after="0" w:line="240" w:lineRule="auto"/>
        <w:rPr>
          <w:rFonts w:ascii="Times New Roman" w:hAnsi="Times New Roman" w:cs="Times New Roman"/>
          <w:color w:val="000000"/>
          <w:sz w:val="24"/>
          <w:szCs w:val="24"/>
        </w:rPr>
      </w:pPr>
    </w:p>
    <w:p w14:paraId="1B6FE1A5" w14:textId="77777777" w:rsidR="00F37C3C" w:rsidRDefault="00AF54E0" w:rsidP="00F37C3C">
      <w:pPr>
        <w:autoSpaceDE w:val="0"/>
        <w:autoSpaceDN w:val="0"/>
        <w:adjustRightInd w:val="0"/>
        <w:spacing w:after="0" w:line="240" w:lineRule="auto"/>
        <w:ind w:left="720"/>
        <w:rPr>
          <w:rFonts w:cstheme="minorHAnsi"/>
          <w:i/>
          <w:color w:val="000000"/>
          <w:sz w:val="23"/>
          <w:szCs w:val="23"/>
        </w:rPr>
      </w:pPr>
      <w:r w:rsidRPr="00AF54E0">
        <w:rPr>
          <w:rFonts w:cstheme="minorHAnsi"/>
          <w:i/>
          <w:color w:val="000000"/>
          <w:sz w:val="23"/>
          <w:szCs w:val="23"/>
        </w:rPr>
        <w:lastRenderedPageBreak/>
        <w:t>If a PHA elects to reject</w:t>
      </w:r>
      <w:r>
        <w:rPr>
          <w:rFonts w:cstheme="minorHAnsi"/>
          <w:i/>
          <w:color w:val="000000"/>
          <w:sz w:val="23"/>
          <w:szCs w:val="23"/>
        </w:rPr>
        <w:t xml:space="preserve"> the LBP</w:t>
      </w:r>
      <w:r w:rsidRPr="00AF54E0">
        <w:rPr>
          <w:rFonts w:cstheme="minorHAnsi"/>
          <w:i/>
          <w:color w:val="000000"/>
          <w:sz w:val="23"/>
          <w:szCs w:val="23"/>
        </w:rPr>
        <w:t xml:space="preserve">CF grant, the executive director or designated official (e.g., CEO, Acting or Interim Executive Director) must send a written statement to the local HUD FO which identifies the grant number and dollar amount of the grant to be rejected. </w:t>
      </w:r>
      <w:r>
        <w:rPr>
          <w:rFonts w:cstheme="minorHAnsi"/>
          <w:i/>
          <w:color w:val="000000"/>
          <w:sz w:val="23"/>
          <w:szCs w:val="23"/>
        </w:rPr>
        <w:t xml:space="preserve"> </w:t>
      </w:r>
      <w:r w:rsidRPr="00AF54E0">
        <w:rPr>
          <w:rFonts w:cstheme="minorHAnsi"/>
          <w:i/>
          <w:color w:val="000000"/>
          <w:sz w:val="23"/>
          <w:szCs w:val="23"/>
        </w:rPr>
        <w:t xml:space="preserve">PHAs are required to have on file a resolution from the Board rejecting the </w:t>
      </w:r>
      <w:r>
        <w:rPr>
          <w:rFonts w:cstheme="minorHAnsi"/>
          <w:i/>
          <w:color w:val="000000"/>
          <w:sz w:val="23"/>
          <w:szCs w:val="23"/>
        </w:rPr>
        <w:t>LBP</w:t>
      </w:r>
      <w:r w:rsidRPr="00AF54E0">
        <w:rPr>
          <w:rFonts w:cstheme="minorHAnsi"/>
          <w:i/>
          <w:color w:val="000000"/>
          <w:sz w:val="23"/>
          <w:szCs w:val="23"/>
        </w:rPr>
        <w:t xml:space="preserve">CF grant for the </w:t>
      </w:r>
      <w:r w:rsidR="00077A15">
        <w:rPr>
          <w:rFonts w:cstheme="minorHAnsi"/>
          <w:i/>
          <w:color w:val="000000"/>
          <w:sz w:val="23"/>
          <w:szCs w:val="23"/>
        </w:rPr>
        <w:t xml:space="preserve">2017 </w:t>
      </w:r>
      <w:r w:rsidRPr="00AF54E0">
        <w:rPr>
          <w:rFonts w:cstheme="minorHAnsi"/>
          <w:i/>
          <w:color w:val="000000"/>
          <w:sz w:val="23"/>
          <w:szCs w:val="23"/>
        </w:rPr>
        <w:t>Federal Fiscal year.</w:t>
      </w:r>
    </w:p>
    <w:p w14:paraId="2E302686" w14:textId="77777777" w:rsidR="00F37C3C" w:rsidRPr="00F37C3C" w:rsidRDefault="00F37C3C" w:rsidP="00F37C3C">
      <w:pPr>
        <w:autoSpaceDE w:val="0"/>
        <w:autoSpaceDN w:val="0"/>
        <w:adjustRightInd w:val="0"/>
        <w:spacing w:after="0" w:line="240" w:lineRule="auto"/>
        <w:rPr>
          <w:rFonts w:cstheme="minorHAnsi"/>
          <w:color w:val="000000"/>
          <w:sz w:val="23"/>
          <w:szCs w:val="23"/>
        </w:rPr>
      </w:pPr>
    </w:p>
    <w:p w14:paraId="0842BA46" w14:textId="77777777" w:rsidR="00365C82" w:rsidRPr="00077A15" w:rsidRDefault="00365C82" w:rsidP="00F37C3C">
      <w:pPr>
        <w:pStyle w:val="ListParagraph"/>
        <w:numPr>
          <w:ilvl w:val="0"/>
          <w:numId w:val="3"/>
        </w:numPr>
        <w:spacing w:after="0" w:line="240" w:lineRule="auto"/>
        <w:rPr>
          <w:b/>
          <w:sz w:val="23"/>
          <w:szCs w:val="23"/>
        </w:rPr>
      </w:pPr>
      <w:r>
        <w:rPr>
          <w:b/>
          <w:sz w:val="23"/>
          <w:szCs w:val="23"/>
        </w:rPr>
        <w:t>Does the HA have to perform a new Environmental Review prior to spending LBP grant funds?</w:t>
      </w:r>
    </w:p>
    <w:p w14:paraId="02F0CFDF" w14:textId="77777777" w:rsidR="00077A15" w:rsidRPr="00F37C3C" w:rsidRDefault="00077A15" w:rsidP="00F37C3C">
      <w:pPr>
        <w:spacing w:after="0" w:line="240" w:lineRule="auto"/>
        <w:rPr>
          <w:b/>
          <w:sz w:val="23"/>
          <w:szCs w:val="23"/>
        </w:rPr>
      </w:pPr>
    </w:p>
    <w:p w14:paraId="6B635994" w14:textId="77777777" w:rsidR="00365C82" w:rsidRDefault="00077A15" w:rsidP="00F37C3C">
      <w:pPr>
        <w:pStyle w:val="ListParagraph"/>
        <w:spacing w:after="0" w:line="240" w:lineRule="auto"/>
        <w:rPr>
          <w:i/>
          <w:sz w:val="23"/>
          <w:szCs w:val="23"/>
        </w:rPr>
      </w:pPr>
      <w:r w:rsidRPr="00077A15">
        <w:rPr>
          <w:i/>
        </w:rPr>
        <w:t xml:space="preserve">In accordance with the changes in process announced in </w:t>
      </w:r>
      <w:r w:rsidRPr="00077A15">
        <w:rPr>
          <w:i/>
          <w:sz w:val="23"/>
          <w:szCs w:val="23"/>
        </w:rPr>
        <w:t>Notice 2016-22, all activities at project site(s) assisted or to be assisted by HUD must receive environmental clearance before the PHA takes any choice-limiting actions or obligates any funds. HUD has made a programmatic determination under Part 50 that the operating activities listed in Appendix A of Notice 2016-22 are not subject to further environmental review; for any other activities, PHAs must request and receive clearance from either a Responsible Entity or HUD.</w:t>
      </w:r>
    </w:p>
    <w:p w14:paraId="5D706C1E" w14:textId="77777777" w:rsidR="00F37C3C" w:rsidRPr="00F37C3C" w:rsidRDefault="00F37C3C" w:rsidP="00F37C3C">
      <w:pPr>
        <w:spacing w:after="0" w:line="240" w:lineRule="auto"/>
        <w:rPr>
          <w:b/>
          <w:sz w:val="23"/>
          <w:szCs w:val="23"/>
        </w:rPr>
      </w:pPr>
    </w:p>
    <w:p w14:paraId="3CF0944A" w14:textId="77777777" w:rsidR="00365C82" w:rsidRDefault="00365C82" w:rsidP="00F37C3C">
      <w:pPr>
        <w:pStyle w:val="ListParagraph"/>
        <w:numPr>
          <w:ilvl w:val="0"/>
          <w:numId w:val="3"/>
        </w:numPr>
        <w:spacing w:after="0" w:line="240" w:lineRule="auto"/>
        <w:rPr>
          <w:b/>
          <w:sz w:val="23"/>
          <w:szCs w:val="23"/>
        </w:rPr>
      </w:pPr>
      <w:r>
        <w:rPr>
          <w:b/>
          <w:sz w:val="23"/>
          <w:szCs w:val="23"/>
        </w:rPr>
        <w:t>W</w:t>
      </w:r>
      <w:r w:rsidRPr="00365C82">
        <w:rPr>
          <w:b/>
          <w:sz w:val="23"/>
          <w:szCs w:val="23"/>
        </w:rPr>
        <w:t xml:space="preserve">hat </w:t>
      </w:r>
      <w:r>
        <w:rPr>
          <w:b/>
          <w:sz w:val="23"/>
          <w:szCs w:val="23"/>
        </w:rPr>
        <w:t xml:space="preserve">are </w:t>
      </w:r>
      <w:r w:rsidRPr="00365C82">
        <w:rPr>
          <w:b/>
          <w:sz w:val="23"/>
          <w:szCs w:val="23"/>
        </w:rPr>
        <w:t xml:space="preserve">the requirements of the grant (such as what is required before we can start spending the money, what are the reporting requirements, </w:t>
      </w:r>
      <w:proofErr w:type="spellStart"/>
      <w:r w:rsidR="00122F97">
        <w:rPr>
          <w:b/>
          <w:sz w:val="23"/>
          <w:szCs w:val="23"/>
        </w:rPr>
        <w:t>etc</w:t>
      </w:r>
      <w:proofErr w:type="spellEnd"/>
      <w:r w:rsidRPr="00365C82">
        <w:rPr>
          <w:b/>
          <w:sz w:val="23"/>
          <w:szCs w:val="23"/>
        </w:rPr>
        <w:t>). Where can we find this information</w:t>
      </w:r>
      <w:r w:rsidR="00122F97">
        <w:rPr>
          <w:b/>
          <w:sz w:val="23"/>
          <w:szCs w:val="23"/>
        </w:rPr>
        <w:t>?</w:t>
      </w:r>
    </w:p>
    <w:p w14:paraId="7475A91B" w14:textId="77777777" w:rsidR="00077A15" w:rsidRPr="00F37C3C" w:rsidRDefault="00077A15" w:rsidP="00F37C3C">
      <w:pPr>
        <w:spacing w:after="0" w:line="240" w:lineRule="auto"/>
        <w:rPr>
          <w:sz w:val="23"/>
          <w:szCs w:val="23"/>
        </w:rPr>
      </w:pPr>
    </w:p>
    <w:p w14:paraId="60E562EC" w14:textId="77777777" w:rsidR="00077A15" w:rsidRDefault="00077A15" w:rsidP="00F37C3C">
      <w:pPr>
        <w:pStyle w:val="ListParagraph"/>
        <w:spacing w:after="0" w:line="240" w:lineRule="auto"/>
        <w:rPr>
          <w:i/>
          <w:sz w:val="23"/>
          <w:szCs w:val="23"/>
        </w:rPr>
      </w:pPr>
      <w:r w:rsidRPr="00AC34EC">
        <w:rPr>
          <w:i/>
          <w:sz w:val="23"/>
          <w:szCs w:val="23"/>
        </w:rPr>
        <w:t xml:space="preserve">The LBP </w:t>
      </w:r>
      <w:r w:rsidR="00AC34EC" w:rsidRPr="00AC34EC">
        <w:rPr>
          <w:i/>
          <w:sz w:val="23"/>
          <w:szCs w:val="23"/>
        </w:rPr>
        <w:t>grant funds are Capital Funds specifically designated for LBP activities.  They carry the same requirements as every other Capital Fund Grant.  The dates for obligation and expenditure are as follows:</w:t>
      </w:r>
    </w:p>
    <w:p w14:paraId="5B10EA26" w14:textId="77777777" w:rsidR="00CB1432" w:rsidRPr="00AC34EC" w:rsidRDefault="00CB1432" w:rsidP="00F37C3C">
      <w:pPr>
        <w:pStyle w:val="ListParagraph"/>
        <w:spacing w:after="0" w:line="240" w:lineRule="auto"/>
        <w:rPr>
          <w:i/>
          <w:sz w:val="23"/>
          <w:szCs w:val="23"/>
        </w:rPr>
      </w:pPr>
    </w:p>
    <w:p w14:paraId="32F39BA8" w14:textId="77777777" w:rsidR="00AC34EC" w:rsidRPr="00AC34EC" w:rsidRDefault="00AC34EC" w:rsidP="00F37C3C">
      <w:pPr>
        <w:spacing w:after="0" w:line="240" w:lineRule="auto"/>
        <w:ind w:firstLine="720"/>
        <w:rPr>
          <w:i/>
        </w:rPr>
      </w:pPr>
      <w:r w:rsidRPr="00AC34EC">
        <w:rPr>
          <w:i/>
        </w:rPr>
        <w:t>Obligation start date – 9/7/18</w:t>
      </w:r>
    </w:p>
    <w:p w14:paraId="46A74C6E" w14:textId="77777777" w:rsidR="00AC34EC" w:rsidRPr="00AC34EC" w:rsidRDefault="00AC34EC" w:rsidP="00F37C3C">
      <w:pPr>
        <w:spacing w:after="0" w:line="240" w:lineRule="auto"/>
        <w:ind w:firstLine="720"/>
        <w:rPr>
          <w:i/>
        </w:rPr>
      </w:pPr>
      <w:r w:rsidRPr="00AC34EC">
        <w:rPr>
          <w:i/>
        </w:rPr>
        <w:t>Obligation end date – 9/6/20</w:t>
      </w:r>
    </w:p>
    <w:p w14:paraId="1B2BEDFB" w14:textId="77777777" w:rsidR="00122F97" w:rsidRDefault="00AC34EC" w:rsidP="00CB1432">
      <w:pPr>
        <w:spacing w:after="0" w:line="240" w:lineRule="auto"/>
        <w:ind w:firstLine="720"/>
      </w:pPr>
      <w:r w:rsidRPr="00AC34EC">
        <w:rPr>
          <w:i/>
        </w:rPr>
        <w:t>Expenditure end date – 9/6/22</w:t>
      </w:r>
    </w:p>
    <w:p w14:paraId="7F557DBD" w14:textId="77777777" w:rsidR="00CB1432" w:rsidRPr="00CB1432" w:rsidRDefault="00CB1432" w:rsidP="00CB1432">
      <w:pPr>
        <w:spacing w:after="0" w:line="240" w:lineRule="auto"/>
      </w:pPr>
    </w:p>
    <w:p w14:paraId="0DC5A769" w14:textId="77777777" w:rsidR="00244B62" w:rsidRPr="00244B62" w:rsidRDefault="00122F97" w:rsidP="00F37C3C">
      <w:pPr>
        <w:pStyle w:val="ListParagraph"/>
        <w:numPr>
          <w:ilvl w:val="0"/>
          <w:numId w:val="3"/>
        </w:numPr>
        <w:spacing w:after="0" w:line="240" w:lineRule="auto"/>
        <w:rPr>
          <w:b/>
          <w:sz w:val="23"/>
          <w:szCs w:val="23"/>
        </w:rPr>
      </w:pPr>
      <w:r w:rsidRPr="00122F97">
        <w:rPr>
          <w:rFonts w:eastAsia="Times New Roman"/>
          <w:b/>
          <w:sz w:val="23"/>
          <w:szCs w:val="23"/>
        </w:rPr>
        <w:t>What percentage of this grant can be used for administrative costs?  Is it treated the same way as the regular capital fund in that the flat percentage is allowed?</w:t>
      </w:r>
    </w:p>
    <w:p w14:paraId="72B42269" w14:textId="77777777" w:rsidR="00CB1432" w:rsidRPr="00CB1432" w:rsidRDefault="00CB1432" w:rsidP="00CB1432">
      <w:pPr>
        <w:spacing w:after="0" w:line="240" w:lineRule="auto"/>
        <w:rPr>
          <w:sz w:val="23"/>
          <w:szCs w:val="23"/>
        </w:rPr>
      </w:pPr>
    </w:p>
    <w:p w14:paraId="113F08C6" w14:textId="77777777" w:rsidR="00463E52" w:rsidRPr="00463E52" w:rsidRDefault="00463E52" w:rsidP="000B1E61">
      <w:pPr>
        <w:spacing w:after="40" w:line="216" w:lineRule="auto"/>
        <w:ind w:left="720"/>
        <w:contextualSpacing/>
        <w:rPr>
          <w:rFonts w:ascii="Times New Roman" w:eastAsia="Times New Roman" w:hAnsi="Times New Roman" w:cs="Times New Roman"/>
          <w:i/>
          <w:color w:val="E48312"/>
          <w:sz w:val="23"/>
          <w:szCs w:val="23"/>
        </w:rPr>
      </w:pPr>
      <w:r w:rsidRPr="00463E52">
        <w:rPr>
          <w:rFonts w:eastAsiaTheme="minorEastAsia" w:hAnsi="Calibri"/>
          <w:i/>
          <w:color w:val="404040" w:themeColor="text1" w:themeTint="BF"/>
          <w:kern w:val="24"/>
          <w:sz w:val="23"/>
          <w:szCs w:val="23"/>
        </w:rPr>
        <w:t>Eligible activities and costs for the capital fund formula grant program, and associated budget line items continue to apply to this NOFA, with the following restriction</w:t>
      </w:r>
      <w:r w:rsidRPr="00463E52">
        <w:rPr>
          <w:rFonts w:eastAsiaTheme="minorEastAsia" w:hAnsi="Calibri"/>
          <w:b/>
          <w:bCs/>
          <w:i/>
          <w:color w:val="404040" w:themeColor="text1" w:themeTint="BF"/>
          <w:kern w:val="24"/>
          <w:sz w:val="23"/>
          <w:szCs w:val="23"/>
          <w:u w:val="single"/>
        </w:rPr>
        <w:t xml:space="preserve">: Funds can only be used for the activities of lead-based paint risk assessments, inspections, abatement, interim controls, and clearance examinations. </w:t>
      </w:r>
      <w:r w:rsidRPr="00463E52">
        <w:rPr>
          <w:rFonts w:eastAsiaTheme="minorEastAsia" w:hAnsi="Calibri"/>
          <w:i/>
          <w:color w:val="404040" w:themeColor="text1" w:themeTint="BF"/>
          <w:kern w:val="24"/>
          <w:sz w:val="23"/>
          <w:szCs w:val="23"/>
        </w:rPr>
        <w:t xml:space="preserve">Other work in the property, including work to prepare for lead hazard control (e.g., repairs to the substrate, fixing leaks or other renovations) shall be funded by other sources. </w:t>
      </w:r>
      <w:r w:rsidRPr="00463E52">
        <w:rPr>
          <w:rFonts w:eastAsiaTheme="minorEastAsia" w:hAnsi="Calibri"/>
          <w:i/>
          <w:color w:val="404040" w:themeColor="text1" w:themeTint="BF"/>
          <w:kern w:val="24"/>
          <w:sz w:val="23"/>
          <w:szCs w:val="23"/>
        </w:rPr>
        <w:tab/>
      </w:r>
    </w:p>
    <w:p w14:paraId="23F941F7" w14:textId="77777777" w:rsidR="000B1E61" w:rsidRPr="000B1E61" w:rsidRDefault="000B1E61" w:rsidP="00463E52">
      <w:pPr>
        <w:numPr>
          <w:ilvl w:val="0"/>
          <w:numId w:val="5"/>
        </w:numPr>
        <w:spacing w:after="40" w:line="216" w:lineRule="auto"/>
        <w:ind w:left="864"/>
        <w:contextualSpacing/>
        <w:rPr>
          <w:rFonts w:ascii="Times New Roman" w:eastAsia="Times New Roman" w:hAnsi="Times New Roman" w:cs="Times New Roman"/>
          <w:i/>
          <w:color w:val="E48312"/>
          <w:sz w:val="23"/>
          <w:szCs w:val="23"/>
        </w:rPr>
      </w:pPr>
    </w:p>
    <w:p w14:paraId="3A404C0D" w14:textId="45F150C3" w:rsidR="00463E52" w:rsidRPr="00463E52" w:rsidRDefault="000B1E61" w:rsidP="00463E52">
      <w:pPr>
        <w:numPr>
          <w:ilvl w:val="0"/>
          <w:numId w:val="5"/>
        </w:numPr>
        <w:spacing w:after="40" w:line="216" w:lineRule="auto"/>
        <w:ind w:left="864"/>
        <w:contextualSpacing/>
        <w:rPr>
          <w:rFonts w:ascii="Times New Roman" w:eastAsia="Times New Roman" w:hAnsi="Times New Roman" w:cs="Times New Roman"/>
          <w:i/>
          <w:color w:val="E48312"/>
          <w:sz w:val="23"/>
          <w:szCs w:val="23"/>
        </w:rPr>
      </w:pPr>
      <w:r>
        <w:rPr>
          <w:rFonts w:eastAsiaTheme="minorEastAsia" w:hAnsi="Calibri"/>
          <w:i/>
          <w:color w:val="404040" w:themeColor="text1" w:themeTint="BF"/>
          <w:kern w:val="24"/>
          <w:sz w:val="23"/>
          <w:szCs w:val="23"/>
        </w:rPr>
        <w:t xml:space="preserve">BLI </w:t>
      </w:r>
      <w:r w:rsidR="00463E52" w:rsidRPr="00463E52">
        <w:rPr>
          <w:rFonts w:eastAsiaTheme="minorEastAsia" w:hAnsi="Calibri"/>
          <w:i/>
          <w:color w:val="404040" w:themeColor="text1" w:themeTint="BF"/>
          <w:kern w:val="24"/>
          <w:sz w:val="23"/>
          <w:szCs w:val="23"/>
        </w:rPr>
        <w:t>1410 Administrati</w:t>
      </w:r>
      <w:r>
        <w:rPr>
          <w:rFonts w:eastAsiaTheme="minorEastAsia" w:hAnsi="Calibri"/>
          <w:i/>
          <w:color w:val="404040" w:themeColor="text1" w:themeTint="BF"/>
          <w:kern w:val="24"/>
          <w:sz w:val="23"/>
          <w:szCs w:val="23"/>
        </w:rPr>
        <w:t>on</w:t>
      </w:r>
      <w:r w:rsidR="00463E52" w:rsidRPr="00463E52">
        <w:rPr>
          <w:rFonts w:eastAsiaTheme="minorEastAsia" w:hAnsi="Calibri"/>
          <w:i/>
          <w:color w:val="404040" w:themeColor="text1" w:themeTint="BF"/>
          <w:kern w:val="24"/>
          <w:sz w:val="23"/>
          <w:szCs w:val="23"/>
        </w:rPr>
        <w:t xml:space="preserve"> – Only direct costs such as publication for procurement.</w:t>
      </w:r>
    </w:p>
    <w:p w14:paraId="05918BB7" w14:textId="77777777" w:rsidR="00463E52" w:rsidRDefault="00463E52" w:rsidP="00CB1432">
      <w:pPr>
        <w:spacing w:after="0" w:line="240" w:lineRule="auto"/>
        <w:ind w:left="720"/>
        <w:rPr>
          <w:i/>
          <w:sz w:val="23"/>
          <w:szCs w:val="23"/>
        </w:rPr>
      </w:pPr>
    </w:p>
    <w:p w14:paraId="039909FD" w14:textId="3814F300" w:rsidR="00CB1432" w:rsidRDefault="00244B62" w:rsidP="00CB1432">
      <w:pPr>
        <w:spacing w:after="0" w:line="240" w:lineRule="auto"/>
        <w:ind w:left="720"/>
        <w:rPr>
          <w:i/>
          <w:sz w:val="23"/>
          <w:szCs w:val="23"/>
        </w:rPr>
      </w:pPr>
      <w:r w:rsidRPr="00244B62">
        <w:rPr>
          <w:i/>
          <w:sz w:val="23"/>
          <w:szCs w:val="23"/>
        </w:rPr>
        <w:t>Salaries and benefits are</w:t>
      </w:r>
      <w:r w:rsidR="00820DFF">
        <w:rPr>
          <w:i/>
          <w:sz w:val="23"/>
          <w:szCs w:val="23"/>
        </w:rPr>
        <w:t xml:space="preserve"> not eligible costs under this grant because they </w:t>
      </w:r>
      <w:proofErr w:type="gramStart"/>
      <w:r w:rsidR="00820DFF">
        <w:rPr>
          <w:i/>
          <w:sz w:val="23"/>
          <w:szCs w:val="23"/>
        </w:rPr>
        <w:t xml:space="preserve">are </w:t>
      </w:r>
      <w:r w:rsidRPr="00244B62">
        <w:rPr>
          <w:i/>
          <w:sz w:val="23"/>
          <w:szCs w:val="23"/>
        </w:rPr>
        <w:t xml:space="preserve"> indirect</w:t>
      </w:r>
      <w:proofErr w:type="gramEnd"/>
      <w:r w:rsidRPr="00244B62">
        <w:rPr>
          <w:i/>
          <w:sz w:val="23"/>
          <w:szCs w:val="23"/>
        </w:rPr>
        <w:t xml:space="preserve"> costs</w:t>
      </w:r>
      <w:r w:rsidR="00C95AD1">
        <w:rPr>
          <w:i/>
          <w:sz w:val="23"/>
          <w:szCs w:val="23"/>
        </w:rPr>
        <w:t>..</w:t>
      </w:r>
      <w:r w:rsidR="00C95AD1" w:rsidRPr="00244B62" w:rsidDel="00C95AD1">
        <w:rPr>
          <w:i/>
          <w:sz w:val="23"/>
          <w:szCs w:val="23"/>
        </w:rPr>
        <w:t xml:space="preserve"> </w:t>
      </w:r>
      <w:r w:rsidRPr="00244B62">
        <w:rPr>
          <w:i/>
          <w:sz w:val="23"/>
          <w:szCs w:val="23"/>
        </w:rPr>
        <w:t>They are not used to directly perform abatement, inspections, or assessments.  However, they do indirectly support these functions.</w:t>
      </w:r>
    </w:p>
    <w:p w14:paraId="2120DB7F" w14:textId="77777777" w:rsidR="00CB1432" w:rsidRPr="00CB1432" w:rsidRDefault="00CB1432" w:rsidP="00CB1432">
      <w:pPr>
        <w:spacing w:after="0" w:line="240" w:lineRule="auto"/>
        <w:rPr>
          <w:sz w:val="23"/>
          <w:szCs w:val="23"/>
        </w:rPr>
      </w:pPr>
    </w:p>
    <w:p w14:paraId="04914D8A" w14:textId="77777777" w:rsidR="00122F97" w:rsidRPr="00244B62" w:rsidRDefault="00122F97" w:rsidP="00F37C3C">
      <w:pPr>
        <w:pStyle w:val="ListParagraph"/>
        <w:numPr>
          <w:ilvl w:val="0"/>
          <w:numId w:val="3"/>
        </w:numPr>
        <w:spacing w:after="0" w:line="240" w:lineRule="auto"/>
        <w:rPr>
          <w:b/>
          <w:sz w:val="23"/>
          <w:szCs w:val="23"/>
        </w:rPr>
      </w:pPr>
      <w:r w:rsidRPr="00122F97">
        <w:rPr>
          <w:rFonts w:eastAsia="Times New Roman"/>
          <w:b/>
          <w:sz w:val="23"/>
          <w:szCs w:val="23"/>
        </w:rPr>
        <w:t>Is the LBPCF grant included in our MTW block grant?</w:t>
      </w:r>
    </w:p>
    <w:p w14:paraId="555855AA" w14:textId="77777777" w:rsidR="00244B62" w:rsidRPr="00CB1432" w:rsidRDefault="00244B62" w:rsidP="00CB1432">
      <w:pPr>
        <w:spacing w:after="0" w:line="240" w:lineRule="auto"/>
        <w:rPr>
          <w:sz w:val="23"/>
          <w:szCs w:val="23"/>
        </w:rPr>
      </w:pPr>
    </w:p>
    <w:p w14:paraId="38DB2CE1" w14:textId="77777777" w:rsidR="00122F97" w:rsidRPr="00F37C3C" w:rsidRDefault="00F37C3C" w:rsidP="00F37C3C">
      <w:pPr>
        <w:pStyle w:val="ListParagraph"/>
        <w:spacing w:after="0" w:line="240" w:lineRule="auto"/>
        <w:rPr>
          <w:i/>
          <w:sz w:val="23"/>
          <w:szCs w:val="23"/>
        </w:rPr>
      </w:pPr>
      <w:r w:rsidRPr="00F37C3C">
        <w:rPr>
          <w:i/>
          <w:sz w:val="23"/>
          <w:szCs w:val="23"/>
        </w:rPr>
        <w:lastRenderedPageBreak/>
        <w:t xml:space="preserve">No.  These funds have </w:t>
      </w:r>
      <w:r>
        <w:rPr>
          <w:i/>
          <w:sz w:val="23"/>
          <w:szCs w:val="23"/>
        </w:rPr>
        <w:t>been</w:t>
      </w:r>
      <w:r w:rsidRPr="00F37C3C">
        <w:rPr>
          <w:i/>
          <w:sz w:val="23"/>
          <w:szCs w:val="23"/>
        </w:rPr>
        <w:t xml:space="preserve"> designated </w:t>
      </w:r>
      <w:r>
        <w:rPr>
          <w:i/>
          <w:sz w:val="23"/>
          <w:szCs w:val="23"/>
        </w:rPr>
        <w:t>LBP activities only and cannot be used to issue additional vouchers or create or replace public housing units.</w:t>
      </w:r>
    </w:p>
    <w:p w14:paraId="4B559093" w14:textId="77777777" w:rsidR="00F37C3C" w:rsidRPr="00CB1432" w:rsidRDefault="00F37C3C" w:rsidP="00CB1432">
      <w:pPr>
        <w:spacing w:after="0" w:line="240" w:lineRule="auto"/>
        <w:rPr>
          <w:sz w:val="23"/>
          <w:szCs w:val="23"/>
        </w:rPr>
      </w:pPr>
    </w:p>
    <w:p w14:paraId="2C983344" w14:textId="77777777" w:rsidR="00122F97" w:rsidRPr="00BD0176" w:rsidRDefault="00122F97" w:rsidP="00F37C3C">
      <w:pPr>
        <w:pStyle w:val="ListParagraph"/>
        <w:numPr>
          <w:ilvl w:val="0"/>
          <w:numId w:val="3"/>
        </w:numPr>
        <w:spacing w:after="0" w:line="240" w:lineRule="auto"/>
        <w:rPr>
          <w:b/>
          <w:sz w:val="23"/>
          <w:szCs w:val="23"/>
        </w:rPr>
      </w:pPr>
      <w:r w:rsidRPr="00122F97">
        <w:rPr>
          <w:rFonts w:eastAsia="Times New Roman"/>
          <w:b/>
          <w:sz w:val="23"/>
          <w:szCs w:val="23"/>
        </w:rPr>
        <w:t>On the 5-year action plan and annual statement/budget requirements: are these requirements different for MTW agencies? As an MTW agency, our five-year plan as entered in EPIC is simply “Assignment of Funds to MTW BLI”</w:t>
      </w:r>
    </w:p>
    <w:p w14:paraId="65F385B4" w14:textId="77777777" w:rsidR="00BD0176" w:rsidRDefault="00BD0176" w:rsidP="00EB033C">
      <w:pPr>
        <w:spacing w:after="0" w:line="240" w:lineRule="auto"/>
        <w:ind w:left="720"/>
        <w:rPr>
          <w:sz w:val="23"/>
          <w:szCs w:val="23"/>
        </w:rPr>
      </w:pPr>
    </w:p>
    <w:p w14:paraId="4A5D279A" w14:textId="77777777" w:rsidR="00BD0176" w:rsidRPr="00875324" w:rsidRDefault="00EB033C" w:rsidP="00875324">
      <w:pPr>
        <w:spacing w:after="0" w:line="240" w:lineRule="auto"/>
        <w:ind w:left="720"/>
        <w:rPr>
          <w:i/>
          <w:sz w:val="23"/>
          <w:szCs w:val="23"/>
        </w:rPr>
      </w:pPr>
      <w:r w:rsidRPr="00875324">
        <w:rPr>
          <w:i/>
          <w:sz w:val="23"/>
          <w:szCs w:val="23"/>
        </w:rPr>
        <w:t xml:space="preserve">PHAs that operate Public Housing programs, participate in the CFP, and currently participate in the Moving </w:t>
      </w:r>
      <w:proofErr w:type="gramStart"/>
      <w:r w:rsidRPr="00875324">
        <w:rPr>
          <w:i/>
          <w:sz w:val="23"/>
          <w:szCs w:val="23"/>
        </w:rPr>
        <w:t>To</w:t>
      </w:r>
      <w:proofErr w:type="gramEnd"/>
      <w:r w:rsidRPr="00875324">
        <w:rPr>
          <w:i/>
          <w:sz w:val="23"/>
          <w:szCs w:val="23"/>
        </w:rPr>
        <w:t xml:space="preserve"> Work (MTW) demonstration include a description of capital activities as part of the MTW Plan annual submission process, as required by their MTW Agreements. Existing MTW PHAs will continue to submit capital plan information as prescribed by their MTW Agreements and will not be required to submit detailed Capital Fund 5-Year Action Plans in EPIC.</w:t>
      </w:r>
      <w:r w:rsidR="00875324" w:rsidRPr="00875324">
        <w:rPr>
          <w:i/>
          <w:sz w:val="23"/>
          <w:szCs w:val="23"/>
        </w:rPr>
        <w:t xml:space="preserve">  If LBP activities identified as part of the application process are not associated with an approved MTW plan the PHA is required to identify these activities in EPIC and cannot use the “simplified” 5YAP described in PIH Notice 2016-21(HA).</w:t>
      </w:r>
    </w:p>
    <w:p w14:paraId="72C51748" w14:textId="77777777" w:rsidR="00122F97" w:rsidRPr="00122F97" w:rsidRDefault="00122F97" w:rsidP="00F37C3C">
      <w:pPr>
        <w:pStyle w:val="ListParagraph"/>
        <w:spacing w:after="0" w:line="240" w:lineRule="auto"/>
        <w:rPr>
          <w:b/>
          <w:sz w:val="23"/>
          <w:szCs w:val="23"/>
        </w:rPr>
      </w:pPr>
    </w:p>
    <w:p w14:paraId="0E1B2B48" w14:textId="77777777" w:rsidR="00122F97" w:rsidRPr="00122F97" w:rsidRDefault="00122F97" w:rsidP="00F37C3C">
      <w:pPr>
        <w:pStyle w:val="ListParagraph"/>
        <w:numPr>
          <w:ilvl w:val="0"/>
          <w:numId w:val="3"/>
        </w:numPr>
        <w:spacing w:after="0" w:line="240" w:lineRule="auto"/>
        <w:rPr>
          <w:b/>
          <w:sz w:val="23"/>
          <w:szCs w:val="23"/>
        </w:rPr>
      </w:pPr>
      <w:r>
        <w:rPr>
          <w:b/>
          <w:sz w:val="23"/>
          <w:szCs w:val="23"/>
        </w:rPr>
        <w:t>Can PHA use LBP grant funds to test for lead in water?</w:t>
      </w:r>
    </w:p>
    <w:p w14:paraId="43582207" w14:textId="5FD4403E" w:rsidR="00365C82" w:rsidRPr="00234FBA" w:rsidRDefault="00365C82" w:rsidP="00F37C3C">
      <w:pPr>
        <w:pStyle w:val="ListParagraph"/>
        <w:spacing w:after="0" w:line="240" w:lineRule="auto"/>
        <w:rPr>
          <w:sz w:val="23"/>
          <w:szCs w:val="23"/>
        </w:rPr>
      </w:pPr>
    </w:p>
    <w:p w14:paraId="20D31A10" w14:textId="77777777" w:rsidR="0010308E" w:rsidRDefault="00234FBA" w:rsidP="00234FBA">
      <w:pPr>
        <w:autoSpaceDE w:val="0"/>
        <w:autoSpaceDN w:val="0"/>
        <w:adjustRightInd w:val="0"/>
        <w:spacing w:after="0" w:line="240" w:lineRule="auto"/>
        <w:ind w:left="720"/>
        <w:rPr>
          <w:rFonts w:cstheme="minorHAnsi"/>
          <w:sz w:val="23"/>
          <w:szCs w:val="23"/>
        </w:rPr>
      </w:pPr>
      <w:r w:rsidRPr="00234FBA">
        <w:rPr>
          <w:rFonts w:cstheme="minorHAnsi"/>
          <w:i/>
          <w:sz w:val="23"/>
          <w:szCs w:val="23"/>
        </w:rPr>
        <w:t xml:space="preserve">Water sampling is </w:t>
      </w:r>
      <w:r w:rsidR="00EB0277">
        <w:rPr>
          <w:rFonts w:cstheme="minorHAnsi"/>
          <w:i/>
          <w:sz w:val="23"/>
          <w:szCs w:val="23"/>
        </w:rPr>
        <w:t xml:space="preserve">generally </w:t>
      </w:r>
      <w:r w:rsidRPr="00234FBA">
        <w:rPr>
          <w:rFonts w:cstheme="minorHAnsi"/>
          <w:i/>
          <w:sz w:val="23"/>
          <w:szCs w:val="23"/>
        </w:rPr>
        <w:t xml:space="preserve">not </w:t>
      </w:r>
      <w:r w:rsidR="00EB0277">
        <w:rPr>
          <w:rFonts w:cstheme="minorHAnsi"/>
          <w:i/>
          <w:sz w:val="23"/>
          <w:szCs w:val="23"/>
        </w:rPr>
        <w:t xml:space="preserve">performed in a </w:t>
      </w:r>
      <w:r w:rsidRPr="00234FBA">
        <w:rPr>
          <w:rFonts w:cstheme="minorHAnsi"/>
          <w:i/>
          <w:sz w:val="23"/>
          <w:szCs w:val="23"/>
        </w:rPr>
        <w:t xml:space="preserve">routine risk assessment </w:t>
      </w:r>
      <w:r w:rsidR="00EB0277">
        <w:rPr>
          <w:rFonts w:cstheme="minorHAnsi"/>
          <w:i/>
          <w:sz w:val="23"/>
          <w:szCs w:val="23"/>
        </w:rPr>
        <w:t>unless there is a specific risk identified by the Risk Assessor. The funds for this program are designated for the evaluation and control of lead-based paint and lead-based paint hazards.</w:t>
      </w:r>
    </w:p>
    <w:p w14:paraId="34BC963A" w14:textId="77777777" w:rsidR="0010308E" w:rsidRDefault="0010308E" w:rsidP="0010308E">
      <w:pPr>
        <w:autoSpaceDE w:val="0"/>
        <w:autoSpaceDN w:val="0"/>
        <w:adjustRightInd w:val="0"/>
        <w:spacing w:after="0" w:line="240" w:lineRule="auto"/>
        <w:rPr>
          <w:rFonts w:cstheme="minorHAnsi"/>
          <w:sz w:val="23"/>
          <w:szCs w:val="23"/>
        </w:rPr>
      </w:pPr>
    </w:p>
    <w:p w14:paraId="6CB17F30" w14:textId="513A272E" w:rsidR="00234FBA" w:rsidRPr="0010308E" w:rsidRDefault="0010308E" w:rsidP="0010308E">
      <w:pPr>
        <w:pStyle w:val="ListParagraph"/>
        <w:numPr>
          <w:ilvl w:val="0"/>
          <w:numId w:val="3"/>
        </w:numPr>
        <w:autoSpaceDE w:val="0"/>
        <w:autoSpaceDN w:val="0"/>
        <w:adjustRightInd w:val="0"/>
        <w:spacing w:after="0" w:line="240" w:lineRule="auto"/>
        <w:rPr>
          <w:rFonts w:cstheme="minorHAnsi"/>
          <w:b/>
          <w:sz w:val="23"/>
          <w:szCs w:val="23"/>
        </w:rPr>
      </w:pPr>
      <w:r w:rsidRPr="0010308E">
        <w:rPr>
          <w:rFonts w:cstheme="minorHAnsi"/>
          <w:b/>
          <w:sz w:val="23"/>
          <w:szCs w:val="23"/>
        </w:rPr>
        <w:t>I can see my grant in LOCCS, but I cannot draw down money, what should I do?</w:t>
      </w:r>
    </w:p>
    <w:p w14:paraId="3EFDF504" w14:textId="2FAD641C" w:rsidR="0010308E" w:rsidRDefault="0010308E" w:rsidP="0010308E">
      <w:pPr>
        <w:pStyle w:val="ListParagraph"/>
        <w:autoSpaceDE w:val="0"/>
        <w:autoSpaceDN w:val="0"/>
        <w:adjustRightInd w:val="0"/>
        <w:spacing w:after="0" w:line="240" w:lineRule="auto"/>
        <w:rPr>
          <w:rFonts w:cstheme="minorHAnsi"/>
          <w:i/>
          <w:sz w:val="23"/>
          <w:szCs w:val="23"/>
        </w:rPr>
      </w:pPr>
    </w:p>
    <w:p w14:paraId="3FDACE3D" w14:textId="77777777" w:rsidR="0010308E" w:rsidRPr="0010308E" w:rsidRDefault="0010308E" w:rsidP="0010308E">
      <w:pPr>
        <w:pStyle w:val="ListParagraph"/>
        <w:autoSpaceDE w:val="0"/>
        <w:autoSpaceDN w:val="0"/>
        <w:adjustRightInd w:val="0"/>
        <w:rPr>
          <w:rFonts w:cstheme="minorHAnsi"/>
          <w:i/>
          <w:sz w:val="23"/>
          <w:szCs w:val="23"/>
        </w:rPr>
      </w:pPr>
      <w:r w:rsidRPr="0010308E">
        <w:rPr>
          <w:rFonts w:cstheme="minorHAnsi"/>
          <w:i/>
          <w:sz w:val="23"/>
          <w:szCs w:val="23"/>
        </w:rPr>
        <w:t>You may have noticed these funds are currently in </w:t>
      </w:r>
      <w:proofErr w:type="gramStart"/>
      <w:r w:rsidRPr="0010308E">
        <w:rPr>
          <w:rFonts w:cstheme="minorHAnsi"/>
          <w:i/>
          <w:sz w:val="23"/>
          <w:szCs w:val="23"/>
        </w:rPr>
        <w:t>LOCCS  in</w:t>
      </w:r>
      <w:proofErr w:type="gramEnd"/>
      <w:r w:rsidRPr="0010308E">
        <w:rPr>
          <w:rFonts w:cstheme="minorHAnsi"/>
          <w:i/>
          <w:sz w:val="23"/>
          <w:szCs w:val="23"/>
        </w:rPr>
        <w:t xml:space="preserve"> BLI 0100.  It is important to note that while all PHAs can perform lead-based paint testing and abatement work using capital funds, these </w:t>
      </w:r>
      <w:proofErr w:type="gramStart"/>
      <w:r w:rsidRPr="0010308E">
        <w:rPr>
          <w:rFonts w:cstheme="minorHAnsi"/>
          <w:i/>
          <w:sz w:val="23"/>
          <w:szCs w:val="23"/>
        </w:rPr>
        <w:t>particular funds</w:t>
      </w:r>
      <w:proofErr w:type="gramEnd"/>
      <w:r w:rsidRPr="0010308E">
        <w:rPr>
          <w:rFonts w:cstheme="minorHAnsi"/>
          <w:i/>
          <w:sz w:val="23"/>
          <w:szCs w:val="23"/>
        </w:rPr>
        <w:t xml:space="preserve"> are only available to the attached grantees and for can only be use for lead-based paint testing and abatement.  The funds must also be tracked and monitored separately.</w:t>
      </w:r>
    </w:p>
    <w:p w14:paraId="4826BD98" w14:textId="77777777" w:rsidR="0010308E" w:rsidRPr="0010308E" w:rsidRDefault="0010308E" w:rsidP="0010308E">
      <w:pPr>
        <w:pStyle w:val="ListParagraph"/>
        <w:autoSpaceDE w:val="0"/>
        <w:autoSpaceDN w:val="0"/>
        <w:adjustRightInd w:val="0"/>
        <w:rPr>
          <w:rFonts w:cstheme="minorHAnsi"/>
          <w:i/>
          <w:sz w:val="23"/>
          <w:szCs w:val="23"/>
        </w:rPr>
      </w:pPr>
      <w:r w:rsidRPr="0010308E">
        <w:rPr>
          <w:rFonts w:cstheme="minorHAnsi"/>
          <w:i/>
          <w:sz w:val="23"/>
          <w:szCs w:val="23"/>
        </w:rPr>
        <w:t> </w:t>
      </w:r>
    </w:p>
    <w:p w14:paraId="11445C58" w14:textId="77777777" w:rsidR="0010308E" w:rsidRPr="0010308E" w:rsidRDefault="0010308E" w:rsidP="0010308E">
      <w:pPr>
        <w:pStyle w:val="ListParagraph"/>
        <w:autoSpaceDE w:val="0"/>
        <w:autoSpaceDN w:val="0"/>
        <w:adjustRightInd w:val="0"/>
        <w:rPr>
          <w:rFonts w:cstheme="minorHAnsi"/>
          <w:i/>
          <w:sz w:val="23"/>
          <w:szCs w:val="23"/>
        </w:rPr>
      </w:pPr>
      <w:r w:rsidRPr="0010308E">
        <w:rPr>
          <w:rFonts w:cstheme="minorHAnsi"/>
          <w:i/>
          <w:sz w:val="23"/>
          <w:szCs w:val="23"/>
        </w:rPr>
        <w:t>PIH field staff will not have primary responsibility for these grants. Instead, a team of OCI and OFO staff in Headquarters will perform all plan approvals and monitoring.  </w:t>
      </w:r>
    </w:p>
    <w:p w14:paraId="06975392" w14:textId="77777777" w:rsidR="0010308E" w:rsidRPr="0010308E" w:rsidRDefault="0010308E" w:rsidP="0010308E">
      <w:pPr>
        <w:pStyle w:val="ListParagraph"/>
        <w:autoSpaceDE w:val="0"/>
        <w:autoSpaceDN w:val="0"/>
        <w:adjustRightInd w:val="0"/>
        <w:rPr>
          <w:rFonts w:cstheme="minorHAnsi"/>
          <w:i/>
          <w:sz w:val="23"/>
          <w:szCs w:val="23"/>
        </w:rPr>
      </w:pPr>
      <w:r w:rsidRPr="0010308E">
        <w:rPr>
          <w:rFonts w:cstheme="minorHAnsi"/>
          <w:i/>
          <w:sz w:val="23"/>
          <w:szCs w:val="23"/>
        </w:rPr>
        <w:t> </w:t>
      </w:r>
    </w:p>
    <w:p w14:paraId="766DB2F8" w14:textId="77777777" w:rsidR="0010308E" w:rsidRPr="0010308E" w:rsidRDefault="0010308E" w:rsidP="0010308E">
      <w:pPr>
        <w:pStyle w:val="ListParagraph"/>
        <w:autoSpaceDE w:val="0"/>
        <w:autoSpaceDN w:val="0"/>
        <w:adjustRightInd w:val="0"/>
        <w:rPr>
          <w:rFonts w:cstheme="minorHAnsi"/>
          <w:i/>
          <w:sz w:val="23"/>
          <w:szCs w:val="23"/>
        </w:rPr>
      </w:pPr>
      <w:proofErr w:type="gramStart"/>
      <w:r w:rsidRPr="0010308E">
        <w:rPr>
          <w:rFonts w:cstheme="minorHAnsi"/>
          <w:i/>
          <w:sz w:val="23"/>
          <w:szCs w:val="23"/>
        </w:rPr>
        <w:t>In order for</w:t>
      </w:r>
      <w:proofErr w:type="gramEnd"/>
      <w:r w:rsidRPr="0010308E">
        <w:rPr>
          <w:rFonts w:cstheme="minorHAnsi"/>
          <w:i/>
          <w:sz w:val="23"/>
          <w:szCs w:val="23"/>
        </w:rPr>
        <w:t xml:space="preserve"> a grantee to access these funds, they must first revise their 5-Year Action Plan (5YAP) for 2017 in EPIC and submit and Annual Statement through EPIC as well. Field office staff will see that a grantee has submitted a Revised 5YAP in EPIC to accommodate that award of an LBPCF, however, Field Office staff should not review or recommend these Revised 5YAPs for approval. Instead, please send an email to OCI at </w:t>
      </w:r>
      <w:hyperlink r:id="rId7" w:history="1">
        <w:r w:rsidRPr="0010308E">
          <w:rPr>
            <w:rStyle w:val="Hyperlink"/>
            <w:rFonts w:cstheme="minorHAnsi"/>
            <w:i/>
            <w:sz w:val="23"/>
            <w:szCs w:val="23"/>
          </w:rPr>
          <w:t>PIHOCI@hud.gov</w:t>
        </w:r>
      </w:hyperlink>
      <w:r w:rsidRPr="0010308E">
        <w:rPr>
          <w:rFonts w:cstheme="minorHAnsi"/>
          <w:i/>
          <w:sz w:val="23"/>
          <w:szCs w:val="23"/>
        </w:rPr>
        <w:t xml:space="preserve"> indicating that a Revised 5YAP needs review. Once the 5YAP is reviewed and determined to be acceptable, OCI grant staff will notify the Field Office Directors and Staff and ask that they complete the approvals. Field Office staff are also asked not to make any changes in LOCCS to spread funds or approve vouchers. Instead, please email </w:t>
      </w:r>
      <w:hyperlink r:id="rId8" w:history="1">
        <w:r w:rsidRPr="0010308E">
          <w:rPr>
            <w:rStyle w:val="Hyperlink"/>
            <w:rFonts w:cstheme="minorHAnsi"/>
            <w:i/>
            <w:sz w:val="23"/>
            <w:szCs w:val="23"/>
          </w:rPr>
          <w:t>PIHOCI@hud.gov</w:t>
        </w:r>
      </w:hyperlink>
      <w:r w:rsidRPr="0010308E">
        <w:rPr>
          <w:rFonts w:cstheme="minorHAnsi"/>
          <w:i/>
          <w:sz w:val="23"/>
          <w:szCs w:val="23"/>
        </w:rPr>
        <w:t xml:space="preserve"> when assistance is needed. </w:t>
      </w:r>
    </w:p>
    <w:p w14:paraId="6977D75E" w14:textId="77777777" w:rsidR="0010308E" w:rsidRPr="0010308E" w:rsidRDefault="0010308E" w:rsidP="0010308E">
      <w:pPr>
        <w:pStyle w:val="ListParagraph"/>
        <w:autoSpaceDE w:val="0"/>
        <w:autoSpaceDN w:val="0"/>
        <w:adjustRightInd w:val="0"/>
        <w:rPr>
          <w:rFonts w:cstheme="minorHAnsi"/>
          <w:i/>
          <w:sz w:val="23"/>
          <w:szCs w:val="23"/>
        </w:rPr>
      </w:pPr>
      <w:r w:rsidRPr="0010308E">
        <w:rPr>
          <w:rFonts w:cstheme="minorHAnsi"/>
          <w:i/>
          <w:sz w:val="23"/>
          <w:szCs w:val="23"/>
        </w:rPr>
        <w:t> </w:t>
      </w:r>
    </w:p>
    <w:p w14:paraId="358E13FB" w14:textId="77777777" w:rsidR="0010308E" w:rsidRPr="0010308E" w:rsidRDefault="0010308E" w:rsidP="0010308E">
      <w:pPr>
        <w:pStyle w:val="ListParagraph"/>
        <w:autoSpaceDE w:val="0"/>
        <w:autoSpaceDN w:val="0"/>
        <w:adjustRightInd w:val="0"/>
        <w:rPr>
          <w:rFonts w:cstheme="minorHAnsi"/>
          <w:i/>
          <w:sz w:val="23"/>
          <w:szCs w:val="23"/>
        </w:rPr>
      </w:pPr>
      <w:r w:rsidRPr="0010308E">
        <w:rPr>
          <w:rFonts w:cstheme="minorHAnsi"/>
          <w:i/>
          <w:sz w:val="23"/>
          <w:szCs w:val="23"/>
        </w:rPr>
        <w:lastRenderedPageBreak/>
        <w:t xml:space="preserve">If you have already approved a Revised 5YAP with these funds, please email </w:t>
      </w:r>
      <w:hyperlink r:id="rId9" w:history="1">
        <w:r w:rsidRPr="0010308E">
          <w:rPr>
            <w:rStyle w:val="Hyperlink"/>
            <w:rFonts w:cstheme="minorHAnsi"/>
            <w:i/>
            <w:sz w:val="23"/>
            <w:szCs w:val="23"/>
          </w:rPr>
          <w:t>PIHOCI@hud.gov</w:t>
        </w:r>
      </w:hyperlink>
      <w:r w:rsidRPr="0010308E">
        <w:rPr>
          <w:rFonts w:cstheme="minorHAnsi"/>
          <w:i/>
          <w:sz w:val="23"/>
          <w:szCs w:val="23"/>
        </w:rPr>
        <w:t xml:space="preserve"> with more information.  </w:t>
      </w:r>
    </w:p>
    <w:p w14:paraId="26A14E11" w14:textId="77777777" w:rsidR="0010308E" w:rsidRPr="0010308E" w:rsidRDefault="0010308E" w:rsidP="0010308E">
      <w:pPr>
        <w:pStyle w:val="ListParagraph"/>
        <w:autoSpaceDE w:val="0"/>
        <w:autoSpaceDN w:val="0"/>
        <w:adjustRightInd w:val="0"/>
        <w:rPr>
          <w:rFonts w:cstheme="minorHAnsi"/>
          <w:i/>
          <w:sz w:val="23"/>
          <w:szCs w:val="23"/>
        </w:rPr>
      </w:pPr>
      <w:r w:rsidRPr="0010308E">
        <w:rPr>
          <w:rFonts w:cstheme="minorHAnsi"/>
          <w:i/>
          <w:sz w:val="23"/>
          <w:szCs w:val="23"/>
        </w:rPr>
        <w:t> </w:t>
      </w:r>
    </w:p>
    <w:p w14:paraId="153C9967" w14:textId="77777777" w:rsidR="0010308E" w:rsidRPr="0010308E" w:rsidRDefault="0010308E" w:rsidP="0010308E">
      <w:pPr>
        <w:pStyle w:val="ListParagraph"/>
        <w:autoSpaceDE w:val="0"/>
        <w:autoSpaceDN w:val="0"/>
        <w:adjustRightInd w:val="0"/>
        <w:rPr>
          <w:rFonts w:cstheme="minorHAnsi"/>
          <w:i/>
          <w:sz w:val="23"/>
          <w:szCs w:val="23"/>
        </w:rPr>
      </w:pPr>
      <w:r w:rsidRPr="0010308E">
        <w:rPr>
          <w:rFonts w:cstheme="minorHAnsi"/>
          <w:i/>
          <w:sz w:val="23"/>
          <w:szCs w:val="23"/>
        </w:rPr>
        <w:t xml:space="preserve">If you have questions or feedback about this program, you can reach the Lead-based Paint Capital Fund team through </w:t>
      </w:r>
      <w:hyperlink r:id="rId10" w:history="1">
        <w:r w:rsidRPr="0010308E">
          <w:rPr>
            <w:rStyle w:val="Hyperlink"/>
            <w:rFonts w:cstheme="minorHAnsi"/>
            <w:i/>
            <w:sz w:val="23"/>
            <w:szCs w:val="23"/>
          </w:rPr>
          <w:t>PIHOCI@hud.gov</w:t>
        </w:r>
      </w:hyperlink>
      <w:r w:rsidRPr="0010308E">
        <w:rPr>
          <w:rFonts w:cstheme="minorHAnsi"/>
          <w:i/>
          <w:sz w:val="23"/>
          <w:szCs w:val="23"/>
        </w:rPr>
        <w:t xml:space="preserve">. You can also contact Damien Thomas or Tara Radosevich directly. </w:t>
      </w:r>
    </w:p>
    <w:p w14:paraId="29E64EDB" w14:textId="77777777" w:rsidR="0010308E" w:rsidRPr="0010308E" w:rsidRDefault="0010308E" w:rsidP="0010308E">
      <w:pPr>
        <w:pStyle w:val="ListParagraph"/>
        <w:autoSpaceDE w:val="0"/>
        <w:autoSpaceDN w:val="0"/>
        <w:adjustRightInd w:val="0"/>
        <w:spacing w:after="0" w:line="240" w:lineRule="auto"/>
        <w:rPr>
          <w:rFonts w:cstheme="minorHAnsi"/>
          <w:sz w:val="23"/>
          <w:szCs w:val="23"/>
        </w:rPr>
      </w:pPr>
    </w:p>
    <w:sectPr w:rsidR="0010308E" w:rsidRPr="0010308E">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344C29" w14:textId="77777777" w:rsidR="00510456" w:rsidRDefault="00510456" w:rsidP="00F379FF">
      <w:pPr>
        <w:spacing w:after="0" w:line="240" w:lineRule="auto"/>
      </w:pPr>
      <w:r>
        <w:separator/>
      </w:r>
    </w:p>
  </w:endnote>
  <w:endnote w:type="continuationSeparator" w:id="0">
    <w:p w14:paraId="41641CA0" w14:textId="77777777" w:rsidR="00510456" w:rsidRDefault="00510456" w:rsidP="00F379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A9EE0" w14:textId="77777777" w:rsidR="00510456" w:rsidRDefault="00510456" w:rsidP="00F379FF">
      <w:pPr>
        <w:spacing w:after="0" w:line="240" w:lineRule="auto"/>
      </w:pPr>
      <w:r>
        <w:separator/>
      </w:r>
    </w:p>
  </w:footnote>
  <w:footnote w:type="continuationSeparator" w:id="0">
    <w:p w14:paraId="3FABBC73" w14:textId="77777777" w:rsidR="00510456" w:rsidRDefault="00510456" w:rsidP="00F379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7633B" w14:textId="5B7B6AAF" w:rsidR="00F379FF" w:rsidRDefault="00F379FF">
    <w:pPr>
      <w:pStyle w:val="Header"/>
    </w:pPr>
    <w:r>
      <w:t>February 12, 2019</w:t>
    </w:r>
    <w:r>
      <w:ptab w:relativeTo="margin" w:alignment="center" w:leader="none"/>
    </w:r>
    <w:r>
      <w:ptab w:relativeTo="margin" w:alignment="right" w:leader="none"/>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754756"/>
    <w:multiLevelType w:val="hybridMultilevel"/>
    <w:tmpl w:val="C05C23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7725A03"/>
    <w:multiLevelType w:val="hybridMultilevel"/>
    <w:tmpl w:val="0DA86B14"/>
    <w:lvl w:ilvl="0" w:tplc="3D46FB1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3665B1F"/>
    <w:multiLevelType w:val="hybridMultilevel"/>
    <w:tmpl w:val="2A2E77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67AAC63"/>
    <w:multiLevelType w:val="hybridMultilevel"/>
    <w:tmpl w:val="561AA10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7BB700DB"/>
    <w:multiLevelType w:val="hybridMultilevel"/>
    <w:tmpl w:val="E93894FA"/>
    <w:lvl w:ilvl="0" w:tplc="D88289AC">
      <w:start w:val="1"/>
      <w:numFmt w:val="bullet"/>
      <w:lvlText w:val=" "/>
      <w:lvlJc w:val="left"/>
      <w:pPr>
        <w:tabs>
          <w:tab w:val="num" w:pos="720"/>
        </w:tabs>
        <w:ind w:left="720" w:hanging="360"/>
      </w:pPr>
      <w:rPr>
        <w:rFonts w:ascii="Calibri" w:hAnsi="Calibri" w:hint="default"/>
      </w:rPr>
    </w:lvl>
    <w:lvl w:ilvl="1" w:tplc="32A2DE44" w:tentative="1">
      <w:start w:val="1"/>
      <w:numFmt w:val="bullet"/>
      <w:lvlText w:val=" "/>
      <w:lvlJc w:val="left"/>
      <w:pPr>
        <w:tabs>
          <w:tab w:val="num" w:pos="1440"/>
        </w:tabs>
        <w:ind w:left="1440" w:hanging="360"/>
      </w:pPr>
      <w:rPr>
        <w:rFonts w:ascii="Calibri" w:hAnsi="Calibri" w:hint="default"/>
      </w:rPr>
    </w:lvl>
    <w:lvl w:ilvl="2" w:tplc="9078B9A0" w:tentative="1">
      <w:start w:val="1"/>
      <w:numFmt w:val="bullet"/>
      <w:lvlText w:val=" "/>
      <w:lvlJc w:val="left"/>
      <w:pPr>
        <w:tabs>
          <w:tab w:val="num" w:pos="2160"/>
        </w:tabs>
        <w:ind w:left="2160" w:hanging="360"/>
      </w:pPr>
      <w:rPr>
        <w:rFonts w:ascii="Calibri" w:hAnsi="Calibri" w:hint="default"/>
      </w:rPr>
    </w:lvl>
    <w:lvl w:ilvl="3" w:tplc="D1124B80" w:tentative="1">
      <w:start w:val="1"/>
      <w:numFmt w:val="bullet"/>
      <w:lvlText w:val=" "/>
      <w:lvlJc w:val="left"/>
      <w:pPr>
        <w:tabs>
          <w:tab w:val="num" w:pos="2880"/>
        </w:tabs>
        <w:ind w:left="2880" w:hanging="360"/>
      </w:pPr>
      <w:rPr>
        <w:rFonts w:ascii="Calibri" w:hAnsi="Calibri" w:hint="default"/>
      </w:rPr>
    </w:lvl>
    <w:lvl w:ilvl="4" w:tplc="D91480DA" w:tentative="1">
      <w:start w:val="1"/>
      <w:numFmt w:val="bullet"/>
      <w:lvlText w:val=" "/>
      <w:lvlJc w:val="left"/>
      <w:pPr>
        <w:tabs>
          <w:tab w:val="num" w:pos="3600"/>
        </w:tabs>
        <w:ind w:left="3600" w:hanging="360"/>
      </w:pPr>
      <w:rPr>
        <w:rFonts w:ascii="Calibri" w:hAnsi="Calibri" w:hint="default"/>
      </w:rPr>
    </w:lvl>
    <w:lvl w:ilvl="5" w:tplc="91F872B4" w:tentative="1">
      <w:start w:val="1"/>
      <w:numFmt w:val="bullet"/>
      <w:lvlText w:val=" "/>
      <w:lvlJc w:val="left"/>
      <w:pPr>
        <w:tabs>
          <w:tab w:val="num" w:pos="4320"/>
        </w:tabs>
        <w:ind w:left="4320" w:hanging="360"/>
      </w:pPr>
      <w:rPr>
        <w:rFonts w:ascii="Calibri" w:hAnsi="Calibri" w:hint="default"/>
      </w:rPr>
    </w:lvl>
    <w:lvl w:ilvl="6" w:tplc="F01026B0" w:tentative="1">
      <w:start w:val="1"/>
      <w:numFmt w:val="bullet"/>
      <w:lvlText w:val=" "/>
      <w:lvlJc w:val="left"/>
      <w:pPr>
        <w:tabs>
          <w:tab w:val="num" w:pos="5040"/>
        </w:tabs>
        <w:ind w:left="5040" w:hanging="360"/>
      </w:pPr>
      <w:rPr>
        <w:rFonts w:ascii="Calibri" w:hAnsi="Calibri" w:hint="default"/>
      </w:rPr>
    </w:lvl>
    <w:lvl w:ilvl="7" w:tplc="7C5666B8" w:tentative="1">
      <w:start w:val="1"/>
      <w:numFmt w:val="bullet"/>
      <w:lvlText w:val=" "/>
      <w:lvlJc w:val="left"/>
      <w:pPr>
        <w:tabs>
          <w:tab w:val="num" w:pos="5760"/>
        </w:tabs>
        <w:ind w:left="5760" w:hanging="360"/>
      </w:pPr>
      <w:rPr>
        <w:rFonts w:ascii="Calibri" w:hAnsi="Calibri" w:hint="default"/>
      </w:rPr>
    </w:lvl>
    <w:lvl w:ilvl="8" w:tplc="3A6CBA2C" w:tentative="1">
      <w:start w:val="1"/>
      <w:numFmt w:val="bullet"/>
      <w:lvlText w:val=" "/>
      <w:lvlJc w:val="left"/>
      <w:pPr>
        <w:tabs>
          <w:tab w:val="num" w:pos="6480"/>
        </w:tabs>
        <w:ind w:left="6480" w:hanging="360"/>
      </w:pPr>
      <w:rPr>
        <w:rFonts w:ascii="Calibri" w:hAnsi="Calibri" w:hint="default"/>
      </w:rPr>
    </w:lvl>
  </w:abstractNum>
  <w:num w:numId="1">
    <w:abstractNumId w:val="2"/>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93F"/>
    <w:rsid w:val="00077A15"/>
    <w:rsid w:val="000B1E61"/>
    <w:rsid w:val="0010308E"/>
    <w:rsid w:val="00122F97"/>
    <w:rsid w:val="00234FBA"/>
    <w:rsid w:val="00244B62"/>
    <w:rsid w:val="002C1B84"/>
    <w:rsid w:val="00365C82"/>
    <w:rsid w:val="00463E52"/>
    <w:rsid w:val="00510456"/>
    <w:rsid w:val="006548CA"/>
    <w:rsid w:val="0067755D"/>
    <w:rsid w:val="00694065"/>
    <w:rsid w:val="006E75E9"/>
    <w:rsid w:val="007A37EB"/>
    <w:rsid w:val="00820DFF"/>
    <w:rsid w:val="00875324"/>
    <w:rsid w:val="00A20BDB"/>
    <w:rsid w:val="00A64180"/>
    <w:rsid w:val="00AC34EC"/>
    <w:rsid w:val="00AF54E0"/>
    <w:rsid w:val="00B25E63"/>
    <w:rsid w:val="00B660AB"/>
    <w:rsid w:val="00BD0176"/>
    <w:rsid w:val="00C2051F"/>
    <w:rsid w:val="00C45E18"/>
    <w:rsid w:val="00C95AD1"/>
    <w:rsid w:val="00CB1432"/>
    <w:rsid w:val="00E5222B"/>
    <w:rsid w:val="00EA593F"/>
    <w:rsid w:val="00EB0277"/>
    <w:rsid w:val="00EB033C"/>
    <w:rsid w:val="00F379FF"/>
    <w:rsid w:val="00F37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26A32"/>
  <w15:chartTrackingRefBased/>
  <w15:docId w15:val="{DCC94B56-3148-4CB2-8D12-9B77E3521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379F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A593F"/>
    <w:pPr>
      <w:ind w:left="720"/>
      <w:contextualSpacing/>
    </w:pPr>
  </w:style>
  <w:style w:type="paragraph" w:customStyle="1" w:styleId="Default">
    <w:name w:val="Default"/>
    <w:rsid w:val="00EA593F"/>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6548CA"/>
    <w:rPr>
      <w:sz w:val="16"/>
      <w:szCs w:val="16"/>
    </w:rPr>
  </w:style>
  <w:style w:type="paragraph" w:styleId="CommentText">
    <w:name w:val="annotation text"/>
    <w:basedOn w:val="Normal"/>
    <w:link w:val="CommentTextChar"/>
    <w:uiPriority w:val="99"/>
    <w:semiHidden/>
    <w:unhideWhenUsed/>
    <w:rsid w:val="006548CA"/>
    <w:pPr>
      <w:spacing w:line="240" w:lineRule="auto"/>
    </w:pPr>
    <w:rPr>
      <w:sz w:val="20"/>
      <w:szCs w:val="20"/>
    </w:rPr>
  </w:style>
  <w:style w:type="character" w:customStyle="1" w:styleId="CommentTextChar">
    <w:name w:val="Comment Text Char"/>
    <w:basedOn w:val="DefaultParagraphFont"/>
    <w:link w:val="CommentText"/>
    <w:uiPriority w:val="99"/>
    <w:semiHidden/>
    <w:rsid w:val="006548CA"/>
    <w:rPr>
      <w:sz w:val="20"/>
      <w:szCs w:val="20"/>
    </w:rPr>
  </w:style>
  <w:style w:type="paragraph" w:styleId="CommentSubject">
    <w:name w:val="annotation subject"/>
    <w:basedOn w:val="CommentText"/>
    <w:next w:val="CommentText"/>
    <w:link w:val="CommentSubjectChar"/>
    <w:uiPriority w:val="99"/>
    <w:semiHidden/>
    <w:unhideWhenUsed/>
    <w:rsid w:val="006548CA"/>
    <w:rPr>
      <w:b/>
      <w:bCs/>
    </w:rPr>
  </w:style>
  <w:style w:type="character" w:customStyle="1" w:styleId="CommentSubjectChar">
    <w:name w:val="Comment Subject Char"/>
    <w:basedOn w:val="CommentTextChar"/>
    <w:link w:val="CommentSubject"/>
    <w:uiPriority w:val="99"/>
    <w:semiHidden/>
    <w:rsid w:val="006548CA"/>
    <w:rPr>
      <w:b/>
      <w:bCs/>
      <w:sz w:val="20"/>
      <w:szCs w:val="20"/>
    </w:rPr>
  </w:style>
  <w:style w:type="paragraph" w:styleId="BalloonText">
    <w:name w:val="Balloon Text"/>
    <w:basedOn w:val="Normal"/>
    <w:link w:val="BalloonTextChar"/>
    <w:uiPriority w:val="99"/>
    <w:semiHidden/>
    <w:unhideWhenUsed/>
    <w:rsid w:val="006548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8CA"/>
    <w:rPr>
      <w:rFonts w:ascii="Segoe UI" w:hAnsi="Segoe UI" w:cs="Segoe UI"/>
      <w:sz w:val="18"/>
      <w:szCs w:val="18"/>
    </w:rPr>
  </w:style>
  <w:style w:type="character" w:styleId="Hyperlink">
    <w:name w:val="Hyperlink"/>
    <w:basedOn w:val="DefaultParagraphFont"/>
    <w:uiPriority w:val="99"/>
    <w:unhideWhenUsed/>
    <w:rsid w:val="006548CA"/>
    <w:rPr>
      <w:color w:val="0000FF"/>
      <w:u w:val="single"/>
    </w:rPr>
  </w:style>
  <w:style w:type="character" w:styleId="UnresolvedMention">
    <w:name w:val="Unresolved Mention"/>
    <w:basedOn w:val="DefaultParagraphFont"/>
    <w:uiPriority w:val="99"/>
    <w:semiHidden/>
    <w:unhideWhenUsed/>
    <w:rsid w:val="0010308E"/>
    <w:rPr>
      <w:color w:val="605E5C"/>
      <w:shd w:val="clear" w:color="auto" w:fill="E1DFDD"/>
    </w:rPr>
  </w:style>
  <w:style w:type="paragraph" w:styleId="Header">
    <w:name w:val="header"/>
    <w:basedOn w:val="Normal"/>
    <w:link w:val="HeaderChar"/>
    <w:uiPriority w:val="99"/>
    <w:unhideWhenUsed/>
    <w:rsid w:val="00F379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9FF"/>
  </w:style>
  <w:style w:type="paragraph" w:styleId="Footer">
    <w:name w:val="footer"/>
    <w:basedOn w:val="Normal"/>
    <w:link w:val="FooterChar"/>
    <w:uiPriority w:val="99"/>
    <w:unhideWhenUsed/>
    <w:rsid w:val="00F379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79FF"/>
  </w:style>
  <w:style w:type="character" w:customStyle="1" w:styleId="Heading1Char">
    <w:name w:val="Heading 1 Char"/>
    <w:basedOn w:val="DefaultParagraphFont"/>
    <w:link w:val="Heading1"/>
    <w:uiPriority w:val="9"/>
    <w:rsid w:val="00F379F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28441">
      <w:bodyDiv w:val="1"/>
      <w:marLeft w:val="0"/>
      <w:marRight w:val="0"/>
      <w:marTop w:val="0"/>
      <w:marBottom w:val="0"/>
      <w:divBdr>
        <w:top w:val="none" w:sz="0" w:space="0" w:color="auto"/>
        <w:left w:val="none" w:sz="0" w:space="0" w:color="auto"/>
        <w:bottom w:val="none" w:sz="0" w:space="0" w:color="auto"/>
        <w:right w:val="none" w:sz="0" w:space="0" w:color="auto"/>
      </w:divBdr>
    </w:div>
    <w:div w:id="397745498">
      <w:bodyDiv w:val="1"/>
      <w:marLeft w:val="0"/>
      <w:marRight w:val="0"/>
      <w:marTop w:val="0"/>
      <w:marBottom w:val="0"/>
      <w:divBdr>
        <w:top w:val="none" w:sz="0" w:space="0" w:color="auto"/>
        <w:left w:val="none" w:sz="0" w:space="0" w:color="auto"/>
        <w:bottom w:val="none" w:sz="0" w:space="0" w:color="auto"/>
        <w:right w:val="none" w:sz="0" w:space="0" w:color="auto"/>
      </w:divBdr>
    </w:div>
    <w:div w:id="720784918">
      <w:bodyDiv w:val="1"/>
      <w:marLeft w:val="0"/>
      <w:marRight w:val="0"/>
      <w:marTop w:val="0"/>
      <w:marBottom w:val="0"/>
      <w:divBdr>
        <w:top w:val="none" w:sz="0" w:space="0" w:color="auto"/>
        <w:left w:val="none" w:sz="0" w:space="0" w:color="auto"/>
        <w:bottom w:val="none" w:sz="0" w:space="0" w:color="auto"/>
        <w:right w:val="none" w:sz="0" w:space="0" w:color="auto"/>
      </w:divBdr>
    </w:div>
    <w:div w:id="721177670">
      <w:bodyDiv w:val="1"/>
      <w:marLeft w:val="0"/>
      <w:marRight w:val="0"/>
      <w:marTop w:val="0"/>
      <w:marBottom w:val="0"/>
      <w:divBdr>
        <w:top w:val="none" w:sz="0" w:space="0" w:color="auto"/>
        <w:left w:val="none" w:sz="0" w:space="0" w:color="auto"/>
        <w:bottom w:val="none" w:sz="0" w:space="0" w:color="auto"/>
        <w:right w:val="none" w:sz="0" w:space="0" w:color="auto"/>
      </w:divBdr>
    </w:div>
    <w:div w:id="944580475">
      <w:bodyDiv w:val="1"/>
      <w:marLeft w:val="0"/>
      <w:marRight w:val="0"/>
      <w:marTop w:val="0"/>
      <w:marBottom w:val="0"/>
      <w:divBdr>
        <w:top w:val="none" w:sz="0" w:space="0" w:color="auto"/>
        <w:left w:val="none" w:sz="0" w:space="0" w:color="auto"/>
        <w:bottom w:val="none" w:sz="0" w:space="0" w:color="auto"/>
        <w:right w:val="none" w:sz="0" w:space="0" w:color="auto"/>
      </w:divBdr>
    </w:div>
    <w:div w:id="955142656">
      <w:bodyDiv w:val="1"/>
      <w:marLeft w:val="0"/>
      <w:marRight w:val="0"/>
      <w:marTop w:val="0"/>
      <w:marBottom w:val="0"/>
      <w:divBdr>
        <w:top w:val="none" w:sz="0" w:space="0" w:color="auto"/>
        <w:left w:val="none" w:sz="0" w:space="0" w:color="auto"/>
        <w:bottom w:val="none" w:sz="0" w:space="0" w:color="auto"/>
        <w:right w:val="none" w:sz="0" w:space="0" w:color="auto"/>
      </w:divBdr>
      <w:divsChild>
        <w:div w:id="261962713">
          <w:marLeft w:val="144"/>
          <w:marRight w:val="0"/>
          <w:marTop w:val="240"/>
          <w:marBottom w:val="40"/>
          <w:divBdr>
            <w:top w:val="none" w:sz="0" w:space="0" w:color="auto"/>
            <w:left w:val="none" w:sz="0" w:space="0" w:color="auto"/>
            <w:bottom w:val="none" w:sz="0" w:space="0" w:color="auto"/>
            <w:right w:val="none" w:sz="0" w:space="0" w:color="auto"/>
          </w:divBdr>
        </w:div>
        <w:div w:id="2087259765">
          <w:marLeft w:val="144"/>
          <w:marRight w:val="0"/>
          <w:marTop w:val="240"/>
          <w:marBottom w:val="40"/>
          <w:divBdr>
            <w:top w:val="none" w:sz="0" w:space="0" w:color="auto"/>
            <w:left w:val="none" w:sz="0" w:space="0" w:color="auto"/>
            <w:bottom w:val="none" w:sz="0" w:space="0" w:color="auto"/>
            <w:right w:val="none" w:sz="0" w:space="0" w:color="auto"/>
          </w:divBdr>
        </w:div>
      </w:divsChild>
    </w:div>
    <w:div w:id="109629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IHOCI@hud.go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IHOCI@hud.go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IHOCI@hud.gov" TargetMode="External"/><Relationship Id="rId4" Type="http://schemas.openxmlformats.org/officeDocument/2006/relationships/webSettings" Target="webSettings.xml"/><Relationship Id="rId9" Type="http://schemas.openxmlformats.org/officeDocument/2006/relationships/hyperlink" Target="mailto:PIHOCI@hud.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1221</Words>
  <Characters>6961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Damien L</dc:creator>
  <cp:keywords/>
  <dc:description/>
  <cp:lastModifiedBy>Guthart Powers, Jennifer</cp:lastModifiedBy>
  <cp:revision>2</cp:revision>
  <dcterms:created xsi:type="dcterms:W3CDTF">2019-02-12T20:41:00Z</dcterms:created>
  <dcterms:modified xsi:type="dcterms:W3CDTF">2019-02-12T20:41:00Z</dcterms:modified>
</cp:coreProperties>
</file>