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5133D" w14:textId="599A8DB3" w:rsidR="007241DD" w:rsidRPr="004A6E71" w:rsidRDefault="004A6E71" w:rsidP="00040505">
      <w:pPr>
        <w:ind w:left="4320" w:firstLine="720"/>
        <w:rPr>
          <w:sz w:val="23"/>
          <w:szCs w:val="23"/>
        </w:rPr>
      </w:pPr>
      <w:r>
        <w:tab/>
      </w:r>
      <w:r w:rsidR="00040505" w:rsidRPr="004A6E71">
        <w:rPr>
          <w:sz w:val="23"/>
          <w:szCs w:val="23"/>
        </w:rPr>
        <w:t>A</w:t>
      </w:r>
      <w:r w:rsidR="007241DD" w:rsidRPr="004A6E71">
        <w:rPr>
          <w:sz w:val="23"/>
          <w:szCs w:val="23"/>
        </w:rPr>
        <w:t>pril 3, 2019</w:t>
      </w:r>
    </w:p>
    <w:p w14:paraId="4EB64B2C" w14:textId="77777777" w:rsidR="00040505" w:rsidRPr="004A6E71" w:rsidRDefault="00040505" w:rsidP="004A6E71">
      <w:pPr>
        <w:ind w:left="4320" w:firstLine="720"/>
        <w:rPr>
          <w:sz w:val="23"/>
          <w:szCs w:val="23"/>
        </w:rPr>
      </w:pPr>
    </w:p>
    <w:p w14:paraId="720B21E5" w14:textId="77777777" w:rsidR="007241DD" w:rsidRPr="004A6E71" w:rsidRDefault="007241DD" w:rsidP="007241DD">
      <w:pPr>
        <w:rPr>
          <w:sz w:val="23"/>
          <w:szCs w:val="23"/>
        </w:rPr>
      </w:pPr>
    </w:p>
    <w:p w14:paraId="36CCCA62" w14:textId="77777777" w:rsidR="00040505" w:rsidRPr="004A6E71" w:rsidRDefault="007241DD" w:rsidP="007241DD">
      <w:pPr>
        <w:rPr>
          <w:sz w:val="23"/>
          <w:szCs w:val="23"/>
        </w:rPr>
      </w:pPr>
      <w:r w:rsidRPr="004A6E71">
        <w:rPr>
          <w:sz w:val="23"/>
          <w:szCs w:val="23"/>
        </w:rPr>
        <w:t xml:space="preserve">Dear Executive Director </w:t>
      </w:r>
      <w:r w:rsidR="00040505" w:rsidRPr="004A6E71">
        <w:rPr>
          <w:sz w:val="23"/>
          <w:szCs w:val="23"/>
        </w:rPr>
        <w:t>and/</w:t>
      </w:r>
      <w:r w:rsidRPr="004A6E71">
        <w:rPr>
          <w:sz w:val="23"/>
          <w:szCs w:val="23"/>
        </w:rPr>
        <w:t xml:space="preserve">or </w:t>
      </w:r>
    </w:p>
    <w:p w14:paraId="29B12FEC" w14:textId="4116ACE7" w:rsidR="007241DD" w:rsidRPr="004A6E71" w:rsidRDefault="00040505" w:rsidP="007241DD">
      <w:pPr>
        <w:rPr>
          <w:sz w:val="23"/>
          <w:szCs w:val="23"/>
        </w:rPr>
      </w:pPr>
      <w:r w:rsidRPr="004A6E71">
        <w:rPr>
          <w:sz w:val="23"/>
          <w:szCs w:val="23"/>
        </w:rPr>
        <w:t xml:space="preserve">HCV </w:t>
      </w:r>
      <w:r w:rsidR="007241DD" w:rsidRPr="004A6E71">
        <w:rPr>
          <w:sz w:val="23"/>
          <w:szCs w:val="23"/>
        </w:rPr>
        <w:t>Program Representative:</w:t>
      </w:r>
    </w:p>
    <w:p w14:paraId="0D88439C" w14:textId="77777777" w:rsidR="007241DD" w:rsidRPr="004A6E71" w:rsidRDefault="007241DD" w:rsidP="007241DD">
      <w:pPr>
        <w:rPr>
          <w:sz w:val="23"/>
          <w:szCs w:val="23"/>
        </w:rPr>
      </w:pPr>
      <w:r w:rsidRPr="004A6E71">
        <w:rPr>
          <w:sz w:val="23"/>
          <w:szCs w:val="23"/>
        </w:rPr>
        <w:t> </w:t>
      </w:r>
    </w:p>
    <w:p w14:paraId="3F96671A" w14:textId="77777777" w:rsidR="007241DD" w:rsidRPr="004A6E71" w:rsidRDefault="007241DD" w:rsidP="007241DD">
      <w:pPr>
        <w:rPr>
          <w:sz w:val="23"/>
          <w:szCs w:val="23"/>
        </w:rPr>
      </w:pPr>
      <w:r w:rsidRPr="004A6E71">
        <w:rPr>
          <w:sz w:val="23"/>
          <w:szCs w:val="23"/>
        </w:rPr>
        <w:t xml:space="preserve">Subject:  </w:t>
      </w:r>
      <w:r w:rsidRPr="004A6E71">
        <w:rPr>
          <w:b/>
          <w:bCs/>
          <w:sz w:val="23"/>
          <w:szCs w:val="23"/>
        </w:rPr>
        <w:t>Updated Guidance Related to Remittances of Interest Earned on Restricted Net Position (also known as RNP) and Excess Housing Assistance Payment (HAP) Funds</w:t>
      </w:r>
    </w:p>
    <w:p w14:paraId="07FE2977" w14:textId="77777777" w:rsidR="007241DD" w:rsidRPr="004A6E71" w:rsidRDefault="007241DD" w:rsidP="007241DD">
      <w:pPr>
        <w:rPr>
          <w:sz w:val="23"/>
          <w:szCs w:val="23"/>
        </w:rPr>
      </w:pPr>
      <w:r w:rsidRPr="004A6E71">
        <w:rPr>
          <w:sz w:val="23"/>
          <w:szCs w:val="23"/>
        </w:rPr>
        <w:t> </w:t>
      </w:r>
    </w:p>
    <w:p w14:paraId="3C89659D" w14:textId="5CF33BC5" w:rsidR="007241DD" w:rsidRPr="004A6E71" w:rsidRDefault="007241DD" w:rsidP="004A6E71">
      <w:pPr>
        <w:ind w:firstLine="720"/>
        <w:rPr>
          <w:sz w:val="23"/>
          <w:szCs w:val="23"/>
        </w:rPr>
      </w:pPr>
      <w:r w:rsidRPr="004A6E71">
        <w:rPr>
          <w:sz w:val="23"/>
          <w:szCs w:val="23"/>
        </w:rPr>
        <w:t xml:space="preserve">This </w:t>
      </w:r>
      <w:r w:rsidR="00040505" w:rsidRPr="004A6E71">
        <w:rPr>
          <w:sz w:val="23"/>
          <w:szCs w:val="23"/>
        </w:rPr>
        <w:t xml:space="preserve">communication </w:t>
      </w:r>
      <w:r w:rsidRPr="004A6E71">
        <w:rPr>
          <w:sz w:val="23"/>
          <w:szCs w:val="23"/>
        </w:rPr>
        <w:t xml:space="preserve">provides updated guidance to public housing agencies (PHAs) administering the Housing Choice Voucher </w:t>
      </w:r>
      <w:r w:rsidR="00040505" w:rsidRPr="004A6E71">
        <w:rPr>
          <w:sz w:val="23"/>
          <w:szCs w:val="23"/>
        </w:rPr>
        <w:t xml:space="preserve">(HCV) </w:t>
      </w:r>
      <w:r w:rsidRPr="004A6E71">
        <w:rPr>
          <w:sz w:val="23"/>
          <w:szCs w:val="23"/>
        </w:rPr>
        <w:t>Program</w:t>
      </w:r>
      <w:r w:rsidR="00040505" w:rsidRPr="004A6E71">
        <w:rPr>
          <w:sz w:val="23"/>
          <w:szCs w:val="23"/>
        </w:rPr>
        <w:t xml:space="preserve">, the Mainstream Program (MSP), and the Moderate Rehabilitation (Mod Rehab) Program, to include Single Room </w:t>
      </w:r>
      <w:r w:rsidR="004A6E71" w:rsidRPr="004A6E71">
        <w:rPr>
          <w:sz w:val="23"/>
          <w:szCs w:val="23"/>
        </w:rPr>
        <w:t>Occupancy (</w:t>
      </w:r>
      <w:r w:rsidR="00040505" w:rsidRPr="004A6E71">
        <w:rPr>
          <w:sz w:val="23"/>
          <w:szCs w:val="23"/>
        </w:rPr>
        <w:t>SRO)</w:t>
      </w:r>
      <w:r w:rsidRPr="004A6E71">
        <w:rPr>
          <w:sz w:val="23"/>
          <w:szCs w:val="23"/>
        </w:rPr>
        <w:t xml:space="preserve">, regarding interest earned from HAP funds and restricted net position (RNP) balances in accordance with 2 CFR 200.305.  PIH </w:t>
      </w:r>
      <w:r w:rsidR="00040505" w:rsidRPr="004A6E71">
        <w:rPr>
          <w:sz w:val="23"/>
          <w:szCs w:val="23"/>
        </w:rPr>
        <w:t xml:space="preserve">hereby </w:t>
      </w:r>
      <w:r w:rsidRPr="004A6E71">
        <w:rPr>
          <w:sz w:val="23"/>
          <w:szCs w:val="23"/>
        </w:rPr>
        <w:t>confirms that the remittance requirements for PHAs with accumulated interest earned that exceeds $500 for the entire program, also applies to the following programs:</w:t>
      </w:r>
    </w:p>
    <w:p w14:paraId="1DFE3DE4" w14:textId="77777777" w:rsidR="00040505" w:rsidRPr="004A6E71" w:rsidRDefault="00040505" w:rsidP="004A6E71">
      <w:pPr>
        <w:ind w:firstLine="360"/>
        <w:rPr>
          <w:sz w:val="23"/>
          <w:szCs w:val="23"/>
        </w:rPr>
      </w:pPr>
    </w:p>
    <w:p w14:paraId="7E0C1864" w14:textId="42C16127" w:rsidR="007241DD" w:rsidRPr="004A6E71" w:rsidRDefault="007241DD" w:rsidP="007241DD">
      <w:pPr>
        <w:pStyle w:val="ListParagraph"/>
        <w:numPr>
          <w:ilvl w:val="0"/>
          <w:numId w:val="1"/>
        </w:numPr>
        <w:rPr>
          <w:rFonts w:ascii="Times New Roman" w:eastAsia="Times New Roman" w:hAnsi="Times New Roman" w:cs="Times New Roman"/>
          <w:sz w:val="23"/>
          <w:szCs w:val="23"/>
        </w:rPr>
      </w:pPr>
      <w:r w:rsidRPr="004A6E71">
        <w:rPr>
          <w:rFonts w:ascii="Times New Roman" w:eastAsia="Times New Roman" w:hAnsi="Times New Roman" w:cs="Times New Roman"/>
          <w:sz w:val="23"/>
          <w:szCs w:val="23"/>
        </w:rPr>
        <w:t>Section 811 Mainstream Program (Elderly and Disabled Program),</w:t>
      </w:r>
    </w:p>
    <w:p w14:paraId="3110A4CC" w14:textId="77777777" w:rsidR="007241DD" w:rsidRPr="004A6E71" w:rsidRDefault="007241DD" w:rsidP="007241DD">
      <w:pPr>
        <w:pStyle w:val="ListParagraph"/>
        <w:numPr>
          <w:ilvl w:val="0"/>
          <w:numId w:val="1"/>
        </w:numPr>
        <w:rPr>
          <w:rFonts w:ascii="Times New Roman" w:eastAsia="Times New Roman" w:hAnsi="Times New Roman" w:cs="Times New Roman"/>
          <w:sz w:val="23"/>
          <w:szCs w:val="23"/>
        </w:rPr>
      </w:pPr>
      <w:r w:rsidRPr="004A6E71">
        <w:rPr>
          <w:rFonts w:ascii="Times New Roman" w:eastAsia="Times New Roman" w:hAnsi="Times New Roman" w:cs="Times New Roman"/>
          <w:sz w:val="23"/>
          <w:szCs w:val="23"/>
        </w:rPr>
        <w:t>Section 8 Moderate Rehabilitation Program (Mod Rehab)</w:t>
      </w:r>
    </w:p>
    <w:p w14:paraId="668EF24F" w14:textId="77777777" w:rsidR="007241DD" w:rsidRPr="004A6E71" w:rsidRDefault="007241DD" w:rsidP="007241DD">
      <w:pPr>
        <w:pStyle w:val="ListParagraph"/>
        <w:numPr>
          <w:ilvl w:val="0"/>
          <w:numId w:val="1"/>
        </w:numPr>
        <w:rPr>
          <w:rFonts w:ascii="Times New Roman" w:eastAsia="Times New Roman" w:hAnsi="Times New Roman" w:cs="Times New Roman"/>
          <w:sz w:val="23"/>
          <w:szCs w:val="23"/>
        </w:rPr>
      </w:pPr>
      <w:r w:rsidRPr="004A6E71">
        <w:rPr>
          <w:rFonts w:ascii="Times New Roman" w:eastAsia="Times New Roman" w:hAnsi="Times New Roman" w:cs="Times New Roman"/>
          <w:sz w:val="23"/>
          <w:szCs w:val="23"/>
        </w:rPr>
        <w:t>Single Room Occupancy (SRO).  </w:t>
      </w:r>
    </w:p>
    <w:p w14:paraId="14F2B67D" w14:textId="77777777" w:rsidR="007241DD" w:rsidRPr="004A6E71" w:rsidRDefault="007241DD" w:rsidP="007241DD">
      <w:pPr>
        <w:rPr>
          <w:rFonts w:eastAsiaTheme="minorHAnsi"/>
          <w:sz w:val="23"/>
          <w:szCs w:val="23"/>
        </w:rPr>
      </w:pPr>
      <w:r w:rsidRPr="004A6E71">
        <w:rPr>
          <w:sz w:val="23"/>
          <w:szCs w:val="23"/>
        </w:rPr>
        <w:t> </w:t>
      </w:r>
    </w:p>
    <w:p w14:paraId="3E4FA191" w14:textId="3A805DD0" w:rsidR="007241DD" w:rsidRPr="004A6E71" w:rsidRDefault="000D5800" w:rsidP="004A6E71">
      <w:pPr>
        <w:ind w:firstLine="720"/>
        <w:rPr>
          <w:sz w:val="23"/>
          <w:szCs w:val="23"/>
        </w:rPr>
      </w:pPr>
      <w:r w:rsidRPr="004A6E71">
        <w:rPr>
          <w:sz w:val="23"/>
          <w:szCs w:val="23"/>
        </w:rPr>
        <w:t>Additionally</w:t>
      </w:r>
      <w:r w:rsidR="007241DD" w:rsidRPr="004A6E71">
        <w:rPr>
          <w:sz w:val="23"/>
          <w:szCs w:val="23"/>
        </w:rPr>
        <w:t xml:space="preserve">, this </w:t>
      </w:r>
      <w:r w:rsidR="00040505" w:rsidRPr="004A6E71">
        <w:rPr>
          <w:sz w:val="23"/>
          <w:szCs w:val="23"/>
        </w:rPr>
        <w:t>notification conveys</w:t>
      </w:r>
      <w:r w:rsidR="007241DD" w:rsidRPr="004A6E71">
        <w:rPr>
          <w:sz w:val="23"/>
          <w:szCs w:val="23"/>
        </w:rPr>
        <w:t xml:space="preserve"> revised guidance for reporting interest earned on the HUD Form-52681, Year-end Settlement.  PHAs will continue to report a portion of interest earned on the annual HUD Form 52681, Year-end Settlement for Mod Rehab and SRO; however, there may be occasions when no interest is reported.  Effective with this revised reporting requirement, interest income earned </w:t>
      </w:r>
      <w:r w:rsidR="004A6E71" w:rsidRPr="004A6E71">
        <w:rPr>
          <w:sz w:val="23"/>
          <w:szCs w:val="23"/>
        </w:rPr>
        <w:t>on excess</w:t>
      </w:r>
      <w:r w:rsidR="007241DD" w:rsidRPr="004A6E71">
        <w:rPr>
          <w:sz w:val="23"/>
          <w:szCs w:val="23"/>
        </w:rPr>
        <w:t xml:space="preserve"> HAP funds will no longer be reported on Line 21, Program Receipts.   Interest income earned on excess HAP funds that exceeds $500 must be remitted to </w:t>
      </w:r>
      <w:r w:rsidR="00DC63C0" w:rsidRPr="004A6E71">
        <w:rPr>
          <w:sz w:val="23"/>
          <w:szCs w:val="23"/>
        </w:rPr>
        <w:t xml:space="preserve">Department of </w:t>
      </w:r>
      <w:r w:rsidR="007241DD" w:rsidRPr="004A6E71">
        <w:rPr>
          <w:sz w:val="23"/>
          <w:szCs w:val="23"/>
        </w:rPr>
        <w:t>H</w:t>
      </w:r>
      <w:r w:rsidR="00DC63C0" w:rsidRPr="004A6E71">
        <w:rPr>
          <w:sz w:val="23"/>
          <w:szCs w:val="23"/>
        </w:rPr>
        <w:t xml:space="preserve">ealth and </w:t>
      </w:r>
      <w:r w:rsidR="007241DD" w:rsidRPr="004A6E71">
        <w:rPr>
          <w:sz w:val="23"/>
          <w:szCs w:val="23"/>
        </w:rPr>
        <w:t>H</w:t>
      </w:r>
      <w:r w:rsidR="00DC63C0" w:rsidRPr="004A6E71">
        <w:rPr>
          <w:sz w:val="23"/>
          <w:szCs w:val="23"/>
        </w:rPr>
        <w:t xml:space="preserve">uman </w:t>
      </w:r>
      <w:r w:rsidR="007241DD" w:rsidRPr="004A6E71">
        <w:rPr>
          <w:sz w:val="23"/>
          <w:szCs w:val="23"/>
        </w:rPr>
        <w:t>S</w:t>
      </w:r>
      <w:r w:rsidR="00DC63C0" w:rsidRPr="004A6E71">
        <w:rPr>
          <w:sz w:val="23"/>
          <w:szCs w:val="23"/>
        </w:rPr>
        <w:t>ervices (HHS)</w:t>
      </w:r>
      <w:r w:rsidR="007241DD" w:rsidRPr="004A6E71">
        <w:rPr>
          <w:sz w:val="23"/>
          <w:szCs w:val="23"/>
        </w:rPr>
        <w:t>.  Interest income earned on excess HAP funds that is less than $500 will be reported on Line 31 – Interest earned on Operating Reserve.   Interest reported on this line should not be included on any other line of the HUD-52681</w:t>
      </w:r>
      <w:r w:rsidR="004A6E71">
        <w:rPr>
          <w:sz w:val="23"/>
          <w:szCs w:val="23"/>
        </w:rPr>
        <w:t xml:space="preserve">.  </w:t>
      </w:r>
      <w:r w:rsidR="007241DD" w:rsidRPr="004A6E71">
        <w:rPr>
          <w:sz w:val="23"/>
          <w:szCs w:val="23"/>
        </w:rPr>
        <w:t>This amount of interest earned on each Mod Rehab and SRO contract, and the HCV program should be considered in the overall total of $500 that the PHA is allowed to retain.   Interest income earned on excess HAP that exceeds $500 and remitted to HHS will not be reported on the HUD-52681. </w:t>
      </w:r>
    </w:p>
    <w:p w14:paraId="0FF60E72" w14:textId="77777777" w:rsidR="007241DD" w:rsidRPr="004A6E71" w:rsidRDefault="007241DD" w:rsidP="007241DD">
      <w:pPr>
        <w:rPr>
          <w:sz w:val="23"/>
          <w:szCs w:val="23"/>
        </w:rPr>
      </w:pPr>
      <w:r w:rsidRPr="004A6E71">
        <w:rPr>
          <w:sz w:val="23"/>
          <w:szCs w:val="23"/>
        </w:rPr>
        <w:t> </w:t>
      </w:r>
    </w:p>
    <w:p w14:paraId="052BCC00" w14:textId="122C7525" w:rsidR="007241DD" w:rsidRPr="004A6E71" w:rsidRDefault="007241DD" w:rsidP="004A6E71">
      <w:pPr>
        <w:ind w:firstLine="720"/>
        <w:rPr>
          <w:sz w:val="23"/>
          <w:szCs w:val="23"/>
        </w:rPr>
      </w:pPr>
      <w:r w:rsidRPr="004A6E71">
        <w:rPr>
          <w:sz w:val="23"/>
          <w:szCs w:val="23"/>
        </w:rPr>
        <w:t>Please note that these reporting requirements are effective immediately.  Any HUD Form-52681 received or submitted to the Financial Management Center (FMC) as of the date of this notification will be reviewed using the procedures in place prior to this change.  Going forward, any new form HUD Form-52681 Year-end settlements received by the FMC after the updated guidance, will be subject to the new procedures and guidelines set forth in this correspondence.  </w:t>
      </w:r>
    </w:p>
    <w:p w14:paraId="1D5EC9E8" w14:textId="2130C3A9" w:rsidR="00E667C5" w:rsidRPr="004A6E71" w:rsidRDefault="00E667C5" w:rsidP="007241DD">
      <w:pPr>
        <w:rPr>
          <w:b/>
          <w:bCs/>
          <w:sz w:val="23"/>
          <w:szCs w:val="23"/>
        </w:rPr>
      </w:pPr>
      <w:r w:rsidRPr="004A6E71">
        <w:rPr>
          <w:sz w:val="23"/>
          <w:szCs w:val="23"/>
        </w:rPr>
        <w:tab/>
      </w:r>
      <w:r w:rsidRPr="004A6E71">
        <w:rPr>
          <w:sz w:val="23"/>
          <w:szCs w:val="23"/>
        </w:rPr>
        <w:tab/>
      </w:r>
      <w:r w:rsidRPr="004A6E71">
        <w:rPr>
          <w:sz w:val="23"/>
          <w:szCs w:val="23"/>
        </w:rPr>
        <w:tab/>
      </w:r>
      <w:r w:rsidRPr="004A6E71">
        <w:rPr>
          <w:sz w:val="23"/>
          <w:szCs w:val="23"/>
        </w:rPr>
        <w:tab/>
      </w:r>
      <w:r w:rsidRPr="004A6E71">
        <w:rPr>
          <w:sz w:val="23"/>
          <w:szCs w:val="23"/>
        </w:rPr>
        <w:tab/>
      </w:r>
      <w:r w:rsidRPr="004A6E71">
        <w:rPr>
          <w:sz w:val="23"/>
          <w:szCs w:val="23"/>
        </w:rPr>
        <w:tab/>
      </w:r>
      <w:r w:rsidRPr="004A6E71">
        <w:rPr>
          <w:sz w:val="23"/>
          <w:szCs w:val="23"/>
        </w:rPr>
        <w:tab/>
      </w:r>
      <w:r w:rsidRPr="004A6E71">
        <w:rPr>
          <w:sz w:val="23"/>
          <w:szCs w:val="23"/>
        </w:rPr>
        <w:tab/>
      </w:r>
      <w:r w:rsidRPr="004A6E71">
        <w:rPr>
          <w:sz w:val="23"/>
          <w:szCs w:val="23"/>
        </w:rPr>
        <w:tab/>
      </w:r>
    </w:p>
    <w:p w14:paraId="6C023955" w14:textId="2F02E6D8" w:rsidR="007241DD" w:rsidRPr="004A6E71" w:rsidRDefault="007241DD" w:rsidP="007241DD">
      <w:pPr>
        <w:rPr>
          <w:sz w:val="23"/>
          <w:szCs w:val="23"/>
        </w:rPr>
      </w:pPr>
      <w:r w:rsidRPr="004A6E71">
        <w:rPr>
          <w:b/>
          <w:bCs/>
          <w:sz w:val="23"/>
          <w:szCs w:val="23"/>
        </w:rPr>
        <w:t>Guidance in 2 CFR 200.305 states the following:</w:t>
      </w:r>
    </w:p>
    <w:p w14:paraId="2C5E6532" w14:textId="77777777" w:rsidR="007241DD" w:rsidRPr="004A6E71" w:rsidRDefault="007241DD" w:rsidP="007241DD">
      <w:pPr>
        <w:rPr>
          <w:sz w:val="23"/>
          <w:szCs w:val="23"/>
        </w:rPr>
      </w:pPr>
      <w:r w:rsidRPr="004A6E71">
        <w:rPr>
          <w:sz w:val="23"/>
          <w:szCs w:val="23"/>
        </w:rPr>
        <w:t> </w:t>
      </w:r>
    </w:p>
    <w:p w14:paraId="3C5CF79F" w14:textId="4342EFDB" w:rsidR="007241DD" w:rsidRPr="004A6E71" w:rsidRDefault="007241DD" w:rsidP="007241DD">
      <w:pPr>
        <w:rPr>
          <w:sz w:val="23"/>
          <w:szCs w:val="23"/>
        </w:rPr>
      </w:pPr>
      <w:r w:rsidRPr="004A6E71">
        <w:rPr>
          <w:sz w:val="23"/>
          <w:szCs w:val="23"/>
        </w:rPr>
        <w:t xml:space="preserve">“ (9) Interest earned amounts up to $500 per year may be retained by the non-Federal entity for administrative expense.  Any additional interest earned on Federal advance payments deposited in interest-bearing accounts must be remitted annually to the Department of Health and Human Services </w:t>
      </w:r>
      <w:r w:rsidRPr="004A6E71">
        <w:rPr>
          <w:sz w:val="23"/>
          <w:szCs w:val="23"/>
        </w:rPr>
        <w:lastRenderedPageBreak/>
        <w:t>Payment Management System (PMS) through an electronic medium using either Automated Clearing House (ACH) network or a Fedwire Funds Service payment.  Remittances must include pertinent information of the payee and nature of payment in the memo area (often referred to as “addenda records” by Financial Institutions) as that will assist in the timely posting of interest earned on federal funds.”  Pertinent details include the PHA name, number and address.</w:t>
      </w:r>
    </w:p>
    <w:p w14:paraId="55945B0A" w14:textId="77777777" w:rsidR="007241DD" w:rsidRPr="004A6E71" w:rsidRDefault="007241DD" w:rsidP="007241DD">
      <w:pPr>
        <w:rPr>
          <w:sz w:val="23"/>
          <w:szCs w:val="23"/>
        </w:rPr>
      </w:pPr>
      <w:r w:rsidRPr="004A6E71">
        <w:rPr>
          <w:sz w:val="23"/>
          <w:szCs w:val="23"/>
        </w:rPr>
        <w:t> </w:t>
      </w:r>
    </w:p>
    <w:p w14:paraId="37756507" w14:textId="46F9C3FD" w:rsidR="007241DD" w:rsidRPr="004A6E71" w:rsidRDefault="00E667C5" w:rsidP="004A6E71">
      <w:pPr>
        <w:ind w:firstLine="720"/>
        <w:rPr>
          <w:sz w:val="23"/>
          <w:szCs w:val="23"/>
        </w:rPr>
      </w:pPr>
      <w:r w:rsidRPr="004A6E71">
        <w:rPr>
          <w:sz w:val="23"/>
          <w:szCs w:val="23"/>
        </w:rPr>
        <w:t xml:space="preserve">For monitoring and record control, </w:t>
      </w:r>
      <w:r w:rsidR="00972E83">
        <w:rPr>
          <w:sz w:val="23"/>
          <w:szCs w:val="23"/>
        </w:rPr>
        <w:t xml:space="preserve">find </w:t>
      </w:r>
      <w:r w:rsidRPr="004A6E71">
        <w:rPr>
          <w:sz w:val="23"/>
          <w:szCs w:val="23"/>
        </w:rPr>
        <w:t>a</w:t>
      </w:r>
      <w:r w:rsidR="007241DD" w:rsidRPr="004A6E71">
        <w:rPr>
          <w:sz w:val="23"/>
          <w:szCs w:val="23"/>
        </w:rPr>
        <w:t xml:space="preserve">ttached a PHA </w:t>
      </w:r>
      <w:r w:rsidR="00972E83">
        <w:rPr>
          <w:sz w:val="23"/>
          <w:szCs w:val="23"/>
        </w:rPr>
        <w:t>C</w:t>
      </w:r>
      <w:r w:rsidR="007241DD" w:rsidRPr="004A6E71">
        <w:rPr>
          <w:sz w:val="23"/>
          <w:szCs w:val="23"/>
        </w:rPr>
        <w:t xml:space="preserve">ertification </w:t>
      </w:r>
      <w:r w:rsidR="00972E83">
        <w:rPr>
          <w:sz w:val="23"/>
          <w:szCs w:val="23"/>
        </w:rPr>
        <w:t xml:space="preserve">sample for remittances </w:t>
      </w:r>
      <w:r w:rsidR="007241DD" w:rsidRPr="004A6E71">
        <w:rPr>
          <w:sz w:val="23"/>
          <w:szCs w:val="23"/>
        </w:rPr>
        <w:t xml:space="preserve">of interest </w:t>
      </w:r>
      <w:r w:rsidR="00972E83">
        <w:rPr>
          <w:sz w:val="23"/>
          <w:szCs w:val="23"/>
        </w:rPr>
        <w:t>to HHS</w:t>
      </w:r>
      <w:r w:rsidR="007241DD" w:rsidRPr="004A6E71">
        <w:rPr>
          <w:sz w:val="23"/>
          <w:szCs w:val="23"/>
        </w:rPr>
        <w:t>.  The certification is a form that HUD</w:t>
      </w:r>
      <w:r w:rsidR="00972E83">
        <w:rPr>
          <w:sz w:val="23"/>
          <w:szCs w:val="23"/>
        </w:rPr>
        <w:t xml:space="preserve"> is</w:t>
      </w:r>
      <w:r w:rsidR="007241DD" w:rsidRPr="004A6E71">
        <w:rPr>
          <w:sz w:val="23"/>
          <w:szCs w:val="23"/>
        </w:rPr>
        <w:t xml:space="preserve"> recommend</w:t>
      </w:r>
      <w:r w:rsidR="00972E83">
        <w:rPr>
          <w:sz w:val="23"/>
          <w:szCs w:val="23"/>
        </w:rPr>
        <w:t>ing using</w:t>
      </w:r>
      <w:r w:rsidR="007241DD" w:rsidRPr="004A6E71">
        <w:rPr>
          <w:sz w:val="23"/>
          <w:szCs w:val="23"/>
        </w:rPr>
        <w:t xml:space="preserve">, </w:t>
      </w:r>
      <w:r w:rsidR="00972E83">
        <w:rPr>
          <w:sz w:val="23"/>
          <w:szCs w:val="23"/>
        </w:rPr>
        <w:t xml:space="preserve">and </w:t>
      </w:r>
      <w:r w:rsidR="007241DD" w:rsidRPr="004A6E71">
        <w:rPr>
          <w:sz w:val="23"/>
          <w:szCs w:val="23"/>
        </w:rPr>
        <w:t xml:space="preserve">not </w:t>
      </w:r>
      <w:r w:rsidR="00972E83">
        <w:rPr>
          <w:sz w:val="23"/>
          <w:szCs w:val="23"/>
        </w:rPr>
        <w:t xml:space="preserve">a </w:t>
      </w:r>
      <w:r w:rsidR="007241DD" w:rsidRPr="004A6E71">
        <w:rPr>
          <w:sz w:val="23"/>
          <w:szCs w:val="23"/>
        </w:rPr>
        <w:t>requir</w:t>
      </w:r>
      <w:r w:rsidR="00972E83">
        <w:rPr>
          <w:sz w:val="23"/>
          <w:szCs w:val="23"/>
        </w:rPr>
        <w:t>ement, for</w:t>
      </w:r>
      <w:r w:rsidR="007241DD" w:rsidRPr="004A6E71">
        <w:rPr>
          <w:sz w:val="23"/>
          <w:szCs w:val="23"/>
        </w:rPr>
        <w:t xml:space="preserve"> the PHAs to keep for internal records</w:t>
      </w:r>
      <w:r w:rsidR="00972E83">
        <w:rPr>
          <w:sz w:val="23"/>
          <w:szCs w:val="23"/>
        </w:rPr>
        <w:t>, which can</w:t>
      </w:r>
      <w:r w:rsidR="007241DD" w:rsidRPr="004A6E71">
        <w:rPr>
          <w:sz w:val="23"/>
          <w:szCs w:val="23"/>
        </w:rPr>
        <w:t xml:space="preserve"> be </w:t>
      </w:r>
      <w:r w:rsidR="00972E83">
        <w:rPr>
          <w:sz w:val="23"/>
          <w:szCs w:val="23"/>
        </w:rPr>
        <w:t xml:space="preserve">made </w:t>
      </w:r>
      <w:r w:rsidR="007241DD" w:rsidRPr="004A6E71">
        <w:rPr>
          <w:sz w:val="23"/>
          <w:szCs w:val="23"/>
        </w:rPr>
        <w:t>available to auditors and the Quality Assurance Division during financial reviews, or as needed.  HHS guidance related to funds remittances can be found on the HHS Division of Payment Management website at the following link</w:t>
      </w:r>
      <w:r w:rsidR="007241DD" w:rsidRPr="0030071E">
        <w:rPr>
          <w:sz w:val="23"/>
          <w:szCs w:val="23"/>
        </w:rPr>
        <w:t>:  </w:t>
      </w:r>
      <w:hyperlink r:id="rId7" w:history="1">
        <w:r w:rsidR="007241DD" w:rsidRPr="0030071E">
          <w:rPr>
            <w:rStyle w:val="Hyperlink"/>
            <w:color w:val="auto"/>
            <w:sz w:val="23"/>
            <w:szCs w:val="23"/>
            <w:u w:val="none"/>
          </w:rPr>
          <w:t>https://pms.psc.gov/</w:t>
        </w:r>
      </w:hyperlink>
      <w:r w:rsidR="0030071E" w:rsidRPr="0030071E">
        <w:rPr>
          <w:rStyle w:val="Hyperlink"/>
          <w:color w:val="auto"/>
          <w:sz w:val="23"/>
          <w:szCs w:val="23"/>
          <w:u w:val="none"/>
        </w:rPr>
        <w:t>.</w:t>
      </w:r>
      <w:r w:rsidR="007241DD" w:rsidRPr="004A6E71">
        <w:rPr>
          <w:sz w:val="23"/>
          <w:szCs w:val="23"/>
        </w:rPr>
        <w:t>   Click on “Return your Funds &amp; Interest” at the bottom left of the page for specific information.  This guidance is effective immediately.</w:t>
      </w:r>
    </w:p>
    <w:p w14:paraId="2DB18194" w14:textId="77777777" w:rsidR="007241DD" w:rsidRPr="004A6E71" w:rsidRDefault="007241DD" w:rsidP="007241DD">
      <w:pPr>
        <w:rPr>
          <w:sz w:val="23"/>
          <w:szCs w:val="23"/>
        </w:rPr>
      </w:pPr>
      <w:r w:rsidRPr="004A6E71">
        <w:rPr>
          <w:sz w:val="23"/>
          <w:szCs w:val="23"/>
        </w:rPr>
        <w:t> </w:t>
      </w:r>
    </w:p>
    <w:p w14:paraId="0DC4E1E9" w14:textId="0333C662" w:rsidR="007241DD" w:rsidRPr="004A6E71" w:rsidRDefault="007241DD" w:rsidP="00DC63C0">
      <w:pPr>
        <w:ind w:firstLine="720"/>
        <w:rPr>
          <w:sz w:val="23"/>
          <w:szCs w:val="23"/>
        </w:rPr>
      </w:pPr>
      <w:r w:rsidRPr="004A6E71">
        <w:rPr>
          <w:sz w:val="23"/>
          <w:szCs w:val="23"/>
        </w:rPr>
        <w:t>Finally, PHAs are reminded of the importance of complete, timely and accurate reporting in Public and Indian Housing Information Center (PIC/IMS), the Voucher Management System (VMS) and the Financial Assessment Subsystem (FASS).  The VMS Guidebook, Appendix A, provides the following guidance related to reporting interest:</w:t>
      </w:r>
    </w:p>
    <w:p w14:paraId="551B64A3" w14:textId="77777777" w:rsidR="007241DD" w:rsidRPr="004A6E71" w:rsidRDefault="007241DD" w:rsidP="007241DD">
      <w:pPr>
        <w:rPr>
          <w:sz w:val="23"/>
          <w:szCs w:val="23"/>
        </w:rPr>
      </w:pPr>
      <w:r w:rsidRPr="004A6E71">
        <w:rPr>
          <w:sz w:val="23"/>
          <w:szCs w:val="23"/>
        </w:rPr>
        <w:t> </w:t>
      </w:r>
    </w:p>
    <w:p w14:paraId="16F09583" w14:textId="12BC3FDC" w:rsidR="007241DD" w:rsidRPr="004A6E71" w:rsidRDefault="007241DD" w:rsidP="007241DD">
      <w:pPr>
        <w:rPr>
          <w:sz w:val="23"/>
          <w:szCs w:val="23"/>
        </w:rPr>
      </w:pPr>
      <w:r w:rsidRPr="004A6E71">
        <w:rPr>
          <w:noProof/>
          <w:sz w:val="23"/>
          <w:szCs w:val="23"/>
        </w:rPr>
        <w:drawing>
          <wp:inline distT="0" distB="0" distL="0" distR="0" wp14:anchorId="54EC634E" wp14:editId="52F47FFC">
            <wp:extent cx="5876014" cy="1128395"/>
            <wp:effectExtent l="0" t="0" r="0" b="0"/>
            <wp:docPr id="3" name="Picture 3" descr="cid:image001.png@01D09394.B16A21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09394.B16A21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65586" cy="1145596"/>
                    </a:xfrm>
                    <a:prstGeom prst="rect">
                      <a:avLst/>
                    </a:prstGeom>
                    <a:noFill/>
                    <a:ln>
                      <a:noFill/>
                    </a:ln>
                  </pic:spPr>
                </pic:pic>
              </a:graphicData>
            </a:graphic>
          </wp:inline>
        </w:drawing>
      </w:r>
      <w:r w:rsidRPr="004A6E71">
        <w:rPr>
          <w:sz w:val="23"/>
          <w:szCs w:val="23"/>
        </w:rPr>
        <w:t>[</w:t>
      </w:r>
    </w:p>
    <w:p w14:paraId="26A48354" w14:textId="79D7343D" w:rsidR="007241DD" w:rsidRPr="004A6E71" w:rsidRDefault="007241DD" w:rsidP="007241DD">
      <w:pPr>
        <w:rPr>
          <w:sz w:val="23"/>
          <w:szCs w:val="23"/>
        </w:rPr>
      </w:pPr>
      <w:r w:rsidRPr="004A6E71">
        <w:rPr>
          <w:noProof/>
          <w:sz w:val="23"/>
          <w:szCs w:val="23"/>
        </w:rPr>
        <w:drawing>
          <wp:inline distT="0" distB="0" distL="0" distR="0" wp14:anchorId="0BAA920A" wp14:editId="44EBE0C6">
            <wp:extent cx="5891917" cy="1094740"/>
            <wp:effectExtent l="0" t="0" r="0" b="0"/>
            <wp:docPr id="1" name="Picture 1" descr="cid:image002.png@01D09394.B16A21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09394.B16A21F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46306" cy="1104846"/>
                    </a:xfrm>
                    <a:prstGeom prst="rect">
                      <a:avLst/>
                    </a:prstGeom>
                    <a:noFill/>
                    <a:ln>
                      <a:noFill/>
                    </a:ln>
                  </pic:spPr>
                </pic:pic>
              </a:graphicData>
            </a:graphic>
          </wp:inline>
        </w:drawing>
      </w:r>
    </w:p>
    <w:p w14:paraId="104F04F6" w14:textId="77777777" w:rsidR="007241DD" w:rsidRPr="004A6E71" w:rsidRDefault="007241DD" w:rsidP="007241DD">
      <w:pPr>
        <w:rPr>
          <w:sz w:val="23"/>
          <w:szCs w:val="23"/>
        </w:rPr>
      </w:pPr>
      <w:r w:rsidRPr="004A6E71">
        <w:rPr>
          <w:sz w:val="23"/>
          <w:szCs w:val="23"/>
        </w:rPr>
        <w:t> </w:t>
      </w:r>
    </w:p>
    <w:p w14:paraId="776745D2" w14:textId="3BD4D24D" w:rsidR="007241DD" w:rsidRPr="0030071E" w:rsidRDefault="003F2D45" w:rsidP="004A6E71">
      <w:pPr>
        <w:ind w:firstLine="720"/>
        <w:rPr>
          <w:sz w:val="23"/>
          <w:szCs w:val="23"/>
        </w:rPr>
      </w:pPr>
      <w:r w:rsidRPr="004A6E71">
        <w:rPr>
          <w:sz w:val="23"/>
          <w:szCs w:val="23"/>
        </w:rPr>
        <w:t xml:space="preserve">Should you have any question regarding this </w:t>
      </w:r>
      <w:r w:rsidR="00E667C5" w:rsidRPr="004A6E71">
        <w:rPr>
          <w:sz w:val="23"/>
          <w:szCs w:val="23"/>
        </w:rPr>
        <w:t>guidance</w:t>
      </w:r>
      <w:r w:rsidRPr="004A6E71">
        <w:rPr>
          <w:sz w:val="23"/>
          <w:szCs w:val="23"/>
        </w:rPr>
        <w:t xml:space="preserve">, please do not hesitate to contact your  </w:t>
      </w:r>
      <w:r w:rsidR="00E667C5" w:rsidRPr="004A6E71">
        <w:rPr>
          <w:sz w:val="23"/>
          <w:szCs w:val="23"/>
        </w:rPr>
        <w:t>FMC</w:t>
      </w:r>
      <w:r w:rsidRPr="004A6E71">
        <w:rPr>
          <w:sz w:val="23"/>
          <w:szCs w:val="23"/>
        </w:rPr>
        <w:t xml:space="preserve"> Financial Analyst, or the Financial Management Division at </w:t>
      </w:r>
      <w:hyperlink r:id="rId12" w:history="1">
        <w:r w:rsidRPr="0030071E">
          <w:rPr>
            <w:rStyle w:val="Hyperlink"/>
            <w:color w:val="auto"/>
            <w:sz w:val="23"/>
            <w:szCs w:val="23"/>
            <w:u w:val="none"/>
          </w:rPr>
          <w:t>PIH.Financial.Management.Division@hud.gov</w:t>
        </w:r>
      </w:hyperlink>
      <w:r w:rsidRPr="0030071E">
        <w:rPr>
          <w:sz w:val="23"/>
          <w:szCs w:val="23"/>
        </w:rPr>
        <w:t>.</w:t>
      </w:r>
      <w:r w:rsidR="00942CD6" w:rsidRPr="0030071E">
        <w:rPr>
          <w:sz w:val="23"/>
          <w:szCs w:val="23"/>
        </w:rPr>
        <w:t xml:space="preserve"> </w:t>
      </w:r>
    </w:p>
    <w:p w14:paraId="4FEE71E3" w14:textId="77777777" w:rsidR="007241DD" w:rsidRPr="004A6E71" w:rsidRDefault="007241DD" w:rsidP="007241DD">
      <w:pPr>
        <w:rPr>
          <w:sz w:val="23"/>
          <w:szCs w:val="23"/>
        </w:rPr>
      </w:pPr>
      <w:r w:rsidRPr="004A6E71">
        <w:rPr>
          <w:sz w:val="23"/>
          <w:szCs w:val="23"/>
        </w:rPr>
        <w:t> </w:t>
      </w:r>
    </w:p>
    <w:p w14:paraId="09940130" w14:textId="6E94B2C1" w:rsidR="007241DD" w:rsidRPr="004A6E71" w:rsidRDefault="00E97110" w:rsidP="004A6E71">
      <w:pPr>
        <w:ind w:left="4320" w:firstLine="720"/>
        <w:rPr>
          <w:sz w:val="23"/>
          <w:szCs w:val="23"/>
        </w:rPr>
      </w:pPr>
      <w:r w:rsidRPr="004A6E71">
        <w:rPr>
          <w:sz w:val="23"/>
          <w:szCs w:val="23"/>
        </w:rPr>
        <w:t>Sincerely</w:t>
      </w:r>
      <w:r w:rsidR="007241DD" w:rsidRPr="004A6E71">
        <w:rPr>
          <w:sz w:val="23"/>
          <w:szCs w:val="23"/>
        </w:rPr>
        <w:t>,</w:t>
      </w:r>
    </w:p>
    <w:p w14:paraId="24453D0D" w14:textId="666D4F17" w:rsidR="007241DD" w:rsidRPr="004A6E71" w:rsidRDefault="004D1C7A" w:rsidP="007241DD">
      <w:pPr>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object w:dxaOrig="4800" w:dyaOrig="840" w14:anchorId="78CD82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42pt" o:ole="">
            <v:imagedata r:id="rId13" o:title=""/>
          </v:shape>
          <o:OLEObject Type="Embed" ProgID="PBrush" ShapeID="_x0000_i1025" DrawAspect="Content" ObjectID="_1687593754" r:id="rId14"/>
        </w:object>
      </w:r>
    </w:p>
    <w:p w14:paraId="7A6B9C75" w14:textId="77777777" w:rsidR="00E667C5" w:rsidRPr="004A6E71" w:rsidRDefault="00E667C5" w:rsidP="007241DD">
      <w:pPr>
        <w:rPr>
          <w:sz w:val="23"/>
          <w:szCs w:val="23"/>
        </w:rPr>
      </w:pPr>
    </w:p>
    <w:p w14:paraId="40CBDFE0" w14:textId="0F43EC34" w:rsidR="007241DD" w:rsidRPr="004A6E71" w:rsidRDefault="007241DD" w:rsidP="004A6E71">
      <w:pPr>
        <w:ind w:left="4320" w:firstLine="720"/>
        <w:rPr>
          <w:sz w:val="23"/>
          <w:szCs w:val="23"/>
        </w:rPr>
      </w:pPr>
      <w:r w:rsidRPr="004A6E71">
        <w:rPr>
          <w:sz w:val="23"/>
          <w:szCs w:val="23"/>
        </w:rPr>
        <w:t xml:space="preserve">Miguel A. Fontánez, </w:t>
      </w:r>
    </w:p>
    <w:p w14:paraId="0DFE3B3F" w14:textId="16A1306F" w:rsidR="007241DD" w:rsidRPr="004A6E71" w:rsidRDefault="007241DD" w:rsidP="004A6E71">
      <w:pPr>
        <w:ind w:left="4320" w:firstLine="720"/>
        <w:rPr>
          <w:sz w:val="23"/>
          <w:szCs w:val="23"/>
        </w:rPr>
      </w:pPr>
      <w:r w:rsidRPr="004A6E71">
        <w:rPr>
          <w:sz w:val="23"/>
          <w:szCs w:val="23"/>
        </w:rPr>
        <w:t>Director</w:t>
      </w:r>
    </w:p>
    <w:p w14:paraId="5BBA28EE" w14:textId="7D83FA46" w:rsidR="00E667C5" w:rsidRPr="004A6E71" w:rsidRDefault="007241DD" w:rsidP="00E667C5">
      <w:pPr>
        <w:ind w:left="4320" w:firstLine="720"/>
        <w:rPr>
          <w:sz w:val="23"/>
          <w:szCs w:val="23"/>
        </w:rPr>
      </w:pPr>
      <w:r w:rsidRPr="004A6E71">
        <w:rPr>
          <w:sz w:val="23"/>
          <w:szCs w:val="23"/>
        </w:rPr>
        <w:t>Financial Management Division</w:t>
      </w:r>
    </w:p>
    <w:p w14:paraId="7C1EAA89" w14:textId="3F8131B2" w:rsidR="00E667C5" w:rsidRPr="004A6E71" w:rsidRDefault="00E667C5" w:rsidP="00E667C5">
      <w:pPr>
        <w:rPr>
          <w:sz w:val="23"/>
          <w:szCs w:val="23"/>
        </w:rPr>
      </w:pPr>
    </w:p>
    <w:p w14:paraId="5A5C511B" w14:textId="02338C4B" w:rsidR="00E667C5" w:rsidRPr="004A6E71" w:rsidRDefault="00E667C5">
      <w:pPr>
        <w:rPr>
          <w:sz w:val="23"/>
          <w:szCs w:val="23"/>
        </w:rPr>
      </w:pPr>
      <w:r w:rsidRPr="004A6E71">
        <w:rPr>
          <w:sz w:val="23"/>
          <w:szCs w:val="23"/>
        </w:rPr>
        <w:t>Attachment</w:t>
      </w:r>
    </w:p>
    <w:sectPr w:rsidR="00E667C5" w:rsidRPr="004A6E71">
      <w:headerReference w:type="first" r:id="rId15"/>
      <w:footerReference w:type="first" r:id="rId16"/>
      <w:endnotePr>
        <w:numFmt w:val="decimal"/>
      </w:endnotePr>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D649A" w14:textId="77777777" w:rsidR="00A65B45" w:rsidRDefault="00A65B45">
      <w:pPr>
        <w:spacing w:line="20" w:lineRule="exact"/>
      </w:pPr>
    </w:p>
  </w:endnote>
  <w:endnote w:type="continuationSeparator" w:id="0">
    <w:p w14:paraId="2890DB4A" w14:textId="77777777" w:rsidR="00A65B45" w:rsidRDefault="00A65B45">
      <w:r>
        <w:t xml:space="preserve"> </w:t>
      </w:r>
    </w:p>
  </w:endnote>
  <w:endnote w:type="continuationNotice" w:id="1">
    <w:p w14:paraId="2DAF92DE" w14:textId="77777777" w:rsidR="00A65B45" w:rsidRDefault="00A65B4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3DC6A" w14:textId="77777777" w:rsidR="00B70A7A" w:rsidRDefault="00B70A7A">
    <w:pPr>
      <w:pStyle w:val="Footer"/>
      <w:jc w:val="center"/>
      <w:rPr>
        <w:rFonts w:ascii="Arial" w:hAnsi="Arial" w:cs="Arial"/>
        <w:sz w:val="18"/>
      </w:rPr>
    </w:pPr>
  </w:p>
  <w:p w14:paraId="57FB952A" w14:textId="77777777" w:rsidR="00B70A7A" w:rsidRDefault="00AB6A42">
    <w:pPr>
      <w:pStyle w:val="Footer"/>
      <w:jc w:val="center"/>
    </w:pPr>
    <w:hyperlink r:id="rId1" w:history="1">
      <w:r w:rsidR="007638D2">
        <w:rPr>
          <w:rStyle w:val="Hyperlink"/>
          <w:b/>
          <w:bCs/>
          <w:color w:val="auto"/>
          <w:sz w:val="18"/>
          <w:u w:val="none"/>
        </w:rPr>
        <w:t>www.hud.gov</w:t>
      </w:r>
    </w:hyperlink>
    <w:r w:rsidR="007638D2">
      <w:rPr>
        <w:b/>
        <w:bCs/>
        <w:sz w:val="18"/>
      </w:rPr>
      <w:t xml:space="preserve">                espanol.hud.gov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E17E8" w14:textId="77777777" w:rsidR="00A65B45" w:rsidRDefault="00A65B45">
      <w:r>
        <w:separator/>
      </w:r>
    </w:p>
  </w:footnote>
  <w:footnote w:type="continuationSeparator" w:id="0">
    <w:p w14:paraId="2A248863" w14:textId="77777777" w:rsidR="00A65B45" w:rsidRDefault="00A65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1A86A" w14:textId="77777777" w:rsidR="00B70A7A" w:rsidRDefault="007638D2">
    <w:pPr>
      <w:pStyle w:val="Heading1"/>
      <w:tabs>
        <w:tab w:val="clear" w:pos="5184"/>
        <w:tab w:val="center" w:pos="4860"/>
      </w:tabs>
      <w:ind w:right="0"/>
      <w:rPr>
        <w:sz w:val="18"/>
      </w:rPr>
    </w:pPr>
    <w:r>
      <w:rPr>
        <w:noProof/>
        <w:sz w:val="18"/>
      </w:rPr>
      <w:drawing>
        <wp:anchor distT="0" distB="0" distL="114300" distR="114300" simplePos="0" relativeHeight="251657728" behindDoc="1" locked="0" layoutInCell="1" allowOverlap="1" wp14:anchorId="4AA7D96E" wp14:editId="244D2FE6">
          <wp:simplePos x="0" y="0"/>
          <wp:positionH relativeFrom="column">
            <wp:posOffset>0</wp:posOffset>
          </wp:positionH>
          <wp:positionV relativeFrom="paragraph">
            <wp:posOffset>0</wp:posOffset>
          </wp:positionV>
          <wp:extent cx="675005" cy="648970"/>
          <wp:effectExtent l="0" t="0" r="0" b="0"/>
          <wp:wrapTight wrapText="bothSides">
            <wp:wrapPolygon edited="0">
              <wp:start x="0" y="0"/>
              <wp:lineTo x="0" y="19656"/>
              <wp:lineTo x="19507" y="19656"/>
              <wp:lineTo x="1950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648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B69F09" w14:textId="77777777" w:rsidR="00B70A7A" w:rsidRDefault="007638D2">
    <w:pPr>
      <w:pStyle w:val="Heading1"/>
      <w:tabs>
        <w:tab w:val="clear" w:pos="5184"/>
        <w:tab w:val="center" w:pos="4860"/>
      </w:tabs>
      <w:ind w:right="0"/>
      <w:rPr>
        <w:sz w:val="18"/>
      </w:rPr>
    </w:pPr>
    <w:r>
      <w:rPr>
        <w:sz w:val="18"/>
      </w:rPr>
      <w:t>U.S. DEPARTMENT OF HOUSING AND URBAN DEVELOPMENT</w:t>
    </w:r>
  </w:p>
  <w:p w14:paraId="00FFDC6A" w14:textId="77777777" w:rsidR="00B70A7A" w:rsidRDefault="007638D2">
    <w:pPr>
      <w:suppressAutoHyphens/>
      <w:spacing w:line="264" w:lineRule="auto"/>
      <w:jc w:val="center"/>
      <w:rPr>
        <w:spacing w:val="-1"/>
        <w:sz w:val="16"/>
      </w:rPr>
    </w:pPr>
    <w:r>
      <w:rPr>
        <w:spacing w:val="-2"/>
        <w:sz w:val="16"/>
      </w:rPr>
      <w:t>WASHINGTON, DC  20410-5000</w:t>
    </w:r>
  </w:p>
  <w:p w14:paraId="72B76E33" w14:textId="77777777" w:rsidR="00B70A7A" w:rsidRDefault="007638D2" w:rsidP="007638D2">
    <w:pPr>
      <w:tabs>
        <w:tab w:val="left" w:pos="540"/>
      </w:tabs>
      <w:suppressAutoHyphens/>
      <w:spacing w:line="264" w:lineRule="auto"/>
      <w:ind w:right="-1008"/>
      <w:rPr>
        <w:spacing w:val="-1"/>
      </w:rPr>
    </w:pPr>
    <w:r>
      <w:rPr>
        <w:spacing w:val="-1"/>
      </w:rPr>
      <w:tab/>
    </w:r>
  </w:p>
  <w:p w14:paraId="020B945E" w14:textId="77777777" w:rsidR="00B70A7A" w:rsidRDefault="00B70A7A">
    <w:pPr>
      <w:tabs>
        <w:tab w:val="center" w:pos="4860"/>
      </w:tabs>
      <w:suppressAutoHyphens/>
      <w:spacing w:line="264" w:lineRule="auto"/>
      <w:ind w:right="-1008"/>
      <w:rPr>
        <w:spacing w:val="-1"/>
        <w:sz w:val="4"/>
      </w:rPr>
    </w:pPr>
  </w:p>
  <w:p w14:paraId="11478024" w14:textId="77777777" w:rsidR="00B70A7A" w:rsidRDefault="007638D2">
    <w:pPr>
      <w:suppressAutoHyphens/>
      <w:rPr>
        <w:spacing w:val="-1"/>
        <w:sz w:val="14"/>
      </w:rPr>
    </w:pPr>
    <w:r>
      <w:rPr>
        <w:spacing w:val="-1"/>
        <w:sz w:val="14"/>
      </w:rPr>
      <w:t>ASSISTANT SECRETARY FOR</w:t>
    </w:r>
  </w:p>
  <w:p w14:paraId="7F0B9C13" w14:textId="77777777" w:rsidR="00B70A7A" w:rsidRDefault="007638D2">
    <w:pPr>
      <w:suppressAutoHyphens/>
      <w:rPr>
        <w:spacing w:val="-1"/>
        <w:sz w:val="14"/>
      </w:rPr>
    </w:pPr>
    <w:r>
      <w:rPr>
        <w:spacing w:val="-1"/>
        <w:sz w:val="14"/>
      </w:rPr>
      <w:t>PUBLIC AND INDIAN HOUSING</w:t>
    </w:r>
  </w:p>
  <w:p w14:paraId="7B6F822E" w14:textId="77777777" w:rsidR="00B70A7A" w:rsidRDefault="00B70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E04771"/>
    <w:multiLevelType w:val="multilevel"/>
    <w:tmpl w:val="FEF8F3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2C6"/>
    <w:rsid w:val="00040505"/>
    <w:rsid w:val="000A39CD"/>
    <w:rsid w:val="000D5800"/>
    <w:rsid w:val="00124F68"/>
    <w:rsid w:val="001322C6"/>
    <w:rsid w:val="00230BA1"/>
    <w:rsid w:val="002558A3"/>
    <w:rsid w:val="00281002"/>
    <w:rsid w:val="0030071E"/>
    <w:rsid w:val="00345C61"/>
    <w:rsid w:val="00347756"/>
    <w:rsid w:val="00357F87"/>
    <w:rsid w:val="003D5FDC"/>
    <w:rsid w:val="003F2D45"/>
    <w:rsid w:val="00447AA1"/>
    <w:rsid w:val="00483E1A"/>
    <w:rsid w:val="00495F72"/>
    <w:rsid w:val="004A523D"/>
    <w:rsid w:val="004A6E71"/>
    <w:rsid w:val="004C4E37"/>
    <w:rsid w:val="004D1C7A"/>
    <w:rsid w:val="005D20D1"/>
    <w:rsid w:val="005E64A4"/>
    <w:rsid w:val="007241DD"/>
    <w:rsid w:val="007617EE"/>
    <w:rsid w:val="007638D2"/>
    <w:rsid w:val="00864E71"/>
    <w:rsid w:val="00942CD6"/>
    <w:rsid w:val="00972E83"/>
    <w:rsid w:val="00985E67"/>
    <w:rsid w:val="0099588F"/>
    <w:rsid w:val="009D5A04"/>
    <w:rsid w:val="00A50DD3"/>
    <w:rsid w:val="00A65B45"/>
    <w:rsid w:val="00AB6A42"/>
    <w:rsid w:val="00AC33D2"/>
    <w:rsid w:val="00AE5323"/>
    <w:rsid w:val="00B70A7A"/>
    <w:rsid w:val="00B8318B"/>
    <w:rsid w:val="00C01061"/>
    <w:rsid w:val="00C44454"/>
    <w:rsid w:val="00C92DAD"/>
    <w:rsid w:val="00CA1E64"/>
    <w:rsid w:val="00D50286"/>
    <w:rsid w:val="00D81641"/>
    <w:rsid w:val="00DC63C0"/>
    <w:rsid w:val="00DE2834"/>
    <w:rsid w:val="00E36CA3"/>
    <w:rsid w:val="00E667C5"/>
    <w:rsid w:val="00E97110"/>
    <w:rsid w:val="00ED1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ABA166"/>
  <w15:chartTrackingRefBased/>
  <w15:docId w15:val="{60C83730-DDB3-42D3-84EA-BE9FE0D2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sz w:val="24"/>
    </w:rPr>
  </w:style>
  <w:style w:type="paragraph" w:styleId="Heading1">
    <w:name w:val="heading 1"/>
    <w:basedOn w:val="Normal"/>
    <w:next w:val="Normal"/>
    <w:qFormat/>
    <w:pPr>
      <w:keepNext/>
      <w:tabs>
        <w:tab w:val="center" w:pos="5184"/>
      </w:tabs>
      <w:suppressAutoHyphens/>
      <w:spacing w:line="264" w:lineRule="auto"/>
      <w:ind w:right="-1008"/>
      <w:jc w:val="center"/>
      <w:outlineLvl w:val="0"/>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paragraph" w:styleId="EnvelopeAddress">
    <w:name w:val="envelope address"/>
    <w:basedOn w:val="Normal"/>
    <w:semiHidden/>
    <w:pPr>
      <w:framePr w:w="7920" w:h="1980" w:hRule="exact" w:hSpace="180" w:wrap="auto" w:hAnchor="page" w:xAlign="center" w:yAlign="bottom"/>
      <w:ind w:left="2880"/>
    </w:pPr>
    <w:rPr>
      <w:szCs w:val="24"/>
    </w:rPr>
  </w:style>
  <w:style w:type="character" w:styleId="CommentReference">
    <w:name w:val="annotation reference"/>
    <w:basedOn w:val="DefaultParagraphFont"/>
    <w:uiPriority w:val="99"/>
    <w:semiHidden/>
    <w:unhideWhenUsed/>
    <w:rsid w:val="00E36CA3"/>
    <w:rPr>
      <w:sz w:val="16"/>
      <w:szCs w:val="16"/>
    </w:rPr>
  </w:style>
  <w:style w:type="paragraph" w:styleId="CommentText">
    <w:name w:val="annotation text"/>
    <w:basedOn w:val="Normal"/>
    <w:link w:val="CommentTextChar"/>
    <w:uiPriority w:val="99"/>
    <w:semiHidden/>
    <w:unhideWhenUsed/>
    <w:rsid w:val="00E36CA3"/>
    <w:rPr>
      <w:sz w:val="20"/>
    </w:rPr>
  </w:style>
  <w:style w:type="character" w:customStyle="1" w:styleId="CommentTextChar">
    <w:name w:val="Comment Text Char"/>
    <w:basedOn w:val="DefaultParagraphFont"/>
    <w:link w:val="CommentText"/>
    <w:uiPriority w:val="99"/>
    <w:semiHidden/>
    <w:rsid w:val="00E36CA3"/>
  </w:style>
  <w:style w:type="paragraph" w:styleId="CommentSubject">
    <w:name w:val="annotation subject"/>
    <w:basedOn w:val="CommentText"/>
    <w:next w:val="CommentText"/>
    <w:link w:val="CommentSubjectChar"/>
    <w:uiPriority w:val="99"/>
    <w:semiHidden/>
    <w:unhideWhenUsed/>
    <w:rsid w:val="00E36CA3"/>
    <w:rPr>
      <w:b/>
      <w:bCs/>
    </w:rPr>
  </w:style>
  <w:style w:type="character" w:customStyle="1" w:styleId="CommentSubjectChar">
    <w:name w:val="Comment Subject Char"/>
    <w:basedOn w:val="CommentTextChar"/>
    <w:link w:val="CommentSubject"/>
    <w:uiPriority w:val="99"/>
    <w:semiHidden/>
    <w:rsid w:val="00E36CA3"/>
    <w:rPr>
      <w:b/>
      <w:bCs/>
    </w:rPr>
  </w:style>
  <w:style w:type="paragraph" w:styleId="BalloonText">
    <w:name w:val="Balloon Text"/>
    <w:basedOn w:val="Normal"/>
    <w:link w:val="BalloonTextChar"/>
    <w:uiPriority w:val="99"/>
    <w:semiHidden/>
    <w:unhideWhenUsed/>
    <w:rsid w:val="00E36C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CA3"/>
    <w:rPr>
      <w:rFonts w:ascii="Segoe UI" w:hAnsi="Segoe UI" w:cs="Segoe UI"/>
      <w:sz w:val="18"/>
      <w:szCs w:val="18"/>
    </w:rPr>
  </w:style>
  <w:style w:type="paragraph" w:styleId="ListParagraph">
    <w:name w:val="List Paragraph"/>
    <w:basedOn w:val="Normal"/>
    <w:uiPriority w:val="34"/>
    <w:qFormat/>
    <w:rsid w:val="007241DD"/>
    <w:pPr>
      <w:widowControl/>
      <w:overflowPunct/>
      <w:autoSpaceDE/>
      <w:autoSpaceDN/>
      <w:adjustRightInd/>
      <w:ind w:left="720"/>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8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ms.psc.gov/" TargetMode="External"/><Relationship Id="rId12" Type="http://schemas.openxmlformats.org/officeDocument/2006/relationships/hyperlink" Target="mailto:PIH.Financial.Management.Division@hud.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2.png@01D4E9F7.6B49593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cid:image001.png@01D4E9F7.6B495930" TargetMode="External"/><Relationship Id="rId14"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hyperlink" Target="http://www.hud.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4051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Assistant Secretary for Public and Indian Housing</vt:lpstr>
    </vt:vector>
  </TitlesOfParts>
  <Company>HUD</Company>
  <LinksUpToDate>false</LinksUpToDate>
  <CharactersWithSpaces>4752</CharactersWithSpaces>
  <SharedDoc>false</SharedDoc>
  <HLinks>
    <vt:vector size="6" baseType="variant">
      <vt:variant>
        <vt:i4>3539044</vt:i4>
      </vt:variant>
      <vt:variant>
        <vt:i4>0</vt:i4>
      </vt:variant>
      <vt:variant>
        <vt:i4>0</vt:i4>
      </vt:variant>
      <vt:variant>
        <vt:i4>5</vt:i4>
      </vt:variant>
      <vt:variant>
        <vt:lpwstr>http://www.hud.gov/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Secretary for Public and Indian Housing</dc:title>
  <dc:subject/>
  <dc:creator>Nykia Thomas</dc:creator>
  <cp:keywords/>
  <dc:description/>
  <cp:lastModifiedBy>Fontanez Sanchez, Miguel A</cp:lastModifiedBy>
  <cp:revision>2</cp:revision>
  <cp:lastPrinted>2019-04-03T16:29:00Z</cp:lastPrinted>
  <dcterms:created xsi:type="dcterms:W3CDTF">2021-07-12T15:16:00Z</dcterms:created>
  <dcterms:modified xsi:type="dcterms:W3CDTF">2021-07-12T15:16:00Z</dcterms:modified>
</cp:coreProperties>
</file>