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5225" w14:textId="7B1236EB" w:rsidR="00FF66E1" w:rsidRPr="00055AC4" w:rsidRDefault="004357A4" w:rsidP="006549F2">
      <w:pPr>
        <w:spacing w:after="0" w:line="240" w:lineRule="auto"/>
        <w:jc w:val="center"/>
        <w:rPr>
          <w:rFonts w:ascii="Times New Roman" w:hAnsi="Times New Roman" w:cs="Times New Roman"/>
          <w:b/>
          <w:sz w:val="28"/>
          <w:szCs w:val="28"/>
          <w:u w:val="single"/>
        </w:rPr>
      </w:pPr>
      <w:bookmarkStart w:id="0" w:name="_GoBack"/>
      <w:bookmarkEnd w:id="0"/>
      <w:r w:rsidRPr="00055AC4">
        <w:rPr>
          <w:rFonts w:ascii="Times New Roman" w:hAnsi="Times New Roman" w:cs="Times New Roman"/>
          <w:b/>
          <w:sz w:val="28"/>
          <w:szCs w:val="28"/>
          <w:u w:val="single"/>
        </w:rPr>
        <w:t>Appendix</w:t>
      </w:r>
      <w:r w:rsidR="003F741B" w:rsidRPr="00055AC4">
        <w:rPr>
          <w:rFonts w:ascii="Times New Roman" w:hAnsi="Times New Roman" w:cs="Times New Roman"/>
          <w:b/>
          <w:sz w:val="28"/>
          <w:szCs w:val="28"/>
          <w:u w:val="single"/>
        </w:rPr>
        <w:t xml:space="preserve"> B:  Calculating Program Income</w:t>
      </w:r>
    </w:p>
    <w:p w14:paraId="74AE6D39" w14:textId="77777777" w:rsidR="006549F2" w:rsidRDefault="006549F2" w:rsidP="006549F2">
      <w:pPr>
        <w:spacing w:after="0" w:line="240" w:lineRule="auto"/>
        <w:rPr>
          <w:rFonts w:ascii="Times New Roman" w:hAnsi="Times New Roman" w:cs="Times New Roman"/>
          <w:b/>
          <w:sz w:val="24"/>
          <w:szCs w:val="24"/>
          <w:u w:val="single"/>
        </w:rPr>
      </w:pPr>
    </w:p>
    <w:p w14:paraId="08942E9C" w14:textId="0726C05D" w:rsidR="004357A4" w:rsidRPr="004357A4" w:rsidRDefault="004357A4" w:rsidP="006549F2">
      <w:pPr>
        <w:spacing w:after="0" w:line="240" w:lineRule="auto"/>
        <w:rPr>
          <w:rFonts w:ascii="Times New Roman" w:hAnsi="Times New Roman" w:cs="Times New Roman"/>
          <w:b/>
          <w:sz w:val="24"/>
          <w:szCs w:val="24"/>
          <w:u w:val="single"/>
        </w:rPr>
      </w:pPr>
      <w:r w:rsidRPr="004357A4">
        <w:rPr>
          <w:rFonts w:ascii="Times New Roman" w:hAnsi="Times New Roman" w:cs="Times New Roman"/>
          <w:b/>
          <w:sz w:val="24"/>
          <w:szCs w:val="24"/>
          <w:u w:val="single"/>
        </w:rPr>
        <w:t>Background</w:t>
      </w:r>
    </w:p>
    <w:p w14:paraId="37CCCFFE" w14:textId="77777777" w:rsidR="004357A4" w:rsidRPr="004357A4" w:rsidRDefault="004357A4" w:rsidP="006549F2">
      <w:pPr>
        <w:numPr>
          <w:ilvl w:val="12"/>
          <w:numId w:val="0"/>
        </w:numPr>
        <w:suppressAutoHyphens/>
        <w:spacing w:after="0" w:line="240" w:lineRule="auto"/>
        <w:rPr>
          <w:rFonts w:ascii="Times New Roman" w:hAnsi="Times New Roman" w:cs="Times New Roman"/>
          <w:color w:val="000000"/>
          <w:spacing w:val="-2"/>
          <w:sz w:val="24"/>
          <w:szCs w:val="24"/>
        </w:rPr>
      </w:pPr>
      <w:r w:rsidRPr="004357A4">
        <w:rPr>
          <w:rFonts w:ascii="Times New Roman" w:hAnsi="Times New Roman" w:cs="Times New Roman"/>
          <w:color w:val="000000"/>
          <w:spacing w:val="-2"/>
          <w:sz w:val="24"/>
          <w:szCs w:val="24"/>
        </w:rPr>
        <w:t>A regulation was needed for the treatment of income generated from the use or disbursement of IHBG funds under NAHASDA.  Regulations were promulgated along with notices and guidance to address the use of program income and how it is calculated.  In 1999 a seven</w:t>
      </w:r>
      <w:r w:rsidR="00E03A34">
        <w:rPr>
          <w:rFonts w:ascii="Times New Roman" w:hAnsi="Times New Roman" w:cs="Times New Roman"/>
          <w:color w:val="000000"/>
          <w:spacing w:val="-2"/>
          <w:sz w:val="24"/>
          <w:szCs w:val="24"/>
        </w:rPr>
        <w:t>-</w:t>
      </w:r>
      <w:r w:rsidRPr="004357A4">
        <w:rPr>
          <w:rFonts w:ascii="Times New Roman" w:hAnsi="Times New Roman" w:cs="Times New Roman"/>
          <w:color w:val="000000"/>
          <w:spacing w:val="-2"/>
          <w:sz w:val="24"/>
          <w:szCs w:val="24"/>
        </w:rPr>
        <w:t>member workgroup consisting of four tribal/tribally designated housing entities and three HUD representatives developed the program income calculation described in this Appendix.</w:t>
      </w:r>
    </w:p>
    <w:p w14:paraId="0655C411" w14:textId="77777777" w:rsidR="006549F2" w:rsidRDefault="006549F2" w:rsidP="006549F2">
      <w:pPr>
        <w:numPr>
          <w:ilvl w:val="12"/>
          <w:numId w:val="0"/>
        </w:numPr>
        <w:suppressAutoHyphens/>
        <w:spacing w:after="0" w:line="240" w:lineRule="auto"/>
        <w:jc w:val="both"/>
        <w:rPr>
          <w:rFonts w:ascii="Times New Roman" w:hAnsi="Times New Roman"/>
          <w:b/>
          <w:color w:val="000000"/>
          <w:spacing w:val="-2"/>
          <w:sz w:val="24"/>
          <w:szCs w:val="24"/>
          <w:u w:val="single"/>
        </w:rPr>
      </w:pPr>
    </w:p>
    <w:p w14:paraId="47541B64" w14:textId="5B23C552" w:rsidR="004357A4" w:rsidRPr="004357A4" w:rsidRDefault="004357A4" w:rsidP="006549F2">
      <w:pPr>
        <w:numPr>
          <w:ilvl w:val="12"/>
          <w:numId w:val="0"/>
        </w:numPr>
        <w:suppressAutoHyphens/>
        <w:spacing w:after="0" w:line="240" w:lineRule="auto"/>
        <w:jc w:val="both"/>
        <w:rPr>
          <w:rFonts w:ascii="Times New Roman" w:hAnsi="Times New Roman"/>
          <w:color w:val="000000"/>
          <w:spacing w:val="-2"/>
          <w:sz w:val="24"/>
          <w:szCs w:val="24"/>
        </w:rPr>
      </w:pPr>
      <w:r w:rsidRPr="004357A4">
        <w:rPr>
          <w:rFonts w:ascii="Times New Roman" w:hAnsi="Times New Roman"/>
          <w:b/>
          <w:color w:val="000000"/>
          <w:spacing w:val="-2"/>
          <w:sz w:val="24"/>
          <w:szCs w:val="24"/>
          <w:u w:val="single"/>
        </w:rPr>
        <w:t>Tracking Program Income</w:t>
      </w:r>
      <w:r w:rsidRPr="004357A4">
        <w:rPr>
          <w:rFonts w:ascii="Times New Roman" w:hAnsi="Times New Roman"/>
          <w:color w:val="000000"/>
          <w:spacing w:val="-2"/>
          <w:sz w:val="24"/>
          <w:szCs w:val="24"/>
        </w:rPr>
        <w:t xml:space="preserve"> </w:t>
      </w:r>
    </w:p>
    <w:p w14:paraId="00AB9630" w14:textId="0601C619" w:rsidR="004357A4" w:rsidRPr="004357A4" w:rsidRDefault="004357A4" w:rsidP="006549F2">
      <w:pPr>
        <w:numPr>
          <w:ilvl w:val="12"/>
          <w:numId w:val="0"/>
        </w:numPr>
        <w:spacing w:after="0" w:line="240" w:lineRule="auto"/>
        <w:rPr>
          <w:rFonts w:ascii="Times New Roman" w:hAnsi="Times New Roman"/>
          <w:color w:val="000000"/>
          <w:spacing w:val="-2"/>
          <w:sz w:val="24"/>
          <w:szCs w:val="24"/>
        </w:rPr>
      </w:pPr>
      <w:r w:rsidRPr="004357A4">
        <w:rPr>
          <w:rFonts w:ascii="Times New Roman" w:hAnsi="Times New Roman"/>
          <w:color w:val="000000"/>
          <w:spacing w:val="-2"/>
          <w:sz w:val="24"/>
          <w:szCs w:val="24"/>
        </w:rPr>
        <w:t xml:space="preserve">Recipients and sub-recipients must track all income received that is </w:t>
      </w:r>
      <w:r w:rsidR="00E03A34">
        <w:rPr>
          <w:rFonts w:ascii="Times New Roman" w:hAnsi="Times New Roman"/>
          <w:color w:val="000000"/>
          <w:spacing w:val="-2"/>
          <w:sz w:val="24"/>
          <w:szCs w:val="24"/>
        </w:rPr>
        <w:t>generated from</w:t>
      </w:r>
      <w:r w:rsidRPr="004357A4">
        <w:rPr>
          <w:rFonts w:ascii="Times New Roman" w:hAnsi="Times New Roman"/>
          <w:color w:val="000000"/>
          <w:spacing w:val="-2"/>
          <w:sz w:val="24"/>
          <w:szCs w:val="24"/>
        </w:rPr>
        <w:t xml:space="preserve"> the disbursement or use of IHBG funds.  All such income is potentially program income dependent on </w:t>
      </w:r>
      <w:proofErr w:type="gramStart"/>
      <w:r w:rsidRPr="004357A4">
        <w:rPr>
          <w:rFonts w:ascii="Times New Roman" w:hAnsi="Times New Roman"/>
          <w:color w:val="000000"/>
          <w:spacing w:val="-2"/>
          <w:sz w:val="24"/>
          <w:szCs w:val="24"/>
        </w:rPr>
        <w:t>whether or not</w:t>
      </w:r>
      <w:proofErr w:type="gramEnd"/>
      <w:r w:rsidRPr="004357A4">
        <w:rPr>
          <w:rFonts w:ascii="Times New Roman" w:hAnsi="Times New Roman"/>
          <w:color w:val="000000"/>
          <w:spacing w:val="-2"/>
          <w:sz w:val="24"/>
          <w:szCs w:val="24"/>
        </w:rPr>
        <w:t xml:space="preserve"> the total income realized (collected) during a program year exceeds the $25,000 exemption described at 24 CFR </w:t>
      </w:r>
      <w:r w:rsidR="00BD06DE">
        <w:rPr>
          <w:rFonts w:ascii="Times New Roman" w:hAnsi="Times New Roman" w:cs="Times New Roman"/>
          <w:color w:val="000000"/>
          <w:spacing w:val="-2"/>
          <w:sz w:val="24"/>
          <w:szCs w:val="24"/>
        </w:rPr>
        <w:t>§</w:t>
      </w:r>
      <w:r w:rsidRPr="004357A4">
        <w:rPr>
          <w:rFonts w:ascii="Times New Roman" w:hAnsi="Times New Roman"/>
          <w:color w:val="000000"/>
          <w:spacing w:val="-2"/>
          <w:sz w:val="24"/>
          <w:szCs w:val="24"/>
        </w:rPr>
        <w:t xml:space="preserve">1000.62(b).  Please note that if more than $25,000 is collected during a single </w:t>
      </w:r>
      <w:r w:rsidR="00536C03">
        <w:rPr>
          <w:rFonts w:ascii="Times New Roman" w:hAnsi="Times New Roman"/>
          <w:color w:val="000000"/>
          <w:spacing w:val="-2"/>
          <w:sz w:val="24"/>
          <w:szCs w:val="24"/>
        </w:rPr>
        <w:t>12-month period</w:t>
      </w:r>
      <w:r w:rsidRPr="004357A4">
        <w:rPr>
          <w:rFonts w:ascii="Times New Roman" w:hAnsi="Times New Roman"/>
          <w:color w:val="000000"/>
          <w:spacing w:val="-2"/>
          <w:sz w:val="24"/>
          <w:szCs w:val="24"/>
        </w:rPr>
        <w:t xml:space="preserve"> the first $25,000 is also considered program income.</w:t>
      </w:r>
    </w:p>
    <w:p w14:paraId="3B4271C3" w14:textId="77777777" w:rsidR="006549F2" w:rsidRDefault="006549F2" w:rsidP="006549F2">
      <w:pPr>
        <w:numPr>
          <w:ilvl w:val="12"/>
          <w:numId w:val="0"/>
        </w:numPr>
        <w:spacing w:after="0" w:line="240" w:lineRule="auto"/>
        <w:rPr>
          <w:rFonts w:ascii="Times New Roman" w:hAnsi="Times New Roman"/>
          <w:b/>
          <w:color w:val="000000"/>
          <w:spacing w:val="-2"/>
          <w:sz w:val="24"/>
          <w:szCs w:val="24"/>
          <w:u w:val="single"/>
        </w:rPr>
      </w:pPr>
    </w:p>
    <w:p w14:paraId="51AD4E28" w14:textId="234F7B85" w:rsidR="004357A4" w:rsidRPr="00F903F6" w:rsidRDefault="004357A4" w:rsidP="006549F2">
      <w:pPr>
        <w:numPr>
          <w:ilvl w:val="12"/>
          <w:numId w:val="0"/>
        </w:numPr>
        <w:spacing w:after="0" w:line="240" w:lineRule="auto"/>
        <w:rPr>
          <w:rFonts w:ascii="Times New Roman" w:hAnsi="Times New Roman"/>
          <w:b/>
          <w:color w:val="000000"/>
          <w:spacing w:val="-2"/>
          <w:sz w:val="24"/>
          <w:szCs w:val="24"/>
          <w:u w:val="single"/>
        </w:rPr>
      </w:pPr>
      <w:r w:rsidRPr="00F903F6">
        <w:rPr>
          <w:rFonts w:ascii="Times New Roman" w:hAnsi="Times New Roman"/>
          <w:b/>
          <w:color w:val="000000"/>
          <w:spacing w:val="-2"/>
          <w:sz w:val="24"/>
          <w:szCs w:val="24"/>
          <w:u w:val="single"/>
        </w:rPr>
        <w:t>Program Income from Dwelling Units</w:t>
      </w:r>
    </w:p>
    <w:p w14:paraId="009C4082" w14:textId="0D195DDD" w:rsidR="004357A4" w:rsidRDefault="004357A4" w:rsidP="006549F2">
      <w:pPr>
        <w:numPr>
          <w:ilvl w:val="12"/>
          <w:numId w:val="0"/>
        </w:numPr>
        <w:spacing w:after="0" w:line="240" w:lineRule="auto"/>
        <w:jc w:val="both"/>
        <w:rPr>
          <w:rFonts w:ascii="Times New Roman" w:hAnsi="Times New Roman"/>
          <w:color w:val="000000"/>
          <w:spacing w:val="-2"/>
          <w:sz w:val="24"/>
          <w:szCs w:val="24"/>
        </w:rPr>
      </w:pPr>
      <w:r>
        <w:rPr>
          <w:rFonts w:ascii="Times New Roman" w:hAnsi="Times New Roman"/>
          <w:color w:val="000000"/>
          <w:spacing w:val="-2"/>
          <w:sz w:val="24"/>
          <w:szCs w:val="24"/>
        </w:rPr>
        <w:t xml:space="preserve">Most </w:t>
      </w:r>
      <w:r w:rsidRPr="004357A4">
        <w:rPr>
          <w:rFonts w:ascii="Times New Roman" w:hAnsi="Times New Roman"/>
          <w:color w:val="000000"/>
          <w:spacing w:val="-2"/>
          <w:sz w:val="24"/>
          <w:szCs w:val="24"/>
        </w:rPr>
        <w:t xml:space="preserve">program income </w:t>
      </w:r>
      <w:r>
        <w:rPr>
          <w:rFonts w:ascii="Times New Roman" w:hAnsi="Times New Roman"/>
          <w:color w:val="000000"/>
          <w:spacing w:val="-2"/>
          <w:sz w:val="24"/>
          <w:szCs w:val="24"/>
        </w:rPr>
        <w:t xml:space="preserve">is generated </w:t>
      </w:r>
      <w:r w:rsidRPr="004357A4">
        <w:rPr>
          <w:rFonts w:ascii="Times New Roman" w:hAnsi="Times New Roman"/>
          <w:color w:val="000000"/>
          <w:spacing w:val="-2"/>
          <w:sz w:val="24"/>
          <w:szCs w:val="24"/>
        </w:rPr>
        <w:t>from the lease or sale of dwelling units. Common sources of program income generated from dwelling units include, but are not limited to:</w:t>
      </w:r>
    </w:p>
    <w:p w14:paraId="1A06DB28" w14:textId="77777777" w:rsidR="006549F2" w:rsidRPr="004357A4" w:rsidRDefault="006549F2" w:rsidP="006549F2">
      <w:pPr>
        <w:numPr>
          <w:ilvl w:val="12"/>
          <w:numId w:val="0"/>
        </w:numPr>
        <w:spacing w:after="0" w:line="240" w:lineRule="auto"/>
        <w:jc w:val="both"/>
        <w:rPr>
          <w:rFonts w:ascii="Times New Roman" w:hAnsi="Times New Roman"/>
          <w:color w:val="000000"/>
          <w:spacing w:val="-2"/>
          <w:sz w:val="24"/>
          <w:szCs w:val="24"/>
        </w:rPr>
      </w:pPr>
    </w:p>
    <w:p w14:paraId="0563705B" w14:textId="1C62E7CD" w:rsidR="004357A4" w:rsidRDefault="004357A4" w:rsidP="006549F2">
      <w:pPr>
        <w:pStyle w:val="ListParagraph"/>
        <w:numPr>
          <w:ilvl w:val="0"/>
          <w:numId w:val="1"/>
        </w:numPr>
        <w:overflowPunct/>
        <w:autoSpaceDE/>
        <w:autoSpaceDN/>
        <w:adjustRightInd/>
        <w:ind w:left="360"/>
        <w:jc w:val="both"/>
        <w:textAlignment w:val="auto"/>
        <w:rPr>
          <w:rFonts w:ascii="Times New Roman" w:eastAsiaTheme="minorHAnsi" w:hAnsi="Times New Roman"/>
          <w:color w:val="000000"/>
          <w:spacing w:val="-2"/>
          <w:szCs w:val="24"/>
        </w:rPr>
      </w:pPr>
      <w:r w:rsidRPr="004357A4">
        <w:rPr>
          <w:rFonts w:ascii="Times New Roman" w:eastAsiaTheme="minorHAnsi" w:hAnsi="Times New Roman"/>
          <w:color w:val="000000"/>
          <w:spacing w:val="-2"/>
          <w:szCs w:val="24"/>
        </w:rPr>
        <w:t>Rent or homebuyer payments collected on units constructed, acquired and/or rehabilitated with IHBG funds that are owned by the recipient or its sub-recipient;</w:t>
      </w:r>
    </w:p>
    <w:p w14:paraId="196361BE" w14:textId="77777777" w:rsidR="006549F2" w:rsidRPr="004357A4" w:rsidRDefault="006549F2" w:rsidP="006549F2">
      <w:pPr>
        <w:pStyle w:val="ListParagraph"/>
        <w:overflowPunct/>
        <w:autoSpaceDE/>
        <w:autoSpaceDN/>
        <w:adjustRightInd/>
        <w:ind w:left="360"/>
        <w:jc w:val="both"/>
        <w:textAlignment w:val="auto"/>
        <w:rPr>
          <w:rFonts w:ascii="Times New Roman" w:eastAsiaTheme="minorHAnsi" w:hAnsi="Times New Roman"/>
          <w:color w:val="000000"/>
          <w:spacing w:val="-2"/>
          <w:szCs w:val="24"/>
        </w:rPr>
      </w:pPr>
    </w:p>
    <w:p w14:paraId="52D9FE38" w14:textId="14A96754" w:rsidR="004357A4" w:rsidRDefault="004357A4" w:rsidP="006549F2">
      <w:pPr>
        <w:pStyle w:val="ListParagraph"/>
        <w:numPr>
          <w:ilvl w:val="0"/>
          <w:numId w:val="1"/>
        </w:numPr>
        <w:overflowPunct/>
        <w:autoSpaceDE/>
        <w:autoSpaceDN/>
        <w:adjustRightInd/>
        <w:ind w:left="360"/>
        <w:jc w:val="both"/>
        <w:textAlignment w:val="auto"/>
        <w:rPr>
          <w:rFonts w:ascii="Times New Roman" w:eastAsiaTheme="minorHAnsi" w:hAnsi="Times New Roman"/>
          <w:color w:val="000000"/>
          <w:spacing w:val="-2"/>
          <w:szCs w:val="24"/>
        </w:rPr>
      </w:pPr>
      <w:r w:rsidRPr="004357A4">
        <w:rPr>
          <w:rFonts w:ascii="Times New Roman" w:eastAsiaTheme="minorHAnsi" w:hAnsi="Times New Roman"/>
          <w:color w:val="000000"/>
          <w:spacing w:val="-2"/>
          <w:szCs w:val="24"/>
        </w:rPr>
        <w:t xml:space="preserve">Rents collected on units developed under the 1937 Housing Act that </w:t>
      </w:r>
      <w:r w:rsidRPr="004357A4">
        <w:rPr>
          <w:rFonts w:ascii="Times New Roman" w:eastAsiaTheme="minorHAnsi" w:hAnsi="Times New Roman"/>
          <w:b/>
          <w:color w:val="000000"/>
          <w:spacing w:val="-2"/>
          <w:szCs w:val="24"/>
        </w:rPr>
        <w:t>have been</w:t>
      </w:r>
      <w:r w:rsidRPr="004357A4">
        <w:rPr>
          <w:rFonts w:ascii="Times New Roman" w:eastAsiaTheme="minorHAnsi" w:hAnsi="Times New Roman"/>
          <w:color w:val="000000"/>
          <w:spacing w:val="-2"/>
          <w:szCs w:val="24"/>
        </w:rPr>
        <w:t xml:space="preserve"> </w:t>
      </w:r>
      <w:r w:rsidRPr="004357A4">
        <w:rPr>
          <w:rFonts w:ascii="Times New Roman" w:eastAsiaTheme="minorHAnsi" w:hAnsi="Times New Roman"/>
          <w:b/>
          <w:color w:val="000000"/>
          <w:spacing w:val="-2"/>
          <w:szCs w:val="24"/>
        </w:rPr>
        <w:t>substantially rehabilitated</w:t>
      </w:r>
      <w:r w:rsidRPr="004357A4">
        <w:rPr>
          <w:rFonts w:ascii="Times New Roman" w:eastAsiaTheme="minorHAnsi" w:hAnsi="Times New Roman"/>
          <w:color w:val="000000"/>
          <w:spacing w:val="-2"/>
          <w:szCs w:val="24"/>
        </w:rPr>
        <w:t xml:space="preserve"> with IHBG funds;</w:t>
      </w:r>
    </w:p>
    <w:p w14:paraId="5A41E38B" w14:textId="77777777" w:rsidR="006549F2" w:rsidRPr="006549F2" w:rsidRDefault="006549F2" w:rsidP="006549F2">
      <w:pPr>
        <w:pStyle w:val="ListParagraph"/>
        <w:rPr>
          <w:rFonts w:ascii="Times New Roman" w:eastAsiaTheme="minorHAnsi" w:hAnsi="Times New Roman"/>
          <w:color w:val="000000"/>
          <w:spacing w:val="-2"/>
          <w:szCs w:val="24"/>
        </w:rPr>
      </w:pPr>
    </w:p>
    <w:p w14:paraId="0FFA814C" w14:textId="50F742EC" w:rsidR="004357A4" w:rsidRDefault="004357A4" w:rsidP="006549F2">
      <w:pPr>
        <w:pStyle w:val="ListParagraph"/>
        <w:numPr>
          <w:ilvl w:val="0"/>
          <w:numId w:val="1"/>
        </w:numPr>
        <w:overflowPunct/>
        <w:autoSpaceDE/>
        <w:autoSpaceDN/>
        <w:adjustRightInd/>
        <w:ind w:left="360"/>
        <w:jc w:val="both"/>
        <w:textAlignment w:val="auto"/>
        <w:rPr>
          <w:rFonts w:ascii="Times New Roman" w:eastAsiaTheme="minorHAnsi" w:hAnsi="Times New Roman"/>
          <w:color w:val="000000"/>
          <w:spacing w:val="-2"/>
          <w:szCs w:val="24"/>
        </w:rPr>
      </w:pPr>
      <w:r w:rsidRPr="004357A4">
        <w:rPr>
          <w:rFonts w:ascii="Times New Roman" w:eastAsiaTheme="minorHAnsi" w:hAnsi="Times New Roman"/>
          <w:color w:val="000000"/>
          <w:spacing w:val="-2"/>
          <w:szCs w:val="24"/>
        </w:rPr>
        <w:t xml:space="preserve">A calculated portion of rents collected on units </w:t>
      </w:r>
      <w:r w:rsidRPr="009B00D9">
        <w:rPr>
          <w:rFonts w:ascii="Times New Roman" w:eastAsiaTheme="minorHAnsi" w:hAnsi="Times New Roman"/>
          <w:color w:val="000000"/>
          <w:spacing w:val="-2"/>
          <w:szCs w:val="24"/>
        </w:rPr>
        <w:t>develop</w:t>
      </w:r>
      <w:r w:rsidR="00BD06DE" w:rsidRPr="009B00D9">
        <w:rPr>
          <w:rFonts w:ascii="Times New Roman" w:eastAsiaTheme="minorHAnsi" w:hAnsi="Times New Roman"/>
          <w:color w:val="000000"/>
          <w:spacing w:val="-2"/>
          <w:szCs w:val="24"/>
        </w:rPr>
        <w:t>ed</w:t>
      </w:r>
      <w:r w:rsidRPr="004357A4">
        <w:rPr>
          <w:rFonts w:ascii="Times New Roman" w:eastAsiaTheme="minorHAnsi" w:hAnsi="Times New Roman"/>
          <w:color w:val="000000"/>
          <w:spacing w:val="-2"/>
          <w:szCs w:val="24"/>
        </w:rPr>
        <w:t xml:space="preserve"> under the 1937 Housing Act that </w:t>
      </w:r>
      <w:r w:rsidRPr="004357A4">
        <w:rPr>
          <w:rFonts w:ascii="Times New Roman" w:eastAsiaTheme="minorHAnsi" w:hAnsi="Times New Roman"/>
          <w:b/>
          <w:color w:val="000000"/>
          <w:spacing w:val="-2"/>
          <w:szCs w:val="24"/>
        </w:rPr>
        <w:t>have not been</w:t>
      </w:r>
      <w:r w:rsidRPr="004357A4">
        <w:rPr>
          <w:rFonts w:ascii="Times New Roman" w:eastAsiaTheme="minorHAnsi" w:hAnsi="Times New Roman"/>
          <w:color w:val="000000"/>
          <w:spacing w:val="-2"/>
          <w:szCs w:val="24"/>
        </w:rPr>
        <w:t xml:space="preserve"> </w:t>
      </w:r>
      <w:r w:rsidRPr="004357A4">
        <w:rPr>
          <w:rFonts w:ascii="Times New Roman" w:eastAsiaTheme="minorHAnsi" w:hAnsi="Times New Roman"/>
          <w:b/>
          <w:color w:val="000000"/>
          <w:spacing w:val="-2"/>
          <w:szCs w:val="24"/>
        </w:rPr>
        <w:t>substantially rehabilitated</w:t>
      </w:r>
      <w:r w:rsidRPr="004357A4">
        <w:rPr>
          <w:rFonts w:ascii="Times New Roman" w:eastAsiaTheme="minorHAnsi" w:hAnsi="Times New Roman"/>
          <w:color w:val="000000"/>
          <w:spacing w:val="-2"/>
          <w:szCs w:val="24"/>
        </w:rPr>
        <w:t xml:space="preserve"> using IHBG funds but are otherwise assisted;</w:t>
      </w:r>
      <w:r>
        <w:rPr>
          <w:rFonts w:ascii="Times New Roman" w:eastAsiaTheme="minorHAnsi" w:hAnsi="Times New Roman"/>
          <w:color w:val="000000"/>
          <w:spacing w:val="-2"/>
          <w:szCs w:val="24"/>
        </w:rPr>
        <w:t xml:space="preserve"> and</w:t>
      </w:r>
    </w:p>
    <w:p w14:paraId="3A5A790D" w14:textId="77777777" w:rsidR="006549F2" w:rsidRPr="006549F2" w:rsidRDefault="006549F2" w:rsidP="006549F2">
      <w:pPr>
        <w:pStyle w:val="ListParagraph"/>
        <w:rPr>
          <w:rFonts w:ascii="Times New Roman" w:eastAsiaTheme="minorHAnsi" w:hAnsi="Times New Roman"/>
          <w:color w:val="000000"/>
          <w:spacing w:val="-2"/>
          <w:szCs w:val="24"/>
        </w:rPr>
      </w:pPr>
    </w:p>
    <w:p w14:paraId="183EF7C2" w14:textId="141240DC" w:rsidR="004357A4" w:rsidRDefault="004357A4" w:rsidP="006549F2">
      <w:pPr>
        <w:pStyle w:val="ListParagraph"/>
        <w:numPr>
          <w:ilvl w:val="0"/>
          <w:numId w:val="1"/>
        </w:numPr>
        <w:overflowPunct/>
        <w:autoSpaceDE/>
        <w:autoSpaceDN/>
        <w:adjustRightInd/>
        <w:ind w:left="360"/>
        <w:jc w:val="both"/>
        <w:textAlignment w:val="auto"/>
        <w:rPr>
          <w:rFonts w:ascii="Times New Roman" w:eastAsiaTheme="minorHAnsi" w:hAnsi="Times New Roman"/>
          <w:color w:val="000000"/>
          <w:spacing w:val="-2"/>
          <w:szCs w:val="24"/>
        </w:rPr>
      </w:pPr>
      <w:r w:rsidRPr="004357A4">
        <w:rPr>
          <w:rFonts w:ascii="Times New Roman" w:eastAsiaTheme="minorHAnsi" w:hAnsi="Times New Roman"/>
          <w:color w:val="000000"/>
          <w:spacing w:val="-2"/>
          <w:szCs w:val="24"/>
        </w:rPr>
        <w:t>Proceeds from the sale of homeownership units developed under the 1937 Housing Act if those units</w:t>
      </w:r>
      <w:r w:rsidRPr="004357A4">
        <w:rPr>
          <w:rFonts w:ascii="Times New Roman" w:eastAsiaTheme="minorHAnsi" w:hAnsi="Times New Roman"/>
          <w:b/>
          <w:color w:val="000000"/>
          <w:spacing w:val="-2"/>
          <w:szCs w:val="24"/>
        </w:rPr>
        <w:t xml:space="preserve"> have been substantially rehabilitated</w:t>
      </w:r>
      <w:r>
        <w:rPr>
          <w:rFonts w:ascii="Times New Roman" w:eastAsiaTheme="minorHAnsi" w:hAnsi="Times New Roman"/>
          <w:color w:val="000000"/>
          <w:spacing w:val="-2"/>
          <w:szCs w:val="24"/>
        </w:rPr>
        <w:t xml:space="preserve"> using IHBG funds.</w:t>
      </w:r>
    </w:p>
    <w:p w14:paraId="1B4EFBA9" w14:textId="77777777" w:rsidR="006549F2" w:rsidRPr="004357A4" w:rsidRDefault="006549F2" w:rsidP="006549F2">
      <w:pPr>
        <w:pStyle w:val="ListParagraph"/>
        <w:overflowPunct/>
        <w:autoSpaceDE/>
        <w:autoSpaceDN/>
        <w:adjustRightInd/>
        <w:ind w:left="990"/>
        <w:jc w:val="both"/>
        <w:textAlignment w:val="auto"/>
        <w:rPr>
          <w:rFonts w:ascii="Times New Roman" w:eastAsiaTheme="minorHAnsi" w:hAnsi="Times New Roman"/>
          <w:color w:val="000000"/>
          <w:spacing w:val="-2"/>
          <w:szCs w:val="24"/>
        </w:rPr>
      </w:pPr>
    </w:p>
    <w:p w14:paraId="42B39B54" w14:textId="3AABD2B1" w:rsidR="004357A4" w:rsidRPr="00F903F6" w:rsidRDefault="004357A4" w:rsidP="006549F2">
      <w:pPr>
        <w:suppressAutoHyphens/>
        <w:spacing w:after="0" w:line="240" w:lineRule="auto"/>
        <w:rPr>
          <w:rFonts w:ascii="Times New Roman" w:hAnsi="Times New Roman"/>
          <w:b/>
          <w:color w:val="000000"/>
          <w:spacing w:val="-2"/>
          <w:sz w:val="24"/>
          <w:szCs w:val="24"/>
          <w:u w:val="single"/>
        </w:rPr>
      </w:pPr>
      <w:r w:rsidRPr="00F903F6">
        <w:rPr>
          <w:rFonts w:ascii="Times New Roman" w:hAnsi="Times New Roman"/>
          <w:b/>
          <w:color w:val="000000"/>
          <w:spacing w:val="-2"/>
          <w:sz w:val="24"/>
          <w:szCs w:val="24"/>
          <w:u w:val="single"/>
        </w:rPr>
        <w:t>Substantial Rehabilitation of 1937 Housing Act Units</w:t>
      </w:r>
    </w:p>
    <w:p w14:paraId="5795AE9B" w14:textId="24407252" w:rsidR="00E354F2" w:rsidRDefault="004357A4" w:rsidP="00E354F2">
      <w:pPr>
        <w:suppressAutoHyphens/>
        <w:spacing w:after="0" w:line="240" w:lineRule="auto"/>
        <w:rPr>
          <w:rFonts w:ascii="Times New Roman" w:hAnsi="Times New Roman"/>
          <w:color w:val="000000"/>
          <w:spacing w:val="-2"/>
          <w:sz w:val="24"/>
          <w:szCs w:val="24"/>
        </w:rPr>
      </w:pPr>
      <w:r w:rsidRPr="006549F2">
        <w:rPr>
          <w:rFonts w:ascii="Times New Roman" w:hAnsi="Times New Roman"/>
          <w:color w:val="000000"/>
          <w:spacing w:val="-2"/>
          <w:sz w:val="24"/>
          <w:szCs w:val="24"/>
        </w:rPr>
        <w:t>A determination was made by the workgroup that</w:t>
      </w:r>
      <w:r w:rsidR="00EE0202">
        <w:rPr>
          <w:rFonts w:ascii="Times New Roman" w:hAnsi="Times New Roman"/>
          <w:color w:val="000000"/>
          <w:spacing w:val="-2"/>
          <w:sz w:val="24"/>
          <w:szCs w:val="24"/>
        </w:rPr>
        <w:t>,</w:t>
      </w:r>
      <w:r w:rsidRPr="006549F2">
        <w:rPr>
          <w:rFonts w:ascii="Times New Roman" w:hAnsi="Times New Roman"/>
          <w:color w:val="000000"/>
          <w:spacing w:val="-2"/>
          <w:sz w:val="24"/>
          <w:szCs w:val="24"/>
        </w:rPr>
        <w:t xml:space="preserve"> when IHBG-funded rehabilitation</w:t>
      </w:r>
      <w:r w:rsidRPr="006549F2">
        <w:rPr>
          <w:rStyle w:val="FootnoteReference"/>
          <w:rFonts w:ascii="Times New Roman" w:hAnsi="Times New Roman"/>
          <w:color w:val="000000"/>
          <w:spacing w:val="-2"/>
          <w:sz w:val="24"/>
          <w:szCs w:val="24"/>
        </w:rPr>
        <w:footnoteReference w:id="1"/>
      </w:r>
      <w:r w:rsidRPr="006549F2">
        <w:rPr>
          <w:rFonts w:ascii="Times New Roman" w:hAnsi="Times New Roman"/>
          <w:color w:val="000000"/>
          <w:spacing w:val="-2"/>
          <w:sz w:val="24"/>
          <w:szCs w:val="24"/>
        </w:rPr>
        <w:t xml:space="preserve"> of a 1937 Housing Act unit reached a certain level, any future rent or</w:t>
      </w:r>
      <w:r w:rsidR="00F851D8" w:rsidRPr="006549F2">
        <w:rPr>
          <w:rFonts w:ascii="Times New Roman" w:hAnsi="Times New Roman"/>
          <w:color w:val="000000"/>
          <w:spacing w:val="-2"/>
          <w:sz w:val="24"/>
          <w:szCs w:val="24"/>
        </w:rPr>
        <w:t>, in the case of Mutual Help units,</w:t>
      </w:r>
      <w:r w:rsidRPr="006549F2">
        <w:rPr>
          <w:rFonts w:ascii="Times New Roman" w:hAnsi="Times New Roman"/>
          <w:color w:val="000000"/>
          <w:spacing w:val="-2"/>
          <w:sz w:val="24"/>
          <w:szCs w:val="24"/>
        </w:rPr>
        <w:t xml:space="preserve"> </w:t>
      </w:r>
      <w:r w:rsidR="00F851D8" w:rsidRPr="006549F2">
        <w:rPr>
          <w:rFonts w:ascii="Times New Roman" w:hAnsi="Times New Roman"/>
          <w:color w:val="000000"/>
          <w:spacing w:val="-2"/>
          <w:sz w:val="24"/>
          <w:szCs w:val="24"/>
        </w:rPr>
        <w:t>proceeds of sale</w:t>
      </w:r>
      <w:r w:rsidRPr="006549F2">
        <w:rPr>
          <w:rFonts w:ascii="Times New Roman" w:hAnsi="Times New Roman"/>
          <w:color w:val="000000"/>
          <w:spacing w:val="-2"/>
          <w:sz w:val="24"/>
          <w:szCs w:val="24"/>
        </w:rPr>
        <w:t xml:space="preserve"> collected on that unit</w:t>
      </w:r>
      <w:r w:rsidR="00536C03" w:rsidRPr="006549F2">
        <w:rPr>
          <w:rFonts w:ascii="Times New Roman" w:hAnsi="Times New Roman"/>
          <w:color w:val="000000"/>
          <w:spacing w:val="-2"/>
          <w:sz w:val="24"/>
          <w:szCs w:val="24"/>
        </w:rPr>
        <w:t>,</w:t>
      </w:r>
      <w:r w:rsidRPr="006549F2">
        <w:rPr>
          <w:rFonts w:ascii="Times New Roman" w:hAnsi="Times New Roman"/>
          <w:color w:val="000000"/>
          <w:spacing w:val="-2"/>
          <w:sz w:val="24"/>
          <w:szCs w:val="24"/>
        </w:rPr>
        <w:t xml:space="preserve"> would be considered program income.  To simplify administration and tracking, a surrogate was used to represent the cost of rehabilitation or capital expenses which equaled 40% of the dwelling construction and equipment cost (DC&amp;E) effective the date of the enactment of NAHASDA (10/01/1997).  These amounts, broken down by unit size (number of bedrooms), for each Indian tribe are set forth in Appendix</w:t>
      </w:r>
      <w:r w:rsidR="00F851D8" w:rsidRPr="006549F2">
        <w:rPr>
          <w:rFonts w:ascii="Times New Roman" w:hAnsi="Times New Roman"/>
          <w:color w:val="000000"/>
          <w:spacing w:val="-2"/>
          <w:sz w:val="24"/>
          <w:szCs w:val="24"/>
        </w:rPr>
        <w:t xml:space="preserve"> </w:t>
      </w:r>
      <w:r w:rsidR="00536C03" w:rsidRPr="006549F2">
        <w:rPr>
          <w:rFonts w:ascii="Times New Roman" w:hAnsi="Times New Roman"/>
          <w:color w:val="000000"/>
          <w:spacing w:val="-2"/>
          <w:sz w:val="24"/>
          <w:szCs w:val="24"/>
        </w:rPr>
        <w:t>C</w:t>
      </w:r>
      <w:r w:rsidRPr="006549F2">
        <w:rPr>
          <w:rFonts w:ascii="Times New Roman" w:hAnsi="Times New Roman"/>
          <w:color w:val="000000"/>
          <w:spacing w:val="-2"/>
          <w:sz w:val="24"/>
          <w:szCs w:val="24"/>
        </w:rPr>
        <w:t xml:space="preserve"> of this </w:t>
      </w:r>
      <w:r w:rsidR="00F851D8" w:rsidRPr="006549F2">
        <w:rPr>
          <w:rFonts w:ascii="Times New Roman" w:hAnsi="Times New Roman"/>
          <w:color w:val="000000"/>
          <w:spacing w:val="-2"/>
          <w:sz w:val="24"/>
          <w:szCs w:val="24"/>
        </w:rPr>
        <w:t>Notice.</w:t>
      </w:r>
      <w:r w:rsidRPr="006549F2">
        <w:rPr>
          <w:rFonts w:ascii="Times New Roman" w:hAnsi="Times New Roman"/>
          <w:color w:val="000000"/>
          <w:spacing w:val="-2"/>
          <w:sz w:val="24"/>
          <w:szCs w:val="24"/>
        </w:rPr>
        <w:t xml:space="preserve">  The 40% threshold is only a concept related to the calculation of program income and has no effect on </w:t>
      </w:r>
      <w:r w:rsidRPr="006549F2">
        <w:rPr>
          <w:rFonts w:ascii="Times New Roman" w:hAnsi="Times New Roman"/>
          <w:color w:val="000000"/>
          <w:spacing w:val="-2"/>
          <w:sz w:val="24"/>
          <w:szCs w:val="24"/>
        </w:rPr>
        <w:lastRenderedPageBreak/>
        <w:t xml:space="preserve">determining Formula Current Assisted Stock.  Rehabilitation amounts are cumulative over the life of the IHBG program. </w:t>
      </w:r>
    </w:p>
    <w:p w14:paraId="6DC4BB93" w14:textId="77777777" w:rsidR="00E354F2" w:rsidRDefault="00E354F2" w:rsidP="00E354F2">
      <w:pPr>
        <w:suppressAutoHyphens/>
        <w:spacing w:after="0" w:line="240" w:lineRule="auto"/>
        <w:rPr>
          <w:rFonts w:ascii="Times New Roman" w:hAnsi="Times New Roman"/>
          <w:b/>
          <w:color w:val="000000"/>
          <w:spacing w:val="-2"/>
          <w:sz w:val="24"/>
          <w:szCs w:val="24"/>
        </w:rPr>
      </w:pPr>
    </w:p>
    <w:p w14:paraId="55D689F7" w14:textId="2F5CD749" w:rsidR="004357A4" w:rsidRDefault="004357A4" w:rsidP="00E354F2">
      <w:pPr>
        <w:suppressAutoHyphens/>
        <w:spacing w:after="0" w:line="240" w:lineRule="auto"/>
        <w:rPr>
          <w:rFonts w:ascii="Times New Roman" w:hAnsi="Times New Roman"/>
          <w:color w:val="000000"/>
          <w:spacing w:val="-2"/>
          <w:sz w:val="24"/>
          <w:szCs w:val="24"/>
        </w:rPr>
      </w:pPr>
      <w:r w:rsidRPr="006549F2">
        <w:rPr>
          <w:rFonts w:ascii="Times New Roman" w:hAnsi="Times New Roman"/>
          <w:b/>
          <w:color w:val="000000"/>
          <w:spacing w:val="-2"/>
          <w:sz w:val="24"/>
          <w:szCs w:val="24"/>
        </w:rPr>
        <w:t xml:space="preserve">Rental Unit Example:  </w:t>
      </w:r>
      <w:r w:rsidRPr="006549F2">
        <w:rPr>
          <w:rFonts w:ascii="Times New Roman" w:hAnsi="Times New Roman"/>
          <w:color w:val="000000"/>
          <w:spacing w:val="-2"/>
          <w:sz w:val="24"/>
          <w:szCs w:val="24"/>
        </w:rPr>
        <w:t xml:space="preserve">A one-bedroom unit has a 40% DC&amp;E threshold of $25,000 listed on Appendix </w:t>
      </w:r>
      <w:r w:rsidR="00083695" w:rsidRPr="006549F2">
        <w:rPr>
          <w:rFonts w:ascii="Times New Roman" w:hAnsi="Times New Roman"/>
          <w:color w:val="000000"/>
          <w:spacing w:val="-2"/>
          <w:sz w:val="24"/>
          <w:szCs w:val="24"/>
        </w:rPr>
        <w:t>C</w:t>
      </w:r>
      <w:r w:rsidRPr="006549F2">
        <w:rPr>
          <w:rFonts w:ascii="Times New Roman" w:hAnsi="Times New Roman"/>
          <w:color w:val="000000"/>
          <w:spacing w:val="-2"/>
          <w:sz w:val="24"/>
          <w:szCs w:val="24"/>
        </w:rPr>
        <w:t>.  This unit receives IHBG-funded rehabilitation in 2012 totaling $15,000.  In 2013 this unit receives additional IHBG-funded rehabilitation totaling another $15,000.  Because cumulative IHBG-funded rehabilitation ($30,000) now exceeds 40% of the DC&amp;E threshold established for this unit, all future rental payments collected on this unit will count toward program income on a dollar-for-dollar basis.</w:t>
      </w:r>
      <w:r w:rsidR="00F851D8" w:rsidRPr="006549F2">
        <w:rPr>
          <w:rFonts w:ascii="Times New Roman" w:hAnsi="Times New Roman"/>
          <w:vanish/>
          <w:color w:val="000000"/>
          <w:spacing w:val="-2"/>
          <w:sz w:val="24"/>
          <w:szCs w:val="24"/>
        </w:rPr>
        <w:t xml:space="preserve">.etivrCPD _____ for additional information. </w:t>
      </w:r>
    </w:p>
    <w:p w14:paraId="17BBE01E" w14:textId="77777777" w:rsidR="00E354F2" w:rsidRPr="006549F2" w:rsidRDefault="00E354F2" w:rsidP="00E354F2">
      <w:pPr>
        <w:suppressAutoHyphens/>
        <w:spacing w:after="0" w:line="240" w:lineRule="auto"/>
        <w:rPr>
          <w:rFonts w:ascii="Times New Roman" w:hAnsi="Times New Roman"/>
          <w:color w:val="000000"/>
          <w:spacing w:val="-2"/>
          <w:sz w:val="24"/>
          <w:szCs w:val="24"/>
        </w:rPr>
      </w:pPr>
    </w:p>
    <w:p w14:paraId="636DC3A8" w14:textId="576E6984" w:rsidR="00F903F6" w:rsidRPr="006549F2" w:rsidRDefault="004357A4" w:rsidP="006549F2">
      <w:pPr>
        <w:numPr>
          <w:ilvl w:val="12"/>
          <w:numId w:val="1"/>
        </w:numPr>
        <w:suppressAutoHyphens/>
        <w:rPr>
          <w:rFonts w:ascii="Times New Roman" w:hAnsi="Times New Roman"/>
          <w:color w:val="000000"/>
          <w:spacing w:val="-2"/>
          <w:sz w:val="24"/>
          <w:szCs w:val="24"/>
        </w:rPr>
      </w:pPr>
      <w:r w:rsidRPr="006549F2">
        <w:rPr>
          <w:rFonts w:ascii="Times New Roman" w:hAnsi="Times New Roman"/>
          <w:b/>
          <w:color w:val="000000"/>
          <w:spacing w:val="-2"/>
          <w:sz w:val="24"/>
          <w:szCs w:val="24"/>
        </w:rPr>
        <w:t>Mutual Help (MH) Example:</w:t>
      </w:r>
      <w:r w:rsidRPr="006549F2">
        <w:rPr>
          <w:rFonts w:ascii="Times New Roman" w:hAnsi="Times New Roman"/>
          <w:color w:val="000000"/>
          <w:spacing w:val="-2"/>
          <w:sz w:val="24"/>
          <w:szCs w:val="24"/>
        </w:rPr>
        <w:t xml:space="preserve">  In the MH program, when IHBG is used for rehabilitation, the same calculation noted above for the rental program would apply.  However, the recipient would not realize the program income until the unit is paid off.  Therefore, if a MH unit has a</w:t>
      </w:r>
      <w:r w:rsidR="00083695" w:rsidRPr="006549F2">
        <w:rPr>
          <w:rFonts w:ascii="Times New Roman" w:hAnsi="Times New Roman"/>
          <w:color w:val="000000"/>
          <w:spacing w:val="-2"/>
          <w:sz w:val="24"/>
          <w:szCs w:val="24"/>
        </w:rPr>
        <w:t xml:space="preserve"> 40% of DC&amp;E threshold of $35,000 and cumulative IHBG-funded rehabilitation amounts to $40,000, then the proceeds of sale, if any, at the time the unit is paid off will convert to program income.  If a MH unit is either not rehabilitated or the HUD-funded rehabilitation is less than 40% of DC&amp;E, the proceeds of sale, if any, may be used in accordance with Answer 42A in the revised Transition Notice published in the Federal Register on April 1, 1999 (64</w:t>
      </w:r>
      <w:r w:rsidR="00EE0202">
        <w:rPr>
          <w:rFonts w:ascii="Times New Roman" w:hAnsi="Times New Roman"/>
          <w:color w:val="000000"/>
          <w:spacing w:val="-2"/>
          <w:sz w:val="24"/>
          <w:szCs w:val="24"/>
        </w:rPr>
        <w:t xml:space="preserve"> </w:t>
      </w:r>
      <w:r w:rsidR="00083695" w:rsidRPr="006549F2">
        <w:rPr>
          <w:rFonts w:ascii="Times New Roman" w:hAnsi="Times New Roman"/>
          <w:color w:val="000000"/>
          <w:spacing w:val="-2"/>
          <w:sz w:val="24"/>
          <w:szCs w:val="24"/>
        </w:rPr>
        <w:t>FR 15778).</w:t>
      </w:r>
    </w:p>
    <w:p w14:paraId="36B966A5" w14:textId="724DAC3C" w:rsidR="00F903F6" w:rsidRPr="00EA4432" w:rsidRDefault="00F903F6" w:rsidP="006549F2">
      <w:pPr>
        <w:suppressAutoHyphens/>
        <w:spacing w:after="0" w:line="240" w:lineRule="auto"/>
        <w:jc w:val="both"/>
        <w:rPr>
          <w:rFonts w:ascii="Times New Roman" w:hAnsi="Times New Roman"/>
          <w:b/>
          <w:color w:val="000000"/>
          <w:spacing w:val="-2"/>
          <w:sz w:val="24"/>
          <w:szCs w:val="24"/>
          <w:u w:val="single"/>
        </w:rPr>
      </w:pPr>
      <w:r w:rsidRPr="00EA4432">
        <w:rPr>
          <w:rFonts w:ascii="Times New Roman" w:hAnsi="Times New Roman"/>
          <w:b/>
          <w:color w:val="000000"/>
          <w:spacing w:val="-2"/>
          <w:sz w:val="24"/>
          <w:szCs w:val="24"/>
          <w:u w:val="single"/>
        </w:rPr>
        <w:t xml:space="preserve">Excess MH Administration </w:t>
      </w:r>
      <w:r w:rsidR="00055AC4" w:rsidRPr="00EA4432">
        <w:rPr>
          <w:rFonts w:ascii="Times New Roman" w:hAnsi="Times New Roman"/>
          <w:b/>
          <w:color w:val="000000"/>
          <w:spacing w:val="-2"/>
          <w:sz w:val="24"/>
          <w:szCs w:val="24"/>
          <w:u w:val="single"/>
        </w:rPr>
        <w:t>Fees</w:t>
      </w:r>
    </w:p>
    <w:p w14:paraId="01A3A9BA" w14:textId="6CC2F16B" w:rsidR="00F903F6" w:rsidRPr="00EA4432" w:rsidRDefault="00F903F6" w:rsidP="006549F2">
      <w:pPr>
        <w:numPr>
          <w:ilvl w:val="12"/>
          <w:numId w:val="0"/>
        </w:numPr>
        <w:spacing w:after="0" w:line="240" w:lineRule="auto"/>
        <w:jc w:val="both"/>
        <w:rPr>
          <w:rFonts w:ascii="Times New Roman" w:hAnsi="Times New Roman"/>
          <w:color w:val="000000"/>
          <w:sz w:val="24"/>
          <w:szCs w:val="24"/>
        </w:rPr>
      </w:pPr>
      <w:proofErr w:type="gramStart"/>
      <w:r w:rsidRPr="00EA4432">
        <w:rPr>
          <w:rFonts w:ascii="Times New Roman" w:hAnsi="Times New Roman"/>
          <w:color w:val="000000"/>
          <w:sz w:val="24"/>
          <w:szCs w:val="24"/>
        </w:rPr>
        <w:t>In the event that</w:t>
      </w:r>
      <w:proofErr w:type="gramEnd"/>
      <w:r w:rsidRPr="00EA4432">
        <w:rPr>
          <w:rFonts w:ascii="Times New Roman" w:hAnsi="Times New Roman"/>
          <w:color w:val="000000"/>
          <w:sz w:val="24"/>
          <w:szCs w:val="24"/>
        </w:rPr>
        <w:t xml:space="preserve"> MH administration </w:t>
      </w:r>
      <w:r w:rsidR="00055AC4" w:rsidRPr="00EA4432">
        <w:rPr>
          <w:rFonts w:ascii="Times New Roman" w:hAnsi="Times New Roman"/>
          <w:color w:val="000000"/>
          <w:sz w:val="24"/>
          <w:szCs w:val="24"/>
        </w:rPr>
        <w:t>fees</w:t>
      </w:r>
      <w:r w:rsidR="00536C03" w:rsidRPr="00EA4432">
        <w:rPr>
          <w:rStyle w:val="FootnoteReference"/>
          <w:rFonts w:ascii="Times New Roman" w:hAnsi="Times New Roman"/>
          <w:color w:val="000000"/>
          <w:sz w:val="24"/>
          <w:szCs w:val="24"/>
        </w:rPr>
        <w:footnoteReference w:id="2"/>
      </w:r>
      <w:r w:rsidRPr="00EA4432">
        <w:rPr>
          <w:rFonts w:ascii="Times New Roman" w:hAnsi="Times New Roman"/>
          <w:color w:val="000000"/>
          <w:sz w:val="24"/>
          <w:szCs w:val="24"/>
        </w:rPr>
        <w:t xml:space="preserve"> </w:t>
      </w:r>
      <w:r w:rsidR="00D1208D">
        <w:rPr>
          <w:rFonts w:ascii="Times New Roman" w:hAnsi="Times New Roman"/>
          <w:color w:val="000000"/>
          <w:sz w:val="24"/>
          <w:szCs w:val="24"/>
        </w:rPr>
        <w:t xml:space="preserve">collected in a given calendar year </w:t>
      </w:r>
      <w:r w:rsidRPr="00EA4432">
        <w:rPr>
          <w:rFonts w:ascii="Times New Roman" w:hAnsi="Times New Roman"/>
          <w:color w:val="000000"/>
          <w:sz w:val="24"/>
          <w:szCs w:val="24"/>
        </w:rPr>
        <w:t>exceed administration costs incurred by the recipient to operate its program, the excess funds would be considered program income</w:t>
      </w:r>
      <w:r w:rsidRPr="009B00D9">
        <w:rPr>
          <w:rFonts w:ascii="Times New Roman" w:hAnsi="Times New Roman"/>
          <w:color w:val="000000"/>
          <w:sz w:val="24"/>
          <w:szCs w:val="24"/>
        </w:rPr>
        <w:t>.</w:t>
      </w:r>
    </w:p>
    <w:p w14:paraId="2058A698" w14:textId="77777777" w:rsidR="00851EC7" w:rsidRPr="00EA4432" w:rsidRDefault="00851EC7" w:rsidP="006549F2">
      <w:pPr>
        <w:numPr>
          <w:ilvl w:val="12"/>
          <w:numId w:val="0"/>
        </w:numPr>
        <w:spacing w:after="0" w:line="240" w:lineRule="auto"/>
        <w:jc w:val="both"/>
        <w:rPr>
          <w:rFonts w:ascii="Times New Roman" w:hAnsi="Times New Roman"/>
          <w:color w:val="000000"/>
          <w:sz w:val="24"/>
          <w:szCs w:val="24"/>
        </w:rPr>
      </w:pPr>
    </w:p>
    <w:p w14:paraId="7EB2F99E" w14:textId="77777777" w:rsidR="003F741B" w:rsidRPr="00EA4432" w:rsidRDefault="003F741B" w:rsidP="006549F2">
      <w:pPr>
        <w:numPr>
          <w:ilvl w:val="12"/>
          <w:numId w:val="0"/>
        </w:numPr>
        <w:suppressAutoHyphens/>
        <w:spacing w:after="0" w:line="240" w:lineRule="auto"/>
        <w:rPr>
          <w:rFonts w:ascii="Times New Roman" w:hAnsi="Times New Roman"/>
          <w:b/>
          <w:color w:val="000000"/>
          <w:spacing w:val="-2"/>
          <w:sz w:val="24"/>
          <w:szCs w:val="24"/>
          <w:u w:val="single"/>
        </w:rPr>
      </w:pPr>
      <w:r w:rsidRPr="00EA4432">
        <w:rPr>
          <w:rFonts w:ascii="Times New Roman" w:hAnsi="Times New Roman"/>
          <w:b/>
          <w:color w:val="000000"/>
          <w:spacing w:val="-2"/>
          <w:sz w:val="24"/>
          <w:szCs w:val="24"/>
          <w:u w:val="single"/>
        </w:rPr>
        <w:t>Program Income Generated from the Operation of 1937 Housing Act Rental Units</w:t>
      </w:r>
    </w:p>
    <w:p w14:paraId="46C9E1CC" w14:textId="4A692CD5" w:rsidR="009B00D9" w:rsidRDefault="003F741B" w:rsidP="006549F2">
      <w:pPr>
        <w:spacing w:after="0" w:line="240" w:lineRule="auto"/>
        <w:rPr>
          <w:rFonts w:ascii="Times New Roman" w:hAnsi="Times New Roman"/>
          <w:color w:val="000000"/>
          <w:spacing w:val="-2"/>
          <w:sz w:val="24"/>
          <w:szCs w:val="24"/>
        </w:rPr>
      </w:pPr>
      <w:r w:rsidRPr="00EA4432">
        <w:rPr>
          <w:rFonts w:ascii="Times New Roman" w:hAnsi="Times New Roman"/>
          <w:color w:val="000000"/>
          <w:spacing w:val="-2"/>
          <w:sz w:val="24"/>
          <w:szCs w:val="24"/>
        </w:rPr>
        <w:t xml:space="preserve">To determine how much program income is generated from the use of IHBG funds to operate and maintain 1937 Housing Act rental units, the amount of income received from such units before the date of enactment of NAHASDA (10/01/97) must be considered.  Instead of tracking the actual amount received from 1937 Housing Act rental units, a surrogate </w:t>
      </w:r>
      <w:r w:rsidR="006D69A5">
        <w:rPr>
          <w:rFonts w:ascii="Times New Roman" w:hAnsi="Times New Roman"/>
          <w:color w:val="000000"/>
          <w:spacing w:val="-2"/>
          <w:sz w:val="24"/>
          <w:szCs w:val="24"/>
        </w:rPr>
        <w:t xml:space="preserve">(amount) </w:t>
      </w:r>
      <w:r w:rsidRPr="00EA4432">
        <w:rPr>
          <w:rFonts w:ascii="Times New Roman" w:hAnsi="Times New Roman"/>
          <w:color w:val="000000"/>
          <w:spacing w:val="-2"/>
          <w:sz w:val="24"/>
          <w:szCs w:val="24"/>
        </w:rPr>
        <w:t>was established that reflected the national average of rents received for 1937 Housing Act units in the last year of the program.  For 1937 Housing Act rental units, the surrogate is 46% of the Allowable Expense Level (AEL).  The AEL and 46% of the AEL for each Indian Tribe can be found in Appendix D of this Notice.</w:t>
      </w:r>
      <w:r w:rsidR="006D69A5">
        <w:rPr>
          <w:rFonts w:ascii="Times New Roman" w:hAnsi="Times New Roman"/>
          <w:color w:val="000000"/>
          <w:spacing w:val="-2"/>
          <w:sz w:val="24"/>
          <w:szCs w:val="24"/>
        </w:rPr>
        <w:t xml:space="preserve">  </w:t>
      </w:r>
      <w:r w:rsidRPr="00EA4432">
        <w:rPr>
          <w:rFonts w:ascii="Times New Roman" w:hAnsi="Times New Roman"/>
          <w:color w:val="000000"/>
          <w:spacing w:val="-2"/>
          <w:sz w:val="24"/>
          <w:szCs w:val="24"/>
        </w:rPr>
        <w:t>The AEL is defined at 24 CFR §</w:t>
      </w:r>
      <w:r w:rsidR="00BD06DE">
        <w:rPr>
          <w:rFonts w:ascii="Times New Roman" w:hAnsi="Times New Roman"/>
          <w:color w:val="000000"/>
          <w:spacing w:val="-2"/>
          <w:sz w:val="24"/>
          <w:szCs w:val="24"/>
        </w:rPr>
        <w:t xml:space="preserve"> </w:t>
      </w:r>
      <w:r w:rsidRPr="00EA4432">
        <w:rPr>
          <w:rFonts w:ascii="Times New Roman" w:hAnsi="Times New Roman"/>
          <w:color w:val="000000"/>
          <w:spacing w:val="-2"/>
          <w:sz w:val="24"/>
          <w:szCs w:val="24"/>
        </w:rPr>
        <w:t xml:space="preserve">1000.302.  </w:t>
      </w:r>
    </w:p>
    <w:p w14:paraId="6AB4213B" w14:textId="77777777" w:rsidR="009B00D9" w:rsidRDefault="009B00D9" w:rsidP="006549F2">
      <w:pPr>
        <w:spacing w:after="0" w:line="240" w:lineRule="auto"/>
        <w:rPr>
          <w:rFonts w:ascii="Times New Roman" w:hAnsi="Times New Roman"/>
          <w:color w:val="000000"/>
          <w:spacing w:val="-2"/>
          <w:sz w:val="24"/>
          <w:szCs w:val="24"/>
        </w:rPr>
      </w:pPr>
    </w:p>
    <w:p w14:paraId="4A34E59D" w14:textId="49E82A86" w:rsidR="003F741B" w:rsidRDefault="003F741B" w:rsidP="006549F2">
      <w:pPr>
        <w:spacing w:after="0" w:line="240" w:lineRule="auto"/>
        <w:rPr>
          <w:rFonts w:ascii="Times New Roman" w:hAnsi="Times New Roman"/>
          <w:sz w:val="24"/>
          <w:szCs w:val="24"/>
        </w:rPr>
      </w:pPr>
      <w:r w:rsidRPr="00EA4432">
        <w:rPr>
          <w:rFonts w:ascii="Times New Roman" w:hAnsi="Times New Roman"/>
          <w:color w:val="000000"/>
          <w:spacing w:val="-2"/>
          <w:sz w:val="24"/>
          <w:szCs w:val="24"/>
        </w:rPr>
        <w:t xml:space="preserve">Program income is the amount of total income received for a rental project identified as Formula Current Assisted Stock (FCAS) on the tribe’s Formula Response Form </w:t>
      </w:r>
      <w:r w:rsidRPr="00EA4432">
        <w:rPr>
          <w:rFonts w:ascii="Times New Roman" w:hAnsi="Times New Roman"/>
          <w:b/>
          <w:color w:val="000000"/>
          <w:spacing w:val="-2"/>
          <w:sz w:val="24"/>
          <w:szCs w:val="24"/>
          <w:u w:val="single"/>
        </w:rPr>
        <w:t>that exceeds</w:t>
      </w:r>
      <w:r w:rsidRPr="00EA4432">
        <w:rPr>
          <w:rFonts w:ascii="Times New Roman" w:hAnsi="Times New Roman"/>
          <w:color w:val="000000"/>
          <w:spacing w:val="-2"/>
          <w:sz w:val="24"/>
          <w:szCs w:val="24"/>
        </w:rPr>
        <w:t xml:space="preserve"> 46% of the per unit AEL times the number of units in the project.  The calculation may be done monthly or annually.  This calculation only applies to those 1937 Housing Act rental units that </w:t>
      </w:r>
      <w:r w:rsidRPr="00EA4432">
        <w:rPr>
          <w:rFonts w:ascii="Times New Roman" w:hAnsi="Times New Roman"/>
          <w:b/>
          <w:color w:val="000000"/>
          <w:spacing w:val="-2"/>
          <w:sz w:val="24"/>
          <w:szCs w:val="24"/>
          <w:u w:val="single"/>
        </w:rPr>
        <w:t xml:space="preserve">have not been substantially rehabilitated </w:t>
      </w:r>
      <w:r w:rsidRPr="00EA4432">
        <w:rPr>
          <w:rFonts w:ascii="Times New Roman" w:hAnsi="Times New Roman"/>
          <w:color w:val="000000"/>
          <w:spacing w:val="-2"/>
          <w:sz w:val="24"/>
          <w:szCs w:val="24"/>
        </w:rPr>
        <w:t xml:space="preserve">with IHBG funds.  Once a 1937 Housing Act rental unit is substantially rehabilitated with IHBG funds, all future rent collected on that unit is considered program income and the unit is no longer included in the calculations described below.  </w:t>
      </w:r>
      <w:r w:rsidRPr="00EA4432">
        <w:rPr>
          <w:rFonts w:ascii="Times New Roman" w:hAnsi="Times New Roman"/>
          <w:sz w:val="24"/>
          <w:szCs w:val="24"/>
        </w:rPr>
        <w:t>The following are examples of how to properly calculate program income generated from the operation of 1937 Housing Act rental units assisted under the IHBG program.</w:t>
      </w:r>
    </w:p>
    <w:p w14:paraId="2DE2D47B" w14:textId="77777777" w:rsidR="00EA4432" w:rsidRDefault="00EA4432" w:rsidP="00EA4432">
      <w:pPr>
        <w:numPr>
          <w:ilvl w:val="12"/>
          <w:numId w:val="0"/>
        </w:numPr>
        <w:spacing w:after="0" w:line="240" w:lineRule="auto"/>
        <w:rPr>
          <w:rFonts w:ascii="Times New Roman" w:hAnsi="Times New Roman"/>
          <w:sz w:val="24"/>
          <w:szCs w:val="24"/>
        </w:rPr>
      </w:pPr>
    </w:p>
    <w:p w14:paraId="6A59940B" w14:textId="6506CD1A" w:rsidR="00EB7AEF" w:rsidRDefault="00EB7AEF" w:rsidP="00EA4432">
      <w:pPr>
        <w:numPr>
          <w:ilvl w:val="12"/>
          <w:numId w:val="0"/>
        </w:numPr>
        <w:spacing w:after="0" w:line="240" w:lineRule="auto"/>
        <w:rPr>
          <w:rFonts w:ascii="Times New Roman" w:hAnsi="Times New Roman"/>
          <w:color w:val="000000"/>
          <w:sz w:val="24"/>
          <w:szCs w:val="24"/>
        </w:rPr>
      </w:pPr>
      <w:r w:rsidRPr="00EA4432">
        <w:rPr>
          <w:rFonts w:ascii="Times New Roman" w:hAnsi="Times New Roman"/>
          <w:b/>
          <w:color w:val="000000"/>
          <w:sz w:val="24"/>
          <w:szCs w:val="24"/>
        </w:rPr>
        <w:lastRenderedPageBreak/>
        <w:t xml:space="preserve">Example Number 1:  </w:t>
      </w:r>
      <w:r w:rsidRPr="00EA4432">
        <w:rPr>
          <w:rFonts w:ascii="Times New Roman" w:hAnsi="Times New Roman"/>
          <w:color w:val="000000"/>
          <w:sz w:val="24"/>
          <w:szCs w:val="24"/>
        </w:rPr>
        <w:t xml:space="preserve">An IHBG recipient is managing 446 FCAS rental units and is using IHBG funds to operate and maintain those units.  None of the units </w:t>
      </w:r>
      <w:r w:rsidRPr="009B00D9">
        <w:rPr>
          <w:rFonts w:ascii="Times New Roman" w:hAnsi="Times New Roman"/>
          <w:color w:val="000000"/>
          <w:sz w:val="24"/>
          <w:szCs w:val="24"/>
        </w:rPr>
        <w:t>have</w:t>
      </w:r>
      <w:r w:rsidRPr="00EA4432">
        <w:rPr>
          <w:rFonts w:ascii="Times New Roman" w:hAnsi="Times New Roman"/>
          <w:color w:val="000000"/>
          <w:sz w:val="24"/>
          <w:szCs w:val="24"/>
        </w:rPr>
        <w:t xml:space="preserve"> been substantially rehabilitated with IHBG funds.  The appropriate per unit AEL for this grantee is $166 from Appendix D and 46% of this amount is $76.  In order to determine the AEL program income exclusion the recipient must multiply the total number of units by the number of months that the units were operated and/or maintained and then by 46% of the AEL.  Once the exclusion is established it is compared with actual rent collections to determine if any program income was generated from the operation and/or maintenance of FCAS rental units.  For this example, the recipient collected $418,752 in rent from FCAS units.</w:t>
      </w:r>
    </w:p>
    <w:p w14:paraId="1F784E97" w14:textId="77777777" w:rsidR="00EA4432" w:rsidRPr="00EA4432" w:rsidRDefault="00EA4432" w:rsidP="006549F2">
      <w:pPr>
        <w:numPr>
          <w:ilvl w:val="12"/>
          <w:numId w:val="0"/>
        </w:numPr>
        <w:spacing w:after="0" w:line="240" w:lineRule="auto"/>
        <w:ind w:left="540"/>
        <w:rPr>
          <w:rFonts w:ascii="Times New Roman" w:hAnsi="Times New Roman"/>
          <w:color w:val="000000"/>
          <w:sz w:val="24"/>
          <w:szCs w:val="24"/>
        </w:rPr>
      </w:pPr>
    </w:p>
    <w:p w14:paraId="09916C4D" w14:textId="77777777" w:rsidR="00EB7AEF" w:rsidRDefault="00EB7AEF" w:rsidP="00405005">
      <w:pPr>
        <w:numPr>
          <w:ilvl w:val="12"/>
          <w:numId w:val="0"/>
        </w:numPr>
        <w:ind w:left="1260" w:hanging="540"/>
        <w:rPr>
          <w:rFonts w:ascii="Times New Roman" w:hAnsi="Times New Roman"/>
          <w:i/>
          <w:color w:val="000000"/>
          <w:szCs w:val="24"/>
        </w:rPr>
      </w:pPr>
      <w:r>
        <w:rPr>
          <w:rFonts w:ascii="Times New Roman" w:hAnsi="Times New Roman"/>
          <w:i/>
          <w:color w:val="000000"/>
          <w:szCs w:val="24"/>
        </w:rPr>
        <w:t>Total R</w:t>
      </w:r>
      <w:r w:rsidRPr="00257D18">
        <w:rPr>
          <w:rFonts w:ascii="Times New Roman" w:hAnsi="Times New Roman"/>
          <w:i/>
          <w:color w:val="000000"/>
          <w:szCs w:val="24"/>
        </w:rPr>
        <w:t xml:space="preserve">ental </w:t>
      </w:r>
      <w:r>
        <w:rPr>
          <w:rFonts w:ascii="Times New Roman" w:hAnsi="Times New Roman"/>
          <w:i/>
          <w:color w:val="000000"/>
          <w:szCs w:val="24"/>
        </w:rPr>
        <w:t>U</w:t>
      </w:r>
      <w:r w:rsidRPr="00257D18">
        <w:rPr>
          <w:rFonts w:ascii="Times New Roman" w:hAnsi="Times New Roman"/>
          <w:i/>
          <w:color w:val="000000"/>
          <w:szCs w:val="24"/>
        </w:rPr>
        <w:t xml:space="preserve">nits 446 x 12 </w:t>
      </w:r>
      <w:r>
        <w:rPr>
          <w:rFonts w:ascii="Times New Roman" w:hAnsi="Times New Roman"/>
          <w:i/>
          <w:color w:val="000000"/>
          <w:szCs w:val="24"/>
        </w:rPr>
        <w:t>M</w:t>
      </w:r>
      <w:r w:rsidRPr="00257D18">
        <w:rPr>
          <w:rFonts w:ascii="Times New Roman" w:hAnsi="Times New Roman"/>
          <w:i/>
          <w:color w:val="000000"/>
          <w:szCs w:val="24"/>
        </w:rPr>
        <w:t xml:space="preserve">onths in </w:t>
      </w:r>
      <w:r>
        <w:rPr>
          <w:rFonts w:ascii="Times New Roman" w:hAnsi="Times New Roman"/>
          <w:i/>
          <w:color w:val="000000"/>
          <w:szCs w:val="24"/>
        </w:rPr>
        <w:t>P</w:t>
      </w:r>
      <w:r w:rsidRPr="00257D18">
        <w:rPr>
          <w:rFonts w:ascii="Times New Roman" w:hAnsi="Times New Roman"/>
          <w:i/>
          <w:color w:val="000000"/>
          <w:szCs w:val="24"/>
        </w:rPr>
        <w:t xml:space="preserve">rogram </w:t>
      </w:r>
      <w:r>
        <w:rPr>
          <w:rFonts w:ascii="Times New Roman" w:hAnsi="Times New Roman"/>
          <w:i/>
          <w:color w:val="000000"/>
          <w:szCs w:val="24"/>
        </w:rPr>
        <w:t>Y</w:t>
      </w:r>
      <w:r w:rsidRPr="00257D18">
        <w:rPr>
          <w:rFonts w:ascii="Times New Roman" w:hAnsi="Times New Roman"/>
          <w:i/>
          <w:color w:val="000000"/>
          <w:szCs w:val="24"/>
        </w:rPr>
        <w:t xml:space="preserve">ear (PY) = 5352 </w:t>
      </w:r>
      <w:r>
        <w:rPr>
          <w:rFonts w:ascii="Times New Roman" w:hAnsi="Times New Roman"/>
          <w:i/>
          <w:color w:val="000000"/>
          <w:szCs w:val="24"/>
        </w:rPr>
        <w:t>U</w:t>
      </w:r>
      <w:r w:rsidRPr="00257D18">
        <w:rPr>
          <w:rFonts w:ascii="Times New Roman" w:hAnsi="Times New Roman"/>
          <w:i/>
          <w:color w:val="000000"/>
          <w:szCs w:val="24"/>
        </w:rPr>
        <w:t xml:space="preserve">nit </w:t>
      </w:r>
      <w:r>
        <w:rPr>
          <w:rFonts w:ascii="Times New Roman" w:hAnsi="Times New Roman"/>
          <w:i/>
          <w:color w:val="000000"/>
          <w:szCs w:val="24"/>
        </w:rPr>
        <w:t>M</w:t>
      </w:r>
      <w:r w:rsidRPr="00257D18">
        <w:rPr>
          <w:rFonts w:ascii="Times New Roman" w:hAnsi="Times New Roman"/>
          <w:i/>
          <w:color w:val="000000"/>
          <w:szCs w:val="24"/>
        </w:rPr>
        <w:t>onths</w:t>
      </w:r>
    </w:p>
    <w:p w14:paraId="2AF47494" w14:textId="77777777" w:rsidR="00EB7AEF" w:rsidRDefault="00EB7AEF" w:rsidP="00405005">
      <w:pPr>
        <w:numPr>
          <w:ilvl w:val="12"/>
          <w:numId w:val="0"/>
        </w:numPr>
        <w:ind w:left="1260" w:hanging="540"/>
        <w:rPr>
          <w:rFonts w:ascii="Times New Roman" w:hAnsi="Times New Roman"/>
          <w:i/>
          <w:color w:val="000000"/>
          <w:szCs w:val="24"/>
        </w:rPr>
      </w:pPr>
      <w:r w:rsidRPr="00257D18">
        <w:rPr>
          <w:rFonts w:ascii="Times New Roman" w:hAnsi="Times New Roman"/>
          <w:i/>
          <w:color w:val="000000"/>
          <w:szCs w:val="24"/>
        </w:rPr>
        <w:t xml:space="preserve">$76 (46% of AEL) x 5352 </w:t>
      </w:r>
      <w:r>
        <w:rPr>
          <w:rFonts w:ascii="Times New Roman" w:hAnsi="Times New Roman"/>
          <w:i/>
          <w:color w:val="000000"/>
          <w:szCs w:val="24"/>
        </w:rPr>
        <w:t>U</w:t>
      </w:r>
      <w:r w:rsidRPr="00257D18">
        <w:rPr>
          <w:rFonts w:ascii="Times New Roman" w:hAnsi="Times New Roman"/>
          <w:i/>
          <w:color w:val="000000"/>
          <w:szCs w:val="24"/>
        </w:rPr>
        <w:t xml:space="preserve">nit </w:t>
      </w:r>
      <w:r>
        <w:rPr>
          <w:rFonts w:ascii="Times New Roman" w:hAnsi="Times New Roman"/>
          <w:i/>
          <w:color w:val="000000"/>
          <w:szCs w:val="24"/>
        </w:rPr>
        <w:t>M</w:t>
      </w:r>
      <w:r w:rsidRPr="00257D18">
        <w:rPr>
          <w:rFonts w:ascii="Times New Roman" w:hAnsi="Times New Roman"/>
          <w:i/>
          <w:color w:val="000000"/>
          <w:szCs w:val="24"/>
        </w:rPr>
        <w:t>onth</w:t>
      </w:r>
      <w:r>
        <w:rPr>
          <w:rFonts w:ascii="Times New Roman" w:hAnsi="Times New Roman"/>
          <w:i/>
          <w:color w:val="000000"/>
          <w:szCs w:val="24"/>
        </w:rPr>
        <w:t>s</w:t>
      </w:r>
      <w:r w:rsidRPr="00257D18">
        <w:rPr>
          <w:rFonts w:ascii="Times New Roman" w:hAnsi="Times New Roman"/>
          <w:i/>
          <w:color w:val="000000"/>
          <w:szCs w:val="24"/>
        </w:rPr>
        <w:t xml:space="preserve"> = </w:t>
      </w:r>
      <w:r w:rsidRPr="00405005">
        <w:rPr>
          <w:rFonts w:ascii="Times New Roman" w:hAnsi="Times New Roman"/>
          <w:i/>
          <w:color w:val="000000"/>
          <w:szCs w:val="24"/>
        </w:rPr>
        <w:t>$406,752</w:t>
      </w:r>
      <w:r w:rsidRPr="00257D18">
        <w:rPr>
          <w:rFonts w:ascii="Times New Roman" w:hAnsi="Times New Roman"/>
          <w:i/>
          <w:color w:val="000000"/>
          <w:szCs w:val="24"/>
        </w:rPr>
        <w:t xml:space="preserve"> </w:t>
      </w:r>
      <w:r>
        <w:rPr>
          <w:rFonts w:ascii="Times New Roman" w:hAnsi="Times New Roman"/>
          <w:i/>
          <w:color w:val="000000"/>
          <w:szCs w:val="24"/>
        </w:rPr>
        <w:t>A</w:t>
      </w:r>
      <w:r w:rsidRPr="00257D18">
        <w:rPr>
          <w:rFonts w:ascii="Times New Roman" w:hAnsi="Times New Roman"/>
          <w:i/>
          <w:color w:val="000000"/>
          <w:szCs w:val="24"/>
        </w:rPr>
        <w:t xml:space="preserve">nnual </w:t>
      </w:r>
      <w:r>
        <w:rPr>
          <w:rFonts w:ascii="Times New Roman" w:hAnsi="Times New Roman"/>
          <w:i/>
          <w:color w:val="000000"/>
          <w:szCs w:val="24"/>
        </w:rPr>
        <w:t>Rental Income E</w:t>
      </w:r>
      <w:r w:rsidRPr="00257D18">
        <w:rPr>
          <w:rFonts w:ascii="Times New Roman" w:hAnsi="Times New Roman"/>
          <w:i/>
          <w:color w:val="000000"/>
          <w:szCs w:val="24"/>
        </w:rPr>
        <w:t>xclusion for PY</w:t>
      </w:r>
    </w:p>
    <w:tbl>
      <w:tblPr>
        <w:tblStyle w:val="TableGrid"/>
        <w:tblW w:w="0" w:type="auto"/>
        <w:tblInd w:w="629" w:type="dxa"/>
        <w:tblLook w:val="04A0" w:firstRow="1" w:lastRow="0" w:firstColumn="1" w:lastColumn="0" w:noHBand="0" w:noVBand="1"/>
      </w:tblPr>
      <w:tblGrid>
        <w:gridCol w:w="2909"/>
        <w:gridCol w:w="2875"/>
        <w:gridCol w:w="2937"/>
      </w:tblGrid>
      <w:tr w:rsidR="00EB7AEF" w14:paraId="0FD20B9A" w14:textId="77777777" w:rsidTr="00EB7AEF">
        <w:tc>
          <w:tcPr>
            <w:tcW w:w="2909" w:type="dxa"/>
          </w:tcPr>
          <w:p w14:paraId="7F292ADA"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Total Unit Months</w:t>
            </w:r>
          </w:p>
        </w:tc>
        <w:tc>
          <w:tcPr>
            <w:tcW w:w="2875" w:type="dxa"/>
          </w:tcPr>
          <w:p w14:paraId="695DEC46"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46% of AEL</w:t>
            </w:r>
          </w:p>
        </w:tc>
        <w:tc>
          <w:tcPr>
            <w:tcW w:w="2937" w:type="dxa"/>
          </w:tcPr>
          <w:p w14:paraId="533E15AA"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Rental Income Exclusion</w:t>
            </w:r>
          </w:p>
        </w:tc>
      </w:tr>
      <w:tr w:rsidR="00EB7AEF" w14:paraId="2EA8D4F7" w14:textId="77777777" w:rsidTr="00EB7AEF">
        <w:trPr>
          <w:trHeight w:val="332"/>
        </w:trPr>
        <w:tc>
          <w:tcPr>
            <w:tcW w:w="2909" w:type="dxa"/>
          </w:tcPr>
          <w:p w14:paraId="0813DB8E"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5352</w:t>
            </w:r>
          </w:p>
        </w:tc>
        <w:tc>
          <w:tcPr>
            <w:tcW w:w="2875" w:type="dxa"/>
          </w:tcPr>
          <w:p w14:paraId="7CDA8A6F"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$76</w:t>
            </w:r>
          </w:p>
        </w:tc>
        <w:tc>
          <w:tcPr>
            <w:tcW w:w="2937" w:type="dxa"/>
          </w:tcPr>
          <w:p w14:paraId="66FDB8D6"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$406,752</w:t>
            </w:r>
          </w:p>
        </w:tc>
      </w:tr>
    </w:tbl>
    <w:p w14:paraId="1DFEDECD" w14:textId="77777777" w:rsidR="00EB7AEF" w:rsidRPr="00257D18" w:rsidRDefault="00EB7AEF" w:rsidP="003E2848">
      <w:pPr>
        <w:numPr>
          <w:ilvl w:val="12"/>
          <w:numId w:val="0"/>
        </w:numPr>
        <w:ind w:left="1260" w:hanging="540"/>
        <w:rPr>
          <w:rFonts w:ascii="Times New Roman" w:hAnsi="Times New Roman"/>
          <w:i/>
          <w:color w:val="000000"/>
          <w:szCs w:val="24"/>
        </w:rPr>
      </w:pPr>
      <w:r w:rsidRPr="00257D18">
        <w:rPr>
          <w:rFonts w:ascii="Times New Roman" w:hAnsi="Times New Roman"/>
          <w:i/>
          <w:color w:val="000000"/>
          <w:szCs w:val="24"/>
        </w:rPr>
        <w:t xml:space="preserve"> </w:t>
      </w:r>
      <w:r w:rsidRPr="00257D18">
        <w:rPr>
          <w:rFonts w:ascii="Times New Roman" w:hAnsi="Times New Roman"/>
          <w:b/>
          <w:i/>
          <w:color w:val="000000"/>
          <w:szCs w:val="24"/>
        </w:rPr>
        <w:t>$418,752</w:t>
      </w:r>
      <w:r w:rsidRPr="00257D18">
        <w:rPr>
          <w:rFonts w:ascii="Times New Roman" w:hAnsi="Times New Roman"/>
          <w:i/>
          <w:color w:val="000000"/>
          <w:szCs w:val="24"/>
        </w:rPr>
        <w:t xml:space="preserve"> Rental Income Collected - </w:t>
      </w:r>
      <w:r w:rsidRPr="00257D18">
        <w:rPr>
          <w:rFonts w:ascii="Times New Roman" w:hAnsi="Times New Roman"/>
          <w:b/>
          <w:i/>
          <w:color w:val="000000"/>
          <w:szCs w:val="24"/>
        </w:rPr>
        <w:t>$406,752</w:t>
      </w:r>
      <w:r w:rsidRPr="00257D18">
        <w:rPr>
          <w:rFonts w:ascii="Times New Roman" w:hAnsi="Times New Roman"/>
          <w:i/>
          <w:color w:val="000000"/>
          <w:szCs w:val="24"/>
        </w:rPr>
        <w:t xml:space="preserve"> PY Rental Income Exclusion = </w:t>
      </w:r>
      <w:r w:rsidRPr="00257D18">
        <w:rPr>
          <w:rFonts w:ascii="Times New Roman" w:hAnsi="Times New Roman"/>
          <w:b/>
          <w:i/>
          <w:color w:val="000000"/>
          <w:szCs w:val="24"/>
        </w:rPr>
        <w:t>$12,000</w:t>
      </w:r>
      <w:r w:rsidRPr="00257D18">
        <w:rPr>
          <w:rFonts w:ascii="Times New Roman" w:hAnsi="Times New Roman"/>
          <w:i/>
          <w:color w:val="000000"/>
          <w:szCs w:val="24"/>
        </w:rPr>
        <w:t xml:space="preserve"> Program Income Generated</w:t>
      </w:r>
    </w:p>
    <w:tbl>
      <w:tblPr>
        <w:tblStyle w:val="TableGrid1"/>
        <w:tblW w:w="8636" w:type="dxa"/>
        <w:tblInd w:w="738" w:type="dxa"/>
        <w:tblLook w:val="04A0" w:firstRow="1" w:lastRow="0" w:firstColumn="1" w:lastColumn="0" w:noHBand="0" w:noVBand="1"/>
      </w:tblPr>
      <w:tblGrid>
        <w:gridCol w:w="2070"/>
        <w:gridCol w:w="2160"/>
        <w:gridCol w:w="2160"/>
        <w:gridCol w:w="2246"/>
      </w:tblGrid>
      <w:tr w:rsidR="00EB7AEF" w:rsidRPr="00AD58E8" w14:paraId="3C6E55A2" w14:textId="77777777" w:rsidTr="00C815ED">
        <w:tc>
          <w:tcPr>
            <w:tcW w:w="2070" w:type="dxa"/>
          </w:tcPr>
          <w:p w14:paraId="55B6147F" w14:textId="77777777" w:rsidR="00EB7AEF" w:rsidRPr="00AD58E8" w:rsidRDefault="00EB7AEF" w:rsidP="006549F2">
            <w:pPr>
              <w:numPr>
                <w:ilvl w:val="12"/>
                <w:numId w:val="0"/>
              </w:numPr>
              <w:jc w:val="center"/>
              <w:rPr>
                <w:color w:val="000000"/>
                <w:szCs w:val="24"/>
              </w:rPr>
            </w:pPr>
            <w:r>
              <w:rPr>
                <w:color w:val="000000"/>
                <w:szCs w:val="24"/>
              </w:rPr>
              <w:t>FCAS Rent Collections</w:t>
            </w:r>
          </w:p>
        </w:tc>
        <w:tc>
          <w:tcPr>
            <w:tcW w:w="2160" w:type="dxa"/>
          </w:tcPr>
          <w:p w14:paraId="453D248D" w14:textId="77777777" w:rsidR="00EB7AEF" w:rsidRPr="00AD58E8" w:rsidRDefault="00EB7AEF" w:rsidP="006549F2">
            <w:pPr>
              <w:numPr>
                <w:ilvl w:val="12"/>
                <w:numId w:val="0"/>
              </w:numPr>
              <w:jc w:val="center"/>
              <w:rPr>
                <w:color w:val="000000"/>
                <w:szCs w:val="24"/>
              </w:rPr>
            </w:pPr>
            <w:r>
              <w:rPr>
                <w:color w:val="000000"/>
                <w:szCs w:val="24"/>
              </w:rPr>
              <w:t>Rental Income Exclusion</w:t>
            </w:r>
          </w:p>
        </w:tc>
        <w:tc>
          <w:tcPr>
            <w:tcW w:w="2160" w:type="dxa"/>
          </w:tcPr>
          <w:p w14:paraId="55B01BF3" w14:textId="77777777" w:rsidR="00EB7AEF" w:rsidRPr="00AD58E8" w:rsidRDefault="00EB7AEF" w:rsidP="006549F2">
            <w:pPr>
              <w:numPr>
                <w:ilvl w:val="12"/>
                <w:numId w:val="0"/>
              </w:numPr>
              <w:jc w:val="center"/>
              <w:rPr>
                <w:color w:val="000000"/>
                <w:szCs w:val="24"/>
              </w:rPr>
            </w:pPr>
            <w:r>
              <w:rPr>
                <w:color w:val="000000"/>
                <w:szCs w:val="24"/>
              </w:rPr>
              <w:t xml:space="preserve">FCAS </w:t>
            </w:r>
            <w:r w:rsidRPr="00AD58E8">
              <w:rPr>
                <w:color w:val="000000"/>
                <w:szCs w:val="24"/>
              </w:rPr>
              <w:t>Program Income</w:t>
            </w:r>
          </w:p>
        </w:tc>
        <w:tc>
          <w:tcPr>
            <w:tcW w:w="2246" w:type="dxa"/>
          </w:tcPr>
          <w:p w14:paraId="602D143D" w14:textId="77777777" w:rsidR="00EB7AEF" w:rsidRDefault="00EB7AEF" w:rsidP="006549F2">
            <w:pPr>
              <w:numPr>
                <w:ilvl w:val="12"/>
                <w:numId w:val="0"/>
              </w:numPr>
              <w:jc w:val="center"/>
              <w:rPr>
                <w:color w:val="000000"/>
                <w:szCs w:val="24"/>
              </w:rPr>
            </w:pPr>
            <w:r>
              <w:rPr>
                <w:color w:val="000000"/>
                <w:szCs w:val="24"/>
              </w:rPr>
              <w:t>FCAS Non-Program Income</w:t>
            </w:r>
          </w:p>
        </w:tc>
      </w:tr>
      <w:tr w:rsidR="00EB7AEF" w:rsidRPr="00AD58E8" w14:paraId="2AD5F289" w14:textId="77777777" w:rsidTr="00C815ED">
        <w:trPr>
          <w:trHeight w:val="395"/>
        </w:trPr>
        <w:tc>
          <w:tcPr>
            <w:tcW w:w="2070" w:type="dxa"/>
          </w:tcPr>
          <w:p w14:paraId="6FD7E9C9" w14:textId="77777777" w:rsidR="00EB7AEF" w:rsidRPr="00AD58E8" w:rsidRDefault="00EB7AEF" w:rsidP="006549F2">
            <w:pPr>
              <w:numPr>
                <w:ilvl w:val="12"/>
                <w:numId w:val="0"/>
              </w:numPr>
              <w:jc w:val="center"/>
              <w:rPr>
                <w:color w:val="000000"/>
                <w:szCs w:val="24"/>
              </w:rPr>
            </w:pPr>
            <w:r w:rsidRPr="00AD58E8">
              <w:rPr>
                <w:color w:val="000000"/>
                <w:szCs w:val="24"/>
              </w:rPr>
              <w:t>$</w:t>
            </w:r>
            <w:r>
              <w:rPr>
                <w:color w:val="000000"/>
                <w:szCs w:val="24"/>
              </w:rPr>
              <w:t>418,752</w:t>
            </w:r>
            <w:r>
              <w:rPr>
                <w:rStyle w:val="FootnoteReference"/>
                <w:color w:val="000000"/>
                <w:szCs w:val="24"/>
              </w:rPr>
              <w:footnoteReference w:id="3"/>
            </w:r>
          </w:p>
        </w:tc>
        <w:tc>
          <w:tcPr>
            <w:tcW w:w="2160" w:type="dxa"/>
          </w:tcPr>
          <w:p w14:paraId="4930BE3A" w14:textId="77777777" w:rsidR="00EB7AEF" w:rsidRPr="00AD58E8" w:rsidRDefault="00EB7AEF" w:rsidP="006549F2">
            <w:pPr>
              <w:numPr>
                <w:ilvl w:val="12"/>
                <w:numId w:val="0"/>
              </w:numPr>
              <w:jc w:val="center"/>
              <w:rPr>
                <w:color w:val="000000"/>
                <w:szCs w:val="24"/>
              </w:rPr>
            </w:pPr>
            <w:r>
              <w:rPr>
                <w:color w:val="000000"/>
                <w:szCs w:val="24"/>
              </w:rPr>
              <w:t>$406,752</w:t>
            </w:r>
          </w:p>
        </w:tc>
        <w:tc>
          <w:tcPr>
            <w:tcW w:w="2160" w:type="dxa"/>
          </w:tcPr>
          <w:p w14:paraId="6DFE9ACC" w14:textId="77777777" w:rsidR="00EB7AEF" w:rsidRPr="00AD58E8" w:rsidRDefault="00EB7AEF" w:rsidP="006549F2">
            <w:pPr>
              <w:numPr>
                <w:ilvl w:val="12"/>
                <w:numId w:val="0"/>
              </w:numPr>
              <w:jc w:val="center"/>
              <w:rPr>
                <w:color w:val="000000"/>
                <w:szCs w:val="24"/>
              </w:rPr>
            </w:pPr>
            <w:r w:rsidRPr="00AD58E8">
              <w:rPr>
                <w:color w:val="000000"/>
                <w:szCs w:val="24"/>
              </w:rPr>
              <w:t>$</w:t>
            </w:r>
            <w:r>
              <w:rPr>
                <w:color w:val="000000"/>
                <w:szCs w:val="24"/>
              </w:rPr>
              <w:t>12,000</w:t>
            </w:r>
            <w:r>
              <w:rPr>
                <w:rStyle w:val="FootnoteReference"/>
                <w:color w:val="000000"/>
                <w:szCs w:val="24"/>
              </w:rPr>
              <w:footnoteReference w:id="4"/>
            </w:r>
          </w:p>
        </w:tc>
        <w:tc>
          <w:tcPr>
            <w:tcW w:w="2246" w:type="dxa"/>
          </w:tcPr>
          <w:p w14:paraId="5B857B3E" w14:textId="77777777" w:rsidR="00EB7AEF" w:rsidRPr="00AD58E8" w:rsidRDefault="00EB7AEF" w:rsidP="006549F2">
            <w:pPr>
              <w:numPr>
                <w:ilvl w:val="12"/>
                <w:numId w:val="0"/>
              </w:numPr>
              <w:jc w:val="center"/>
              <w:rPr>
                <w:color w:val="000000"/>
                <w:szCs w:val="24"/>
              </w:rPr>
            </w:pPr>
            <w:r>
              <w:rPr>
                <w:color w:val="000000"/>
                <w:szCs w:val="24"/>
              </w:rPr>
              <w:t>$406,752</w:t>
            </w:r>
          </w:p>
        </w:tc>
      </w:tr>
    </w:tbl>
    <w:p w14:paraId="0F7FE31B" w14:textId="77777777" w:rsidR="00EA4432" w:rsidRDefault="00EA4432" w:rsidP="00EA4432">
      <w:pPr>
        <w:numPr>
          <w:ilvl w:val="12"/>
          <w:numId w:val="0"/>
        </w:numPr>
        <w:spacing w:after="0" w:line="240" w:lineRule="auto"/>
        <w:rPr>
          <w:rFonts w:ascii="Times New Roman" w:hAnsi="Times New Roman"/>
          <w:b/>
          <w:color w:val="000000"/>
          <w:spacing w:val="-2"/>
          <w:szCs w:val="24"/>
        </w:rPr>
      </w:pPr>
    </w:p>
    <w:p w14:paraId="0A923C6A" w14:textId="0D036503" w:rsidR="00EB7AEF" w:rsidRPr="00EA4432" w:rsidRDefault="00EB7AEF" w:rsidP="00EA4432">
      <w:pPr>
        <w:numPr>
          <w:ilvl w:val="12"/>
          <w:numId w:val="0"/>
        </w:numPr>
        <w:spacing w:after="0" w:line="240" w:lineRule="auto"/>
        <w:rPr>
          <w:rFonts w:ascii="Times New Roman" w:hAnsi="Times New Roman"/>
          <w:color w:val="000000"/>
          <w:spacing w:val="-2"/>
          <w:sz w:val="24"/>
          <w:szCs w:val="24"/>
        </w:rPr>
      </w:pPr>
      <w:r w:rsidRPr="00EA4432">
        <w:rPr>
          <w:rFonts w:ascii="Times New Roman" w:hAnsi="Times New Roman"/>
          <w:b/>
          <w:color w:val="000000"/>
          <w:spacing w:val="-2"/>
          <w:sz w:val="24"/>
          <w:szCs w:val="24"/>
        </w:rPr>
        <w:t xml:space="preserve">Example Number 2:  </w:t>
      </w:r>
      <w:r w:rsidRPr="00EA4432">
        <w:rPr>
          <w:rFonts w:ascii="Times New Roman" w:hAnsi="Times New Roman"/>
          <w:color w:val="000000"/>
          <w:spacing w:val="-2"/>
          <w:sz w:val="24"/>
          <w:szCs w:val="24"/>
        </w:rPr>
        <w:t>The same IHBG recipient is now calculating program income for the next PY on its FCAS rental units.  During the previous year 6 of the FCAS rental units had been substantially rehabilitated with IHBG funds and, therefore, have been removed from the calculation.  This PY the recipient collected $380,280 (net income) from its FCAS rental units.</w:t>
      </w:r>
    </w:p>
    <w:p w14:paraId="54E14021" w14:textId="77777777" w:rsidR="00752473" w:rsidRDefault="00752473" w:rsidP="00392B60">
      <w:pPr>
        <w:numPr>
          <w:ilvl w:val="12"/>
          <w:numId w:val="0"/>
        </w:numPr>
        <w:spacing w:after="0" w:line="240" w:lineRule="auto"/>
        <w:ind w:left="1267" w:hanging="547"/>
        <w:rPr>
          <w:rFonts w:ascii="Times New Roman" w:hAnsi="Times New Roman"/>
          <w:i/>
          <w:color w:val="000000"/>
          <w:szCs w:val="24"/>
        </w:rPr>
      </w:pPr>
    </w:p>
    <w:p w14:paraId="272458D8" w14:textId="438EB5CD" w:rsidR="00EB7AEF" w:rsidRDefault="00EB7AEF" w:rsidP="00F12E02">
      <w:pPr>
        <w:numPr>
          <w:ilvl w:val="12"/>
          <w:numId w:val="0"/>
        </w:numPr>
        <w:ind w:left="1260" w:hanging="540"/>
        <w:rPr>
          <w:rFonts w:ascii="Times New Roman" w:hAnsi="Times New Roman"/>
          <w:i/>
          <w:color w:val="000000"/>
          <w:szCs w:val="24"/>
        </w:rPr>
      </w:pPr>
      <w:r>
        <w:rPr>
          <w:rFonts w:ascii="Times New Roman" w:hAnsi="Times New Roman"/>
          <w:i/>
          <w:color w:val="000000"/>
          <w:szCs w:val="24"/>
        </w:rPr>
        <w:t>Total R</w:t>
      </w:r>
      <w:r w:rsidRPr="00257D18">
        <w:rPr>
          <w:rFonts w:ascii="Times New Roman" w:hAnsi="Times New Roman"/>
          <w:i/>
          <w:color w:val="000000"/>
          <w:szCs w:val="24"/>
        </w:rPr>
        <w:t xml:space="preserve">ental </w:t>
      </w:r>
      <w:r>
        <w:rPr>
          <w:rFonts w:ascii="Times New Roman" w:hAnsi="Times New Roman"/>
          <w:i/>
          <w:color w:val="000000"/>
          <w:szCs w:val="24"/>
        </w:rPr>
        <w:t>U</w:t>
      </w:r>
      <w:r w:rsidRPr="00257D18">
        <w:rPr>
          <w:rFonts w:ascii="Times New Roman" w:hAnsi="Times New Roman"/>
          <w:i/>
          <w:color w:val="000000"/>
          <w:szCs w:val="24"/>
        </w:rPr>
        <w:t>nits 44</w:t>
      </w:r>
      <w:r>
        <w:rPr>
          <w:rFonts w:ascii="Times New Roman" w:hAnsi="Times New Roman"/>
          <w:i/>
          <w:color w:val="000000"/>
          <w:szCs w:val="24"/>
        </w:rPr>
        <w:t>0</w:t>
      </w:r>
      <w:r w:rsidRPr="00257D18">
        <w:rPr>
          <w:rFonts w:ascii="Times New Roman" w:hAnsi="Times New Roman"/>
          <w:i/>
          <w:color w:val="000000"/>
          <w:szCs w:val="24"/>
        </w:rPr>
        <w:t xml:space="preserve"> x 12 </w:t>
      </w:r>
      <w:r>
        <w:rPr>
          <w:rFonts w:ascii="Times New Roman" w:hAnsi="Times New Roman"/>
          <w:i/>
          <w:color w:val="000000"/>
          <w:szCs w:val="24"/>
        </w:rPr>
        <w:t>M</w:t>
      </w:r>
      <w:r w:rsidRPr="00257D18">
        <w:rPr>
          <w:rFonts w:ascii="Times New Roman" w:hAnsi="Times New Roman"/>
          <w:i/>
          <w:color w:val="000000"/>
          <w:szCs w:val="24"/>
        </w:rPr>
        <w:t xml:space="preserve">onths in </w:t>
      </w:r>
      <w:r>
        <w:rPr>
          <w:rFonts w:ascii="Times New Roman" w:hAnsi="Times New Roman"/>
          <w:i/>
          <w:color w:val="000000"/>
          <w:szCs w:val="24"/>
        </w:rPr>
        <w:t>P</w:t>
      </w:r>
      <w:r w:rsidRPr="00257D18">
        <w:rPr>
          <w:rFonts w:ascii="Times New Roman" w:hAnsi="Times New Roman"/>
          <w:i/>
          <w:color w:val="000000"/>
          <w:szCs w:val="24"/>
        </w:rPr>
        <w:t xml:space="preserve">rogram </w:t>
      </w:r>
      <w:r>
        <w:rPr>
          <w:rFonts w:ascii="Times New Roman" w:hAnsi="Times New Roman"/>
          <w:i/>
          <w:color w:val="000000"/>
          <w:szCs w:val="24"/>
        </w:rPr>
        <w:t>Y</w:t>
      </w:r>
      <w:r w:rsidRPr="00257D18">
        <w:rPr>
          <w:rFonts w:ascii="Times New Roman" w:hAnsi="Times New Roman"/>
          <w:i/>
          <w:color w:val="000000"/>
          <w:szCs w:val="24"/>
        </w:rPr>
        <w:t xml:space="preserve">ear (PY) = </w:t>
      </w:r>
      <w:r>
        <w:rPr>
          <w:rFonts w:ascii="Times New Roman" w:hAnsi="Times New Roman"/>
          <w:i/>
          <w:color w:val="000000"/>
          <w:szCs w:val="24"/>
        </w:rPr>
        <w:t>5280 U</w:t>
      </w:r>
      <w:r w:rsidRPr="00257D18">
        <w:rPr>
          <w:rFonts w:ascii="Times New Roman" w:hAnsi="Times New Roman"/>
          <w:i/>
          <w:color w:val="000000"/>
          <w:szCs w:val="24"/>
        </w:rPr>
        <w:t xml:space="preserve">nit </w:t>
      </w:r>
      <w:r>
        <w:rPr>
          <w:rFonts w:ascii="Times New Roman" w:hAnsi="Times New Roman"/>
          <w:i/>
          <w:color w:val="000000"/>
          <w:szCs w:val="24"/>
        </w:rPr>
        <w:t>M</w:t>
      </w:r>
      <w:r w:rsidRPr="00257D18">
        <w:rPr>
          <w:rFonts w:ascii="Times New Roman" w:hAnsi="Times New Roman"/>
          <w:i/>
          <w:color w:val="000000"/>
          <w:szCs w:val="24"/>
        </w:rPr>
        <w:t>onths</w:t>
      </w:r>
    </w:p>
    <w:p w14:paraId="387121FF" w14:textId="77777777" w:rsidR="00EB7AEF" w:rsidRDefault="00EB7AEF" w:rsidP="00F12E02">
      <w:pPr>
        <w:numPr>
          <w:ilvl w:val="12"/>
          <w:numId w:val="0"/>
        </w:numPr>
        <w:ind w:left="1260" w:hanging="540"/>
        <w:rPr>
          <w:rFonts w:ascii="Times New Roman" w:hAnsi="Times New Roman"/>
          <w:i/>
          <w:color w:val="000000"/>
          <w:szCs w:val="24"/>
        </w:rPr>
      </w:pPr>
      <w:r w:rsidRPr="00257D18">
        <w:rPr>
          <w:rFonts w:ascii="Times New Roman" w:hAnsi="Times New Roman"/>
          <w:i/>
          <w:color w:val="000000"/>
          <w:szCs w:val="24"/>
        </w:rPr>
        <w:t>$76 (46% of AEL) x 5</w:t>
      </w:r>
      <w:r>
        <w:rPr>
          <w:rFonts w:ascii="Times New Roman" w:hAnsi="Times New Roman"/>
          <w:i/>
          <w:color w:val="000000"/>
          <w:szCs w:val="24"/>
        </w:rPr>
        <w:t>280</w:t>
      </w:r>
      <w:r w:rsidRPr="00257D18">
        <w:rPr>
          <w:rFonts w:ascii="Times New Roman" w:hAnsi="Times New Roman"/>
          <w:i/>
          <w:color w:val="000000"/>
          <w:szCs w:val="24"/>
        </w:rPr>
        <w:t xml:space="preserve"> </w:t>
      </w:r>
      <w:r>
        <w:rPr>
          <w:rFonts w:ascii="Times New Roman" w:hAnsi="Times New Roman"/>
          <w:i/>
          <w:color w:val="000000"/>
          <w:szCs w:val="24"/>
        </w:rPr>
        <w:t>U</w:t>
      </w:r>
      <w:r w:rsidRPr="00257D18">
        <w:rPr>
          <w:rFonts w:ascii="Times New Roman" w:hAnsi="Times New Roman"/>
          <w:i/>
          <w:color w:val="000000"/>
          <w:szCs w:val="24"/>
        </w:rPr>
        <w:t xml:space="preserve">nit </w:t>
      </w:r>
      <w:r>
        <w:rPr>
          <w:rFonts w:ascii="Times New Roman" w:hAnsi="Times New Roman"/>
          <w:i/>
          <w:color w:val="000000"/>
          <w:szCs w:val="24"/>
        </w:rPr>
        <w:t>M</w:t>
      </w:r>
      <w:r w:rsidRPr="00257D18">
        <w:rPr>
          <w:rFonts w:ascii="Times New Roman" w:hAnsi="Times New Roman"/>
          <w:i/>
          <w:color w:val="000000"/>
          <w:szCs w:val="24"/>
        </w:rPr>
        <w:t>onth</w:t>
      </w:r>
      <w:r>
        <w:rPr>
          <w:rFonts w:ascii="Times New Roman" w:hAnsi="Times New Roman"/>
          <w:i/>
          <w:color w:val="000000"/>
          <w:szCs w:val="24"/>
        </w:rPr>
        <w:t>s</w:t>
      </w:r>
      <w:r w:rsidRPr="00257D18">
        <w:rPr>
          <w:rFonts w:ascii="Times New Roman" w:hAnsi="Times New Roman"/>
          <w:i/>
          <w:color w:val="000000"/>
          <w:szCs w:val="24"/>
        </w:rPr>
        <w:t xml:space="preserve"> = </w:t>
      </w:r>
      <w:r w:rsidRPr="00F12E02">
        <w:rPr>
          <w:rFonts w:ascii="Times New Roman" w:hAnsi="Times New Roman"/>
          <w:i/>
          <w:color w:val="000000"/>
          <w:szCs w:val="24"/>
        </w:rPr>
        <w:t>$401,280</w:t>
      </w:r>
      <w:r w:rsidRPr="00257D18">
        <w:rPr>
          <w:rFonts w:ascii="Times New Roman" w:hAnsi="Times New Roman"/>
          <w:i/>
          <w:color w:val="000000"/>
          <w:szCs w:val="24"/>
        </w:rPr>
        <w:t xml:space="preserve"> </w:t>
      </w:r>
      <w:r>
        <w:rPr>
          <w:rFonts w:ascii="Times New Roman" w:hAnsi="Times New Roman"/>
          <w:i/>
          <w:color w:val="000000"/>
          <w:szCs w:val="24"/>
        </w:rPr>
        <w:t>A</w:t>
      </w:r>
      <w:r w:rsidRPr="00257D18">
        <w:rPr>
          <w:rFonts w:ascii="Times New Roman" w:hAnsi="Times New Roman"/>
          <w:i/>
          <w:color w:val="000000"/>
          <w:szCs w:val="24"/>
        </w:rPr>
        <w:t xml:space="preserve">nnual </w:t>
      </w:r>
      <w:r>
        <w:rPr>
          <w:rFonts w:ascii="Times New Roman" w:hAnsi="Times New Roman"/>
          <w:i/>
          <w:color w:val="000000"/>
          <w:szCs w:val="24"/>
        </w:rPr>
        <w:t>Rental Income E</w:t>
      </w:r>
      <w:r w:rsidRPr="00257D18">
        <w:rPr>
          <w:rFonts w:ascii="Times New Roman" w:hAnsi="Times New Roman"/>
          <w:i/>
          <w:color w:val="000000"/>
          <w:szCs w:val="24"/>
        </w:rPr>
        <w:t>xclusion for PY</w:t>
      </w:r>
    </w:p>
    <w:tbl>
      <w:tblPr>
        <w:tblStyle w:val="TableGrid"/>
        <w:tblW w:w="0" w:type="auto"/>
        <w:tblInd w:w="629" w:type="dxa"/>
        <w:tblLook w:val="04A0" w:firstRow="1" w:lastRow="0" w:firstColumn="1" w:lastColumn="0" w:noHBand="0" w:noVBand="1"/>
      </w:tblPr>
      <w:tblGrid>
        <w:gridCol w:w="2909"/>
        <w:gridCol w:w="2875"/>
        <w:gridCol w:w="2937"/>
      </w:tblGrid>
      <w:tr w:rsidR="00EB7AEF" w14:paraId="1E05C703" w14:textId="77777777" w:rsidTr="00232A6A">
        <w:tc>
          <w:tcPr>
            <w:tcW w:w="2909" w:type="dxa"/>
          </w:tcPr>
          <w:p w14:paraId="06C5CCCA"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Total Unit Months</w:t>
            </w:r>
          </w:p>
        </w:tc>
        <w:tc>
          <w:tcPr>
            <w:tcW w:w="2875" w:type="dxa"/>
          </w:tcPr>
          <w:p w14:paraId="6D4E0E6A"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46% of AEL</w:t>
            </w:r>
          </w:p>
        </w:tc>
        <w:tc>
          <w:tcPr>
            <w:tcW w:w="2937" w:type="dxa"/>
          </w:tcPr>
          <w:p w14:paraId="668BD8B7"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Rental Income Exclusion</w:t>
            </w:r>
          </w:p>
        </w:tc>
      </w:tr>
      <w:tr w:rsidR="00EB7AEF" w14:paraId="16B94473" w14:textId="77777777" w:rsidTr="00232A6A">
        <w:trPr>
          <w:trHeight w:val="305"/>
        </w:trPr>
        <w:tc>
          <w:tcPr>
            <w:tcW w:w="2909" w:type="dxa"/>
          </w:tcPr>
          <w:p w14:paraId="5EB09275"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5280</w:t>
            </w:r>
          </w:p>
        </w:tc>
        <w:tc>
          <w:tcPr>
            <w:tcW w:w="2875" w:type="dxa"/>
          </w:tcPr>
          <w:p w14:paraId="36EF8093"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$76</w:t>
            </w:r>
          </w:p>
        </w:tc>
        <w:tc>
          <w:tcPr>
            <w:tcW w:w="2937" w:type="dxa"/>
          </w:tcPr>
          <w:p w14:paraId="1D245ABA" w14:textId="77777777" w:rsidR="00EB7AEF" w:rsidRPr="00FD0FA2" w:rsidRDefault="00EB7AEF" w:rsidP="006549F2">
            <w:pPr>
              <w:numPr>
                <w:ilvl w:val="12"/>
                <w:numId w:val="0"/>
              </w:numPr>
              <w:overflowPunct/>
              <w:autoSpaceDE/>
              <w:autoSpaceDN/>
              <w:adjustRightInd/>
              <w:jc w:val="center"/>
              <w:textAlignment w:val="auto"/>
              <w:rPr>
                <w:rFonts w:eastAsiaTheme="minorHAnsi"/>
                <w:color w:val="000000"/>
                <w:szCs w:val="24"/>
              </w:rPr>
            </w:pPr>
            <w:r>
              <w:rPr>
                <w:rFonts w:eastAsiaTheme="minorHAnsi"/>
                <w:color w:val="000000"/>
                <w:szCs w:val="24"/>
              </w:rPr>
              <w:t>$401,280</w:t>
            </w:r>
          </w:p>
        </w:tc>
      </w:tr>
    </w:tbl>
    <w:p w14:paraId="5C83B010" w14:textId="7C8616EC" w:rsidR="00EB7AEF" w:rsidRDefault="00EB7AEF" w:rsidP="006549F2">
      <w:pPr>
        <w:numPr>
          <w:ilvl w:val="12"/>
          <w:numId w:val="0"/>
        </w:numPr>
        <w:spacing w:after="0" w:line="240" w:lineRule="auto"/>
        <w:ind w:left="720"/>
        <w:rPr>
          <w:rFonts w:ascii="Times New Roman" w:hAnsi="Times New Roman"/>
          <w:i/>
          <w:color w:val="000000"/>
          <w:szCs w:val="24"/>
        </w:rPr>
      </w:pPr>
      <w:r w:rsidRPr="00257D18">
        <w:rPr>
          <w:rFonts w:ascii="Times New Roman" w:hAnsi="Times New Roman"/>
          <w:b/>
          <w:i/>
          <w:color w:val="000000"/>
          <w:szCs w:val="24"/>
        </w:rPr>
        <w:t>$</w:t>
      </w:r>
      <w:r>
        <w:rPr>
          <w:rFonts w:ascii="Times New Roman" w:hAnsi="Times New Roman"/>
          <w:b/>
          <w:i/>
          <w:color w:val="000000"/>
          <w:szCs w:val="24"/>
        </w:rPr>
        <w:t>380,280</w:t>
      </w:r>
      <w:r w:rsidRPr="00257D18">
        <w:rPr>
          <w:rFonts w:ascii="Times New Roman" w:hAnsi="Times New Roman"/>
          <w:i/>
          <w:color w:val="000000"/>
          <w:szCs w:val="24"/>
        </w:rPr>
        <w:t xml:space="preserve"> Rental Income Collected - </w:t>
      </w:r>
      <w:r w:rsidRPr="00257D18">
        <w:rPr>
          <w:rFonts w:ascii="Times New Roman" w:hAnsi="Times New Roman"/>
          <w:b/>
          <w:i/>
          <w:color w:val="000000"/>
          <w:szCs w:val="24"/>
        </w:rPr>
        <w:t>$</w:t>
      </w:r>
      <w:r>
        <w:rPr>
          <w:rFonts w:ascii="Times New Roman" w:hAnsi="Times New Roman"/>
          <w:b/>
          <w:i/>
          <w:color w:val="000000"/>
          <w:szCs w:val="24"/>
        </w:rPr>
        <w:t>401,280</w:t>
      </w:r>
      <w:r w:rsidRPr="00257D18">
        <w:rPr>
          <w:rFonts w:ascii="Times New Roman" w:hAnsi="Times New Roman"/>
          <w:i/>
          <w:color w:val="000000"/>
          <w:szCs w:val="24"/>
        </w:rPr>
        <w:t xml:space="preserve"> PY Rental Income Exclusion = </w:t>
      </w:r>
      <w:r w:rsidRPr="00257D18">
        <w:rPr>
          <w:rFonts w:ascii="Times New Roman" w:hAnsi="Times New Roman"/>
          <w:b/>
          <w:i/>
          <w:color w:val="000000"/>
          <w:szCs w:val="24"/>
        </w:rPr>
        <w:t>$0</w:t>
      </w:r>
      <w:r w:rsidRPr="00257D18">
        <w:rPr>
          <w:rFonts w:ascii="Times New Roman" w:hAnsi="Times New Roman"/>
          <w:i/>
          <w:color w:val="000000"/>
          <w:szCs w:val="24"/>
        </w:rPr>
        <w:t xml:space="preserve"> Program Income Generated</w:t>
      </w:r>
    </w:p>
    <w:p w14:paraId="3F2A56C4" w14:textId="77777777" w:rsidR="00232A6A" w:rsidRPr="00257D18" w:rsidRDefault="00232A6A" w:rsidP="006549F2">
      <w:pPr>
        <w:numPr>
          <w:ilvl w:val="12"/>
          <w:numId w:val="0"/>
        </w:numPr>
        <w:spacing w:after="0" w:line="240" w:lineRule="auto"/>
        <w:ind w:left="720"/>
        <w:rPr>
          <w:rFonts w:ascii="Times New Roman" w:hAnsi="Times New Roman"/>
          <w:i/>
          <w:color w:val="000000"/>
          <w:szCs w:val="24"/>
        </w:rPr>
      </w:pPr>
    </w:p>
    <w:tbl>
      <w:tblPr>
        <w:tblStyle w:val="TableGrid1"/>
        <w:tblW w:w="8726" w:type="dxa"/>
        <w:tblInd w:w="648" w:type="dxa"/>
        <w:tblLook w:val="04A0" w:firstRow="1" w:lastRow="0" w:firstColumn="1" w:lastColumn="0" w:noHBand="0" w:noVBand="1"/>
      </w:tblPr>
      <w:tblGrid>
        <w:gridCol w:w="2160"/>
        <w:gridCol w:w="2160"/>
        <w:gridCol w:w="2160"/>
        <w:gridCol w:w="2246"/>
      </w:tblGrid>
      <w:tr w:rsidR="00EB7AEF" w:rsidRPr="00AD58E8" w14:paraId="029A8530" w14:textId="77777777" w:rsidTr="00C815ED">
        <w:tc>
          <w:tcPr>
            <w:tcW w:w="2160" w:type="dxa"/>
          </w:tcPr>
          <w:p w14:paraId="4306502C" w14:textId="77777777" w:rsidR="00EB7AEF" w:rsidRPr="00AD58E8" w:rsidRDefault="00EB7AEF" w:rsidP="006549F2">
            <w:pPr>
              <w:numPr>
                <w:ilvl w:val="12"/>
                <w:numId w:val="0"/>
              </w:numPr>
              <w:jc w:val="center"/>
              <w:rPr>
                <w:color w:val="000000"/>
                <w:szCs w:val="24"/>
              </w:rPr>
            </w:pPr>
            <w:r>
              <w:rPr>
                <w:color w:val="000000"/>
                <w:szCs w:val="24"/>
              </w:rPr>
              <w:t>FCAS Rent Collections</w:t>
            </w:r>
          </w:p>
        </w:tc>
        <w:tc>
          <w:tcPr>
            <w:tcW w:w="2160" w:type="dxa"/>
          </w:tcPr>
          <w:p w14:paraId="643E7336" w14:textId="77777777" w:rsidR="00EB7AEF" w:rsidRPr="00AD58E8" w:rsidRDefault="00EB7AEF" w:rsidP="006549F2">
            <w:pPr>
              <w:numPr>
                <w:ilvl w:val="12"/>
                <w:numId w:val="0"/>
              </w:numPr>
              <w:jc w:val="center"/>
              <w:rPr>
                <w:color w:val="000000"/>
                <w:szCs w:val="24"/>
              </w:rPr>
            </w:pPr>
            <w:r>
              <w:rPr>
                <w:color w:val="000000"/>
                <w:szCs w:val="24"/>
              </w:rPr>
              <w:t>Rental Income Exclusion</w:t>
            </w:r>
          </w:p>
        </w:tc>
        <w:tc>
          <w:tcPr>
            <w:tcW w:w="2160" w:type="dxa"/>
          </w:tcPr>
          <w:p w14:paraId="4AD6C68B" w14:textId="77777777" w:rsidR="00EB7AEF" w:rsidRPr="00AD58E8" w:rsidRDefault="00EB7AEF" w:rsidP="006549F2">
            <w:pPr>
              <w:numPr>
                <w:ilvl w:val="12"/>
                <w:numId w:val="0"/>
              </w:numPr>
              <w:jc w:val="center"/>
              <w:rPr>
                <w:color w:val="000000"/>
                <w:szCs w:val="24"/>
              </w:rPr>
            </w:pPr>
            <w:r>
              <w:rPr>
                <w:color w:val="000000"/>
                <w:szCs w:val="24"/>
              </w:rPr>
              <w:t xml:space="preserve">FCAS </w:t>
            </w:r>
            <w:r w:rsidRPr="00AD58E8">
              <w:rPr>
                <w:color w:val="000000"/>
                <w:szCs w:val="24"/>
              </w:rPr>
              <w:t>Program Income</w:t>
            </w:r>
          </w:p>
        </w:tc>
        <w:tc>
          <w:tcPr>
            <w:tcW w:w="2246" w:type="dxa"/>
          </w:tcPr>
          <w:p w14:paraId="2C8B99DD" w14:textId="77777777" w:rsidR="00EB7AEF" w:rsidRDefault="00EB7AEF" w:rsidP="006549F2">
            <w:pPr>
              <w:numPr>
                <w:ilvl w:val="12"/>
                <w:numId w:val="0"/>
              </w:numPr>
              <w:jc w:val="center"/>
              <w:rPr>
                <w:color w:val="000000"/>
                <w:szCs w:val="24"/>
              </w:rPr>
            </w:pPr>
            <w:r>
              <w:rPr>
                <w:color w:val="000000"/>
                <w:szCs w:val="24"/>
              </w:rPr>
              <w:t>FCAS Non-Program Income</w:t>
            </w:r>
          </w:p>
        </w:tc>
      </w:tr>
      <w:tr w:rsidR="00EB7AEF" w:rsidRPr="00AD58E8" w14:paraId="15ED63FC" w14:textId="77777777" w:rsidTr="00C815ED">
        <w:trPr>
          <w:trHeight w:val="422"/>
        </w:trPr>
        <w:tc>
          <w:tcPr>
            <w:tcW w:w="2160" w:type="dxa"/>
          </w:tcPr>
          <w:p w14:paraId="7CF42401" w14:textId="77777777" w:rsidR="00EB7AEF" w:rsidRDefault="00EB7AEF" w:rsidP="006549F2">
            <w:pPr>
              <w:numPr>
                <w:ilvl w:val="12"/>
                <w:numId w:val="0"/>
              </w:numPr>
              <w:jc w:val="center"/>
              <w:rPr>
                <w:color w:val="000000"/>
                <w:szCs w:val="24"/>
              </w:rPr>
            </w:pPr>
            <w:r>
              <w:rPr>
                <w:color w:val="000000"/>
                <w:szCs w:val="24"/>
              </w:rPr>
              <w:t>$380,280</w:t>
            </w:r>
          </w:p>
        </w:tc>
        <w:tc>
          <w:tcPr>
            <w:tcW w:w="2160" w:type="dxa"/>
          </w:tcPr>
          <w:p w14:paraId="3D162297" w14:textId="77777777" w:rsidR="00EB7AEF" w:rsidRDefault="00EB7AEF" w:rsidP="006549F2">
            <w:pPr>
              <w:numPr>
                <w:ilvl w:val="12"/>
                <w:numId w:val="0"/>
              </w:numPr>
              <w:jc w:val="center"/>
              <w:rPr>
                <w:color w:val="000000"/>
                <w:szCs w:val="24"/>
              </w:rPr>
            </w:pPr>
            <w:r>
              <w:rPr>
                <w:color w:val="000000"/>
                <w:szCs w:val="24"/>
              </w:rPr>
              <w:t>$401,280</w:t>
            </w:r>
          </w:p>
        </w:tc>
        <w:tc>
          <w:tcPr>
            <w:tcW w:w="2160" w:type="dxa"/>
          </w:tcPr>
          <w:p w14:paraId="1539DEBD" w14:textId="77777777" w:rsidR="00EB7AEF" w:rsidRDefault="00EB7AEF" w:rsidP="006549F2">
            <w:pPr>
              <w:numPr>
                <w:ilvl w:val="12"/>
                <w:numId w:val="0"/>
              </w:numPr>
              <w:jc w:val="center"/>
              <w:rPr>
                <w:color w:val="000000"/>
                <w:szCs w:val="24"/>
              </w:rPr>
            </w:pPr>
            <w:r>
              <w:rPr>
                <w:color w:val="000000"/>
                <w:szCs w:val="24"/>
              </w:rPr>
              <w:t>$0</w:t>
            </w:r>
          </w:p>
        </w:tc>
        <w:tc>
          <w:tcPr>
            <w:tcW w:w="2246" w:type="dxa"/>
          </w:tcPr>
          <w:p w14:paraId="6822B101" w14:textId="77777777" w:rsidR="00EB7AEF" w:rsidRDefault="00EB7AEF" w:rsidP="006549F2">
            <w:pPr>
              <w:numPr>
                <w:ilvl w:val="12"/>
                <w:numId w:val="0"/>
              </w:numPr>
              <w:jc w:val="center"/>
              <w:rPr>
                <w:color w:val="000000"/>
                <w:szCs w:val="24"/>
              </w:rPr>
            </w:pPr>
            <w:r>
              <w:rPr>
                <w:color w:val="000000"/>
                <w:szCs w:val="24"/>
              </w:rPr>
              <w:t>$380,280</w:t>
            </w:r>
          </w:p>
        </w:tc>
      </w:tr>
    </w:tbl>
    <w:p w14:paraId="508F4D76" w14:textId="77777777" w:rsidR="004357A4" w:rsidRPr="004357A4" w:rsidRDefault="004357A4" w:rsidP="00FE2A48">
      <w:pPr>
        <w:spacing w:after="0" w:line="240" w:lineRule="auto"/>
        <w:rPr>
          <w:sz w:val="24"/>
          <w:szCs w:val="24"/>
        </w:rPr>
      </w:pPr>
    </w:p>
    <w:sectPr w:rsidR="004357A4" w:rsidRPr="004357A4" w:rsidSect="006549F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FB77" w14:textId="77777777" w:rsidR="00BD3E54" w:rsidRDefault="00BD3E54" w:rsidP="004357A4">
      <w:pPr>
        <w:spacing w:after="0" w:line="240" w:lineRule="auto"/>
      </w:pPr>
      <w:r>
        <w:separator/>
      </w:r>
    </w:p>
  </w:endnote>
  <w:endnote w:type="continuationSeparator" w:id="0">
    <w:p w14:paraId="09F93BDC" w14:textId="77777777" w:rsidR="00BD3E54" w:rsidRDefault="00BD3E54" w:rsidP="0043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80074" w14:textId="77777777" w:rsidR="00BD3E54" w:rsidRDefault="00BD3E54" w:rsidP="004357A4">
      <w:pPr>
        <w:spacing w:after="0" w:line="240" w:lineRule="auto"/>
      </w:pPr>
      <w:r>
        <w:separator/>
      </w:r>
    </w:p>
  </w:footnote>
  <w:footnote w:type="continuationSeparator" w:id="0">
    <w:p w14:paraId="3C81763A" w14:textId="77777777" w:rsidR="00BD3E54" w:rsidRDefault="00BD3E54" w:rsidP="004357A4">
      <w:pPr>
        <w:spacing w:after="0" w:line="240" w:lineRule="auto"/>
      </w:pPr>
      <w:r>
        <w:continuationSeparator/>
      </w:r>
    </w:p>
  </w:footnote>
  <w:footnote w:id="1">
    <w:p w14:paraId="244FC8DD" w14:textId="77777777" w:rsidR="004357A4" w:rsidRDefault="004357A4" w:rsidP="004357A4">
      <w:pPr>
        <w:pStyle w:val="FootnoteText"/>
      </w:pPr>
      <w:r>
        <w:rPr>
          <w:rStyle w:val="FootnoteReference"/>
        </w:rPr>
        <w:footnoteRef/>
      </w:r>
      <w:r>
        <w:t xml:space="preserve"> Rehabilitation is commonly defined as work done on a unit that either appreciably increases the value of the property or extends its useful life.  For instance, replacing </w:t>
      </w:r>
      <w:proofErr w:type="gramStart"/>
      <w:r>
        <w:t>all of</w:t>
      </w:r>
      <w:proofErr w:type="gramEnd"/>
      <w:r>
        <w:t xml:space="preserve"> the windows on a dwelling unit would be considered rehabilitation while the replacement of one window may be considered maintenance.  Recipients are encouraged to adopt standards that clearly distinguish rehabilitation </w:t>
      </w:r>
      <w:r w:rsidR="007D2CC2">
        <w:t xml:space="preserve">or modernization </w:t>
      </w:r>
      <w:r>
        <w:t>work from maintenance.</w:t>
      </w:r>
      <w:r w:rsidR="00F851D8">
        <w:t xml:space="preserve">  See </w:t>
      </w:r>
      <w:r w:rsidR="00B03784">
        <w:t xml:space="preserve">Notice </w:t>
      </w:r>
      <w:r w:rsidR="00F851D8">
        <w:t xml:space="preserve">CPD </w:t>
      </w:r>
      <w:r w:rsidR="00B03784">
        <w:t>16-02</w:t>
      </w:r>
      <w:r w:rsidR="00F851D8">
        <w:t xml:space="preserve"> for additional information.  </w:t>
      </w:r>
      <w:r>
        <w:t xml:space="preserve"> </w:t>
      </w:r>
    </w:p>
  </w:footnote>
  <w:footnote w:id="2">
    <w:p w14:paraId="242D3928" w14:textId="4FAB02C6" w:rsidR="00536C03" w:rsidRDefault="00536C03">
      <w:pPr>
        <w:pStyle w:val="FootnoteText"/>
      </w:pPr>
      <w:r>
        <w:rPr>
          <w:rStyle w:val="FootnoteReference"/>
        </w:rPr>
        <w:footnoteRef/>
      </w:r>
      <w:r>
        <w:t xml:space="preserve"> MH administration </w:t>
      </w:r>
      <w:r w:rsidR="00055AC4">
        <w:t xml:space="preserve">fees </w:t>
      </w:r>
      <w:r>
        <w:t xml:space="preserve">are generally </w:t>
      </w:r>
      <w:r w:rsidR="00055AC4">
        <w:t xml:space="preserve">flat monthly charges that are applied toward insurance premiums and other overhead expenses incurred by the recipient to manage the MH program.  </w:t>
      </w:r>
    </w:p>
  </w:footnote>
  <w:footnote w:id="3">
    <w:p w14:paraId="23D993D7" w14:textId="77777777" w:rsidR="00EB7AEF" w:rsidRPr="00E354F2" w:rsidRDefault="00EB7AEF" w:rsidP="00EB7AEF">
      <w:pPr>
        <w:numPr>
          <w:ilvl w:val="12"/>
          <w:numId w:val="0"/>
        </w:numPr>
        <w:rPr>
          <w:rFonts w:ascii="Times New Roman" w:hAnsi="Times New Roman" w:cs="Times New Roman"/>
          <w:color w:val="000000"/>
          <w:spacing w:val="-2"/>
          <w:szCs w:val="24"/>
        </w:rPr>
      </w:pPr>
      <w:r w:rsidRPr="00E354F2">
        <w:rPr>
          <w:rStyle w:val="FootnoteReference"/>
          <w:rFonts w:ascii="Times New Roman" w:hAnsi="Times New Roman" w:cs="Times New Roman"/>
        </w:rPr>
        <w:footnoteRef/>
      </w:r>
      <w:r w:rsidRPr="00E354F2">
        <w:rPr>
          <w:rFonts w:ascii="Times New Roman" w:hAnsi="Times New Roman" w:cs="Times New Roman"/>
        </w:rPr>
        <w:t xml:space="preserve"> </w:t>
      </w:r>
      <w:r w:rsidRPr="00E354F2">
        <w:rPr>
          <w:rFonts w:ascii="Times New Roman" w:hAnsi="Times New Roman" w:cs="Times New Roman"/>
          <w:color w:val="000000"/>
          <w:spacing w:val="-2"/>
          <w:szCs w:val="24"/>
        </w:rPr>
        <w:t xml:space="preserve">This amount reflects </w:t>
      </w:r>
      <w:r w:rsidRPr="00E354F2">
        <w:rPr>
          <w:rFonts w:ascii="Times New Roman" w:hAnsi="Times New Roman" w:cs="Times New Roman"/>
          <w:color w:val="000000"/>
          <w:spacing w:val="-2"/>
          <w:szCs w:val="24"/>
          <w:u w:val="single"/>
        </w:rPr>
        <w:t>net collections</w:t>
      </w:r>
      <w:r w:rsidRPr="00E354F2">
        <w:rPr>
          <w:rFonts w:ascii="Times New Roman" w:hAnsi="Times New Roman" w:cs="Times New Roman"/>
          <w:color w:val="000000"/>
          <w:spacing w:val="-2"/>
          <w:szCs w:val="24"/>
        </w:rPr>
        <w:t>.  Rent used by the recipient to operate and/or maintain the units should have already been deducted.</w:t>
      </w:r>
    </w:p>
    <w:p w14:paraId="6D095281" w14:textId="77777777" w:rsidR="00EB7AEF" w:rsidRPr="00E354F2" w:rsidRDefault="00EB7AEF" w:rsidP="00EB7AEF">
      <w:pPr>
        <w:pStyle w:val="FootnoteText"/>
        <w:rPr>
          <w:rFonts w:ascii="Times New Roman" w:hAnsi="Times New Roman"/>
        </w:rPr>
      </w:pPr>
    </w:p>
  </w:footnote>
  <w:footnote w:id="4">
    <w:p w14:paraId="6C02FB0B" w14:textId="2567634B" w:rsidR="00EB7AEF" w:rsidRPr="00FE2A48" w:rsidRDefault="00EB7AEF" w:rsidP="00FE2A48">
      <w:pPr>
        <w:numPr>
          <w:ilvl w:val="12"/>
          <w:numId w:val="0"/>
        </w:numPr>
        <w:spacing w:after="200"/>
        <w:rPr>
          <w:rFonts w:ascii="Times New Roman" w:hAnsi="Times New Roman"/>
          <w:color w:val="000000"/>
          <w:spacing w:val="-2"/>
          <w:szCs w:val="24"/>
        </w:rPr>
      </w:pPr>
      <w:r w:rsidRPr="00E354F2">
        <w:rPr>
          <w:rStyle w:val="FootnoteReference"/>
          <w:rFonts w:ascii="Times New Roman" w:hAnsi="Times New Roman" w:cs="Times New Roman"/>
        </w:rPr>
        <w:footnoteRef/>
      </w:r>
      <w:r w:rsidRPr="00E354F2">
        <w:rPr>
          <w:rFonts w:ascii="Times New Roman" w:hAnsi="Times New Roman" w:cs="Times New Roman"/>
        </w:rPr>
        <w:t xml:space="preserve"> This amount m</w:t>
      </w:r>
      <w:r w:rsidRPr="00E354F2">
        <w:rPr>
          <w:rFonts w:ascii="Times New Roman" w:hAnsi="Times New Roman" w:cs="Times New Roman"/>
          <w:color w:val="000000"/>
          <w:spacing w:val="-2"/>
          <w:szCs w:val="24"/>
        </w:rPr>
        <w:t>ay convert to non-program income if program income from all sources for the PY does not exceed $25,000.</w:t>
      </w:r>
      <w:r w:rsidR="00055AC4" w:rsidRPr="00E354F2">
        <w:rPr>
          <w:rFonts w:ascii="Times New Roman" w:hAnsi="Times New Roman" w:cs="Times New Roman"/>
          <w:color w:val="000000"/>
          <w:spacing w:val="-2"/>
          <w:szCs w:val="24"/>
        </w:rPr>
        <w:t xml:space="preserve">  See the answer to Question 3 in Appendix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730995"/>
      <w:docPartObj>
        <w:docPartGallery w:val="Page Numbers (Top of Page)"/>
        <w:docPartUnique/>
      </w:docPartObj>
    </w:sdtPr>
    <w:sdtEndPr>
      <w:rPr>
        <w:noProof/>
      </w:rPr>
    </w:sdtEndPr>
    <w:sdtContent>
      <w:p w14:paraId="60A3D9BD" w14:textId="54719D6E" w:rsidR="006549F2" w:rsidRDefault="006549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7D26667" w14:textId="77777777" w:rsidR="006549F2" w:rsidRDefault="0065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70E89"/>
    <w:multiLevelType w:val="hybridMultilevel"/>
    <w:tmpl w:val="62747D5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start w:val="1"/>
      <w:numFmt w:val="bullet"/>
      <w:lvlText w:val="o"/>
      <w:lvlJc w:val="left"/>
      <w:pPr>
        <w:ind w:left="2700" w:hanging="360"/>
      </w:pPr>
      <w:rPr>
        <w:rFonts w:ascii="Courier New" w:hAnsi="Courier New" w:cs="Courier New" w:hint="default"/>
      </w:rPr>
    </w:lvl>
    <w:lvl w:ilvl="5" w:tplc="04090005">
      <w:start w:val="1"/>
      <w:numFmt w:val="bullet"/>
      <w:lvlText w:val=""/>
      <w:lvlJc w:val="left"/>
      <w:pPr>
        <w:ind w:left="3420" w:hanging="360"/>
      </w:pPr>
      <w:rPr>
        <w:rFonts w:ascii="Wingdings" w:hAnsi="Wingdings" w:hint="default"/>
      </w:rPr>
    </w:lvl>
    <w:lvl w:ilvl="6" w:tplc="04090001">
      <w:start w:val="1"/>
      <w:numFmt w:val="bullet"/>
      <w:lvlText w:val=""/>
      <w:lvlJc w:val="left"/>
      <w:pPr>
        <w:ind w:left="4140" w:hanging="360"/>
      </w:pPr>
      <w:rPr>
        <w:rFonts w:ascii="Symbol" w:hAnsi="Symbol" w:hint="default"/>
      </w:rPr>
    </w:lvl>
    <w:lvl w:ilvl="7" w:tplc="04090003">
      <w:start w:val="1"/>
      <w:numFmt w:val="bullet"/>
      <w:lvlText w:val="o"/>
      <w:lvlJc w:val="left"/>
      <w:pPr>
        <w:ind w:left="4860" w:hanging="360"/>
      </w:pPr>
      <w:rPr>
        <w:rFonts w:ascii="Courier New" w:hAnsi="Courier New" w:cs="Courier New" w:hint="default"/>
      </w:rPr>
    </w:lvl>
    <w:lvl w:ilvl="8" w:tplc="04090005">
      <w:start w:val="1"/>
      <w:numFmt w:val="bullet"/>
      <w:lvlText w:val=""/>
      <w:lvlJc w:val="left"/>
      <w:pPr>
        <w:ind w:left="5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A4"/>
    <w:rsid w:val="000145BC"/>
    <w:rsid w:val="00055AC4"/>
    <w:rsid w:val="00083695"/>
    <w:rsid w:val="0013329C"/>
    <w:rsid w:val="001B70D9"/>
    <w:rsid w:val="00216EC8"/>
    <w:rsid w:val="002328E6"/>
    <w:rsid w:val="00232A6A"/>
    <w:rsid w:val="002C2245"/>
    <w:rsid w:val="00392B60"/>
    <w:rsid w:val="003E2848"/>
    <w:rsid w:val="003F741B"/>
    <w:rsid w:val="00405005"/>
    <w:rsid w:val="00410BF2"/>
    <w:rsid w:val="004357A4"/>
    <w:rsid w:val="00524F2B"/>
    <w:rsid w:val="00536C03"/>
    <w:rsid w:val="005734BE"/>
    <w:rsid w:val="006549F2"/>
    <w:rsid w:val="006D69A5"/>
    <w:rsid w:val="007411DC"/>
    <w:rsid w:val="00752473"/>
    <w:rsid w:val="007D2CC2"/>
    <w:rsid w:val="00851EC7"/>
    <w:rsid w:val="00915E2B"/>
    <w:rsid w:val="009B00D9"/>
    <w:rsid w:val="00A55156"/>
    <w:rsid w:val="00B03784"/>
    <w:rsid w:val="00BD06DE"/>
    <w:rsid w:val="00BD3E54"/>
    <w:rsid w:val="00CB6532"/>
    <w:rsid w:val="00D1208D"/>
    <w:rsid w:val="00DB623A"/>
    <w:rsid w:val="00DD1B2F"/>
    <w:rsid w:val="00DE4161"/>
    <w:rsid w:val="00E03A34"/>
    <w:rsid w:val="00E354F2"/>
    <w:rsid w:val="00EA4432"/>
    <w:rsid w:val="00EB7AEF"/>
    <w:rsid w:val="00EE0202"/>
    <w:rsid w:val="00F12E02"/>
    <w:rsid w:val="00F851D8"/>
    <w:rsid w:val="00F903F6"/>
    <w:rsid w:val="00FA7323"/>
    <w:rsid w:val="00FE2A48"/>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3B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A4"/>
    <w:pPr>
      <w:overflowPunct w:val="0"/>
      <w:autoSpaceDE w:val="0"/>
      <w:autoSpaceDN w:val="0"/>
      <w:adjustRightInd w:val="0"/>
      <w:spacing w:after="0" w:line="240" w:lineRule="auto"/>
      <w:ind w:left="720"/>
      <w:contextualSpacing/>
      <w:textAlignment w:val="baseline"/>
    </w:pPr>
    <w:rPr>
      <w:rFonts w:ascii="CG Times (W1)" w:eastAsia="Times New Roman" w:hAnsi="CG Times (W1)" w:cs="Times New Roman"/>
      <w:sz w:val="24"/>
      <w:szCs w:val="20"/>
    </w:rPr>
  </w:style>
  <w:style w:type="paragraph" w:styleId="FootnoteText">
    <w:name w:val="footnote text"/>
    <w:basedOn w:val="Normal"/>
    <w:link w:val="FootnoteTextChar"/>
    <w:rsid w:val="004357A4"/>
    <w:pPr>
      <w:overflowPunct w:val="0"/>
      <w:autoSpaceDE w:val="0"/>
      <w:autoSpaceDN w:val="0"/>
      <w:adjustRightInd w:val="0"/>
      <w:spacing w:after="0" w:line="240" w:lineRule="auto"/>
      <w:textAlignment w:val="baseline"/>
    </w:pPr>
    <w:rPr>
      <w:rFonts w:ascii="CG Times (W1)" w:eastAsia="Times New Roman" w:hAnsi="CG Times (W1)" w:cs="Times New Roman"/>
      <w:sz w:val="20"/>
      <w:szCs w:val="20"/>
    </w:rPr>
  </w:style>
  <w:style w:type="character" w:customStyle="1" w:styleId="FootnoteTextChar">
    <w:name w:val="Footnote Text Char"/>
    <w:basedOn w:val="DefaultParagraphFont"/>
    <w:link w:val="FootnoteText"/>
    <w:rsid w:val="004357A4"/>
    <w:rPr>
      <w:rFonts w:ascii="CG Times (W1)" w:eastAsia="Times New Roman" w:hAnsi="CG Times (W1)" w:cs="Times New Roman"/>
      <w:sz w:val="20"/>
      <w:szCs w:val="20"/>
    </w:rPr>
  </w:style>
  <w:style w:type="character" w:styleId="FootnoteReference">
    <w:name w:val="footnote reference"/>
    <w:basedOn w:val="DefaultParagraphFont"/>
    <w:rsid w:val="004357A4"/>
    <w:rPr>
      <w:vertAlign w:val="superscript"/>
    </w:rPr>
  </w:style>
  <w:style w:type="table" w:styleId="TableGrid">
    <w:name w:val="Table Grid"/>
    <w:basedOn w:val="TableNormal"/>
    <w:rsid w:val="00EB7A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B7A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3A34"/>
    <w:rPr>
      <w:sz w:val="16"/>
      <w:szCs w:val="16"/>
    </w:rPr>
  </w:style>
  <w:style w:type="paragraph" w:styleId="CommentText">
    <w:name w:val="annotation text"/>
    <w:basedOn w:val="Normal"/>
    <w:link w:val="CommentTextChar"/>
    <w:uiPriority w:val="99"/>
    <w:semiHidden/>
    <w:unhideWhenUsed/>
    <w:rsid w:val="00E03A34"/>
    <w:pPr>
      <w:spacing w:line="240" w:lineRule="auto"/>
    </w:pPr>
    <w:rPr>
      <w:sz w:val="20"/>
      <w:szCs w:val="20"/>
    </w:rPr>
  </w:style>
  <w:style w:type="character" w:customStyle="1" w:styleId="CommentTextChar">
    <w:name w:val="Comment Text Char"/>
    <w:basedOn w:val="DefaultParagraphFont"/>
    <w:link w:val="CommentText"/>
    <w:uiPriority w:val="99"/>
    <w:semiHidden/>
    <w:rsid w:val="00E03A34"/>
    <w:rPr>
      <w:sz w:val="20"/>
      <w:szCs w:val="20"/>
    </w:rPr>
  </w:style>
  <w:style w:type="paragraph" w:styleId="CommentSubject">
    <w:name w:val="annotation subject"/>
    <w:basedOn w:val="CommentText"/>
    <w:next w:val="CommentText"/>
    <w:link w:val="CommentSubjectChar"/>
    <w:uiPriority w:val="99"/>
    <w:semiHidden/>
    <w:unhideWhenUsed/>
    <w:rsid w:val="00E03A34"/>
    <w:rPr>
      <w:b/>
      <w:bCs/>
    </w:rPr>
  </w:style>
  <w:style w:type="character" w:customStyle="1" w:styleId="CommentSubjectChar">
    <w:name w:val="Comment Subject Char"/>
    <w:basedOn w:val="CommentTextChar"/>
    <w:link w:val="CommentSubject"/>
    <w:uiPriority w:val="99"/>
    <w:semiHidden/>
    <w:rsid w:val="00E03A34"/>
    <w:rPr>
      <w:b/>
      <w:bCs/>
      <w:sz w:val="20"/>
      <w:szCs w:val="20"/>
    </w:rPr>
  </w:style>
  <w:style w:type="paragraph" w:styleId="BalloonText">
    <w:name w:val="Balloon Text"/>
    <w:basedOn w:val="Normal"/>
    <w:link w:val="BalloonTextChar"/>
    <w:uiPriority w:val="99"/>
    <w:semiHidden/>
    <w:unhideWhenUsed/>
    <w:rsid w:val="00E03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34"/>
    <w:rPr>
      <w:rFonts w:ascii="Segoe UI" w:hAnsi="Segoe UI" w:cs="Segoe UI"/>
      <w:sz w:val="18"/>
      <w:szCs w:val="18"/>
    </w:rPr>
  </w:style>
  <w:style w:type="paragraph" w:styleId="Header">
    <w:name w:val="header"/>
    <w:basedOn w:val="Normal"/>
    <w:link w:val="HeaderChar"/>
    <w:uiPriority w:val="99"/>
    <w:unhideWhenUsed/>
    <w:rsid w:val="00654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9F2"/>
  </w:style>
  <w:style w:type="paragraph" w:styleId="Footer">
    <w:name w:val="footer"/>
    <w:basedOn w:val="Normal"/>
    <w:link w:val="FooterChar"/>
    <w:uiPriority w:val="99"/>
    <w:unhideWhenUsed/>
    <w:rsid w:val="00654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95DA-2EB7-4D8A-9241-F85B90FB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6760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2019-04-17T20:16:00Z</dcterms:created>
  <dcterms:modified xsi:type="dcterms:W3CDTF">2019-04-17T20:16:00Z</dcterms:modified>
</cp:coreProperties>
</file>