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77B7A" w14:textId="77777777" w:rsidR="002B346D" w:rsidRPr="008D2E11" w:rsidRDefault="002F4CAF" w:rsidP="002B34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For </w:t>
      </w:r>
      <w:r w:rsidR="002B346D" w:rsidRPr="008D2E11">
        <w:rPr>
          <w:b/>
          <w:sz w:val="28"/>
          <w:szCs w:val="28"/>
        </w:rPr>
        <w:t>Public Housing Operating Fund</w:t>
      </w:r>
    </w:p>
    <w:p w14:paraId="26C961F6" w14:textId="1BD191F0" w:rsidR="009477F6" w:rsidRPr="00364F38" w:rsidRDefault="00364F38" w:rsidP="00C8389B">
      <w:pPr>
        <w:jc w:val="center"/>
        <w:rPr>
          <w:sz w:val="23"/>
          <w:szCs w:val="23"/>
        </w:rPr>
      </w:pPr>
      <w:r>
        <w:rPr>
          <w:b/>
          <w:bCs/>
          <w:sz w:val="28"/>
          <w:szCs w:val="28"/>
        </w:rPr>
        <w:t xml:space="preserve">Explanation of </w:t>
      </w:r>
      <w:r w:rsidR="00594B5E">
        <w:rPr>
          <w:b/>
          <w:bCs/>
          <w:sz w:val="28"/>
          <w:szCs w:val="28"/>
        </w:rPr>
        <w:t>Calendar</w:t>
      </w:r>
      <w:r w:rsidR="00030966">
        <w:rPr>
          <w:b/>
          <w:bCs/>
          <w:sz w:val="28"/>
          <w:szCs w:val="28"/>
        </w:rPr>
        <w:t xml:space="preserve"> Year (</w:t>
      </w:r>
      <w:r>
        <w:rPr>
          <w:b/>
          <w:bCs/>
          <w:sz w:val="28"/>
          <w:szCs w:val="28"/>
        </w:rPr>
        <w:t>CY</w:t>
      </w:r>
      <w:r w:rsidR="00030966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20</w:t>
      </w:r>
      <w:r w:rsidR="008D44C1">
        <w:rPr>
          <w:b/>
          <w:bCs/>
          <w:sz w:val="28"/>
          <w:szCs w:val="28"/>
        </w:rPr>
        <w:t>21</w:t>
      </w:r>
      <w:r w:rsidR="00E0101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Obligation</w:t>
      </w:r>
      <w:r w:rsidR="009C123C">
        <w:rPr>
          <w:b/>
          <w:bCs/>
          <w:sz w:val="28"/>
          <w:szCs w:val="28"/>
        </w:rPr>
        <w:t>s</w:t>
      </w:r>
      <w:r w:rsidR="00BE70EF">
        <w:rPr>
          <w:b/>
          <w:bCs/>
          <w:sz w:val="28"/>
          <w:szCs w:val="28"/>
        </w:rPr>
        <w:t xml:space="preserve"> </w:t>
      </w:r>
      <w:r w:rsidR="00C8389B">
        <w:rPr>
          <w:b/>
          <w:bCs/>
          <w:sz w:val="28"/>
          <w:szCs w:val="28"/>
        </w:rPr>
        <w:t>July</w:t>
      </w:r>
    </w:p>
    <w:p w14:paraId="16BFD6C3" w14:textId="77777777" w:rsidR="00E445F2" w:rsidRDefault="00E445F2" w:rsidP="00364F38">
      <w:pPr>
        <w:rPr>
          <w:sz w:val="23"/>
          <w:szCs w:val="23"/>
        </w:rPr>
      </w:pPr>
    </w:p>
    <w:p w14:paraId="589EB9C0" w14:textId="75166871" w:rsidR="00444200" w:rsidRDefault="0075295C" w:rsidP="00364F38">
      <w:pPr>
        <w:rPr>
          <w:b/>
          <w:u w:val="single"/>
        </w:rPr>
      </w:pPr>
      <w:r w:rsidRPr="0075295C">
        <w:rPr>
          <w:b/>
          <w:u w:val="single"/>
        </w:rPr>
        <w:t>Interim Projec</w:t>
      </w:r>
      <w:r w:rsidR="001E04B5">
        <w:rPr>
          <w:b/>
          <w:u w:val="single"/>
        </w:rPr>
        <w:t>t Eligibility Levels for CY 20</w:t>
      </w:r>
      <w:r w:rsidR="00D465D1">
        <w:rPr>
          <w:b/>
          <w:u w:val="single"/>
        </w:rPr>
        <w:t>21</w:t>
      </w:r>
    </w:p>
    <w:p w14:paraId="5C48DC75" w14:textId="77777777" w:rsidR="0075295C" w:rsidRPr="00594B5E" w:rsidRDefault="0075295C" w:rsidP="00364F38"/>
    <w:p w14:paraId="5A8160F3" w14:textId="29F6F454" w:rsidR="00460ACC" w:rsidRDefault="0075295C" w:rsidP="00364F38">
      <w:r>
        <w:t xml:space="preserve">The Department </w:t>
      </w:r>
      <w:r w:rsidR="00325E1D">
        <w:t xml:space="preserve">is in the process of </w:t>
      </w:r>
      <w:r>
        <w:t>obligat</w:t>
      </w:r>
      <w:r w:rsidR="00325E1D">
        <w:t>ing</w:t>
      </w:r>
      <w:r>
        <w:t xml:space="preserve"> Operating Fund </w:t>
      </w:r>
      <w:r w:rsidR="23EE4908">
        <w:t>grants</w:t>
      </w:r>
      <w:r>
        <w:t xml:space="preserve"> for the month of</w:t>
      </w:r>
      <w:r w:rsidR="008D44C1">
        <w:t xml:space="preserve"> </w:t>
      </w:r>
      <w:r w:rsidR="00C8389B">
        <w:t>July</w:t>
      </w:r>
      <w:r w:rsidR="008D44C1">
        <w:t xml:space="preserve"> 2021</w:t>
      </w:r>
      <w:r>
        <w:t xml:space="preserve">, in accordance with the information below.  </w:t>
      </w:r>
      <w:r w:rsidR="00C8389B">
        <w:t>July</w:t>
      </w:r>
      <w:r>
        <w:t xml:space="preserve"> obligation</w:t>
      </w:r>
      <w:r w:rsidR="009E205F">
        <w:t>s</w:t>
      </w:r>
      <w:r>
        <w:t xml:space="preserve"> are based on the </w:t>
      </w:r>
      <w:r w:rsidR="00973210">
        <w:t xml:space="preserve">interim </w:t>
      </w:r>
      <w:r>
        <w:t>eligibility determined after processing the 20</w:t>
      </w:r>
      <w:r w:rsidR="008D44C1">
        <w:t>21</w:t>
      </w:r>
      <w:r>
        <w:t xml:space="preserve"> Operating Subsidy forms. </w:t>
      </w:r>
      <w:r w:rsidR="67073244">
        <w:t>T</w:t>
      </w:r>
      <w:r w:rsidR="0AFA981F">
        <w:t xml:space="preserve">he July interim </w:t>
      </w:r>
      <w:r w:rsidR="67073244">
        <w:t xml:space="preserve">eligibility </w:t>
      </w:r>
      <w:r w:rsidR="6CE78EB7">
        <w:t xml:space="preserve">used for this funding </w:t>
      </w:r>
      <w:r w:rsidR="67073244">
        <w:t xml:space="preserve">will not include eligibility changes made as part of the recently concluded Quality Control process. </w:t>
      </w:r>
      <w:r w:rsidR="51889128">
        <w:t xml:space="preserve">Those changes will be reflected in the August funding. </w:t>
      </w:r>
      <w:r w:rsidR="00D439CE">
        <w:t>All Operating Subsidy obligations are cumulative</w:t>
      </w:r>
      <w:r w:rsidR="008333BC">
        <w:t xml:space="preserve">, meaning that public housing projects are </w:t>
      </w:r>
      <w:r w:rsidR="00DA438B">
        <w:t>provided</w:t>
      </w:r>
      <w:r w:rsidR="008333BC">
        <w:t xml:space="preserve"> funding in the amount of </w:t>
      </w:r>
      <w:r w:rsidR="00C8389B">
        <w:t>seven</w:t>
      </w:r>
      <w:r w:rsidR="008333BC">
        <w:t xml:space="preserve"> twelfths of prorated eligibility</w:t>
      </w:r>
      <w:r w:rsidR="00D439CE">
        <w:t xml:space="preserve">.  </w:t>
      </w:r>
      <w:r>
        <w:t xml:space="preserve">This round of funding is expected to be available in eLOCCS not later than </w:t>
      </w:r>
      <w:r w:rsidR="00C8389B">
        <w:t>July</w:t>
      </w:r>
      <w:r>
        <w:t xml:space="preserve"> 1, 20</w:t>
      </w:r>
      <w:r w:rsidR="008D44C1">
        <w:t>21</w:t>
      </w:r>
      <w:r>
        <w:t xml:space="preserve">.  The next round of funding is expected to be made available in eLOCCS no later than </w:t>
      </w:r>
      <w:r w:rsidR="00C8389B">
        <w:t>August</w:t>
      </w:r>
      <w:r w:rsidR="009C11F0">
        <w:t xml:space="preserve"> </w:t>
      </w:r>
      <w:r>
        <w:t xml:space="preserve">1, </w:t>
      </w:r>
      <w:r w:rsidR="008D44C1">
        <w:t>2021</w:t>
      </w:r>
      <w:r>
        <w:t>.</w:t>
      </w:r>
      <w:r w:rsidR="00D439CE">
        <w:t xml:space="preserve">  </w:t>
      </w:r>
      <w:r w:rsidR="006804FA">
        <w:t>Obligation Letters and project level Detailed Calculation Reports will be available on the FMD website for 20</w:t>
      </w:r>
      <w:r w:rsidR="008D44C1">
        <w:t>21</w:t>
      </w:r>
      <w:r w:rsidR="006804FA">
        <w:t xml:space="preserve">: </w:t>
      </w:r>
      <w:hyperlink r:id="rId11">
        <w:r w:rsidR="008D44C1" w:rsidRPr="17E55DD0">
          <w:rPr>
            <w:rStyle w:val="Hyperlink"/>
          </w:rPr>
          <w:t>https://www.hud.gov/program_offices/public_indian_housing/programs/ph/am/opfnd2021</w:t>
        </w:r>
      </w:hyperlink>
      <w:r w:rsidR="008D44C1">
        <w:t xml:space="preserve"> </w:t>
      </w:r>
    </w:p>
    <w:p w14:paraId="425EA479" w14:textId="77777777" w:rsidR="008D44C1" w:rsidRDefault="008D44C1" w:rsidP="00364F38">
      <w:pPr>
        <w:rPr>
          <w:sz w:val="23"/>
          <w:szCs w:val="23"/>
        </w:rPr>
      </w:pPr>
    </w:p>
    <w:p w14:paraId="30713FFE" w14:textId="0C222CAC" w:rsidR="00364F38" w:rsidRPr="00594B5E" w:rsidRDefault="00D2560F" w:rsidP="00364F38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Interim </w:t>
      </w:r>
      <w:r w:rsidR="00495F9D" w:rsidRPr="00594B5E">
        <w:rPr>
          <w:b/>
          <w:bCs/>
          <w:u w:val="single"/>
        </w:rPr>
        <w:t xml:space="preserve">Proration Levels for CY </w:t>
      </w:r>
      <w:r w:rsidR="00F3710B" w:rsidRPr="00594B5E">
        <w:rPr>
          <w:b/>
          <w:bCs/>
          <w:u w:val="single"/>
        </w:rPr>
        <w:t>20</w:t>
      </w:r>
      <w:r w:rsidR="00D465D1">
        <w:rPr>
          <w:b/>
          <w:bCs/>
          <w:u w:val="single"/>
        </w:rPr>
        <w:t>21</w:t>
      </w:r>
      <w:r w:rsidR="00F3710B">
        <w:rPr>
          <w:b/>
          <w:bCs/>
          <w:u w:val="single"/>
        </w:rPr>
        <w:t xml:space="preserve"> </w:t>
      </w:r>
      <w:r w:rsidR="003F67F2">
        <w:rPr>
          <w:b/>
          <w:bCs/>
          <w:u w:val="single"/>
        </w:rPr>
        <w:t xml:space="preserve">using an </w:t>
      </w:r>
      <w:r w:rsidR="0075295C">
        <w:rPr>
          <w:b/>
          <w:bCs/>
          <w:u w:val="single"/>
        </w:rPr>
        <w:t>Interim</w:t>
      </w:r>
      <w:r w:rsidR="003F67F2">
        <w:rPr>
          <w:b/>
          <w:bCs/>
          <w:u w:val="single"/>
        </w:rPr>
        <w:t xml:space="preserve"> Eligibility</w:t>
      </w:r>
    </w:p>
    <w:p w14:paraId="03B0B477" w14:textId="77777777" w:rsidR="00E75D7D" w:rsidRPr="00594B5E" w:rsidRDefault="00E75D7D" w:rsidP="00364F38"/>
    <w:p w14:paraId="2D07EDC2" w14:textId="03200CFE" w:rsidR="00D439CE" w:rsidRDefault="2B2852CA" w:rsidP="00D439CE">
      <w:pPr>
        <w:spacing w:after="120"/>
        <w:rPr>
          <w:sz w:val="23"/>
          <w:szCs w:val="23"/>
        </w:rPr>
      </w:pPr>
      <w:r w:rsidRPr="2E7DDA45">
        <w:rPr>
          <w:sz w:val="23"/>
          <w:szCs w:val="23"/>
        </w:rPr>
        <w:t>The Department undertakes a conservative methodology in determining proration levels prior to a</w:t>
      </w:r>
      <w:r w:rsidR="018DEC59" w:rsidRPr="2E7DDA45">
        <w:rPr>
          <w:sz w:val="23"/>
          <w:szCs w:val="23"/>
        </w:rPr>
        <w:t xml:space="preserve"> determination of final eligibility.</w:t>
      </w:r>
      <w:r w:rsidRPr="2E7DDA45">
        <w:rPr>
          <w:sz w:val="23"/>
          <w:szCs w:val="23"/>
        </w:rPr>
        <w:t xml:space="preserve"> For the </w:t>
      </w:r>
      <w:r w:rsidR="1D1F718E" w:rsidRPr="2E7DDA45">
        <w:rPr>
          <w:sz w:val="23"/>
          <w:szCs w:val="23"/>
        </w:rPr>
        <w:t>one</w:t>
      </w:r>
      <w:r w:rsidR="1454E0FB" w:rsidRPr="2E7DDA45">
        <w:rPr>
          <w:sz w:val="23"/>
          <w:szCs w:val="23"/>
        </w:rPr>
        <w:t xml:space="preserve"> months of</w:t>
      </w:r>
      <w:r w:rsidRPr="2E7DDA45">
        <w:rPr>
          <w:sz w:val="23"/>
          <w:szCs w:val="23"/>
        </w:rPr>
        <w:t xml:space="preserve"> funding, the Department considered 20</w:t>
      </w:r>
      <w:r w:rsidR="62A67ED3" w:rsidRPr="2E7DDA45">
        <w:rPr>
          <w:sz w:val="23"/>
          <w:szCs w:val="23"/>
        </w:rPr>
        <w:t>21</w:t>
      </w:r>
      <w:r w:rsidRPr="2E7DDA45">
        <w:rPr>
          <w:sz w:val="23"/>
          <w:szCs w:val="23"/>
        </w:rPr>
        <w:t xml:space="preserve"> in</w:t>
      </w:r>
      <w:r w:rsidR="1C1F4C6D" w:rsidRPr="2E7DDA45">
        <w:rPr>
          <w:sz w:val="23"/>
          <w:szCs w:val="23"/>
        </w:rPr>
        <w:t>terim</w:t>
      </w:r>
      <w:r w:rsidRPr="2E7DDA45">
        <w:rPr>
          <w:sz w:val="23"/>
          <w:szCs w:val="23"/>
        </w:rPr>
        <w:t xml:space="preserve"> eligibility to provide for an interim proration level of approximately </w:t>
      </w:r>
      <w:r w:rsidR="4FE3C3D4" w:rsidRPr="2E7DDA45">
        <w:rPr>
          <w:sz w:val="23"/>
          <w:szCs w:val="23"/>
        </w:rPr>
        <w:t>9</w:t>
      </w:r>
      <w:r w:rsidR="62A67ED3" w:rsidRPr="2E7DDA45">
        <w:rPr>
          <w:sz w:val="23"/>
          <w:szCs w:val="23"/>
        </w:rPr>
        <w:t>6</w:t>
      </w:r>
      <w:r w:rsidR="1C1F4C6D" w:rsidRPr="2E7DDA45">
        <w:rPr>
          <w:sz w:val="23"/>
          <w:szCs w:val="23"/>
        </w:rPr>
        <w:t>.</w:t>
      </w:r>
      <w:r w:rsidR="1D1F718E" w:rsidRPr="2E7DDA45">
        <w:rPr>
          <w:sz w:val="23"/>
          <w:szCs w:val="23"/>
        </w:rPr>
        <w:t>13</w:t>
      </w:r>
      <w:r w:rsidRPr="2E7DDA45">
        <w:rPr>
          <w:sz w:val="23"/>
          <w:szCs w:val="23"/>
        </w:rPr>
        <w:t xml:space="preserve">%. The final proration will reflect the difference in the amount of the actual eligibility for final approved PHA subsidy requests and the Appropriation </w:t>
      </w:r>
      <w:r w:rsidR="59106846" w:rsidRPr="2E7DDA45">
        <w:rPr>
          <w:sz w:val="23"/>
          <w:szCs w:val="23"/>
        </w:rPr>
        <w:t>Act</w:t>
      </w:r>
      <w:r w:rsidRPr="2E7DDA45">
        <w:rPr>
          <w:sz w:val="23"/>
          <w:szCs w:val="23"/>
        </w:rPr>
        <w:t>.</w:t>
      </w:r>
    </w:p>
    <w:p w14:paraId="120EFE30" w14:textId="57C73C0B" w:rsidR="0036220B" w:rsidRDefault="0036220B" w:rsidP="00D439CE">
      <w:pPr>
        <w:spacing w:after="120"/>
        <w:rPr>
          <w:sz w:val="23"/>
          <w:szCs w:val="23"/>
        </w:rPr>
      </w:pPr>
    </w:p>
    <w:tbl>
      <w:tblPr>
        <w:tblW w:w="8660" w:type="dxa"/>
        <w:tblLook w:val="04A0" w:firstRow="1" w:lastRow="0" w:firstColumn="1" w:lastColumn="0" w:noHBand="0" w:noVBand="1"/>
      </w:tblPr>
      <w:tblGrid>
        <w:gridCol w:w="920"/>
        <w:gridCol w:w="4660"/>
        <w:gridCol w:w="3080"/>
      </w:tblGrid>
      <w:tr w:rsidR="00D179BF" w14:paraId="2B951B3E" w14:textId="77777777" w:rsidTr="17E55DD0">
        <w:trPr>
          <w:trHeight w:val="315"/>
        </w:trPr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6D2AF20" w14:textId="5BC5B1E3" w:rsidR="00D179BF" w:rsidRDefault="00D179B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CY 20</w:t>
            </w:r>
            <w:r w:rsidR="008D44C1">
              <w:rPr>
                <w:rFonts w:ascii="Calibri" w:hAnsi="Calibri" w:cs="Calibri"/>
                <w:b/>
                <w:bCs/>
              </w:rPr>
              <w:t>21</w:t>
            </w:r>
            <w:r>
              <w:rPr>
                <w:rFonts w:ascii="Calibri" w:hAnsi="Calibri" w:cs="Calibri"/>
                <w:b/>
                <w:bCs/>
              </w:rPr>
              <w:t xml:space="preserve"> Interim Proration Calculation</w:t>
            </w:r>
            <w:r w:rsidR="00D738CB">
              <w:rPr>
                <w:rFonts w:ascii="Calibri" w:hAnsi="Calibri" w:cs="Calibri"/>
                <w:b/>
                <w:bCs/>
              </w:rPr>
              <w:t xml:space="preserve"> for </w:t>
            </w:r>
            <w:r w:rsidR="00C8389B">
              <w:rPr>
                <w:rFonts w:ascii="Calibri" w:hAnsi="Calibri" w:cs="Calibri"/>
                <w:b/>
                <w:bCs/>
              </w:rPr>
              <w:t>July</w:t>
            </w:r>
          </w:p>
        </w:tc>
      </w:tr>
      <w:tr w:rsidR="00D179BF" w14:paraId="18372EF2" w14:textId="77777777" w:rsidTr="17E55DD0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1242F158" w14:textId="77777777" w:rsidR="00D179BF" w:rsidRDefault="00D179B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#  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2D316BF3" w14:textId="77777777" w:rsidR="00D179BF" w:rsidRDefault="00D179B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5C071ED8" w14:textId="77777777" w:rsidR="00D179BF" w:rsidRDefault="00D179B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Amount</w:t>
            </w:r>
          </w:p>
        </w:tc>
      </w:tr>
      <w:tr w:rsidR="00D179BF" w14:paraId="2B609A1D" w14:textId="77777777" w:rsidTr="17E55DD0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B1AA" w14:textId="77777777" w:rsidR="00D179BF" w:rsidRDefault="00D179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7FA1" w14:textId="0D2FA3D1" w:rsidR="00D179BF" w:rsidRDefault="00D179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CY 20</w:t>
            </w:r>
            <w:r w:rsidR="008D44C1">
              <w:rPr>
                <w:rFonts w:ascii="Calibri" w:hAnsi="Calibri" w:cs="Calibri"/>
                <w:sz w:val="20"/>
                <w:szCs w:val="20"/>
              </w:rPr>
              <w:t>21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Appropriation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1828" w14:textId="0D8BA0D2" w:rsidR="00D179BF" w:rsidRPr="008D44C1" w:rsidRDefault="00D179B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4C1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8D44C1" w:rsidRPr="008D44C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8D44C1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="008D44C1" w:rsidRPr="008D44C1">
              <w:rPr>
                <w:rFonts w:ascii="Calibri" w:hAnsi="Calibri" w:cs="Calibri"/>
                <w:color w:val="000000"/>
                <w:sz w:val="22"/>
                <w:szCs w:val="22"/>
              </w:rPr>
              <w:t>839</w:t>
            </w:r>
            <w:r w:rsidR="008D44C1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="008D44C1" w:rsidRPr="008D44C1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  <w:r w:rsidR="008D44C1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="008D44C1" w:rsidRPr="008D44C1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</w:tr>
      <w:tr w:rsidR="008D44C1" w14:paraId="654DC339" w14:textId="77777777" w:rsidTr="17E55DD0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50D5F" w14:textId="77777777" w:rsidR="008D44C1" w:rsidRDefault="008D44C1" w:rsidP="008D44C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0DED040" w14:textId="4B999534" w:rsidR="008D44C1" w:rsidRDefault="008D44C1" w:rsidP="008D44C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RAD Reapportionment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FFD1" w14:textId="1C5AB6A0" w:rsidR="008D44C1" w:rsidRPr="008D44C1" w:rsidRDefault="008D44C1" w:rsidP="008D44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17E55DD0">
              <w:rPr>
                <w:rFonts w:ascii="Calibri" w:hAnsi="Calibri" w:cs="Calibri"/>
                <w:color w:val="FF0000"/>
                <w:sz w:val="22"/>
                <w:szCs w:val="22"/>
              </w:rPr>
              <w:t>-$75,878,080</w:t>
            </w:r>
          </w:p>
        </w:tc>
      </w:tr>
      <w:tr w:rsidR="008D44C1" w14:paraId="40CC49C2" w14:textId="77777777" w:rsidTr="00464D75">
        <w:trPr>
          <w:trHeight w:val="251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5ACA" w14:textId="77777777" w:rsidR="008D44C1" w:rsidRDefault="008D44C1" w:rsidP="008D44C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372E59B" w14:textId="77777777" w:rsidR="008D44C1" w:rsidRDefault="008D44C1" w:rsidP="008D44C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Amount Available for Distributions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2647" w14:textId="08C6D359" w:rsidR="008D44C1" w:rsidRDefault="51F91D7F" w:rsidP="17E55DD0">
            <w:pPr>
              <w:spacing w:line="259" w:lineRule="auto"/>
              <w:jc w:val="right"/>
              <w:rPr>
                <w:rFonts w:ascii="Verdana" w:eastAsia="Verdana" w:hAnsi="Verdana" w:cs="Verdana"/>
              </w:rPr>
            </w:pPr>
            <w:r w:rsidRPr="17E55DD0">
              <w:rPr>
                <w:rFonts w:ascii="Verdana" w:hAnsi="Verdana" w:cs="Calibri"/>
                <w:b/>
                <w:bCs/>
                <w:sz w:val="20"/>
                <w:szCs w:val="20"/>
              </w:rPr>
              <w:t>4,763,121,920</w:t>
            </w:r>
          </w:p>
        </w:tc>
      </w:tr>
      <w:tr w:rsidR="008D44C1" w14:paraId="091733BC" w14:textId="77777777" w:rsidTr="17E55DD0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7AC1" w14:textId="77777777" w:rsidR="008D44C1" w:rsidRDefault="008D44C1" w:rsidP="008D44C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31CD" w14:textId="77777777" w:rsidR="008D44C1" w:rsidRDefault="008D44C1" w:rsidP="008D44C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70B2" w14:textId="77777777" w:rsidR="008D44C1" w:rsidRDefault="008D44C1" w:rsidP="008D44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D44C1" w14:paraId="1696945D" w14:textId="77777777" w:rsidTr="17E55DD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6952" w14:textId="77777777" w:rsidR="008D44C1" w:rsidRDefault="008D44C1" w:rsidP="008D44C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4734" w14:textId="5A9B2E4A" w:rsidR="008D44C1" w:rsidRDefault="008D44C1" w:rsidP="008D44C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2021 Actual Eligibility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7C9F" w14:textId="27F0E3C0" w:rsidR="008D44C1" w:rsidRDefault="008D44C1" w:rsidP="008D44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17E55DD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$4,</w:t>
            </w:r>
            <w:r w:rsidR="00C8389B" w:rsidRPr="17E55DD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914,7</w:t>
            </w:r>
            <w:r w:rsidR="21C82DB3" w:rsidRPr="17E55DD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8</w:t>
            </w:r>
            <w:r w:rsidR="6CB60D8A" w:rsidRPr="17E55DD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9.295</w:t>
            </w:r>
          </w:p>
        </w:tc>
      </w:tr>
      <w:tr w:rsidR="008D44C1" w14:paraId="480CAD09" w14:textId="77777777" w:rsidTr="17E55DD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7AE5" w14:textId="77777777" w:rsidR="008D44C1" w:rsidRDefault="008D44C1" w:rsidP="008D44C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6521" w14:textId="0FA33814" w:rsidR="008D44C1" w:rsidRDefault="008D44C1" w:rsidP="008D44C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Add: Eligibility for TKE Submissions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76D5" w14:textId="13D53CEE" w:rsidR="008D44C1" w:rsidRDefault="008D44C1" w:rsidP="008D44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$2,100</w:t>
            </w:r>
          </w:p>
        </w:tc>
      </w:tr>
      <w:tr w:rsidR="008D44C1" w14:paraId="2F9F4CC2" w14:textId="77777777" w:rsidTr="17E55DD0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FC13" w14:textId="77777777" w:rsidR="008D44C1" w:rsidRDefault="008D44C1" w:rsidP="008D44C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3B86" w14:textId="2F1BC77C" w:rsidR="008D44C1" w:rsidRDefault="008D44C1" w:rsidP="008D44C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Add:  Reserve for Revisions and Appeals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3641" w14:textId="32A16ABB" w:rsidR="008D44C1" w:rsidRDefault="008D44C1" w:rsidP="008D44C1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$40,000,000</w:t>
            </w:r>
          </w:p>
        </w:tc>
      </w:tr>
      <w:tr w:rsidR="008D44C1" w14:paraId="6C4EE290" w14:textId="77777777" w:rsidTr="17E55DD0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6CBF" w14:textId="77777777" w:rsidR="008D44C1" w:rsidRDefault="008D44C1" w:rsidP="008D44C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8CB0" w14:textId="77777777" w:rsidR="008D44C1" w:rsidRDefault="008D44C1" w:rsidP="008D44C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Total Eligibility (4 through 6) 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29B6" w14:textId="7884ECFC" w:rsidR="008D44C1" w:rsidRDefault="008D44C1" w:rsidP="008D44C1">
            <w:pPr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17E55DD0">
              <w:rPr>
                <w:rFonts w:ascii="Verdana" w:hAnsi="Verdana" w:cs="Calibri"/>
                <w:b/>
                <w:bCs/>
                <w:sz w:val="20"/>
                <w:szCs w:val="20"/>
              </w:rPr>
              <w:t>$4,</w:t>
            </w:r>
            <w:r w:rsidR="00C8389B" w:rsidRPr="17E55DD0">
              <w:rPr>
                <w:rFonts w:ascii="Verdana" w:hAnsi="Verdana" w:cs="Calibri"/>
                <w:b/>
                <w:bCs/>
                <w:sz w:val="20"/>
                <w:szCs w:val="20"/>
              </w:rPr>
              <w:t>954,791</w:t>
            </w:r>
            <w:r w:rsidR="58517AC9" w:rsidRPr="17E55DD0">
              <w:rPr>
                <w:rFonts w:ascii="Verdana" w:hAnsi="Verdana" w:cs="Calibri"/>
                <w:b/>
                <w:bCs/>
                <w:sz w:val="20"/>
                <w:szCs w:val="20"/>
              </w:rPr>
              <w:t>,</w:t>
            </w:r>
            <w:r w:rsidR="00C8389B" w:rsidRPr="17E55DD0">
              <w:rPr>
                <w:rFonts w:ascii="Verdana" w:hAnsi="Verdana" w:cs="Calibri"/>
                <w:b/>
                <w:bCs/>
                <w:sz w:val="20"/>
                <w:szCs w:val="20"/>
              </w:rPr>
              <w:t>395</w:t>
            </w:r>
          </w:p>
        </w:tc>
      </w:tr>
      <w:tr w:rsidR="008D44C1" w14:paraId="4504C3C8" w14:textId="77777777" w:rsidTr="17E55DD0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980A" w14:textId="77777777" w:rsidR="008D44C1" w:rsidRDefault="008D44C1" w:rsidP="008D44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A138D6C" w14:textId="77777777" w:rsidR="008D44C1" w:rsidRDefault="008D44C1" w:rsidP="008D44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679C" w14:textId="2478AF20" w:rsidR="008D44C1" w:rsidRDefault="008D44C1" w:rsidP="008D44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D44C1" w14:paraId="076B04BA" w14:textId="77777777" w:rsidTr="17E55DD0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2D7B003" w14:textId="77777777" w:rsidR="008D44C1" w:rsidRDefault="008D44C1" w:rsidP="008D44C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C0C0C0"/>
            <w:noWrap/>
            <w:vAlign w:val="bottom"/>
            <w:hideMark/>
          </w:tcPr>
          <w:p w14:paraId="07885390" w14:textId="77777777" w:rsidR="008D44C1" w:rsidRDefault="008D44C1" w:rsidP="008D44C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Proration (3) / (7)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13FA6114" w14:textId="10B35FF3" w:rsidR="008D44C1" w:rsidRDefault="00D465D1" w:rsidP="008D44C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96.</w:t>
            </w:r>
            <w:r w:rsidR="00C8389B">
              <w:rPr>
                <w:rFonts w:ascii="Calibri" w:hAnsi="Calibri" w:cs="Calibri"/>
                <w:b/>
                <w:bCs/>
                <w:sz w:val="20"/>
                <w:szCs w:val="20"/>
              </w:rPr>
              <w:t>13</w:t>
            </w:r>
            <w:r w:rsidR="008D44C1">
              <w:rPr>
                <w:rFonts w:ascii="Calibri" w:hAnsi="Calibri" w:cs="Calibri"/>
                <w:b/>
                <w:bCs/>
                <w:sz w:val="20"/>
                <w:szCs w:val="20"/>
              </w:rPr>
              <w:t>%</w:t>
            </w:r>
          </w:p>
        </w:tc>
      </w:tr>
    </w:tbl>
    <w:p w14:paraId="11576829" w14:textId="77777777" w:rsidR="00D179BF" w:rsidRDefault="00D179BF" w:rsidP="00D439CE">
      <w:pPr>
        <w:spacing w:after="120"/>
        <w:rPr>
          <w:sz w:val="23"/>
          <w:szCs w:val="23"/>
        </w:rPr>
      </w:pPr>
    </w:p>
    <w:p w14:paraId="7D459E7E" w14:textId="5A584925" w:rsidR="0036220B" w:rsidRDefault="0036220B" w:rsidP="00D439CE">
      <w:pPr>
        <w:spacing w:after="120"/>
        <w:rPr>
          <w:sz w:val="23"/>
          <w:szCs w:val="23"/>
        </w:rPr>
      </w:pPr>
    </w:p>
    <w:p w14:paraId="07FAF6B9" w14:textId="77777777" w:rsidR="0036220B" w:rsidRDefault="0036220B" w:rsidP="00D439CE">
      <w:pPr>
        <w:spacing w:after="120"/>
        <w:rPr>
          <w:sz w:val="23"/>
          <w:szCs w:val="23"/>
        </w:rPr>
      </w:pPr>
    </w:p>
    <w:sectPr w:rsidR="0036220B" w:rsidSect="003028BA">
      <w:headerReference w:type="default" r:id="rId12"/>
      <w:footerReference w:type="default" r:id="rId13"/>
      <w:pgSz w:w="12240" w:h="15840"/>
      <w:pgMar w:top="1260" w:right="1440" w:bottom="1260" w:left="1440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39049" w14:textId="77777777" w:rsidR="005B4E41" w:rsidRDefault="005B4E41">
      <w:r>
        <w:separator/>
      </w:r>
    </w:p>
  </w:endnote>
  <w:endnote w:type="continuationSeparator" w:id="0">
    <w:p w14:paraId="34465067" w14:textId="77777777" w:rsidR="005B4E41" w:rsidRDefault="005B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91EAF" w14:textId="465DFB19" w:rsidR="00006376" w:rsidRDefault="00006376" w:rsidP="00594B5E">
    <w:pPr>
      <w:pStyle w:val="Footer"/>
      <w:jc w:val="right"/>
    </w:pPr>
  </w:p>
  <w:p w14:paraId="0DBB10B8" w14:textId="77777777" w:rsidR="00006376" w:rsidRDefault="000063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52FFC" w14:textId="77777777" w:rsidR="005B4E41" w:rsidRDefault="005B4E41">
      <w:r>
        <w:separator/>
      </w:r>
    </w:p>
  </w:footnote>
  <w:footnote w:type="continuationSeparator" w:id="0">
    <w:p w14:paraId="7B505242" w14:textId="77777777" w:rsidR="005B4E41" w:rsidRDefault="005B4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A4F87" w14:textId="6E73BBE1" w:rsidR="008F34C6" w:rsidRDefault="00006376" w:rsidP="00D67331">
    <w:pPr>
      <w:pStyle w:val="Header"/>
      <w:tabs>
        <w:tab w:val="clear" w:pos="8640"/>
        <w:tab w:val="right" w:pos="9360"/>
      </w:tabs>
      <w:rPr>
        <w:b/>
        <w:sz w:val="22"/>
        <w:szCs w:val="22"/>
      </w:rPr>
    </w:pPr>
    <w:r>
      <w:rPr>
        <w:b/>
        <w:sz w:val="22"/>
        <w:szCs w:val="22"/>
      </w:rPr>
      <w:t xml:space="preserve">PH </w:t>
    </w:r>
    <w:r w:rsidRPr="00AB17E4">
      <w:rPr>
        <w:b/>
        <w:sz w:val="22"/>
        <w:szCs w:val="22"/>
      </w:rPr>
      <w:t>Financial Management Division</w:t>
    </w:r>
    <w:r w:rsidR="001D61CD">
      <w:rPr>
        <w:b/>
        <w:sz w:val="22"/>
        <w:szCs w:val="22"/>
      </w:rPr>
      <w:tab/>
    </w:r>
    <w:r w:rsidR="001D61CD">
      <w:rPr>
        <w:b/>
        <w:sz w:val="22"/>
        <w:szCs w:val="22"/>
      </w:rPr>
      <w:tab/>
      <w:t xml:space="preserve">       </w:t>
    </w:r>
    <w:r w:rsidR="008D44C1">
      <w:rPr>
        <w:b/>
        <w:sz w:val="22"/>
        <w:szCs w:val="22"/>
      </w:rPr>
      <w:t>6/</w:t>
    </w:r>
    <w:r w:rsidR="00C8389B">
      <w:rPr>
        <w:b/>
        <w:sz w:val="22"/>
        <w:szCs w:val="22"/>
      </w:rPr>
      <w:t>1</w:t>
    </w:r>
    <w:r w:rsidR="0025698B">
      <w:rPr>
        <w:b/>
        <w:sz w:val="22"/>
        <w:szCs w:val="22"/>
      </w:rPr>
      <w:t>5</w:t>
    </w:r>
    <w:r w:rsidR="00C8389B">
      <w:rPr>
        <w:b/>
        <w:sz w:val="22"/>
        <w:szCs w:val="22"/>
      </w:rPr>
      <w:t>/</w:t>
    </w:r>
    <w:r w:rsidR="008D44C1">
      <w:rPr>
        <w:b/>
        <w:sz w:val="22"/>
        <w:szCs w:val="22"/>
      </w:rPr>
      <w:t>2021</w:t>
    </w:r>
  </w:p>
  <w:p w14:paraId="4A69C1E3" w14:textId="77777777" w:rsidR="00006376" w:rsidRDefault="00006376" w:rsidP="00D67331">
    <w:pPr>
      <w:pStyle w:val="Header"/>
      <w:tabs>
        <w:tab w:val="clear" w:pos="8640"/>
        <w:tab w:val="right" w:pos="9360"/>
      </w:tabs>
      <w:rPr>
        <w:b/>
        <w:sz w:val="22"/>
        <w:szCs w:val="22"/>
      </w:rPr>
    </w:pPr>
    <w:r>
      <w:rPr>
        <w:b/>
        <w:sz w:val="22"/>
        <w:szCs w:val="22"/>
      </w:rPr>
      <w:t xml:space="preserve">                   </w:t>
    </w:r>
  </w:p>
  <w:p w14:paraId="5640051E" w14:textId="77777777" w:rsidR="00006376" w:rsidRPr="00AB17E4" w:rsidRDefault="008D70DC" w:rsidP="00E75D7D">
    <w:pPr>
      <w:pStyle w:val="Header"/>
      <w:pBdr>
        <w:bottom w:val="single" w:sz="12" w:space="1" w:color="auto"/>
      </w:pBdr>
      <w:rPr>
        <w:b/>
        <w:sz w:val="22"/>
        <w:szCs w:val="22"/>
      </w:rPr>
    </w:pPr>
    <w:r>
      <w:rPr>
        <w:b/>
        <w:sz w:val="22"/>
        <w:szCs w:val="22"/>
      </w:rPr>
      <w:t xml:space="preserve"> </w:t>
    </w:r>
    <w:r w:rsidR="00006376" w:rsidRPr="00AB17E4">
      <w:rPr>
        <w:b/>
        <w:sz w:val="22"/>
        <w:szCs w:val="22"/>
      </w:rPr>
      <w:t>Office of Public and Indian Housing</w:t>
    </w:r>
  </w:p>
  <w:p w14:paraId="71114010" w14:textId="77777777" w:rsidR="00006376" w:rsidRPr="00E75D7D" w:rsidRDefault="00006376" w:rsidP="00E75D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53CEF"/>
    <w:multiLevelType w:val="hybridMultilevel"/>
    <w:tmpl w:val="AF3E73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134DE"/>
    <w:multiLevelType w:val="hybridMultilevel"/>
    <w:tmpl w:val="BE8C8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24B31"/>
    <w:multiLevelType w:val="hybridMultilevel"/>
    <w:tmpl w:val="D3D8BE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F38"/>
    <w:rsid w:val="00003733"/>
    <w:rsid w:val="000052D3"/>
    <w:rsid w:val="00006376"/>
    <w:rsid w:val="00007206"/>
    <w:rsid w:val="00030966"/>
    <w:rsid w:val="00050DA1"/>
    <w:rsid w:val="00054372"/>
    <w:rsid w:val="00076669"/>
    <w:rsid w:val="00081AEB"/>
    <w:rsid w:val="00086A23"/>
    <w:rsid w:val="000921CD"/>
    <w:rsid w:val="000B0FB1"/>
    <w:rsid w:val="000E1A4E"/>
    <w:rsid w:val="00110D5E"/>
    <w:rsid w:val="0011582D"/>
    <w:rsid w:val="001160BC"/>
    <w:rsid w:val="00116D9A"/>
    <w:rsid w:val="0011759F"/>
    <w:rsid w:val="00131145"/>
    <w:rsid w:val="00153B5C"/>
    <w:rsid w:val="00157854"/>
    <w:rsid w:val="00162748"/>
    <w:rsid w:val="0016350B"/>
    <w:rsid w:val="0016467D"/>
    <w:rsid w:val="00197386"/>
    <w:rsid w:val="001B6E43"/>
    <w:rsid w:val="001D61CD"/>
    <w:rsid w:val="001E04B5"/>
    <w:rsid w:val="001E7309"/>
    <w:rsid w:val="00202D3C"/>
    <w:rsid w:val="002355F8"/>
    <w:rsid w:val="00235F1E"/>
    <w:rsid w:val="00236297"/>
    <w:rsid w:val="00236DCD"/>
    <w:rsid w:val="00245E63"/>
    <w:rsid w:val="0025698B"/>
    <w:rsid w:val="00263427"/>
    <w:rsid w:val="002658DC"/>
    <w:rsid w:val="002709CC"/>
    <w:rsid w:val="00271370"/>
    <w:rsid w:val="00274DCF"/>
    <w:rsid w:val="00277EC0"/>
    <w:rsid w:val="00287601"/>
    <w:rsid w:val="002A3C10"/>
    <w:rsid w:val="002B346D"/>
    <w:rsid w:val="002C1365"/>
    <w:rsid w:val="002C3389"/>
    <w:rsid w:val="002D685B"/>
    <w:rsid w:val="002E194F"/>
    <w:rsid w:val="002F4CAF"/>
    <w:rsid w:val="003028BA"/>
    <w:rsid w:val="00325E1D"/>
    <w:rsid w:val="003278C0"/>
    <w:rsid w:val="00333922"/>
    <w:rsid w:val="0036220B"/>
    <w:rsid w:val="00364F38"/>
    <w:rsid w:val="003D0185"/>
    <w:rsid w:val="003E2640"/>
    <w:rsid w:val="003F67F2"/>
    <w:rsid w:val="003F7988"/>
    <w:rsid w:val="00417518"/>
    <w:rsid w:val="00422C48"/>
    <w:rsid w:val="004357FE"/>
    <w:rsid w:val="00444200"/>
    <w:rsid w:val="004464F9"/>
    <w:rsid w:val="00460ACC"/>
    <w:rsid w:val="00464D75"/>
    <w:rsid w:val="004660A9"/>
    <w:rsid w:val="00484CB2"/>
    <w:rsid w:val="00490AA6"/>
    <w:rsid w:val="00495F9D"/>
    <w:rsid w:val="004B55E7"/>
    <w:rsid w:val="004E46DA"/>
    <w:rsid w:val="004E5E4B"/>
    <w:rsid w:val="004F3AAA"/>
    <w:rsid w:val="004F4E39"/>
    <w:rsid w:val="00525620"/>
    <w:rsid w:val="00532502"/>
    <w:rsid w:val="00535C64"/>
    <w:rsid w:val="00537832"/>
    <w:rsid w:val="005431C4"/>
    <w:rsid w:val="00562FC5"/>
    <w:rsid w:val="0057554D"/>
    <w:rsid w:val="00582E26"/>
    <w:rsid w:val="005936B2"/>
    <w:rsid w:val="0059475D"/>
    <w:rsid w:val="00594B5E"/>
    <w:rsid w:val="005A031C"/>
    <w:rsid w:val="005A077D"/>
    <w:rsid w:val="005B4E41"/>
    <w:rsid w:val="005C02B9"/>
    <w:rsid w:val="00614C1E"/>
    <w:rsid w:val="006246DE"/>
    <w:rsid w:val="006433C9"/>
    <w:rsid w:val="0064418E"/>
    <w:rsid w:val="0064644B"/>
    <w:rsid w:val="00666CE9"/>
    <w:rsid w:val="006727D7"/>
    <w:rsid w:val="006804FA"/>
    <w:rsid w:val="0069566A"/>
    <w:rsid w:val="006B4684"/>
    <w:rsid w:val="006C358F"/>
    <w:rsid w:val="006E6599"/>
    <w:rsid w:val="007065E8"/>
    <w:rsid w:val="00711AC3"/>
    <w:rsid w:val="0075295C"/>
    <w:rsid w:val="00762F0D"/>
    <w:rsid w:val="007630C4"/>
    <w:rsid w:val="007675B7"/>
    <w:rsid w:val="00794C55"/>
    <w:rsid w:val="007A07F8"/>
    <w:rsid w:val="007C0DBF"/>
    <w:rsid w:val="007C19DA"/>
    <w:rsid w:val="007D0F0B"/>
    <w:rsid w:val="007D373A"/>
    <w:rsid w:val="007D750B"/>
    <w:rsid w:val="007D78C0"/>
    <w:rsid w:val="007E3780"/>
    <w:rsid w:val="008333BC"/>
    <w:rsid w:val="00834107"/>
    <w:rsid w:val="008374B8"/>
    <w:rsid w:val="00840388"/>
    <w:rsid w:val="008416BC"/>
    <w:rsid w:val="00844CD6"/>
    <w:rsid w:val="00847BD8"/>
    <w:rsid w:val="00851651"/>
    <w:rsid w:val="00871BDE"/>
    <w:rsid w:val="008A0E71"/>
    <w:rsid w:val="008A293E"/>
    <w:rsid w:val="008A4371"/>
    <w:rsid w:val="008D44C1"/>
    <w:rsid w:val="008D70DC"/>
    <w:rsid w:val="008E00F2"/>
    <w:rsid w:val="008E7E1F"/>
    <w:rsid w:val="008F34C6"/>
    <w:rsid w:val="00902CFE"/>
    <w:rsid w:val="0090404E"/>
    <w:rsid w:val="0092042F"/>
    <w:rsid w:val="0092651E"/>
    <w:rsid w:val="0093393D"/>
    <w:rsid w:val="00935E1D"/>
    <w:rsid w:val="00940047"/>
    <w:rsid w:val="00946982"/>
    <w:rsid w:val="009477F6"/>
    <w:rsid w:val="00947944"/>
    <w:rsid w:val="00953E22"/>
    <w:rsid w:val="00961ED7"/>
    <w:rsid w:val="00973210"/>
    <w:rsid w:val="009866A9"/>
    <w:rsid w:val="0099722B"/>
    <w:rsid w:val="00997F57"/>
    <w:rsid w:val="009C11F0"/>
    <w:rsid w:val="009C123C"/>
    <w:rsid w:val="009D1453"/>
    <w:rsid w:val="009D3BE5"/>
    <w:rsid w:val="009D5372"/>
    <w:rsid w:val="009D5F34"/>
    <w:rsid w:val="009D661B"/>
    <w:rsid w:val="009E205F"/>
    <w:rsid w:val="009E4541"/>
    <w:rsid w:val="009E4BD9"/>
    <w:rsid w:val="009F0BC2"/>
    <w:rsid w:val="009F3018"/>
    <w:rsid w:val="009F4FE9"/>
    <w:rsid w:val="00A07B0C"/>
    <w:rsid w:val="00A15684"/>
    <w:rsid w:val="00A317B9"/>
    <w:rsid w:val="00A353DD"/>
    <w:rsid w:val="00A4204E"/>
    <w:rsid w:val="00A57A08"/>
    <w:rsid w:val="00A621EF"/>
    <w:rsid w:val="00A734E0"/>
    <w:rsid w:val="00A91AD4"/>
    <w:rsid w:val="00AA7A48"/>
    <w:rsid w:val="00AB1E77"/>
    <w:rsid w:val="00AC0CE0"/>
    <w:rsid w:val="00AC7BC5"/>
    <w:rsid w:val="00AC7ED4"/>
    <w:rsid w:val="00B17AFD"/>
    <w:rsid w:val="00B37A52"/>
    <w:rsid w:val="00B37DD7"/>
    <w:rsid w:val="00B44FD6"/>
    <w:rsid w:val="00B56908"/>
    <w:rsid w:val="00B7669F"/>
    <w:rsid w:val="00B857E2"/>
    <w:rsid w:val="00B92A39"/>
    <w:rsid w:val="00B941CB"/>
    <w:rsid w:val="00B97615"/>
    <w:rsid w:val="00BA5E24"/>
    <w:rsid w:val="00BE46D0"/>
    <w:rsid w:val="00BE4FE1"/>
    <w:rsid w:val="00BE51C6"/>
    <w:rsid w:val="00BE70EF"/>
    <w:rsid w:val="00BF028A"/>
    <w:rsid w:val="00BF7BC9"/>
    <w:rsid w:val="00C108E5"/>
    <w:rsid w:val="00C15B88"/>
    <w:rsid w:val="00C33332"/>
    <w:rsid w:val="00C4362C"/>
    <w:rsid w:val="00C55D71"/>
    <w:rsid w:val="00C57569"/>
    <w:rsid w:val="00C72CA6"/>
    <w:rsid w:val="00C73C39"/>
    <w:rsid w:val="00C8389B"/>
    <w:rsid w:val="00C84E88"/>
    <w:rsid w:val="00C94BE0"/>
    <w:rsid w:val="00CA593F"/>
    <w:rsid w:val="00CB0896"/>
    <w:rsid w:val="00CB785C"/>
    <w:rsid w:val="00CC6657"/>
    <w:rsid w:val="00CD391F"/>
    <w:rsid w:val="00CE28C0"/>
    <w:rsid w:val="00D02A81"/>
    <w:rsid w:val="00D179BF"/>
    <w:rsid w:val="00D20A82"/>
    <w:rsid w:val="00D2560F"/>
    <w:rsid w:val="00D439CE"/>
    <w:rsid w:val="00D465D1"/>
    <w:rsid w:val="00D5307D"/>
    <w:rsid w:val="00D55B4B"/>
    <w:rsid w:val="00D67331"/>
    <w:rsid w:val="00D738CB"/>
    <w:rsid w:val="00D748A6"/>
    <w:rsid w:val="00D96B14"/>
    <w:rsid w:val="00DA3D3E"/>
    <w:rsid w:val="00DA3F2C"/>
    <w:rsid w:val="00DA438B"/>
    <w:rsid w:val="00DC7D8D"/>
    <w:rsid w:val="00DD55D7"/>
    <w:rsid w:val="00DE3D31"/>
    <w:rsid w:val="00E01014"/>
    <w:rsid w:val="00E10383"/>
    <w:rsid w:val="00E200B0"/>
    <w:rsid w:val="00E26AFD"/>
    <w:rsid w:val="00E26CA5"/>
    <w:rsid w:val="00E41CE8"/>
    <w:rsid w:val="00E445F2"/>
    <w:rsid w:val="00E4777A"/>
    <w:rsid w:val="00E60F91"/>
    <w:rsid w:val="00E6103F"/>
    <w:rsid w:val="00E650CD"/>
    <w:rsid w:val="00E66334"/>
    <w:rsid w:val="00E75808"/>
    <w:rsid w:val="00E75D7D"/>
    <w:rsid w:val="00EB74EA"/>
    <w:rsid w:val="00EC4F9A"/>
    <w:rsid w:val="00ED6472"/>
    <w:rsid w:val="00ED726A"/>
    <w:rsid w:val="00F10A3B"/>
    <w:rsid w:val="00F1481B"/>
    <w:rsid w:val="00F3710B"/>
    <w:rsid w:val="00F42AFC"/>
    <w:rsid w:val="00F537F8"/>
    <w:rsid w:val="00F67C80"/>
    <w:rsid w:val="00F67C88"/>
    <w:rsid w:val="00F71E94"/>
    <w:rsid w:val="00F7773B"/>
    <w:rsid w:val="00F83957"/>
    <w:rsid w:val="00FC26A3"/>
    <w:rsid w:val="00FD0D7D"/>
    <w:rsid w:val="00FF1D49"/>
    <w:rsid w:val="018DEC59"/>
    <w:rsid w:val="0897D401"/>
    <w:rsid w:val="0997E769"/>
    <w:rsid w:val="0AFA981F"/>
    <w:rsid w:val="113DB8E7"/>
    <w:rsid w:val="13ED2A0B"/>
    <w:rsid w:val="1454E0FB"/>
    <w:rsid w:val="17E55DD0"/>
    <w:rsid w:val="1C16B6FD"/>
    <w:rsid w:val="1C1F4C6D"/>
    <w:rsid w:val="1D1F718E"/>
    <w:rsid w:val="21C82DB3"/>
    <w:rsid w:val="23EE4908"/>
    <w:rsid w:val="26D2DF32"/>
    <w:rsid w:val="28D61C30"/>
    <w:rsid w:val="2B2852CA"/>
    <w:rsid w:val="2E061908"/>
    <w:rsid w:val="2E7DDA45"/>
    <w:rsid w:val="3AFB3E54"/>
    <w:rsid w:val="4B2442DD"/>
    <w:rsid w:val="4FE3C3D4"/>
    <w:rsid w:val="51889128"/>
    <w:rsid w:val="51F91D7F"/>
    <w:rsid w:val="54E77106"/>
    <w:rsid w:val="575FEC54"/>
    <w:rsid w:val="58517AC9"/>
    <w:rsid w:val="59106846"/>
    <w:rsid w:val="5F1AF4DF"/>
    <w:rsid w:val="611A4C22"/>
    <w:rsid w:val="62A67ED3"/>
    <w:rsid w:val="62B61C83"/>
    <w:rsid w:val="6553FFEE"/>
    <w:rsid w:val="67073244"/>
    <w:rsid w:val="6CB60D8A"/>
    <w:rsid w:val="6CE78EB7"/>
    <w:rsid w:val="787A4C06"/>
    <w:rsid w:val="7D4DB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91D866"/>
  <w15:docId w15:val="{DA5B2A84-E857-442B-8659-90549E04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0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book">
    <w:name w:val="Ebook"/>
    <w:basedOn w:val="Normal"/>
    <w:autoRedefine/>
    <w:rsid w:val="0092042F"/>
    <w:pPr>
      <w:spacing w:line="360" w:lineRule="auto"/>
      <w:ind w:firstLine="720"/>
      <w:jc w:val="both"/>
    </w:pPr>
    <w:rPr>
      <w:rFonts w:eastAsia="MS Mincho"/>
      <w:sz w:val="28"/>
    </w:rPr>
  </w:style>
  <w:style w:type="paragraph" w:styleId="Header">
    <w:name w:val="header"/>
    <w:basedOn w:val="Normal"/>
    <w:link w:val="HeaderChar"/>
    <w:uiPriority w:val="99"/>
    <w:rsid w:val="00E75D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75D7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4420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355F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355F8"/>
    <w:rPr>
      <w:sz w:val="24"/>
      <w:szCs w:val="24"/>
    </w:rPr>
  </w:style>
  <w:style w:type="table" w:styleId="TableGrid">
    <w:name w:val="Table Grid"/>
    <w:basedOn w:val="TableNormal"/>
    <w:rsid w:val="00B37A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E6599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0B0FB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B0FB1"/>
  </w:style>
  <w:style w:type="character" w:styleId="FootnoteReference">
    <w:name w:val="footnote reference"/>
    <w:basedOn w:val="DefaultParagraphFont"/>
    <w:rsid w:val="000B0FB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94B5E"/>
    <w:rPr>
      <w:color w:val="0000FF"/>
      <w:u w:val="single"/>
    </w:rPr>
  </w:style>
  <w:style w:type="character" w:styleId="CommentReference">
    <w:name w:val="annotation reference"/>
    <w:basedOn w:val="DefaultParagraphFont"/>
    <w:rsid w:val="00490A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0A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90AA6"/>
  </w:style>
  <w:style w:type="paragraph" w:styleId="CommentSubject">
    <w:name w:val="annotation subject"/>
    <w:basedOn w:val="CommentText"/>
    <w:next w:val="CommentText"/>
    <w:link w:val="CommentSubjectChar"/>
    <w:rsid w:val="00490A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90AA6"/>
    <w:rPr>
      <w:b/>
      <w:bCs/>
    </w:rPr>
  </w:style>
  <w:style w:type="paragraph" w:customStyle="1" w:styleId="Default">
    <w:name w:val="Default"/>
    <w:rsid w:val="00D439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804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D44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2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ud.gov/program_offices/public_indian_housing/programs/ph/am/opfnd2021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rtfallID xmlns="d126733d-7d6f-4445-a299-8b04c5932be3" xsi:nil="true"/>
    <Shortfall_x0020_Unique_x0020_Key xmlns="d126733d-7d6f-4445-a299-8b04c5932be3" xsi:nil="true"/>
    <DebtId xmlns="d126733d-7d6f-4445-a299-8b04c5932be3" xsi:nil="true"/>
    <FolderPath xmlns="d126733d-7d6f-4445-a299-8b04c5932b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AA1A85503519418A60D6FF6E522E03" ma:contentTypeVersion="12" ma:contentTypeDescription="Create a new document." ma:contentTypeScope="" ma:versionID="13ac049458b8f7b602bf8a1a507bd281">
  <xsd:schema xmlns:xsd="http://www.w3.org/2001/XMLSchema" xmlns:xs="http://www.w3.org/2001/XMLSchema" xmlns:p="http://schemas.microsoft.com/office/2006/metadata/properties" xmlns:ns2="325ef80f-ba28-47b0-950a-8fa302e90058" xmlns:ns3="d126733d-7d6f-4445-a299-8b04c5932be3" targetNamespace="http://schemas.microsoft.com/office/2006/metadata/properties" ma:root="true" ma:fieldsID="326a0b981e94c8302148df271c685929" ns2:_="" ns3:_="">
    <xsd:import namespace="325ef80f-ba28-47b0-950a-8fa302e90058"/>
    <xsd:import namespace="d126733d-7d6f-4445-a299-8b04c5932b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FolderPat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DebtId" minOccurs="0"/>
                <xsd:element ref="ns3:Shortfall_x0020_Unique_x0020_Key" minOccurs="0"/>
                <xsd:element ref="ns3:Shortfall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ef80f-ba28-47b0-950a-8fa302e900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6733d-7d6f-4445-a299-8b04c5932b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FolderPath" ma:index="12" nillable="true" ma:displayName="FolderPath" ma:internalName="FolderPath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DebtId" ma:index="17" nillable="true" ma:displayName="DebtId" ma:decimals="0" ma:internalName="DebtId">
      <xsd:simpleType>
        <xsd:restriction base="dms:Number"/>
      </xsd:simpleType>
    </xsd:element>
    <xsd:element name="Shortfall_x0020_Unique_x0020_Key" ma:index="18" nillable="true" ma:displayName="Shortfall Unique Key" ma:internalName="Shortfall_x0020_Unique_x0020_Key">
      <xsd:simpleType>
        <xsd:restriction base="dms:Text">
          <xsd:maxLength value="255"/>
        </xsd:restriction>
      </xsd:simpleType>
    </xsd:element>
    <xsd:element name="ShortfallID" ma:index="19" nillable="true" ma:displayName="Shortfall ID" ma:decimals="0" ma:format="Dropdown" ma:internalName="ShortfallID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6B76C1-5C29-420D-BC38-6B447F53B8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80773-C2E1-4AB0-A0D1-3C6FBC32660F}">
  <ds:schemaRefs>
    <ds:schemaRef ds:uri="http://schemas.microsoft.com/office/2006/metadata/properties"/>
    <ds:schemaRef ds:uri="http://schemas.microsoft.com/office/infopath/2007/PartnerControls"/>
    <ds:schemaRef ds:uri="d126733d-7d6f-4445-a299-8b04c5932be3"/>
  </ds:schemaRefs>
</ds:datastoreItem>
</file>

<file path=customXml/itemProps3.xml><?xml version="1.0" encoding="utf-8"?>
<ds:datastoreItem xmlns:ds="http://schemas.openxmlformats.org/officeDocument/2006/customXml" ds:itemID="{6A66FFCA-3311-45AB-A917-2335E9E366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29A5B5-85CF-4C57-A8A9-48AA95EC6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5ef80f-ba28-47b0-950a-8fa302e90058"/>
    <ds:schemaRef ds:uri="d126733d-7d6f-4445-a299-8b04c5932b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1879</Characters>
  <Application>Microsoft Office Word</Application>
  <DocSecurity>0</DocSecurity>
  <Lines>15</Lines>
  <Paragraphs>4</Paragraphs>
  <ScaleCrop>false</ScaleCrop>
  <Company>Housing and Urban Development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Explanation of Initial CY 2008 Obligation</dc:title>
  <dc:creator>Will</dc:creator>
  <cp:lastModifiedBy>Smith, Tinuke</cp:lastModifiedBy>
  <cp:revision>16</cp:revision>
  <cp:lastPrinted>2019-07-09T10:00:00Z</cp:lastPrinted>
  <dcterms:created xsi:type="dcterms:W3CDTF">2019-06-25T18:10:00Z</dcterms:created>
  <dcterms:modified xsi:type="dcterms:W3CDTF">2021-06-29T14:17:00Z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0x0101005AAA1A85503519418A60D6FF6E522E03</vt:lpwstr>
  </property>
</Properties>
</file>