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F1458" w14:textId="77777777" w:rsidR="005B6F6A" w:rsidRPr="00870A46" w:rsidRDefault="005B6F6A" w:rsidP="00621429">
      <w:pPr>
        <w:pStyle w:val="Heading2"/>
      </w:pPr>
      <w:r w:rsidRPr="2481493F">
        <w:t>Emergency Housing Vouchers</w:t>
      </w:r>
    </w:p>
    <w:p w14:paraId="61EC269E" w14:textId="115C6BA2" w:rsidR="005B6F6A" w:rsidRPr="00870A46" w:rsidRDefault="005B6F6A" w:rsidP="005B6F6A">
      <w:pPr>
        <w:spacing w:after="0"/>
        <w:rPr>
          <w:rFonts w:ascii="Times New Roman" w:hAnsi="Times New Roman" w:cs="Times New Roman"/>
          <w:b/>
          <w:bCs/>
          <w:sz w:val="24"/>
          <w:szCs w:val="24"/>
        </w:rPr>
      </w:pPr>
      <w:r w:rsidRPr="6DB997B5">
        <w:rPr>
          <w:rFonts w:ascii="Times New Roman" w:hAnsi="Times New Roman" w:cs="Times New Roman"/>
          <w:b/>
          <w:bCs/>
          <w:sz w:val="24"/>
          <w:szCs w:val="24"/>
        </w:rPr>
        <w:t>Frequently Asked Questions (FAQs) v.</w:t>
      </w:r>
      <w:r w:rsidR="0090193E">
        <w:rPr>
          <w:rFonts w:ascii="Times New Roman" w:hAnsi="Times New Roman" w:cs="Times New Roman"/>
          <w:b/>
          <w:bCs/>
          <w:sz w:val="24"/>
          <w:szCs w:val="24"/>
        </w:rPr>
        <w:t>8</w:t>
      </w:r>
    </w:p>
    <w:p w14:paraId="3B927382" w14:textId="77777777" w:rsidR="005B6F6A" w:rsidRPr="00870A46" w:rsidRDefault="005B6F6A" w:rsidP="005B6F6A">
      <w:pPr>
        <w:rPr>
          <w:rFonts w:ascii="Times New Roman" w:hAnsi="Times New Roman" w:cs="Times New Roman"/>
          <w:b/>
          <w:bCs/>
        </w:rPr>
      </w:pPr>
      <w:r w:rsidRPr="00870A46">
        <w:rPr>
          <w:rFonts w:ascii="Times New Roman" w:hAnsi="Times New Roman" w:cs="Times New Roman"/>
          <w:b/>
          <w:bCs/>
        </w:rPr>
        <w:t xml:space="preserve"> </w:t>
      </w:r>
    </w:p>
    <w:p w14:paraId="7C662295" w14:textId="77777777" w:rsidR="005B6F6A" w:rsidRDefault="005B6F6A" w:rsidP="005B6F6A">
      <w:pPr>
        <w:spacing w:line="251" w:lineRule="auto"/>
        <w:rPr>
          <w:rFonts w:ascii="Times New Roman" w:eastAsia="Times New Roman" w:hAnsi="Times New Roman" w:cs="Times New Roman"/>
          <w:b/>
          <w:bCs/>
        </w:rPr>
      </w:pPr>
    </w:p>
    <w:sdt>
      <w:sdtPr>
        <w:rPr>
          <w:rFonts w:asciiTheme="minorHAnsi" w:eastAsiaTheme="minorHAnsi" w:hAnsiTheme="minorHAnsi" w:cstheme="minorBidi"/>
          <w:color w:val="auto"/>
          <w:sz w:val="22"/>
          <w:szCs w:val="22"/>
        </w:rPr>
        <w:id w:val="1016204337"/>
        <w:docPartObj>
          <w:docPartGallery w:val="Table of Contents"/>
          <w:docPartUnique/>
        </w:docPartObj>
      </w:sdtPr>
      <w:sdtEndPr>
        <w:rPr>
          <w:rFonts w:eastAsiaTheme="minorEastAsia"/>
          <w:noProof/>
        </w:rPr>
      </w:sdtEndPr>
      <w:sdtContent>
        <w:p w14:paraId="75499E98" w14:textId="77777777" w:rsidR="005B6F6A" w:rsidRPr="00D8735B" w:rsidRDefault="005B6F6A" w:rsidP="005B6F6A">
          <w:pPr>
            <w:pStyle w:val="TOCHeading"/>
            <w:rPr>
              <w:rFonts w:ascii="Times New Roman" w:hAnsi="Times New Roman" w:cs="Times New Roman"/>
              <w:sz w:val="22"/>
              <w:szCs w:val="22"/>
            </w:rPr>
          </w:pPr>
          <w:r w:rsidRPr="00D8735B">
            <w:rPr>
              <w:rFonts w:ascii="Times New Roman" w:hAnsi="Times New Roman" w:cs="Times New Roman"/>
              <w:sz w:val="22"/>
              <w:szCs w:val="22"/>
            </w:rPr>
            <w:t>Contents</w:t>
          </w:r>
        </w:p>
        <w:p w14:paraId="1FB02FA0" w14:textId="673730BE" w:rsidR="00D8735B" w:rsidRPr="00D8735B" w:rsidRDefault="005B6F6A">
          <w:pPr>
            <w:pStyle w:val="TOC1"/>
            <w:tabs>
              <w:tab w:val="right" w:leader="dot" w:pos="9350"/>
            </w:tabs>
            <w:rPr>
              <w:rFonts w:ascii="Times New Roman" w:hAnsi="Times New Roman" w:cs="Times New Roman"/>
              <w:noProof/>
            </w:rPr>
          </w:pPr>
          <w:r w:rsidRPr="00D8735B">
            <w:rPr>
              <w:rFonts w:ascii="Times New Roman" w:hAnsi="Times New Roman" w:cs="Times New Roman"/>
            </w:rPr>
            <w:fldChar w:fldCharType="begin"/>
          </w:r>
          <w:r w:rsidRPr="00D8735B">
            <w:rPr>
              <w:rFonts w:ascii="Times New Roman" w:hAnsi="Times New Roman" w:cs="Times New Roman"/>
            </w:rPr>
            <w:instrText xml:space="preserve"> TOC \o "1-3" \h \z \u </w:instrText>
          </w:r>
          <w:r w:rsidRPr="00D8735B">
            <w:rPr>
              <w:rFonts w:ascii="Times New Roman" w:hAnsi="Times New Roman" w:cs="Times New Roman"/>
            </w:rPr>
            <w:fldChar w:fldCharType="separate"/>
          </w:r>
          <w:hyperlink w:anchor="_Toc74733175" w:history="1">
            <w:r w:rsidR="00D8735B" w:rsidRPr="00D8735B">
              <w:rPr>
                <w:rStyle w:val="Hyperlink"/>
                <w:rFonts w:ascii="Times New Roman" w:hAnsi="Times New Roman" w:cs="Times New Roman"/>
                <w:noProof/>
              </w:rPr>
              <w:t>Eligibility</w:t>
            </w:r>
            <w:r w:rsidR="00D8735B" w:rsidRPr="00D8735B">
              <w:rPr>
                <w:rFonts w:ascii="Times New Roman" w:hAnsi="Times New Roman" w:cs="Times New Roman"/>
                <w:noProof/>
                <w:webHidden/>
              </w:rPr>
              <w:tab/>
            </w:r>
            <w:r w:rsidR="00D8735B" w:rsidRPr="00D8735B">
              <w:rPr>
                <w:rFonts w:ascii="Times New Roman" w:hAnsi="Times New Roman" w:cs="Times New Roman"/>
                <w:noProof/>
                <w:webHidden/>
              </w:rPr>
              <w:fldChar w:fldCharType="begin"/>
            </w:r>
            <w:r w:rsidR="00D8735B" w:rsidRPr="00D8735B">
              <w:rPr>
                <w:rFonts w:ascii="Times New Roman" w:hAnsi="Times New Roman" w:cs="Times New Roman"/>
                <w:noProof/>
                <w:webHidden/>
              </w:rPr>
              <w:instrText xml:space="preserve"> PAGEREF _Toc74733175 \h </w:instrText>
            </w:r>
            <w:r w:rsidR="00D8735B" w:rsidRPr="00D8735B">
              <w:rPr>
                <w:rFonts w:ascii="Times New Roman" w:hAnsi="Times New Roman" w:cs="Times New Roman"/>
                <w:noProof/>
                <w:webHidden/>
              </w:rPr>
            </w:r>
            <w:r w:rsidR="00D8735B" w:rsidRPr="00D8735B">
              <w:rPr>
                <w:rFonts w:ascii="Times New Roman" w:hAnsi="Times New Roman" w:cs="Times New Roman"/>
                <w:noProof/>
                <w:webHidden/>
              </w:rPr>
              <w:fldChar w:fldCharType="separate"/>
            </w:r>
            <w:r w:rsidR="004E253A">
              <w:rPr>
                <w:rFonts w:ascii="Times New Roman" w:hAnsi="Times New Roman" w:cs="Times New Roman"/>
                <w:noProof/>
                <w:webHidden/>
              </w:rPr>
              <w:t>2</w:t>
            </w:r>
            <w:r w:rsidR="00D8735B" w:rsidRPr="00D8735B">
              <w:rPr>
                <w:rFonts w:ascii="Times New Roman" w:hAnsi="Times New Roman" w:cs="Times New Roman"/>
                <w:noProof/>
                <w:webHidden/>
              </w:rPr>
              <w:fldChar w:fldCharType="end"/>
            </w:r>
          </w:hyperlink>
        </w:p>
        <w:p w14:paraId="451FCC97" w14:textId="691F1BC5" w:rsidR="00D8735B" w:rsidRPr="00D8735B" w:rsidRDefault="00EE7DB8">
          <w:pPr>
            <w:pStyle w:val="TOC1"/>
            <w:tabs>
              <w:tab w:val="right" w:leader="dot" w:pos="9350"/>
            </w:tabs>
            <w:rPr>
              <w:rFonts w:ascii="Times New Roman" w:hAnsi="Times New Roman" w:cs="Times New Roman"/>
              <w:noProof/>
            </w:rPr>
          </w:pPr>
          <w:hyperlink w:anchor="_Toc74733176" w:history="1">
            <w:r w:rsidR="00D8735B" w:rsidRPr="00D8735B">
              <w:rPr>
                <w:rStyle w:val="Hyperlink"/>
                <w:rFonts w:ascii="Times New Roman" w:hAnsi="Times New Roman" w:cs="Times New Roman"/>
                <w:noProof/>
              </w:rPr>
              <w:t>Partnerships and Collaborations</w:t>
            </w:r>
            <w:r w:rsidR="00D8735B" w:rsidRPr="00D8735B">
              <w:rPr>
                <w:rFonts w:ascii="Times New Roman" w:hAnsi="Times New Roman" w:cs="Times New Roman"/>
                <w:noProof/>
                <w:webHidden/>
              </w:rPr>
              <w:tab/>
            </w:r>
            <w:r w:rsidR="00D8735B" w:rsidRPr="00D8735B">
              <w:rPr>
                <w:rFonts w:ascii="Times New Roman" w:hAnsi="Times New Roman" w:cs="Times New Roman"/>
                <w:noProof/>
                <w:webHidden/>
              </w:rPr>
              <w:fldChar w:fldCharType="begin"/>
            </w:r>
            <w:r w:rsidR="00D8735B" w:rsidRPr="00D8735B">
              <w:rPr>
                <w:rFonts w:ascii="Times New Roman" w:hAnsi="Times New Roman" w:cs="Times New Roman"/>
                <w:noProof/>
                <w:webHidden/>
              </w:rPr>
              <w:instrText xml:space="preserve"> PAGEREF _Toc74733176 \h </w:instrText>
            </w:r>
            <w:r w:rsidR="00D8735B" w:rsidRPr="00D8735B">
              <w:rPr>
                <w:rFonts w:ascii="Times New Roman" w:hAnsi="Times New Roman" w:cs="Times New Roman"/>
                <w:noProof/>
                <w:webHidden/>
              </w:rPr>
            </w:r>
            <w:r w:rsidR="00D8735B" w:rsidRPr="00D8735B">
              <w:rPr>
                <w:rFonts w:ascii="Times New Roman" w:hAnsi="Times New Roman" w:cs="Times New Roman"/>
                <w:noProof/>
                <w:webHidden/>
              </w:rPr>
              <w:fldChar w:fldCharType="separate"/>
            </w:r>
            <w:r w:rsidR="004E253A">
              <w:rPr>
                <w:rFonts w:ascii="Times New Roman" w:hAnsi="Times New Roman" w:cs="Times New Roman"/>
                <w:noProof/>
                <w:webHidden/>
              </w:rPr>
              <w:t>7</w:t>
            </w:r>
            <w:r w:rsidR="00D8735B" w:rsidRPr="00D8735B">
              <w:rPr>
                <w:rFonts w:ascii="Times New Roman" w:hAnsi="Times New Roman" w:cs="Times New Roman"/>
                <w:noProof/>
                <w:webHidden/>
              </w:rPr>
              <w:fldChar w:fldCharType="end"/>
            </w:r>
          </w:hyperlink>
        </w:p>
        <w:p w14:paraId="6FF890EC" w14:textId="0938A75F" w:rsidR="00D8735B" w:rsidRPr="00D8735B" w:rsidRDefault="00EE7DB8">
          <w:pPr>
            <w:pStyle w:val="TOC1"/>
            <w:tabs>
              <w:tab w:val="right" w:leader="dot" w:pos="9350"/>
            </w:tabs>
            <w:rPr>
              <w:rFonts w:ascii="Times New Roman" w:hAnsi="Times New Roman" w:cs="Times New Roman"/>
              <w:noProof/>
            </w:rPr>
          </w:pPr>
          <w:hyperlink w:anchor="_Toc74733177" w:history="1">
            <w:r w:rsidR="00D8735B" w:rsidRPr="00D8735B">
              <w:rPr>
                <w:rStyle w:val="Hyperlink"/>
                <w:rFonts w:ascii="Times New Roman" w:eastAsia="Times New Roman" w:hAnsi="Times New Roman" w:cs="Times New Roman"/>
                <w:noProof/>
              </w:rPr>
              <w:t>Voucher Administration</w:t>
            </w:r>
            <w:r w:rsidR="00D8735B" w:rsidRPr="00D8735B">
              <w:rPr>
                <w:rFonts w:ascii="Times New Roman" w:hAnsi="Times New Roman" w:cs="Times New Roman"/>
                <w:noProof/>
                <w:webHidden/>
              </w:rPr>
              <w:tab/>
            </w:r>
            <w:r w:rsidR="00D8735B" w:rsidRPr="00D8735B">
              <w:rPr>
                <w:rFonts w:ascii="Times New Roman" w:hAnsi="Times New Roman" w:cs="Times New Roman"/>
                <w:noProof/>
                <w:webHidden/>
              </w:rPr>
              <w:fldChar w:fldCharType="begin"/>
            </w:r>
            <w:r w:rsidR="00D8735B" w:rsidRPr="00D8735B">
              <w:rPr>
                <w:rFonts w:ascii="Times New Roman" w:hAnsi="Times New Roman" w:cs="Times New Roman"/>
                <w:noProof/>
                <w:webHidden/>
              </w:rPr>
              <w:instrText xml:space="preserve"> PAGEREF _Toc74733177 \h </w:instrText>
            </w:r>
            <w:r w:rsidR="00D8735B" w:rsidRPr="00D8735B">
              <w:rPr>
                <w:rFonts w:ascii="Times New Roman" w:hAnsi="Times New Roman" w:cs="Times New Roman"/>
                <w:noProof/>
                <w:webHidden/>
              </w:rPr>
            </w:r>
            <w:r w:rsidR="00D8735B" w:rsidRPr="00D8735B">
              <w:rPr>
                <w:rFonts w:ascii="Times New Roman" w:hAnsi="Times New Roman" w:cs="Times New Roman"/>
                <w:noProof/>
                <w:webHidden/>
              </w:rPr>
              <w:fldChar w:fldCharType="separate"/>
            </w:r>
            <w:r w:rsidR="004E253A">
              <w:rPr>
                <w:rFonts w:ascii="Times New Roman" w:hAnsi="Times New Roman" w:cs="Times New Roman"/>
                <w:noProof/>
                <w:webHidden/>
              </w:rPr>
              <w:t>14</w:t>
            </w:r>
            <w:r w:rsidR="00D8735B" w:rsidRPr="00D8735B">
              <w:rPr>
                <w:rFonts w:ascii="Times New Roman" w:hAnsi="Times New Roman" w:cs="Times New Roman"/>
                <w:noProof/>
                <w:webHidden/>
              </w:rPr>
              <w:fldChar w:fldCharType="end"/>
            </w:r>
          </w:hyperlink>
        </w:p>
        <w:p w14:paraId="2DDCA64C" w14:textId="69B59B67" w:rsidR="00D8735B" w:rsidRPr="00D8735B" w:rsidRDefault="00EE7DB8">
          <w:pPr>
            <w:pStyle w:val="TOC1"/>
            <w:tabs>
              <w:tab w:val="right" w:leader="dot" w:pos="9350"/>
            </w:tabs>
            <w:rPr>
              <w:rFonts w:ascii="Times New Roman" w:hAnsi="Times New Roman" w:cs="Times New Roman"/>
              <w:noProof/>
            </w:rPr>
          </w:pPr>
          <w:hyperlink w:anchor="_Toc74733178" w:history="1">
            <w:r w:rsidR="00D8735B" w:rsidRPr="00D8735B">
              <w:rPr>
                <w:rStyle w:val="Hyperlink"/>
                <w:rFonts w:ascii="Times New Roman" w:hAnsi="Times New Roman" w:cs="Times New Roman"/>
                <w:noProof/>
              </w:rPr>
              <w:t>Administrative &amp; Service Fees</w:t>
            </w:r>
            <w:r w:rsidR="00D8735B" w:rsidRPr="00D8735B">
              <w:rPr>
                <w:rFonts w:ascii="Times New Roman" w:hAnsi="Times New Roman" w:cs="Times New Roman"/>
                <w:noProof/>
                <w:webHidden/>
              </w:rPr>
              <w:tab/>
            </w:r>
            <w:r w:rsidR="00D8735B" w:rsidRPr="00D8735B">
              <w:rPr>
                <w:rFonts w:ascii="Times New Roman" w:hAnsi="Times New Roman" w:cs="Times New Roman"/>
                <w:noProof/>
                <w:webHidden/>
              </w:rPr>
              <w:fldChar w:fldCharType="begin"/>
            </w:r>
            <w:r w:rsidR="00D8735B" w:rsidRPr="00D8735B">
              <w:rPr>
                <w:rFonts w:ascii="Times New Roman" w:hAnsi="Times New Roman" w:cs="Times New Roman"/>
                <w:noProof/>
                <w:webHidden/>
              </w:rPr>
              <w:instrText xml:space="preserve"> PAGEREF _Toc74733178 \h </w:instrText>
            </w:r>
            <w:r w:rsidR="00D8735B" w:rsidRPr="00D8735B">
              <w:rPr>
                <w:rFonts w:ascii="Times New Roman" w:hAnsi="Times New Roman" w:cs="Times New Roman"/>
                <w:noProof/>
                <w:webHidden/>
              </w:rPr>
            </w:r>
            <w:r w:rsidR="00D8735B" w:rsidRPr="00D8735B">
              <w:rPr>
                <w:rFonts w:ascii="Times New Roman" w:hAnsi="Times New Roman" w:cs="Times New Roman"/>
                <w:noProof/>
                <w:webHidden/>
              </w:rPr>
              <w:fldChar w:fldCharType="separate"/>
            </w:r>
            <w:r w:rsidR="004E253A">
              <w:rPr>
                <w:rFonts w:ascii="Times New Roman" w:hAnsi="Times New Roman" w:cs="Times New Roman"/>
                <w:noProof/>
                <w:webHidden/>
              </w:rPr>
              <w:t>26</w:t>
            </w:r>
            <w:r w:rsidR="00D8735B" w:rsidRPr="00D8735B">
              <w:rPr>
                <w:rFonts w:ascii="Times New Roman" w:hAnsi="Times New Roman" w:cs="Times New Roman"/>
                <w:noProof/>
                <w:webHidden/>
              </w:rPr>
              <w:fldChar w:fldCharType="end"/>
            </w:r>
          </w:hyperlink>
        </w:p>
        <w:p w14:paraId="04E46F21" w14:textId="6CC90E19" w:rsidR="00D8735B" w:rsidRPr="00D8735B" w:rsidRDefault="00EE7DB8">
          <w:pPr>
            <w:pStyle w:val="TOC1"/>
            <w:tabs>
              <w:tab w:val="right" w:leader="dot" w:pos="9350"/>
            </w:tabs>
            <w:rPr>
              <w:rFonts w:ascii="Times New Roman" w:hAnsi="Times New Roman" w:cs="Times New Roman"/>
              <w:noProof/>
            </w:rPr>
          </w:pPr>
          <w:hyperlink w:anchor="_Toc74733179" w:history="1">
            <w:r w:rsidR="00D8735B" w:rsidRPr="00D8735B">
              <w:rPr>
                <w:rStyle w:val="Hyperlink"/>
                <w:rFonts w:ascii="Times New Roman" w:hAnsi="Times New Roman" w:cs="Times New Roman"/>
                <w:noProof/>
              </w:rPr>
              <w:t>Portability</w:t>
            </w:r>
            <w:r w:rsidR="00D8735B" w:rsidRPr="00D8735B">
              <w:rPr>
                <w:rFonts w:ascii="Times New Roman" w:hAnsi="Times New Roman" w:cs="Times New Roman"/>
                <w:noProof/>
                <w:webHidden/>
              </w:rPr>
              <w:tab/>
            </w:r>
            <w:r w:rsidR="00D8735B" w:rsidRPr="00D8735B">
              <w:rPr>
                <w:rFonts w:ascii="Times New Roman" w:hAnsi="Times New Roman" w:cs="Times New Roman"/>
                <w:noProof/>
                <w:webHidden/>
              </w:rPr>
              <w:fldChar w:fldCharType="begin"/>
            </w:r>
            <w:r w:rsidR="00D8735B" w:rsidRPr="00D8735B">
              <w:rPr>
                <w:rFonts w:ascii="Times New Roman" w:hAnsi="Times New Roman" w:cs="Times New Roman"/>
                <w:noProof/>
                <w:webHidden/>
              </w:rPr>
              <w:instrText xml:space="preserve"> PAGEREF _Toc74733179 \h </w:instrText>
            </w:r>
            <w:r w:rsidR="00D8735B" w:rsidRPr="00D8735B">
              <w:rPr>
                <w:rFonts w:ascii="Times New Roman" w:hAnsi="Times New Roman" w:cs="Times New Roman"/>
                <w:noProof/>
                <w:webHidden/>
              </w:rPr>
            </w:r>
            <w:r w:rsidR="00D8735B" w:rsidRPr="00D8735B">
              <w:rPr>
                <w:rFonts w:ascii="Times New Roman" w:hAnsi="Times New Roman" w:cs="Times New Roman"/>
                <w:noProof/>
                <w:webHidden/>
              </w:rPr>
              <w:fldChar w:fldCharType="separate"/>
            </w:r>
            <w:r w:rsidR="004E253A">
              <w:rPr>
                <w:rFonts w:ascii="Times New Roman" w:hAnsi="Times New Roman" w:cs="Times New Roman"/>
                <w:noProof/>
                <w:webHidden/>
              </w:rPr>
              <w:t>33</w:t>
            </w:r>
            <w:r w:rsidR="00D8735B" w:rsidRPr="00D8735B">
              <w:rPr>
                <w:rFonts w:ascii="Times New Roman" w:hAnsi="Times New Roman" w:cs="Times New Roman"/>
                <w:noProof/>
                <w:webHidden/>
              </w:rPr>
              <w:fldChar w:fldCharType="end"/>
            </w:r>
          </w:hyperlink>
        </w:p>
        <w:p w14:paraId="4A87FD56" w14:textId="7490636A" w:rsidR="00D8735B" w:rsidRPr="00D8735B" w:rsidRDefault="00EE7DB8">
          <w:pPr>
            <w:pStyle w:val="TOC1"/>
            <w:tabs>
              <w:tab w:val="right" w:leader="dot" w:pos="9350"/>
            </w:tabs>
            <w:rPr>
              <w:rFonts w:ascii="Times New Roman" w:hAnsi="Times New Roman" w:cs="Times New Roman"/>
              <w:noProof/>
            </w:rPr>
          </w:pPr>
          <w:hyperlink w:anchor="_Toc74733180" w:history="1">
            <w:r w:rsidR="00D8735B" w:rsidRPr="00D8735B">
              <w:rPr>
                <w:rStyle w:val="Hyperlink"/>
                <w:rFonts w:ascii="Times New Roman" w:hAnsi="Times New Roman" w:cs="Times New Roman"/>
                <w:noProof/>
              </w:rPr>
              <w:t>Reporting Requirements</w:t>
            </w:r>
            <w:r w:rsidR="00D8735B" w:rsidRPr="00D8735B">
              <w:rPr>
                <w:rFonts w:ascii="Times New Roman" w:hAnsi="Times New Roman" w:cs="Times New Roman"/>
                <w:noProof/>
                <w:webHidden/>
              </w:rPr>
              <w:tab/>
            </w:r>
            <w:r w:rsidR="00D8735B" w:rsidRPr="00D8735B">
              <w:rPr>
                <w:rFonts w:ascii="Times New Roman" w:hAnsi="Times New Roman" w:cs="Times New Roman"/>
                <w:noProof/>
                <w:webHidden/>
              </w:rPr>
              <w:fldChar w:fldCharType="begin"/>
            </w:r>
            <w:r w:rsidR="00D8735B" w:rsidRPr="00D8735B">
              <w:rPr>
                <w:rFonts w:ascii="Times New Roman" w:hAnsi="Times New Roman" w:cs="Times New Roman"/>
                <w:noProof/>
                <w:webHidden/>
              </w:rPr>
              <w:instrText xml:space="preserve"> PAGEREF _Toc74733180 \h </w:instrText>
            </w:r>
            <w:r w:rsidR="00D8735B" w:rsidRPr="00D8735B">
              <w:rPr>
                <w:rFonts w:ascii="Times New Roman" w:hAnsi="Times New Roman" w:cs="Times New Roman"/>
                <w:noProof/>
                <w:webHidden/>
              </w:rPr>
            </w:r>
            <w:r w:rsidR="00D8735B" w:rsidRPr="00D8735B">
              <w:rPr>
                <w:rFonts w:ascii="Times New Roman" w:hAnsi="Times New Roman" w:cs="Times New Roman"/>
                <w:noProof/>
                <w:webHidden/>
              </w:rPr>
              <w:fldChar w:fldCharType="separate"/>
            </w:r>
            <w:r w:rsidR="004E253A">
              <w:rPr>
                <w:rFonts w:ascii="Times New Roman" w:hAnsi="Times New Roman" w:cs="Times New Roman"/>
                <w:noProof/>
                <w:webHidden/>
              </w:rPr>
              <w:t>37</w:t>
            </w:r>
            <w:r w:rsidR="00D8735B" w:rsidRPr="00D8735B">
              <w:rPr>
                <w:rFonts w:ascii="Times New Roman" w:hAnsi="Times New Roman" w:cs="Times New Roman"/>
                <w:noProof/>
                <w:webHidden/>
              </w:rPr>
              <w:fldChar w:fldCharType="end"/>
            </w:r>
          </w:hyperlink>
        </w:p>
        <w:p w14:paraId="5E0E967F" w14:textId="03167671" w:rsidR="00D8735B" w:rsidRPr="00D8735B" w:rsidRDefault="00EE7DB8">
          <w:pPr>
            <w:pStyle w:val="TOC1"/>
            <w:tabs>
              <w:tab w:val="right" w:leader="dot" w:pos="9350"/>
            </w:tabs>
            <w:rPr>
              <w:rFonts w:ascii="Times New Roman" w:hAnsi="Times New Roman" w:cs="Times New Roman"/>
              <w:noProof/>
            </w:rPr>
          </w:pPr>
          <w:hyperlink w:anchor="_Toc74733181" w:history="1">
            <w:r w:rsidR="00D8735B" w:rsidRPr="00D8735B">
              <w:rPr>
                <w:rStyle w:val="Hyperlink"/>
                <w:rFonts w:ascii="Times New Roman" w:hAnsi="Times New Roman" w:cs="Times New Roman"/>
                <w:noProof/>
              </w:rPr>
              <w:t>EHV Voucher Allocation</w:t>
            </w:r>
            <w:r w:rsidR="00D8735B" w:rsidRPr="00D8735B">
              <w:rPr>
                <w:rFonts w:ascii="Times New Roman" w:hAnsi="Times New Roman" w:cs="Times New Roman"/>
                <w:noProof/>
                <w:webHidden/>
              </w:rPr>
              <w:tab/>
            </w:r>
            <w:r w:rsidR="00D8735B" w:rsidRPr="00D8735B">
              <w:rPr>
                <w:rFonts w:ascii="Times New Roman" w:hAnsi="Times New Roman" w:cs="Times New Roman"/>
                <w:noProof/>
                <w:webHidden/>
              </w:rPr>
              <w:fldChar w:fldCharType="begin"/>
            </w:r>
            <w:r w:rsidR="00D8735B" w:rsidRPr="00D8735B">
              <w:rPr>
                <w:rFonts w:ascii="Times New Roman" w:hAnsi="Times New Roman" w:cs="Times New Roman"/>
                <w:noProof/>
                <w:webHidden/>
              </w:rPr>
              <w:instrText xml:space="preserve"> PAGEREF _Toc74733181 \h </w:instrText>
            </w:r>
            <w:r w:rsidR="00D8735B" w:rsidRPr="00D8735B">
              <w:rPr>
                <w:rFonts w:ascii="Times New Roman" w:hAnsi="Times New Roman" w:cs="Times New Roman"/>
                <w:noProof/>
                <w:webHidden/>
              </w:rPr>
            </w:r>
            <w:r w:rsidR="00D8735B" w:rsidRPr="00D8735B">
              <w:rPr>
                <w:rFonts w:ascii="Times New Roman" w:hAnsi="Times New Roman" w:cs="Times New Roman"/>
                <w:noProof/>
                <w:webHidden/>
              </w:rPr>
              <w:fldChar w:fldCharType="separate"/>
            </w:r>
            <w:r w:rsidR="004E253A">
              <w:rPr>
                <w:rFonts w:ascii="Times New Roman" w:hAnsi="Times New Roman" w:cs="Times New Roman"/>
                <w:noProof/>
                <w:webHidden/>
              </w:rPr>
              <w:t>39</w:t>
            </w:r>
            <w:r w:rsidR="00D8735B" w:rsidRPr="00D8735B">
              <w:rPr>
                <w:rFonts w:ascii="Times New Roman" w:hAnsi="Times New Roman" w:cs="Times New Roman"/>
                <w:noProof/>
                <w:webHidden/>
              </w:rPr>
              <w:fldChar w:fldCharType="end"/>
            </w:r>
          </w:hyperlink>
        </w:p>
        <w:p w14:paraId="70B06033" w14:textId="09ADE777" w:rsidR="00D8735B" w:rsidRPr="00D8735B" w:rsidRDefault="00EE7DB8">
          <w:pPr>
            <w:pStyle w:val="TOC1"/>
            <w:tabs>
              <w:tab w:val="right" w:leader="dot" w:pos="9350"/>
            </w:tabs>
            <w:rPr>
              <w:rFonts w:ascii="Times New Roman" w:hAnsi="Times New Roman" w:cs="Times New Roman"/>
              <w:noProof/>
            </w:rPr>
          </w:pPr>
          <w:hyperlink w:anchor="_Toc74733182" w:history="1">
            <w:r w:rsidR="00D8735B" w:rsidRPr="00D8735B">
              <w:rPr>
                <w:rStyle w:val="Hyperlink"/>
                <w:rFonts w:ascii="Times New Roman" w:hAnsi="Times New Roman" w:cs="Times New Roman"/>
                <w:noProof/>
              </w:rPr>
              <w:t>EHV Voucher Acceptance/Rejection Process</w:t>
            </w:r>
            <w:r w:rsidR="00D8735B" w:rsidRPr="00D8735B">
              <w:rPr>
                <w:rFonts w:ascii="Times New Roman" w:hAnsi="Times New Roman" w:cs="Times New Roman"/>
                <w:noProof/>
                <w:webHidden/>
              </w:rPr>
              <w:tab/>
            </w:r>
            <w:r w:rsidR="00D8735B" w:rsidRPr="00D8735B">
              <w:rPr>
                <w:rFonts w:ascii="Times New Roman" w:hAnsi="Times New Roman" w:cs="Times New Roman"/>
                <w:noProof/>
                <w:webHidden/>
              </w:rPr>
              <w:fldChar w:fldCharType="begin"/>
            </w:r>
            <w:r w:rsidR="00D8735B" w:rsidRPr="00D8735B">
              <w:rPr>
                <w:rFonts w:ascii="Times New Roman" w:hAnsi="Times New Roman" w:cs="Times New Roman"/>
                <w:noProof/>
                <w:webHidden/>
              </w:rPr>
              <w:instrText xml:space="preserve"> PAGEREF _Toc74733182 \h </w:instrText>
            </w:r>
            <w:r w:rsidR="00D8735B" w:rsidRPr="00D8735B">
              <w:rPr>
                <w:rFonts w:ascii="Times New Roman" w:hAnsi="Times New Roman" w:cs="Times New Roman"/>
                <w:noProof/>
                <w:webHidden/>
              </w:rPr>
            </w:r>
            <w:r w:rsidR="00D8735B" w:rsidRPr="00D8735B">
              <w:rPr>
                <w:rFonts w:ascii="Times New Roman" w:hAnsi="Times New Roman" w:cs="Times New Roman"/>
                <w:noProof/>
                <w:webHidden/>
              </w:rPr>
              <w:fldChar w:fldCharType="separate"/>
            </w:r>
            <w:r w:rsidR="004E253A">
              <w:rPr>
                <w:rFonts w:ascii="Times New Roman" w:hAnsi="Times New Roman" w:cs="Times New Roman"/>
                <w:noProof/>
                <w:webHidden/>
              </w:rPr>
              <w:t>40</w:t>
            </w:r>
            <w:r w:rsidR="00D8735B" w:rsidRPr="00D8735B">
              <w:rPr>
                <w:rFonts w:ascii="Times New Roman" w:hAnsi="Times New Roman" w:cs="Times New Roman"/>
                <w:noProof/>
                <w:webHidden/>
              </w:rPr>
              <w:fldChar w:fldCharType="end"/>
            </w:r>
          </w:hyperlink>
        </w:p>
        <w:p w14:paraId="39676B1B" w14:textId="3595D624" w:rsidR="00D8735B" w:rsidRPr="00D8735B" w:rsidRDefault="00EE7DB8">
          <w:pPr>
            <w:pStyle w:val="TOC1"/>
            <w:tabs>
              <w:tab w:val="right" w:leader="dot" w:pos="9350"/>
            </w:tabs>
            <w:rPr>
              <w:rFonts w:ascii="Times New Roman" w:hAnsi="Times New Roman" w:cs="Times New Roman"/>
              <w:noProof/>
            </w:rPr>
          </w:pPr>
          <w:hyperlink w:anchor="_Toc74733183" w:history="1">
            <w:r w:rsidR="00D8735B" w:rsidRPr="00D8735B">
              <w:rPr>
                <w:rStyle w:val="Hyperlink"/>
                <w:rFonts w:ascii="Times New Roman" w:hAnsi="Times New Roman" w:cs="Times New Roman"/>
                <w:noProof/>
              </w:rPr>
              <w:t>MTW</w:t>
            </w:r>
            <w:r w:rsidR="00D8735B" w:rsidRPr="00D8735B">
              <w:rPr>
                <w:rFonts w:ascii="Times New Roman" w:hAnsi="Times New Roman" w:cs="Times New Roman"/>
                <w:noProof/>
                <w:webHidden/>
              </w:rPr>
              <w:tab/>
            </w:r>
            <w:r w:rsidR="00D8735B" w:rsidRPr="00D8735B">
              <w:rPr>
                <w:rFonts w:ascii="Times New Roman" w:hAnsi="Times New Roman" w:cs="Times New Roman"/>
                <w:noProof/>
                <w:webHidden/>
              </w:rPr>
              <w:fldChar w:fldCharType="begin"/>
            </w:r>
            <w:r w:rsidR="00D8735B" w:rsidRPr="00D8735B">
              <w:rPr>
                <w:rFonts w:ascii="Times New Roman" w:hAnsi="Times New Roman" w:cs="Times New Roman"/>
                <w:noProof/>
                <w:webHidden/>
              </w:rPr>
              <w:instrText xml:space="preserve"> PAGEREF _Toc74733183 \h </w:instrText>
            </w:r>
            <w:r w:rsidR="00D8735B" w:rsidRPr="00D8735B">
              <w:rPr>
                <w:rFonts w:ascii="Times New Roman" w:hAnsi="Times New Roman" w:cs="Times New Roman"/>
                <w:noProof/>
                <w:webHidden/>
              </w:rPr>
            </w:r>
            <w:r w:rsidR="00D8735B" w:rsidRPr="00D8735B">
              <w:rPr>
                <w:rFonts w:ascii="Times New Roman" w:hAnsi="Times New Roman" w:cs="Times New Roman"/>
                <w:noProof/>
                <w:webHidden/>
              </w:rPr>
              <w:fldChar w:fldCharType="separate"/>
            </w:r>
            <w:r w:rsidR="004E253A">
              <w:rPr>
                <w:rFonts w:ascii="Times New Roman" w:hAnsi="Times New Roman" w:cs="Times New Roman"/>
                <w:noProof/>
                <w:webHidden/>
              </w:rPr>
              <w:t>40</w:t>
            </w:r>
            <w:r w:rsidR="00D8735B" w:rsidRPr="00D8735B">
              <w:rPr>
                <w:rFonts w:ascii="Times New Roman" w:hAnsi="Times New Roman" w:cs="Times New Roman"/>
                <w:noProof/>
                <w:webHidden/>
              </w:rPr>
              <w:fldChar w:fldCharType="end"/>
            </w:r>
          </w:hyperlink>
        </w:p>
        <w:p w14:paraId="4F84B7E9" w14:textId="2CF8571E" w:rsidR="00D8735B" w:rsidRPr="00D8735B" w:rsidRDefault="00EE7DB8">
          <w:pPr>
            <w:pStyle w:val="TOC1"/>
            <w:tabs>
              <w:tab w:val="right" w:leader="dot" w:pos="9350"/>
            </w:tabs>
            <w:rPr>
              <w:rFonts w:ascii="Times New Roman" w:hAnsi="Times New Roman" w:cs="Times New Roman"/>
              <w:noProof/>
            </w:rPr>
          </w:pPr>
          <w:hyperlink w:anchor="_Toc74733184" w:history="1">
            <w:r w:rsidR="00D8735B" w:rsidRPr="00D8735B">
              <w:rPr>
                <w:rStyle w:val="Hyperlink"/>
                <w:rFonts w:ascii="Times New Roman" w:hAnsi="Times New Roman" w:cs="Times New Roman"/>
                <w:noProof/>
              </w:rPr>
              <w:t>Housing Location/Landlord Resources</w:t>
            </w:r>
            <w:r w:rsidR="00D8735B" w:rsidRPr="00D8735B">
              <w:rPr>
                <w:rFonts w:ascii="Times New Roman" w:hAnsi="Times New Roman" w:cs="Times New Roman"/>
                <w:noProof/>
                <w:webHidden/>
              </w:rPr>
              <w:tab/>
            </w:r>
            <w:r w:rsidR="00D8735B" w:rsidRPr="00D8735B">
              <w:rPr>
                <w:rFonts w:ascii="Times New Roman" w:hAnsi="Times New Roman" w:cs="Times New Roman"/>
                <w:noProof/>
                <w:webHidden/>
              </w:rPr>
              <w:fldChar w:fldCharType="begin"/>
            </w:r>
            <w:r w:rsidR="00D8735B" w:rsidRPr="00D8735B">
              <w:rPr>
                <w:rFonts w:ascii="Times New Roman" w:hAnsi="Times New Roman" w:cs="Times New Roman"/>
                <w:noProof/>
                <w:webHidden/>
              </w:rPr>
              <w:instrText xml:space="preserve"> PAGEREF _Toc74733184 \h </w:instrText>
            </w:r>
            <w:r w:rsidR="00D8735B" w:rsidRPr="00D8735B">
              <w:rPr>
                <w:rFonts w:ascii="Times New Roman" w:hAnsi="Times New Roman" w:cs="Times New Roman"/>
                <w:noProof/>
                <w:webHidden/>
              </w:rPr>
            </w:r>
            <w:r w:rsidR="00D8735B" w:rsidRPr="00D8735B">
              <w:rPr>
                <w:rFonts w:ascii="Times New Roman" w:hAnsi="Times New Roman" w:cs="Times New Roman"/>
                <w:noProof/>
                <w:webHidden/>
              </w:rPr>
              <w:fldChar w:fldCharType="separate"/>
            </w:r>
            <w:r w:rsidR="004E253A">
              <w:rPr>
                <w:rFonts w:ascii="Times New Roman" w:hAnsi="Times New Roman" w:cs="Times New Roman"/>
                <w:noProof/>
                <w:webHidden/>
              </w:rPr>
              <w:t>41</w:t>
            </w:r>
            <w:r w:rsidR="00D8735B" w:rsidRPr="00D8735B">
              <w:rPr>
                <w:rFonts w:ascii="Times New Roman" w:hAnsi="Times New Roman" w:cs="Times New Roman"/>
                <w:noProof/>
                <w:webHidden/>
              </w:rPr>
              <w:fldChar w:fldCharType="end"/>
            </w:r>
          </w:hyperlink>
        </w:p>
        <w:p w14:paraId="4F29D86C" w14:textId="31903BF7" w:rsidR="005B6F6A" w:rsidRPr="00A704E0" w:rsidRDefault="005B6F6A" w:rsidP="005B6F6A">
          <w:pPr>
            <w:rPr>
              <w:rFonts w:ascii="Times New Roman" w:hAnsi="Times New Roman" w:cs="Times New Roman"/>
              <w:noProof/>
            </w:rPr>
          </w:pPr>
          <w:r w:rsidRPr="00D8735B">
            <w:rPr>
              <w:rFonts w:ascii="Times New Roman" w:hAnsi="Times New Roman" w:cs="Times New Roman"/>
              <w:noProof/>
            </w:rPr>
            <w:fldChar w:fldCharType="end"/>
          </w:r>
        </w:p>
        <w:p w14:paraId="13607B4F" w14:textId="77777777" w:rsidR="005B6F6A" w:rsidRPr="00B91EF0" w:rsidRDefault="005B6F6A" w:rsidP="005B6F6A">
          <w:r w:rsidRPr="00B91EF0">
            <w:rPr>
              <w:noProof/>
            </w:rPr>
            <w:br/>
          </w:r>
        </w:p>
      </w:sdtContent>
    </w:sdt>
    <w:p w14:paraId="77673187" w14:textId="77777777" w:rsidR="005B6F6A" w:rsidRDefault="005B6F6A" w:rsidP="005B6F6A">
      <w:pPr>
        <w:rPr>
          <w:rFonts w:ascii="Times New Roman" w:eastAsia="Times New Roman" w:hAnsi="Times New Roman" w:cs="Times New Roman"/>
          <w:b/>
          <w:bCs/>
        </w:rPr>
      </w:pPr>
      <w:r>
        <w:rPr>
          <w:rFonts w:ascii="Times New Roman" w:eastAsia="Times New Roman" w:hAnsi="Times New Roman" w:cs="Times New Roman"/>
          <w:b/>
          <w:bCs/>
        </w:rPr>
        <w:br w:type="page"/>
      </w:r>
    </w:p>
    <w:p w14:paraId="4CE41236" w14:textId="77777777" w:rsidR="005B6F6A" w:rsidRDefault="005B6F6A" w:rsidP="005B6F6A">
      <w:pPr>
        <w:pStyle w:val="Heading1"/>
      </w:pPr>
      <w:bookmarkStart w:id="0" w:name="_Toc74733175"/>
      <w:r w:rsidRPr="00160FFA">
        <w:lastRenderedPageBreak/>
        <w:t>Eligibility</w:t>
      </w:r>
      <w:bookmarkEnd w:id="0"/>
    </w:p>
    <w:p w14:paraId="649B795B" w14:textId="77777777" w:rsidR="005B6F6A" w:rsidRPr="00FC3011" w:rsidRDefault="005B6F6A" w:rsidP="00B86D98">
      <w:pPr>
        <w:pStyle w:val="ListParagraph"/>
        <w:numPr>
          <w:ilvl w:val="0"/>
          <w:numId w:val="3"/>
        </w:numPr>
        <w:spacing w:line="251" w:lineRule="auto"/>
        <w:rPr>
          <w:rFonts w:ascii="Times New Roman" w:eastAsia="Times New Roman" w:hAnsi="Times New Roman" w:cs="Times New Roman"/>
          <w:b/>
          <w:bCs/>
        </w:rPr>
      </w:pPr>
      <w:r w:rsidRPr="00FC3011">
        <w:rPr>
          <w:rFonts w:ascii="Times New Roman" w:eastAsia="Times New Roman" w:hAnsi="Times New Roman" w:cs="Times New Roman"/>
          <w:b/>
          <w:bCs/>
        </w:rPr>
        <w:t xml:space="preserve">Who qualifies for the Emergency Housing Voucher Program?  </w:t>
      </w:r>
    </w:p>
    <w:p w14:paraId="3B8B8CCC" w14:textId="77777777" w:rsidR="005B6F6A" w:rsidRPr="00FC3011" w:rsidRDefault="005B6F6A" w:rsidP="005B6F6A">
      <w:pPr>
        <w:spacing w:line="251" w:lineRule="auto"/>
        <w:ind w:left="360" w:firstLine="360"/>
        <w:rPr>
          <w:rFonts w:ascii="Times New Roman" w:eastAsia="Times New Roman" w:hAnsi="Times New Roman" w:cs="Times New Roman"/>
        </w:rPr>
      </w:pPr>
      <w:r w:rsidRPr="00FC3011">
        <w:rPr>
          <w:rFonts w:ascii="Times New Roman" w:eastAsia="Times New Roman" w:hAnsi="Times New Roman" w:cs="Times New Roman"/>
        </w:rPr>
        <w:t>Emergency Housing Vouchers (EHVs) are specifically designed for households who are:</w:t>
      </w:r>
    </w:p>
    <w:p w14:paraId="73A547CC" w14:textId="77777777" w:rsidR="005B6F6A" w:rsidRPr="00FC3011" w:rsidRDefault="005B6F6A" w:rsidP="00B86D98">
      <w:pPr>
        <w:pStyle w:val="ListParagraph"/>
        <w:numPr>
          <w:ilvl w:val="0"/>
          <w:numId w:val="2"/>
        </w:numPr>
        <w:spacing w:line="251" w:lineRule="auto"/>
        <w:rPr>
          <w:rFonts w:ascii="Times New Roman" w:hAnsi="Times New Roman" w:cs="Times New Roman"/>
          <w:color w:val="000000" w:themeColor="text1"/>
        </w:rPr>
      </w:pPr>
      <w:r w:rsidRPr="00FC3011">
        <w:rPr>
          <w:rFonts w:ascii="Times New Roman" w:eastAsia="Times New Roman" w:hAnsi="Times New Roman" w:cs="Times New Roman"/>
          <w:color w:val="000000" w:themeColor="text1"/>
        </w:rPr>
        <w:t>Homeless;</w:t>
      </w:r>
    </w:p>
    <w:p w14:paraId="26C04736" w14:textId="77777777" w:rsidR="005B6F6A" w:rsidRPr="00FC3011" w:rsidRDefault="005B6F6A" w:rsidP="00B86D98">
      <w:pPr>
        <w:pStyle w:val="ListParagraph"/>
        <w:numPr>
          <w:ilvl w:val="0"/>
          <w:numId w:val="2"/>
        </w:numPr>
        <w:spacing w:line="251" w:lineRule="auto"/>
        <w:rPr>
          <w:rFonts w:ascii="Times New Roman" w:hAnsi="Times New Roman" w:cs="Times New Roman"/>
          <w:color w:val="000000" w:themeColor="text1"/>
        </w:rPr>
      </w:pPr>
      <w:r w:rsidRPr="00FC3011">
        <w:rPr>
          <w:rFonts w:ascii="Times New Roman" w:eastAsia="Times New Roman" w:hAnsi="Times New Roman" w:cs="Times New Roman"/>
          <w:color w:val="000000" w:themeColor="text1"/>
        </w:rPr>
        <w:t>At Risk of Homelessness;</w:t>
      </w:r>
    </w:p>
    <w:p w14:paraId="39789DE3" w14:textId="77777777" w:rsidR="005B6F6A" w:rsidRPr="00FC3011" w:rsidRDefault="005B6F6A" w:rsidP="00B86D98">
      <w:pPr>
        <w:pStyle w:val="ListParagraph"/>
        <w:numPr>
          <w:ilvl w:val="0"/>
          <w:numId w:val="2"/>
        </w:numPr>
        <w:spacing w:line="251" w:lineRule="auto"/>
        <w:rPr>
          <w:rFonts w:ascii="Times New Roman" w:hAnsi="Times New Roman" w:cs="Times New Roman"/>
          <w:color w:val="000000" w:themeColor="text1"/>
        </w:rPr>
      </w:pPr>
      <w:r w:rsidRPr="00FC3011">
        <w:rPr>
          <w:rFonts w:ascii="Times New Roman" w:eastAsia="Times New Roman" w:hAnsi="Times New Roman" w:cs="Times New Roman"/>
          <w:color w:val="000000" w:themeColor="text1"/>
        </w:rPr>
        <w:t>Fleeing or attempting to flee domestic violence, dating violence, sexual assault, stalking or human trafficking;</w:t>
      </w:r>
    </w:p>
    <w:p w14:paraId="634DDAF0" w14:textId="77777777" w:rsidR="005B6F6A" w:rsidRPr="00FC3011" w:rsidRDefault="005B6F6A" w:rsidP="00B86D98">
      <w:pPr>
        <w:pStyle w:val="ListParagraph"/>
        <w:numPr>
          <w:ilvl w:val="0"/>
          <w:numId w:val="2"/>
        </w:numPr>
        <w:spacing w:line="251" w:lineRule="auto"/>
        <w:rPr>
          <w:rFonts w:ascii="Times New Roman" w:hAnsi="Times New Roman" w:cs="Times New Roman"/>
          <w:color w:val="000000" w:themeColor="text1"/>
        </w:rPr>
      </w:pPr>
      <w:r w:rsidRPr="00FC3011">
        <w:rPr>
          <w:rFonts w:ascii="Times New Roman" w:eastAsia="Times New Roman" w:hAnsi="Times New Roman" w:cs="Times New Roman"/>
          <w:color w:val="000000" w:themeColor="text1"/>
        </w:rPr>
        <w:t>Recently homeless and for whom providing rental assistance will prevent the family’s homelessness or having high risk of housing instability.</w:t>
      </w:r>
    </w:p>
    <w:p w14:paraId="3CD52259" w14:textId="79F133D7" w:rsidR="005B6F6A" w:rsidRPr="00FC3011" w:rsidRDefault="005B6F6A" w:rsidP="005B6F6A">
      <w:pPr>
        <w:spacing w:line="251" w:lineRule="auto"/>
        <w:ind w:left="720"/>
        <w:rPr>
          <w:rFonts w:ascii="Times New Roman" w:eastAsia="Times New Roman" w:hAnsi="Times New Roman" w:cs="Times New Roman"/>
          <w:color w:val="000000" w:themeColor="text1"/>
        </w:rPr>
      </w:pPr>
      <w:r w:rsidRPr="00FC3011">
        <w:rPr>
          <w:rFonts w:ascii="Times New Roman" w:eastAsia="Times New Roman" w:hAnsi="Times New Roman" w:cs="Times New Roman"/>
          <w:color w:val="000000" w:themeColor="text1"/>
        </w:rPr>
        <w:t>Detailed information on household eligibility can be found in Section 8 of</w:t>
      </w:r>
      <w:r w:rsidR="00A02996">
        <w:rPr>
          <w:rFonts w:ascii="Times New Roman" w:eastAsia="Times New Roman" w:hAnsi="Times New Roman" w:cs="Times New Roman"/>
          <w:color w:val="000000" w:themeColor="text1"/>
        </w:rPr>
        <w:t xml:space="preserve"> </w:t>
      </w:r>
      <w:hyperlink r:id="rId8" w:history="1">
        <w:r w:rsidR="00A02996" w:rsidRPr="00A02996">
          <w:rPr>
            <w:rStyle w:val="Hyperlink"/>
            <w:rFonts w:ascii="Times New Roman" w:eastAsia="Times New Roman" w:hAnsi="Times New Roman" w:cs="Times New Roman"/>
          </w:rPr>
          <w:t>PIH Notice 2021-15</w:t>
        </w:r>
      </w:hyperlink>
      <w:r w:rsidR="00A02996">
        <w:rPr>
          <w:rFonts w:ascii="Times New Roman" w:eastAsia="Times New Roman" w:hAnsi="Times New Roman" w:cs="Times New Roman"/>
          <w:color w:val="000000" w:themeColor="text1"/>
        </w:rPr>
        <w:t>.</w:t>
      </w:r>
    </w:p>
    <w:p w14:paraId="57937F28" w14:textId="77777777" w:rsidR="005B6F6A" w:rsidRPr="00FC3011" w:rsidRDefault="005B6F6A" w:rsidP="00B86D98">
      <w:pPr>
        <w:pStyle w:val="ListParagraph"/>
        <w:numPr>
          <w:ilvl w:val="0"/>
          <w:numId w:val="3"/>
        </w:numPr>
        <w:spacing w:line="251" w:lineRule="auto"/>
        <w:rPr>
          <w:rFonts w:ascii="Times New Roman" w:eastAsia="Times New Roman" w:hAnsi="Times New Roman" w:cs="Times New Roman"/>
          <w:b/>
          <w:bCs/>
          <w:color w:val="000000" w:themeColor="text1"/>
        </w:rPr>
      </w:pPr>
      <w:r w:rsidRPr="00FC3011">
        <w:rPr>
          <w:rFonts w:ascii="Times New Roman" w:eastAsia="Times New Roman" w:hAnsi="Times New Roman" w:cs="Times New Roman"/>
          <w:b/>
          <w:bCs/>
          <w:color w:val="000000" w:themeColor="text1"/>
        </w:rPr>
        <w:t>Are participants in Rapid Rehousing programs eligible for EHV?</w:t>
      </w:r>
    </w:p>
    <w:p w14:paraId="5081FEAB" w14:textId="77777777" w:rsidR="005B6F6A" w:rsidRPr="00FC3011" w:rsidRDefault="005B6F6A" w:rsidP="005B6F6A">
      <w:pPr>
        <w:pStyle w:val="ListParagraph"/>
        <w:spacing w:line="251" w:lineRule="auto"/>
        <w:rPr>
          <w:rFonts w:ascii="Times New Roman" w:eastAsia="Times New Roman" w:hAnsi="Times New Roman" w:cs="Times New Roman"/>
          <w:b/>
          <w:bCs/>
          <w:color w:val="000000" w:themeColor="text1"/>
        </w:rPr>
      </w:pPr>
    </w:p>
    <w:p w14:paraId="2613B77F" w14:textId="32EB53B7" w:rsidR="005B6F6A" w:rsidRPr="00FC3011" w:rsidRDefault="005B6F6A" w:rsidP="005B6F6A">
      <w:pPr>
        <w:pStyle w:val="ListParagraph"/>
        <w:spacing w:line="251" w:lineRule="auto"/>
        <w:rPr>
          <w:rFonts w:ascii="Times New Roman" w:eastAsia="Times New Roman" w:hAnsi="Times New Roman" w:cs="Times New Roman"/>
          <w:color w:val="000000" w:themeColor="text1"/>
        </w:rPr>
      </w:pPr>
      <w:r w:rsidRPr="00FC3011">
        <w:rPr>
          <w:rFonts w:ascii="Times New Roman" w:eastAsia="Times New Roman" w:hAnsi="Times New Roman" w:cs="Times New Roman"/>
          <w:color w:val="000000" w:themeColor="text1"/>
        </w:rPr>
        <w:t>Yes. Continuums of Care (</w:t>
      </w:r>
      <w:proofErr w:type="spellStart"/>
      <w:r w:rsidRPr="00FC3011">
        <w:rPr>
          <w:rFonts w:ascii="Times New Roman" w:eastAsia="Times New Roman" w:hAnsi="Times New Roman" w:cs="Times New Roman"/>
          <w:color w:val="000000" w:themeColor="text1"/>
        </w:rPr>
        <w:t>CoCs</w:t>
      </w:r>
      <w:proofErr w:type="spellEnd"/>
      <w:r w:rsidRPr="00FC3011">
        <w:rPr>
          <w:rFonts w:ascii="Times New Roman" w:eastAsia="Times New Roman" w:hAnsi="Times New Roman" w:cs="Times New Roman"/>
          <w:color w:val="000000" w:themeColor="text1"/>
        </w:rPr>
        <w:t>) have the discretion to refer households in Rapid Rehousing programs to receive E</w:t>
      </w:r>
      <w:r w:rsidR="00E0475F" w:rsidRPr="00FC3011">
        <w:rPr>
          <w:rFonts w:ascii="Times New Roman" w:eastAsia="Times New Roman" w:hAnsi="Times New Roman" w:cs="Times New Roman"/>
          <w:color w:val="000000" w:themeColor="text1"/>
        </w:rPr>
        <w:t>HVs</w:t>
      </w:r>
      <w:r w:rsidRPr="00FC3011">
        <w:rPr>
          <w:rFonts w:ascii="Times New Roman" w:eastAsia="Times New Roman" w:hAnsi="Times New Roman" w:cs="Times New Roman"/>
          <w:color w:val="000000" w:themeColor="text1"/>
        </w:rPr>
        <w:t xml:space="preserve"> administered by PHAs.</w:t>
      </w:r>
    </w:p>
    <w:p w14:paraId="5D7340A7" w14:textId="77777777" w:rsidR="005B6F6A" w:rsidRPr="00FC3011" w:rsidRDefault="005B6F6A" w:rsidP="005B6F6A">
      <w:pPr>
        <w:pStyle w:val="ListParagraph"/>
        <w:spacing w:line="251" w:lineRule="auto"/>
        <w:ind w:left="0"/>
        <w:rPr>
          <w:rFonts w:ascii="Times New Roman" w:eastAsia="Times New Roman" w:hAnsi="Times New Roman" w:cs="Times New Roman"/>
        </w:rPr>
      </w:pPr>
    </w:p>
    <w:p w14:paraId="19EBAD36" w14:textId="77DB21E4" w:rsidR="00BE2B56" w:rsidRPr="00FC3011" w:rsidRDefault="00BE2B56" w:rsidP="00B86D98">
      <w:pPr>
        <w:pStyle w:val="ListParagraph"/>
        <w:numPr>
          <w:ilvl w:val="0"/>
          <w:numId w:val="3"/>
        </w:numPr>
        <w:rPr>
          <w:rFonts w:ascii="Times New Roman" w:hAnsi="Times New Roman" w:cs="Times New Roman"/>
          <w:b/>
          <w:bCs/>
        </w:rPr>
      </w:pPr>
      <w:r w:rsidRPr="00FC3011">
        <w:rPr>
          <w:rFonts w:ascii="Times New Roman" w:hAnsi="Times New Roman" w:cs="Times New Roman"/>
          <w:b/>
          <w:bCs/>
        </w:rPr>
        <w:t xml:space="preserve">How is “at-risk of homelessness” defined and how can communities identify which household are “at-risk of homelessness”?  </w:t>
      </w:r>
    </w:p>
    <w:p w14:paraId="7C05579C" w14:textId="77777777" w:rsidR="00E62B76" w:rsidRPr="00FC3011" w:rsidRDefault="00E62B76" w:rsidP="00E62B76">
      <w:pPr>
        <w:pStyle w:val="ListParagraph"/>
        <w:rPr>
          <w:rFonts w:ascii="Times New Roman" w:hAnsi="Times New Roman" w:cs="Times New Roman"/>
          <w:color w:val="FF0000"/>
        </w:rPr>
      </w:pPr>
    </w:p>
    <w:p w14:paraId="33A7161C" w14:textId="4909794C" w:rsidR="007C3FB3" w:rsidRPr="00FC3011" w:rsidRDefault="00E62B76" w:rsidP="00E62B76">
      <w:pPr>
        <w:pStyle w:val="ListParagraph"/>
        <w:rPr>
          <w:rFonts w:ascii="Times New Roman" w:hAnsi="Times New Roman" w:cs="Times New Roman"/>
        </w:rPr>
      </w:pPr>
      <w:r w:rsidRPr="00FC3011">
        <w:rPr>
          <w:rFonts w:ascii="Times New Roman" w:hAnsi="Times New Roman" w:cs="Times New Roman"/>
        </w:rPr>
        <w:t>The EHV program uses the definition of “at-risk of homelessness” outlined at 24 CFR 578.3</w:t>
      </w:r>
      <w:r w:rsidR="004F4187" w:rsidRPr="00FC3011">
        <w:rPr>
          <w:rFonts w:ascii="Times New Roman" w:hAnsi="Times New Roman" w:cs="Times New Roman"/>
        </w:rPr>
        <w:t xml:space="preserve">, which can also be found in </w:t>
      </w:r>
      <w:bookmarkStart w:id="1" w:name="_Hlk80260230"/>
      <w:r w:rsidR="004664E6" w:rsidRPr="00FC3011">
        <w:fldChar w:fldCharType="begin"/>
      </w:r>
      <w:r w:rsidR="004664E6" w:rsidRPr="00FC3011">
        <w:rPr>
          <w:rFonts w:ascii="Times New Roman" w:hAnsi="Times New Roman" w:cs="Times New Roman"/>
        </w:rPr>
        <w:instrText xml:space="preserve"> HYPERLINK "https://www.hud.gov/sites/dfiles/PIH/documents/PIH2021-15.pdf" </w:instrText>
      </w:r>
      <w:r w:rsidR="004664E6" w:rsidRPr="00FC3011">
        <w:fldChar w:fldCharType="separate"/>
      </w:r>
      <w:r w:rsidR="004F4187" w:rsidRPr="00FC3011">
        <w:rPr>
          <w:rStyle w:val="Hyperlink"/>
          <w:rFonts w:ascii="Times New Roman" w:hAnsi="Times New Roman" w:cs="Times New Roman"/>
        </w:rPr>
        <w:t>PIH Notice 2021-15</w:t>
      </w:r>
      <w:r w:rsidR="004664E6" w:rsidRPr="00FC3011">
        <w:rPr>
          <w:rStyle w:val="Hyperlink"/>
          <w:rFonts w:ascii="Times New Roman" w:hAnsi="Times New Roman" w:cs="Times New Roman"/>
        </w:rPr>
        <w:fldChar w:fldCharType="end"/>
      </w:r>
      <w:bookmarkEnd w:id="1"/>
      <w:r w:rsidR="004F4187" w:rsidRPr="00FC3011">
        <w:rPr>
          <w:rFonts w:ascii="Times New Roman" w:hAnsi="Times New Roman" w:cs="Times New Roman"/>
        </w:rPr>
        <w:t xml:space="preserve"> in section 8.b. </w:t>
      </w:r>
      <w:r w:rsidRPr="00FC3011">
        <w:rPr>
          <w:rFonts w:ascii="Times New Roman" w:hAnsi="Times New Roman" w:cs="Times New Roman"/>
        </w:rPr>
        <w:t xml:space="preserve">  An outline of this definition is available at </w:t>
      </w:r>
      <w:hyperlink r:id="rId9">
        <w:r w:rsidR="00DF391A" w:rsidRPr="00FC3011">
          <w:rPr>
            <w:rStyle w:val="Hyperlink"/>
            <w:rFonts w:ascii="Times New Roman" w:hAnsi="Times New Roman" w:cs="Times New Roman"/>
          </w:rPr>
          <w:t>https://files.hudexchange.info/resources/documents/AtRiskofHomelessnessDefinition_Criteria.pdf</w:t>
        </w:r>
      </w:hyperlink>
      <w:r w:rsidR="00DF391A" w:rsidRPr="00FC3011">
        <w:rPr>
          <w:rFonts w:ascii="Times New Roman" w:hAnsi="Times New Roman" w:cs="Times New Roman"/>
        </w:rPr>
        <w:t xml:space="preserve"> </w:t>
      </w:r>
    </w:p>
    <w:p w14:paraId="4A8C113D" w14:textId="77777777" w:rsidR="007C3FB3" w:rsidRPr="00FC3011" w:rsidRDefault="007C3FB3" w:rsidP="00E62B76">
      <w:pPr>
        <w:pStyle w:val="ListParagraph"/>
        <w:rPr>
          <w:rFonts w:ascii="Times New Roman" w:hAnsi="Times New Roman" w:cs="Times New Roman"/>
        </w:rPr>
      </w:pPr>
    </w:p>
    <w:p w14:paraId="4A9ABC64" w14:textId="08C0061F" w:rsidR="007C3FB3" w:rsidRPr="00FC3011" w:rsidRDefault="00E62B76" w:rsidP="00C8171B">
      <w:pPr>
        <w:pStyle w:val="ListParagraph"/>
        <w:rPr>
          <w:rFonts w:ascii="Times New Roman" w:hAnsi="Times New Roman" w:cs="Times New Roman"/>
        </w:rPr>
      </w:pPr>
      <w:r w:rsidRPr="00FC3011">
        <w:rPr>
          <w:rFonts w:ascii="Times New Roman" w:hAnsi="Times New Roman" w:cs="Times New Roman"/>
        </w:rPr>
        <w:t xml:space="preserve">Communities should work together with other stakeholders, including education liaisons, homeless services providers, health agencies, correctional settings, nursing homes, psychiatric hospitals, and other </w:t>
      </w:r>
      <w:r w:rsidR="00195919" w:rsidRPr="00FC3011">
        <w:rPr>
          <w:rFonts w:ascii="Times New Roman" w:hAnsi="Times New Roman" w:cs="Times New Roman"/>
        </w:rPr>
        <w:t>in-</w:t>
      </w:r>
      <w:r w:rsidRPr="00FC3011">
        <w:rPr>
          <w:rFonts w:ascii="Times New Roman" w:hAnsi="Times New Roman" w:cs="Times New Roman"/>
        </w:rPr>
        <w:t xml:space="preserve">patient/institutional settings to identify households who are at-risk of homelessness that should be </w:t>
      </w:r>
      <w:r w:rsidR="007C3FB3" w:rsidRPr="00FC3011">
        <w:rPr>
          <w:rFonts w:ascii="Times New Roman" w:hAnsi="Times New Roman" w:cs="Times New Roman"/>
        </w:rPr>
        <w:t>eligible</w:t>
      </w:r>
      <w:r w:rsidRPr="00FC3011">
        <w:rPr>
          <w:rFonts w:ascii="Times New Roman" w:hAnsi="Times New Roman" w:cs="Times New Roman"/>
        </w:rPr>
        <w:t xml:space="preserve"> for EHVs.  </w:t>
      </w:r>
      <w:r w:rsidR="00FB6BDF" w:rsidRPr="00FC3011">
        <w:rPr>
          <w:rFonts w:ascii="Times New Roman" w:hAnsi="Times New Roman" w:cs="Times New Roman"/>
        </w:rPr>
        <w:t xml:space="preserve"> </w:t>
      </w:r>
    </w:p>
    <w:p w14:paraId="20E20553" w14:textId="77777777" w:rsidR="00E82320" w:rsidRPr="00FC3011" w:rsidRDefault="00E82320" w:rsidP="00E82320">
      <w:pPr>
        <w:pStyle w:val="ListParagraph"/>
        <w:spacing w:line="252" w:lineRule="auto"/>
        <w:ind w:left="1440"/>
        <w:rPr>
          <w:rFonts w:ascii="Times New Roman" w:hAnsi="Times New Roman" w:cs="Times New Roman"/>
          <w:color w:val="FF0000"/>
        </w:rPr>
      </w:pPr>
    </w:p>
    <w:p w14:paraId="04F1243D" w14:textId="60AB5CB3" w:rsidR="003E6A27" w:rsidRPr="00FC3011" w:rsidRDefault="00BE2B56" w:rsidP="00B86D98">
      <w:pPr>
        <w:pStyle w:val="ListParagraph"/>
        <w:numPr>
          <w:ilvl w:val="0"/>
          <w:numId w:val="3"/>
        </w:numPr>
        <w:spacing w:line="251" w:lineRule="auto"/>
        <w:rPr>
          <w:rFonts w:ascii="Times New Roman" w:eastAsia="Times New Roman" w:hAnsi="Times New Roman" w:cs="Times New Roman"/>
          <w:b/>
          <w:bCs/>
        </w:rPr>
      </w:pPr>
      <w:r w:rsidRPr="00FC3011">
        <w:rPr>
          <w:rFonts w:ascii="Times New Roman" w:eastAsia="Times New Roman" w:hAnsi="Times New Roman" w:cs="Times New Roman"/>
          <w:b/>
          <w:bCs/>
        </w:rPr>
        <w:t xml:space="preserve">Regarding the McKinney-Vento Act definitions, the following provision about not having a support network appears in several places: “Lacks the resources or support networks, e.g., family, friends, and faith-based or other social networks, to obtain other permanent housing.”  Does this have to be demonstrated, and if so, how must this be demonstrated? </w:t>
      </w:r>
    </w:p>
    <w:p w14:paraId="447A227A" w14:textId="401713D5" w:rsidR="00BE2B56" w:rsidRPr="00FC3011" w:rsidRDefault="00BE2B56" w:rsidP="00BF2A79">
      <w:pPr>
        <w:ind w:left="720"/>
        <w:rPr>
          <w:rFonts w:ascii="Times New Roman" w:eastAsia="Times New Roman" w:hAnsi="Times New Roman" w:cs="Times New Roman"/>
        </w:rPr>
      </w:pPr>
      <w:r w:rsidRPr="00FC3011">
        <w:rPr>
          <w:rFonts w:ascii="Times New Roman" w:eastAsia="Times New Roman" w:hAnsi="Times New Roman" w:cs="Times New Roman"/>
          <w:lang w:val="en"/>
        </w:rPr>
        <w:t xml:space="preserve">Organizations certifying whether applicants lack the resources or support networks to obtain other permanent housing must establish procedures for documentation of the evidence relied upon to establish and verify status at intake. Certifying organizations may include institutional feeder agencies such as </w:t>
      </w:r>
      <w:r w:rsidR="00040355" w:rsidRPr="00FC3011">
        <w:rPr>
          <w:rFonts w:ascii="Times New Roman" w:eastAsia="Times New Roman" w:hAnsi="Times New Roman" w:cs="Times New Roman"/>
          <w:lang w:val="en"/>
        </w:rPr>
        <w:t xml:space="preserve">correctional settings, </w:t>
      </w:r>
      <w:r w:rsidRPr="00FC3011">
        <w:rPr>
          <w:rFonts w:ascii="Times New Roman" w:eastAsia="Times New Roman" w:hAnsi="Times New Roman" w:cs="Times New Roman"/>
          <w:lang w:val="en"/>
        </w:rPr>
        <w:t>h</w:t>
      </w:r>
      <w:r w:rsidR="00040355" w:rsidRPr="00FC3011">
        <w:rPr>
          <w:rFonts w:ascii="Times New Roman" w:eastAsia="Times New Roman" w:hAnsi="Times New Roman" w:cs="Times New Roman"/>
          <w:lang w:val="en"/>
        </w:rPr>
        <w:t>ealth agencies, nursing homes, psychiatric hospitals, in-patient institutional settings, etc.</w:t>
      </w:r>
      <w:r w:rsidRPr="00FC3011">
        <w:rPr>
          <w:rFonts w:ascii="Times New Roman" w:eastAsia="Times New Roman" w:hAnsi="Times New Roman" w:cs="Times New Roman"/>
          <w:lang w:val="en"/>
        </w:rPr>
        <w:t xml:space="preserve">  The procedures must establish the order of priority for obtaining evidence in the following order:</w:t>
      </w:r>
    </w:p>
    <w:p w14:paraId="1C896C94" w14:textId="77777777" w:rsidR="00BE2B56" w:rsidRPr="00FC3011" w:rsidRDefault="00BE2B56" w:rsidP="00B86D98">
      <w:pPr>
        <w:numPr>
          <w:ilvl w:val="0"/>
          <w:numId w:val="1"/>
        </w:numPr>
        <w:spacing w:after="0" w:line="240" w:lineRule="auto"/>
        <w:rPr>
          <w:rFonts w:ascii="Times New Roman" w:eastAsia="Times New Roman" w:hAnsi="Times New Roman" w:cs="Times New Roman"/>
        </w:rPr>
      </w:pPr>
      <w:r w:rsidRPr="00FC3011">
        <w:rPr>
          <w:rFonts w:ascii="Times New Roman" w:eastAsia="Times New Roman" w:hAnsi="Times New Roman" w:cs="Times New Roman"/>
          <w:lang w:val="en"/>
        </w:rPr>
        <w:t>Third-party documentation first;</w:t>
      </w:r>
      <w:r w:rsidRPr="00FC3011">
        <w:rPr>
          <w:rFonts w:ascii="Times New Roman" w:eastAsia="Times New Roman" w:hAnsi="Times New Roman" w:cs="Times New Roman"/>
        </w:rPr>
        <w:t> </w:t>
      </w:r>
    </w:p>
    <w:p w14:paraId="5F171D77" w14:textId="77777777" w:rsidR="00BE2B56" w:rsidRPr="00FC3011" w:rsidRDefault="00BE2B56" w:rsidP="00B86D98">
      <w:pPr>
        <w:numPr>
          <w:ilvl w:val="0"/>
          <w:numId w:val="1"/>
        </w:numPr>
        <w:spacing w:after="0" w:line="240" w:lineRule="auto"/>
        <w:rPr>
          <w:rFonts w:ascii="Times New Roman" w:eastAsia="Times New Roman" w:hAnsi="Times New Roman" w:cs="Times New Roman"/>
        </w:rPr>
      </w:pPr>
      <w:r w:rsidRPr="00FC3011">
        <w:rPr>
          <w:rFonts w:ascii="Times New Roman" w:eastAsia="Times New Roman" w:hAnsi="Times New Roman" w:cs="Times New Roman"/>
          <w:lang w:val="en"/>
        </w:rPr>
        <w:t>Intake worker observations second; and </w:t>
      </w:r>
      <w:r w:rsidRPr="00FC3011">
        <w:rPr>
          <w:rFonts w:ascii="Times New Roman" w:eastAsia="Times New Roman" w:hAnsi="Times New Roman" w:cs="Times New Roman"/>
        </w:rPr>
        <w:t> </w:t>
      </w:r>
    </w:p>
    <w:p w14:paraId="1B61DFDE" w14:textId="28AECFDF" w:rsidR="005B6F6A" w:rsidRPr="00FC3011" w:rsidRDefault="00BE2B56" w:rsidP="00B86D98">
      <w:pPr>
        <w:numPr>
          <w:ilvl w:val="0"/>
          <w:numId w:val="1"/>
        </w:numPr>
        <w:spacing w:after="0" w:line="240" w:lineRule="auto"/>
        <w:rPr>
          <w:rFonts w:ascii="Times New Roman" w:eastAsia="Times New Roman" w:hAnsi="Times New Roman" w:cs="Times New Roman"/>
        </w:rPr>
      </w:pPr>
      <w:r w:rsidRPr="00FC3011">
        <w:rPr>
          <w:rFonts w:ascii="Times New Roman" w:eastAsia="Times New Roman" w:hAnsi="Times New Roman" w:cs="Times New Roman"/>
          <w:lang w:val="en"/>
        </w:rPr>
        <w:t>Certification from the person seeking assistance third. </w:t>
      </w:r>
      <w:r w:rsidRPr="00FC3011">
        <w:rPr>
          <w:rFonts w:ascii="Times New Roman" w:eastAsia="Times New Roman" w:hAnsi="Times New Roman" w:cs="Times New Roman"/>
        </w:rPr>
        <w:t> </w:t>
      </w:r>
    </w:p>
    <w:p w14:paraId="4C1620E0" w14:textId="77777777" w:rsidR="002E1819" w:rsidRPr="00FC3011" w:rsidRDefault="002E1819" w:rsidP="00F43129">
      <w:pPr>
        <w:autoSpaceDE w:val="0"/>
        <w:autoSpaceDN w:val="0"/>
        <w:adjustRightInd w:val="0"/>
        <w:spacing w:after="0" w:line="240" w:lineRule="auto"/>
        <w:ind w:left="720"/>
        <w:rPr>
          <w:rFonts w:ascii="Times New Roman" w:eastAsia="MS Mincho" w:hAnsi="Times New Roman" w:cs="Times New Roman"/>
          <w:color w:val="000000"/>
        </w:rPr>
      </w:pPr>
    </w:p>
    <w:p w14:paraId="46EBDD1D" w14:textId="2CA4DF45" w:rsidR="00FB6BDF" w:rsidRPr="00FC3011" w:rsidRDefault="00FB6BDF" w:rsidP="00F43129">
      <w:pPr>
        <w:autoSpaceDE w:val="0"/>
        <w:autoSpaceDN w:val="0"/>
        <w:adjustRightInd w:val="0"/>
        <w:spacing w:after="0" w:line="240" w:lineRule="auto"/>
        <w:ind w:left="720"/>
        <w:rPr>
          <w:rFonts w:ascii="Times New Roman" w:eastAsia="MS Mincho" w:hAnsi="Times New Roman" w:cs="Times New Roman"/>
          <w:color w:val="000000"/>
        </w:rPr>
      </w:pPr>
      <w:r w:rsidRPr="00FC3011">
        <w:rPr>
          <w:rFonts w:ascii="Times New Roman" w:eastAsia="MS Mincho" w:hAnsi="Times New Roman" w:cs="Times New Roman"/>
          <w:color w:val="000000"/>
        </w:rPr>
        <w:lastRenderedPageBreak/>
        <w:t xml:space="preserve">Specifically, for lacking the resources or support networks, the following are acceptable  </w:t>
      </w:r>
    </w:p>
    <w:p w14:paraId="618E7886" w14:textId="49B78C6F" w:rsidR="00FB6BDF" w:rsidRPr="00FC3011" w:rsidRDefault="00FB6BDF" w:rsidP="00F43129">
      <w:pPr>
        <w:autoSpaceDE w:val="0"/>
        <w:autoSpaceDN w:val="0"/>
        <w:adjustRightInd w:val="0"/>
        <w:spacing w:after="0" w:line="240" w:lineRule="auto"/>
        <w:ind w:left="720"/>
        <w:rPr>
          <w:rFonts w:ascii="Times New Roman" w:eastAsia="MS Mincho" w:hAnsi="Times New Roman" w:cs="Times New Roman"/>
          <w:color w:val="000000"/>
        </w:rPr>
      </w:pPr>
      <w:r w:rsidRPr="00FC3011">
        <w:rPr>
          <w:rFonts w:ascii="Times New Roman" w:eastAsia="MS Mincho" w:hAnsi="Times New Roman" w:cs="Times New Roman"/>
          <w:color w:val="000000"/>
        </w:rPr>
        <w:t xml:space="preserve">documentation of this status: </w:t>
      </w:r>
    </w:p>
    <w:p w14:paraId="31B2A876" w14:textId="21935F80" w:rsidR="00FB6BDF" w:rsidRPr="00FC3011" w:rsidRDefault="00FB6BDF" w:rsidP="00B86D98">
      <w:pPr>
        <w:pStyle w:val="ListParagraph"/>
        <w:numPr>
          <w:ilvl w:val="0"/>
          <w:numId w:val="1"/>
        </w:numPr>
        <w:autoSpaceDE w:val="0"/>
        <w:autoSpaceDN w:val="0"/>
        <w:adjustRightInd w:val="0"/>
        <w:spacing w:after="0" w:line="240" w:lineRule="auto"/>
        <w:rPr>
          <w:rFonts w:ascii="Times New Roman" w:eastAsia="MS Mincho" w:hAnsi="Times New Roman" w:cs="Times New Roman"/>
          <w:color w:val="000000"/>
        </w:rPr>
      </w:pPr>
      <w:r w:rsidRPr="00FC3011">
        <w:rPr>
          <w:rFonts w:ascii="Times New Roman" w:eastAsia="MS Mincho" w:hAnsi="Times New Roman" w:cs="Times New Roman"/>
          <w:color w:val="000000"/>
        </w:rPr>
        <w:t xml:space="preserve">Certification by the individual or head of household that no residence has been identified; and </w:t>
      </w:r>
    </w:p>
    <w:p w14:paraId="55696245" w14:textId="47AA88E9" w:rsidR="00FB6BDF" w:rsidRPr="00FC3011" w:rsidRDefault="00FB6BDF" w:rsidP="00B86D98">
      <w:pPr>
        <w:pStyle w:val="ListParagraph"/>
        <w:numPr>
          <w:ilvl w:val="0"/>
          <w:numId w:val="1"/>
        </w:numPr>
        <w:autoSpaceDE w:val="0"/>
        <w:autoSpaceDN w:val="0"/>
        <w:adjustRightInd w:val="0"/>
        <w:spacing w:after="0" w:line="240" w:lineRule="auto"/>
        <w:rPr>
          <w:rFonts w:ascii="Times New Roman" w:eastAsia="MS Mincho" w:hAnsi="Times New Roman" w:cs="Times New Roman"/>
          <w:color w:val="000000"/>
        </w:rPr>
      </w:pPr>
      <w:r w:rsidRPr="00FC3011">
        <w:rPr>
          <w:rFonts w:ascii="Times New Roman" w:eastAsia="MS Mincho" w:hAnsi="Times New Roman" w:cs="Times New Roman"/>
          <w:color w:val="000000"/>
        </w:rPr>
        <w:t xml:space="preserve">Certification or other written documentation that the individual or family lacks the resources and support networks needed to obtain other permanent housing. </w:t>
      </w:r>
    </w:p>
    <w:p w14:paraId="14D607B7" w14:textId="77777777" w:rsidR="005B6F6A" w:rsidRPr="00FC3011" w:rsidRDefault="005B6F6A" w:rsidP="005B6F6A">
      <w:pPr>
        <w:spacing w:after="0" w:line="240" w:lineRule="auto"/>
        <w:ind w:left="1800"/>
        <w:rPr>
          <w:rFonts w:ascii="Times New Roman" w:eastAsia="Times New Roman" w:hAnsi="Times New Roman" w:cs="Times New Roman"/>
        </w:rPr>
      </w:pPr>
    </w:p>
    <w:p w14:paraId="71F2C212" w14:textId="187F22D1" w:rsidR="005B6F6A" w:rsidRPr="00FC3011" w:rsidRDefault="005B6F6A" w:rsidP="00B86D98">
      <w:pPr>
        <w:pStyle w:val="ListParagraph"/>
        <w:numPr>
          <w:ilvl w:val="0"/>
          <w:numId w:val="3"/>
        </w:numPr>
        <w:spacing w:line="251" w:lineRule="auto"/>
        <w:rPr>
          <w:rFonts w:ascii="Times New Roman" w:hAnsi="Times New Roman" w:cs="Times New Roman"/>
          <w:b/>
          <w:bCs/>
        </w:rPr>
      </w:pPr>
      <w:r w:rsidRPr="00FC3011">
        <w:rPr>
          <w:rFonts w:ascii="Times New Roman" w:eastAsia="Times New Roman" w:hAnsi="Times New Roman" w:cs="Times New Roman"/>
          <w:b/>
          <w:bCs/>
        </w:rPr>
        <w:t>Is there an appeals process required for Coordinated Entry (CE) determinations?</w:t>
      </w:r>
    </w:p>
    <w:p w14:paraId="090C12C8" w14:textId="77777777" w:rsidR="005B6F6A" w:rsidRPr="00FC3011" w:rsidRDefault="005B6F6A" w:rsidP="005B6F6A">
      <w:pPr>
        <w:spacing w:line="251" w:lineRule="auto"/>
        <w:ind w:firstLine="720"/>
        <w:rPr>
          <w:rFonts w:ascii="Times New Roman" w:eastAsia="Times New Roman" w:hAnsi="Times New Roman" w:cs="Times New Roman"/>
        </w:rPr>
      </w:pPr>
      <w:proofErr w:type="spellStart"/>
      <w:r w:rsidRPr="00FC3011">
        <w:rPr>
          <w:rFonts w:ascii="Times New Roman" w:eastAsia="Times New Roman" w:hAnsi="Times New Roman" w:cs="Times New Roman"/>
        </w:rPr>
        <w:t>CoCs</w:t>
      </w:r>
      <w:proofErr w:type="spellEnd"/>
      <w:r w:rsidRPr="00FC3011">
        <w:rPr>
          <w:rFonts w:ascii="Times New Roman" w:eastAsia="Times New Roman" w:hAnsi="Times New Roman" w:cs="Times New Roman"/>
        </w:rPr>
        <w:t xml:space="preserve"> are required to have written policies and procedures that include a process by which </w:t>
      </w:r>
      <w:r w:rsidRPr="00FC3011">
        <w:rPr>
          <w:rFonts w:ascii="Times New Roman" w:hAnsi="Times New Roman" w:cs="Times New Roman"/>
        </w:rPr>
        <w:tab/>
      </w:r>
      <w:r w:rsidRPr="00FC3011">
        <w:rPr>
          <w:rFonts w:ascii="Times New Roman" w:eastAsia="Times New Roman" w:hAnsi="Times New Roman" w:cs="Times New Roman"/>
        </w:rPr>
        <w:t>individuals and families may appeal coordinated entry decisions. </w:t>
      </w:r>
    </w:p>
    <w:p w14:paraId="2F39439F" w14:textId="77777777" w:rsidR="005B6F6A" w:rsidRPr="00FC3011" w:rsidRDefault="005B6F6A" w:rsidP="00B86D98">
      <w:pPr>
        <w:pStyle w:val="ListParagraph"/>
        <w:numPr>
          <w:ilvl w:val="0"/>
          <w:numId w:val="3"/>
        </w:numPr>
        <w:spacing w:line="251" w:lineRule="auto"/>
        <w:rPr>
          <w:rFonts w:ascii="Times New Roman" w:eastAsia="Times New Roman" w:hAnsi="Times New Roman" w:cs="Times New Roman"/>
          <w:b/>
          <w:bCs/>
        </w:rPr>
      </w:pPr>
      <w:r w:rsidRPr="00FC3011">
        <w:rPr>
          <w:rFonts w:ascii="Times New Roman" w:eastAsia="Times New Roman" w:hAnsi="Times New Roman" w:cs="Times New Roman"/>
          <w:b/>
          <w:bCs/>
        </w:rPr>
        <w:t>Does the PHA pull households from its current waitlist for EHV?</w:t>
      </w:r>
    </w:p>
    <w:p w14:paraId="06A8ED3E" w14:textId="019EE995" w:rsidR="005B6F6A" w:rsidRPr="00FC3011" w:rsidRDefault="005B6F6A" w:rsidP="00D624E9">
      <w:pPr>
        <w:spacing w:after="0"/>
        <w:ind w:left="720"/>
        <w:rPr>
          <w:rFonts w:ascii="Times New Roman" w:eastAsia="Times New Roman" w:hAnsi="Times New Roman" w:cs="Times New Roman"/>
        </w:rPr>
      </w:pPr>
      <w:r w:rsidRPr="00FC3011">
        <w:rPr>
          <w:rFonts w:ascii="Times New Roman" w:eastAsia="Times New Roman" w:hAnsi="Times New Roman" w:cs="Times New Roman"/>
        </w:rPr>
        <w:t xml:space="preserve">No, PHAs must only accept referrals for EHVs directly from the </w:t>
      </w:r>
      <w:proofErr w:type="spellStart"/>
      <w:r w:rsidRPr="00FC3011">
        <w:rPr>
          <w:rFonts w:ascii="Times New Roman" w:eastAsia="Times New Roman" w:hAnsi="Times New Roman" w:cs="Times New Roman"/>
        </w:rPr>
        <w:t>CoC’s</w:t>
      </w:r>
      <w:proofErr w:type="spellEnd"/>
      <w:r w:rsidRPr="00FC3011">
        <w:rPr>
          <w:rFonts w:ascii="Times New Roman" w:eastAsia="Times New Roman" w:hAnsi="Times New Roman" w:cs="Times New Roman"/>
        </w:rPr>
        <w:t xml:space="preserve"> </w:t>
      </w:r>
      <w:r w:rsidR="00D624E9" w:rsidRPr="00FC3011">
        <w:rPr>
          <w:rFonts w:ascii="Times New Roman" w:eastAsia="Times New Roman" w:hAnsi="Times New Roman" w:cs="Times New Roman"/>
        </w:rPr>
        <w:t xml:space="preserve">CE </w:t>
      </w:r>
      <w:r w:rsidRPr="00FC3011">
        <w:rPr>
          <w:rFonts w:ascii="Times New Roman" w:eastAsia="Times New Roman" w:hAnsi="Times New Roman" w:cs="Times New Roman"/>
        </w:rPr>
        <w:t>System or other partner referral agencies.  However, PHAs must inform families on the HCV waiting list of the availability of EHVs at a minimum. PHAs can post the information to their website or provide public notice in their respective communities. The PHA public notice must describe the targeted populations to which the EHVs are limited</w:t>
      </w:r>
      <w:r w:rsidR="00D624E9" w:rsidRPr="00FC3011">
        <w:rPr>
          <w:rFonts w:ascii="Times New Roman" w:eastAsia="Times New Roman" w:hAnsi="Times New Roman" w:cs="Times New Roman"/>
        </w:rPr>
        <w:t xml:space="preserve"> </w:t>
      </w:r>
      <w:r w:rsidRPr="00FC3011">
        <w:rPr>
          <w:rFonts w:ascii="Times New Roman" w:eastAsia="Times New Roman" w:hAnsi="Times New Roman" w:cs="Times New Roman"/>
        </w:rPr>
        <w:t xml:space="preserve">and </w:t>
      </w:r>
      <w:r w:rsidR="00A35761" w:rsidRPr="00FC3011">
        <w:rPr>
          <w:rFonts w:ascii="Times New Roman" w:eastAsia="Times New Roman" w:hAnsi="Times New Roman" w:cs="Times New Roman"/>
        </w:rPr>
        <w:t>explain that</w:t>
      </w:r>
      <w:r w:rsidRPr="00FC3011">
        <w:rPr>
          <w:rFonts w:ascii="Times New Roman" w:eastAsia="Times New Roman" w:hAnsi="Times New Roman" w:cs="Times New Roman"/>
        </w:rPr>
        <w:t xml:space="preserve"> the availability of these EHVs is managed through a direct referral process through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The PHA notice must also advise the household to contact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(and any other PHA referral partner) if they believe they might be eligible for EHV assistance. </w:t>
      </w:r>
    </w:p>
    <w:p w14:paraId="19A21C66" w14:textId="77777777" w:rsidR="005B6F6A" w:rsidRPr="00FC3011" w:rsidRDefault="005B6F6A" w:rsidP="005B6F6A">
      <w:pPr>
        <w:spacing w:after="0"/>
        <w:ind w:firstLine="720"/>
        <w:rPr>
          <w:rFonts w:ascii="Times New Roman" w:eastAsia="Times New Roman" w:hAnsi="Times New Roman" w:cs="Times New Roman"/>
        </w:rPr>
      </w:pPr>
    </w:p>
    <w:p w14:paraId="7B28235B" w14:textId="77777777" w:rsidR="005B6F6A" w:rsidRPr="00FC3011" w:rsidRDefault="005B6F6A" w:rsidP="005B6F6A">
      <w:pPr>
        <w:spacing w:after="0"/>
        <w:ind w:firstLine="720"/>
        <w:rPr>
          <w:rFonts w:ascii="Times New Roman" w:eastAsia="Times New Roman" w:hAnsi="Times New Roman" w:cs="Times New Roman"/>
        </w:rPr>
      </w:pPr>
      <w:r w:rsidRPr="00FC3011">
        <w:rPr>
          <w:rFonts w:ascii="Times New Roman" w:eastAsia="Times New Roman" w:hAnsi="Times New Roman" w:cs="Times New Roman"/>
        </w:rPr>
        <w:t xml:space="preserve">HUD has waived 24 CFR 982.204(f), which provides that a PHA must use a single waitlist for </w:t>
      </w:r>
    </w:p>
    <w:p w14:paraId="4DE16400" w14:textId="77777777" w:rsidR="005B6F6A" w:rsidRPr="00FC3011" w:rsidRDefault="005B6F6A" w:rsidP="005B6F6A">
      <w:pPr>
        <w:spacing w:after="0"/>
        <w:ind w:firstLine="720"/>
        <w:rPr>
          <w:rFonts w:ascii="Times New Roman" w:eastAsia="Times New Roman" w:hAnsi="Times New Roman" w:cs="Times New Roman"/>
        </w:rPr>
      </w:pPr>
      <w:r w:rsidRPr="00FC3011">
        <w:rPr>
          <w:rFonts w:ascii="Times New Roman" w:eastAsia="Times New Roman" w:hAnsi="Times New Roman" w:cs="Times New Roman"/>
        </w:rPr>
        <w:t xml:space="preserve">admission to its HCV program. An alternative requirement has been established for the </w:t>
      </w:r>
    </w:p>
    <w:p w14:paraId="4DE5F06A" w14:textId="4FC92297" w:rsidR="00983E0F" w:rsidRPr="00FC3011" w:rsidRDefault="005B6F6A" w:rsidP="00D624E9">
      <w:pPr>
        <w:spacing w:after="0"/>
        <w:ind w:left="720"/>
        <w:rPr>
          <w:rFonts w:ascii="Times New Roman" w:eastAsia="Times New Roman" w:hAnsi="Times New Roman" w:cs="Times New Roman"/>
        </w:rPr>
      </w:pPr>
      <w:r w:rsidRPr="00FC3011">
        <w:rPr>
          <w:rFonts w:ascii="Times New Roman" w:eastAsia="Times New Roman" w:hAnsi="Times New Roman" w:cs="Times New Roman"/>
        </w:rPr>
        <w:t>EHV program under which the PHA maintains a separate waiting list for EHV</w:t>
      </w:r>
      <w:r w:rsidR="00D624E9" w:rsidRPr="00FC3011">
        <w:rPr>
          <w:rFonts w:ascii="Times New Roman" w:eastAsia="Times New Roman" w:hAnsi="Times New Roman" w:cs="Times New Roman"/>
        </w:rPr>
        <w:t xml:space="preserve"> </w:t>
      </w:r>
      <w:r w:rsidRPr="00FC3011">
        <w:rPr>
          <w:rFonts w:ascii="Times New Roman" w:eastAsia="Times New Roman" w:hAnsi="Times New Roman" w:cs="Times New Roman"/>
        </w:rPr>
        <w:t>referrals/applicants.</w:t>
      </w:r>
    </w:p>
    <w:p w14:paraId="0E587B2A" w14:textId="77777777" w:rsidR="005B6F6A" w:rsidRPr="00FC3011" w:rsidRDefault="005B6F6A" w:rsidP="005B6F6A">
      <w:pPr>
        <w:spacing w:after="0"/>
        <w:ind w:firstLine="720"/>
        <w:rPr>
          <w:rFonts w:ascii="Times New Roman" w:eastAsia="Times New Roman" w:hAnsi="Times New Roman" w:cs="Times New Roman"/>
        </w:rPr>
      </w:pPr>
    </w:p>
    <w:p w14:paraId="7379A292" w14:textId="77777777" w:rsidR="005B6F6A" w:rsidRPr="00FC3011" w:rsidRDefault="005B6F6A" w:rsidP="00B86D98">
      <w:pPr>
        <w:pStyle w:val="ListParagraph"/>
        <w:numPr>
          <w:ilvl w:val="0"/>
          <w:numId w:val="3"/>
        </w:numPr>
        <w:spacing w:line="251" w:lineRule="auto"/>
        <w:rPr>
          <w:rFonts w:ascii="Times New Roman" w:eastAsia="Times New Roman" w:hAnsi="Times New Roman" w:cs="Times New Roman"/>
          <w:b/>
          <w:bCs/>
        </w:rPr>
      </w:pPr>
      <w:r w:rsidRPr="00FC3011">
        <w:rPr>
          <w:rFonts w:ascii="Times New Roman" w:eastAsia="Times New Roman" w:hAnsi="Times New Roman" w:cs="Times New Roman"/>
          <w:b/>
          <w:bCs/>
        </w:rPr>
        <w:t>Are the vouchers available for individuals or just families?</w:t>
      </w:r>
    </w:p>
    <w:p w14:paraId="1C5EA13E" w14:textId="60AEC8C3" w:rsidR="005B6F6A" w:rsidRPr="00FC3011" w:rsidRDefault="005B6F6A" w:rsidP="005B6F6A">
      <w:pPr>
        <w:pStyle w:val="ListParagraph"/>
        <w:spacing w:line="251" w:lineRule="auto"/>
        <w:rPr>
          <w:rFonts w:ascii="Times New Roman" w:eastAsia="Times New Roman" w:hAnsi="Times New Roman" w:cs="Times New Roman"/>
        </w:rPr>
      </w:pPr>
      <w:r w:rsidRPr="00FC3011">
        <w:rPr>
          <w:rFonts w:ascii="Times New Roman" w:eastAsia="Times New Roman" w:hAnsi="Times New Roman" w:cs="Times New Roman"/>
          <w:b/>
          <w:bCs/>
        </w:rPr>
        <w:br/>
      </w:r>
      <w:r w:rsidRPr="00FC3011">
        <w:rPr>
          <w:rFonts w:ascii="Times New Roman" w:eastAsia="Times New Roman" w:hAnsi="Times New Roman" w:cs="Times New Roman"/>
        </w:rPr>
        <w:t>EHVs are available to both individuals and families meeting the eligibility criteria.</w:t>
      </w:r>
    </w:p>
    <w:p w14:paraId="2C58D2BC" w14:textId="669938D5" w:rsidR="00BE2B56" w:rsidRPr="00FC3011" w:rsidRDefault="00BE2B56" w:rsidP="005B6F6A">
      <w:pPr>
        <w:pStyle w:val="ListParagraph"/>
        <w:spacing w:line="251" w:lineRule="auto"/>
        <w:rPr>
          <w:rFonts w:ascii="Times New Roman" w:eastAsia="Times New Roman" w:hAnsi="Times New Roman" w:cs="Times New Roman"/>
        </w:rPr>
      </w:pPr>
    </w:p>
    <w:p w14:paraId="432E745D" w14:textId="3442C98D" w:rsidR="00BE2B56" w:rsidRPr="00FC3011" w:rsidRDefault="00BE2B56" w:rsidP="00B86D98">
      <w:pPr>
        <w:pStyle w:val="Default"/>
        <w:numPr>
          <w:ilvl w:val="0"/>
          <w:numId w:val="3"/>
        </w:numPr>
        <w:rPr>
          <w:rFonts w:ascii="Times New Roman" w:hAnsi="Times New Roman" w:cs="Times New Roman"/>
          <w:b/>
          <w:bCs/>
          <w:sz w:val="22"/>
          <w:szCs w:val="22"/>
        </w:rPr>
      </w:pPr>
      <w:r w:rsidRPr="00FC3011">
        <w:rPr>
          <w:rFonts w:ascii="Times New Roman" w:hAnsi="Times New Roman" w:cs="Times New Roman"/>
          <w:b/>
          <w:bCs/>
          <w:sz w:val="22"/>
          <w:szCs w:val="22"/>
        </w:rPr>
        <w:t xml:space="preserve">How is HUD defining “family” in </w:t>
      </w:r>
      <w:hyperlink r:id="rId10" w:history="1">
        <w:r w:rsidRPr="00A02996">
          <w:rPr>
            <w:rStyle w:val="Hyperlink"/>
            <w:rFonts w:ascii="Times New Roman" w:hAnsi="Times New Roman" w:cs="Times New Roman"/>
            <w:b/>
            <w:bCs/>
            <w:sz w:val="22"/>
            <w:szCs w:val="22"/>
          </w:rPr>
          <w:t>PIH Notice 2021-15</w:t>
        </w:r>
      </w:hyperlink>
      <w:r w:rsidRPr="00FC3011">
        <w:rPr>
          <w:rFonts w:ascii="Times New Roman" w:hAnsi="Times New Roman" w:cs="Times New Roman"/>
          <w:b/>
          <w:bCs/>
          <w:sz w:val="22"/>
          <w:szCs w:val="22"/>
        </w:rPr>
        <w:t xml:space="preserve">? </w:t>
      </w:r>
    </w:p>
    <w:p w14:paraId="1ECC8C0F" w14:textId="77777777" w:rsidR="00BE2B56" w:rsidRPr="00FC3011" w:rsidRDefault="00BE2B56" w:rsidP="00BE2B56">
      <w:pPr>
        <w:pStyle w:val="Default"/>
        <w:ind w:left="720"/>
        <w:rPr>
          <w:rFonts w:ascii="Times New Roman" w:hAnsi="Times New Roman" w:cs="Times New Roman"/>
          <w:b/>
          <w:bCs/>
          <w:sz w:val="22"/>
          <w:szCs w:val="22"/>
        </w:rPr>
      </w:pPr>
    </w:p>
    <w:p w14:paraId="62EA782D" w14:textId="486E994D" w:rsidR="00E82320" w:rsidRPr="00FC3011" w:rsidRDefault="00AB1BA3" w:rsidP="00117DCD">
      <w:pPr>
        <w:pStyle w:val="Default"/>
        <w:ind w:left="720"/>
        <w:rPr>
          <w:rFonts w:ascii="Times New Roman" w:hAnsi="Times New Roman" w:cs="Times New Roman"/>
          <w:sz w:val="22"/>
          <w:szCs w:val="22"/>
        </w:rPr>
      </w:pPr>
      <w:r w:rsidRPr="00FC3011">
        <w:rPr>
          <w:rFonts w:ascii="Times New Roman" w:hAnsi="Times New Roman" w:cs="Times New Roman"/>
          <w:sz w:val="22"/>
          <w:szCs w:val="22"/>
        </w:rPr>
        <w:t xml:space="preserve">HUD’s definition </w:t>
      </w:r>
      <w:r w:rsidR="002D2712" w:rsidRPr="00FC3011">
        <w:rPr>
          <w:rFonts w:ascii="Times New Roman" w:hAnsi="Times New Roman" w:cs="Times New Roman"/>
          <w:sz w:val="22"/>
          <w:szCs w:val="22"/>
        </w:rPr>
        <w:t>of “</w:t>
      </w:r>
      <w:r w:rsidR="00931B38" w:rsidRPr="00FC3011">
        <w:rPr>
          <w:rFonts w:ascii="Times New Roman" w:hAnsi="Times New Roman" w:cs="Times New Roman"/>
          <w:sz w:val="22"/>
          <w:szCs w:val="22"/>
        </w:rPr>
        <w:t>family”</w:t>
      </w:r>
      <w:r w:rsidR="003F0073" w:rsidRPr="00FC3011">
        <w:rPr>
          <w:rFonts w:ascii="Times New Roman" w:hAnsi="Times New Roman" w:cs="Times New Roman"/>
          <w:sz w:val="22"/>
          <w:szCs w:val="22"/>
        </w:rPr>
        <w:t xml:space="preserve"> for the EHV program</w:t>
      </w:r>
      <w:r w:rsidRPr="00FC3011">
        <w:rPr>
          <w:rFonts w:ascii="Times New Roman" w:hAnsi="Times New Roman" w:cs="Times New Roman"/>
          <w:sz w:val="22"/>
          <w:szCs w:val="22"/>
        </w:rPr>
        <w:t xml:space="preserve"> is the same as</w:t>
      </w:r>
      <w:r w:rsidR="002D2712" w:rsidRPr="00FC3011">
        <w:rPr>
          <w:rFonts w:ascii="Times New Roman" w:hAnsi="Times New Roman" w:cs="Times New Roman"/>
          <w:sz w:val="22"/>
          <w:szCs w:val="22"/>
        </w:rPr>
        <w:t xml:space="preserve"> the</w:t>
      </w:r>
      <w:r w:rsidR="007575C6" w:rsidRPr="00FC3011">
        <w:rPr>
          <w:rFonts w:ascii="Times New Roman" w:hAnsi="Times New Roman" w:cs="Times New Roman"/>
          <w:sz w:val="22"/>
          <w:szCs w:val="22"/>
        </w:rPr>
        <w:t xml:space="preserve"> definition of </w:t>
      </w:r>
      <w:r w:rsidR="00125168" w:rsidRPr="00FC3011">
        <w:rPr>
          <w:rFonts w:ascii="Times New Roman" w:hAnsi="Times New Roman" w:cs="Times New Roman"/>
          <w:sz w:val="22"/>
          <w:szCs w:val="22"/>
        </w:rPr>
        <w:t>“</w:t>
      </w:r>
      <w:r w:rsidR="007575C6" w:rsidRPr="00FC3011">
        <w:rPr>
          <w:rFonts w:ascii="Times New Roman" w:hAnsi="Times New Roman" w:cs="Times New Roman"/>
          <w:sz w:val="22"/>
          <w:szCs w:val="22"/>
        </w:rPr>
        <w:t>family</w:t>
      </w:r>
      <w:r w:rsidR="00125168" w:rsidRPr="00FC3011">
        <w:rPr>
          <w:rFonts w:ascii="Times New Roman" w:hAnsi="Times New Roman" w:cs="Times New Roman"/>
          <w:sz w:val="22"/>
          <w:szCs w:val="22"/>
        </w:rPr>
        <w:t>”</w:t>
      </w:r>
      <w:r w:rsidR="007575C6" w:rsidRPr="00FC3011">
        <w:rPr>
          <w:rFonts w:ascii="Times New Roman" w:hAnsi="Times New Roman" w:cs="Times New Roman"/>
          <w:sz w:val="22"/>
          <w:szCs w:val="22"/>
        </w:rPr>
        <w:t xml:space="preserve"> for the</w:t>
      </w:r>
      <w:r w:rsidR="002D2712" w:rsidRPr="00FC3011">
        <w:rPr>
          <w:rFonts w:ascii="Times New Roman" w:hAnsi="Times New Roman" w:cs="Times New Roman"/>
          <w:sz w:val="22"/>
          <w:szCs w:val="22"/>
        </w:rPr>
        <w:t xml:space="preserve"> HCV program. </w:t>
      </w:r>
      <w:r w:rsidR="003F0073" w:rsidRPr="00FC3011">
        <w:rPr>
          <w:rFonts w:ascii="Times New Roman" w:hAnsi="Times New Roman" w:cs="Times New Roman"/>
          <w:sz w:val="22"/>
          <w:szCs w:val="22"/>
        </w:rPr>
        <w:t xml:space="preserve"> </w:t>
      </w:r>
      <w:r w:rsidR="00B303D7" w:rsidRPr="00FC3011">
        <w:rPr>
          <w:rFonts w:ascii="Times New Roman" w:hAnsi="Times New Roman" w:cs="Times New Roman"/>
          <w:sz w:val="22"/>
          <w:szCs w:val="22"/>
        </w:rPr>
        <w:t>U</w:t>
      </w:r>
      <w:r w:rsidR="00AA58A5" w:rsidRPr="00FC3011">
        <w:rPr>
          <w:rFonts w:ascii="Times New Roman" w:hAnsi="Times New Roman" w:cs="Times New Roman"/>
          <w:sz w:val="22"/>
          <w:szCs w:val="22"/>
        </w:rPr>
        <w:t>nder the HCV program regulations a</w:t>
      </w:r>
      <w:r w:rsidR="00A02996">
        <w:rPr>
          <w:rFonts w:ascii="Times New Roman" w:hAnsi="Times New Roman" w:cs="Times New Roman"/>
          <w:sz w:val="22"/>
          <w:szCs w:val="22"/>
        </w:rPr>
        <w:t xml:space="preserve">t </w:t>
      </w:r>
      <w:r w:rsidR="00AA58A5" w:rsidRPr="00FC3011">
        <w:rPr>
          <w:rFonts w:ascii="Times New Roman" w:hAnsi="Times New Roman" w:cs="Times New Roman"/>
          <w:sz w:val="22"/>
          <w:szCs w:val="22"/>
        </w:rPr>
        <w:t>24 CFR 982.4, the term “famil</w:t>
      </w:r>
      <w:r w:rsidR="004C567C" w:rsidRPr="00FC3011">
        <w:rPr>
          <w:rFonts w:ascii="Times New Roman" w:hAnsi="Times New Roman" w:cs="Times New Roman"/>
          <w:sz w:val="22"/>
          <w:szCs w:val="22"/>
        </w:rPr>
        <w:t>y” is a person or a group of persons, as determined by the PHA</w:t>
      </w:r>
      <w:r w:rsidR="000143BD" w:rsidRPr="00FC3011">
        <w:rPr>
          <w:rFonts w:ascii="Times New Roman" w:hAnsi="Times New Roman" w:cs="Times New Roman"/>
          <w:sz w:val="22"/>
          <w:szCs w:val="22"/>
        </w:rPr>
        <w:t xml:space="preserve"> consistent with </w:t>
      </w:r>
      <w:r w:rsidR="00BE2B56" w:rsidRPr="00FC3011">
        <w:rPr>
          <w:rFonts w:ascii="Times New Roman" w:hAnsi="Times New Roman" w:cs="Times New Roman"/>
          <w:sz w:val="22"/>
          <w:szCs w:val="22"/>
        </w:rPr>
        <w:t>24 CFR 5.403</w:t>
      </w:r>
      <w:r w:rsidR="000143BD" w:rsidRPr="00FC3011">
        <w:rPr>
          <w:rFonts w:ascii="Times New Roman" w:hAnsi="Times New Roman" w:cs="Times New Roman"/>
          <w:sz w:val="22"/>
          <w:szCs w:val="22"/>
        </w:rPr>
        <w:t>, approved</w:t>
      </w:r>
      <w:r w:rsidR="0008569C" w:rsidRPr="00FC3011">
        <w:rPr>
          <w:rFonts w:ascii="Times New Roman" w:hAnsi="Times New Roman" w:cs="Times New Roman"/>
          <w:sz w:val="22"/>
          <w:szCs w:val="22"/>
        </w:rPr>
        <w:t xml:space="preserve"> to reside </w:t>
      </w:r>
      <w:r w:rsidR="002A5086" w:rsidRPr="00FC3011">
        <w:rPr>
          <w:rFonts w:ascii="Times New Roman" w:hAnsi="Times New Roman" w:cs="Times New Roman"/>
          <w:sz w:val="22"/>
          <w:szCs w:val="22"/>
        </w:rPr>
        <w:t>in a unit with assistance under the program</w:t>
      </w:r>
      <w:r w:rsidR="00CD3501" w:rsidRPr="00FC3011">
        <w:rPr>
          <w:rFonts w:ascii="Times New Roman" w:hAnsi="Times New Roman" w:cs="Times New Roman"/>
          <w:sz w:val="22"/>
          <w:szCs w:val="22"/>
        </w:rPr>
        <w:t>.  The</w:t>
      </w:r>
      <w:r w:rsidR="00EE181A" w:rsidRPr="00FC3011">
        <w:rPr>
          <w:rFonts w:ascii="Times New Roman" w:hAnsi="Times New Roman" w:cs="Times New Roman"/>
          <w:sz w:val="22"/>
          <w:szCs w:val="22"/>
        </w:rPr>
        <w:t xml:space="preserve"> term </w:t>
      </w:r>
      <w:r w:rsidR="00BE5554" w:rsidRPr="00FC3011">
        <w:rPr>
          <w:rFonts w:ascii="Times New Roman" w:hAnsi="Times New Roman" w:cs="Times New Roman"/>
          <w:sz w:val="22"/>
          <w:szCs w:val="22"/>
        </w:rPr>
        <w:t xml:space="preserve">“family” </w:t>
      </w:r>
      <w:r w:rsidR="00CE697C" w:rsidRPr="00FC3011">
        <w:rPr>
          <w:rFonts w:ascii="Times New Roman" w:hAnsi="Times New Roman" w:cs="Times New Roman"/>
          <w:sz w:val="22"/>
          <w:szCs w:val="22"/>
        </w:rPr>
        <w:t>used in EHV/HCV</w:t>
      </w:r>
      <w:r w:rsidR="00F856F4" w:rsidRPr="00FC3011">
        <w:rPr>
          <w:rFonts w:ascii="Times New Roman" w:hAnsi="Times New Roman" w:cs="Times New Roman"/>
          <w:sz w:val="22"/>
          <w:szCs w:val="22"/>
        </w:rPr>
        <w:t xml:space="preserve"> </w:t>
      </w:r>
      <w:r w:rsidR="002D4ECF" w:rsidRPr="00FC3011">
        <w:rPr>
          <w:rFonts w:ascii="Times New Roman" w:hAnsi="Times New Roman" w:cs="Times New Roman"/>
          <w:sz w:val="22"/>
          <w:szCs w:val="22"/>
        </w:rPr>
        <w:t xml:space="preserve">context </w:t>
      </w:r>
      <w:r w:rsidR="00DA5065" w:rsidRPr="00FC3011">
        <w:rPr>
          <w:rFonts w:ascii="Times New Roman" w:hAnsi="Times New Roman" w:cs="Times New Roman"/>
          <w:sz w:val="22"/>
          <w:szCs w:val="22"/>
        </w:rPr>
        <w:t xml:space="preserve">encompasses </w:t>
      </w:r>
      <w:r w:rsidR="000C3930" w:rsidRPr="00FC3011">
        <w:rPr>
          <w:rFonts w:ascii="Times New Roman" w:hAnsi="Times New Roman" w:cs="Times New Roman"/>
          <w:sz w:val="22"/>
          <w:szCs w:val="22"/>
        </w:rPr>
        <w:t>a</w:t>
      </w:r>
      <w:r w:rsidR="002D4ECF" w:rsidRPr="00FC3011">
        <w:rPr>
          <w:rFonts w:ascii="Times New Roman" w:hAnsi="Times New Roman" w:cs="Times New Roman"/>
          <w:sz w:val="22"/>
          <w:szCs w:val="22"/>
        </w:rPr>
        <w:t xml:space="preserve"> family that is </w:t>
      </w:r>
      <w:r w:rsidR="00EC4EF8" w:rsidRPr="00FC3011">
        <w:rPr>
          <w:rFonts w:ascii="Times New Roman" w:hAnsi="Times New Roman" w:cs="Times New Roman"/>
          <w:sz w:val="22"/>
          <w:szCs w:val="22"/>
        </w:rPr>
        <w:t>comprised of a single individual</w:t>
      </w:r>
      <w:r w:rsidR="00D91D02" w:rsidRPr="00FC3011">
        <w:rPr>
          <w:rFonts w:ascii="Times New Roman" w:hAnsi="Times New Roman" w:cs="Times New Roman"/>
          <w:sz w:val="22"/>
          <w:szCs w:val="22"/>
        </w:rPr>
        <w:t>, in addition to</w:t>
      </w:r>
      <w:r w:rsidR="00EC4EF8" w:rsidRPr="00FC3011">
        <w:rPr>
          <w:rFonts w:ascii="Times New Roman" w:hAnsi="Times New Roman" w:cs="Times New Roman"/>
          <w:sz w:val="22"/>
          <w:szCs w:val="22"/>
        </w:rPr>
        <w:t xml:space="preserve"> </w:t>
      </w:r>
      <w:r w:rsidR="00DA5065" w:rsidRPr="00FC3011">
        <w:rPr>
          <w:rFonts w:ascii="Times New Roman" w:hAnsi="Times New Roman" w:cs="Times New Roman"/>
          <w:sz w:val="22"/>
          <w:szCs w:val="22"/>
        </w:rPr>
        <w:t xml:space="preserve">a family consisting of </w:t>
      </w:r>
      <w:r w:rsidR="00296A5F" w:rsidRPr="00FC3011">
        <w:rPr>
          <w:rFonts w:ascii="Times New Roman" w:hAnsi="Times New Roman" w:cs="Times New Roman"/>
          <w:sz w:val="22"/>
          <w:szCs w:val="22"/>
        </w:rPr>
        <w:t>“</w:t>
      </w:r>
      <w:r w:rsidR="00EC4EF8" w:rsidRPr="00FC3011">
        <w:rPr>
          <w:rFonts w:ascii="Times New Roman" w:hAnsi="Times New Roman" w:cs="Times New Roman"/>
          <w:sz w:val="22"/>
          <w:szCs w:val="22"/>
        </w:rPr>
        <w:t>a group of persons</w:t>
      </w:r>
      <w:r w:rsidR="7D5A96DC" w:rsidRPr="00FC3011">
        <w:rPr>
          <w:rFonts w:ascii="Times New Roman" w:hAnsi="Times New Roman" w:cs="Times New Roman"/>
          <w:sz w:val="22"/>
          <w:szCs w:val="22"/>
        </w:rPr>
        <w:t>”</w:t>
      </w:r>
      <w:r w:rsidR="00416228" w:rsidRPr="00FC3011">
        <w:rPr>
          <w:rFonts w:ascii="Times New Roman" w:hAnsi="Times New Roman" w:cs="Times New Roman"/>
          <w:sz w:val="22"/>
          <w:szCs w:val="22"/>
        </w:rPr>
        <w:t>.</w:t>
      </w:r>
      <w:r w:rsidR="00EC4EF8" w:rsidRPr="00FC3011">
        <w:rPr>
          <w:rFonts w:ascii="Times New Roman" w:hAnsi="Times New Roman" w:cs="Times New Roman"/>
          <w:sz w:val="22"/>
          <w:szCs w:val="22"/>
        </w:rPr>
        <w:t xml:space="preserve">  </w:t>
      </w:r>
      <w:r w:rsidR="000143BD" w:rsidRPr="00FC3011">
        <w:rPr>
          <w:rFonts w:ascii="Times New Roman" w:hAnsi="Times New Roman" w:cs="Times New Roman"/>
          <w:sz w:val="22"/>
          <w:szCs w:val="22"/>
        </w:rPr>
        <w:t xml:space="preserve"> </w:t>
      </w:r>
      <w:r w:rsidR="00EC4EF8" w:rsidRPr="00FC3011">
        <w:rPr>
          <w:rFonts w:ascii="Times New Roman" w:hAnsi="Times New Roman" w:cs="Times New Roman"/>
          <w:sz w:val="22"/>
          <w:szCs w:val="22"/>
        </w:rPr>
        <w:t xml:space="preserve"> </w:t>
      </w:r>
      <w:r w:rsidR="00BE2B56" w:rsidRPr="00FC3011">
        <w:rPr>
          <w:rFonts w:ascii="Times New Roman" w:hAnsi="Times New Roman" w:cs="Times New Roman"/>
          <w:sz w:val="22"/>
          <w:szCs w:val="22"/>
        </w:rPr>
        <w:t xml:space="preserve">  </w:t>
      </w:r>
    </w:p>
    <w:p w14:paraId="755C9812" w14:textId="77777777" w:rsidR="005B6F6A" w:rsidRPr="00FC3011" w:rsidRDefault="005B6F6A" w:rsidP="005B6F6A">
      <w:pPr>
        <w:pStyle w:val="ListParagraph"/>
        <w:spacing w:line="251" w:lineRule="auto"/>
        <w:rPr>
          <w:rFonts w:ascii="Times New Roman" w:eastAsia="Times New Roman" w:hAnsi="Times New Roman" w:cs="Times New Roman"/>
          <w:b/>
          <w:bCs/>
        </w:rPr>
      </w:pPr>
    </w:p>
    <w:p w14:paraId="7C42CE7D" w14:textId="77777777" w:rsidR="005B6F6A" w:rsidRPr="00FC3011" w:rsidRDefault="005B6F6A" w:rsidP="00B86D98">
      <w:pPr>
        <w:pStyle w:val="ListParagraph"/>
        <w:numPr>
          <w:ilvl w:val="0"/>
          <w:numId w:val="3"/>
        </w:numPr>
        <w:spacing w:line="251" w:lineRule="auto"/>
        <w:rPr>
          <w:rFonts w:ascii="Times New Roman" w:eastAsia="Times New Roman" w:hAnsi="Times New Roman" w:cs="Times New Roman"/>
          <w:b/>
          <w:bCs/>
        </w:rPr>
      </w:pPr>
      <w:r w:rsidRPr="00FC3011">
        <w:rPr>
          <w:rFonts w:ascii="Times New Roman" w:eastAsia="Times New Roman" w:hAnsi="Times New Roman" w:cs="Times New Roman"/>
          <w:b/>
          <w:bCs/>
        </w:rPr>
        <w:t>What if an individual or family is over income?</w:t>
      </w:r>
    </w:p>
    <w:p w14:paraId="29F89D9A" w14:textId="77777777" w:rsidR="005B6F6A" w:rsidRPr="00FC3011" w:rsidRDefault="005B6F6A" w:rsidP="005B6F6A">
      <w:pPr>
        <w:pStyle w:val="ListParagraph"/>
        <w:rPr>
          <w:rFonts w:ascii="Times New Roman" w:eastAsia="Times New Roman" w:hAnsi="Times New Roman" w:cs="Times New Roman"/>
        </w:rPr>
      </w:pPr>
    </w:p>
    <w:p w14:paraId="41C2F117" w14:textId="79D603CC" w:rsidR="005B6F6A" w:rsidRPr="00FC3011" w:rsidRDefault="005B6F6A" w:rsidP="005B6F6A">
      <w:pPr>
        <w:pStyle w:val="ListParagraph"/>
        <w:spacing w:line="251" w:lineRule="auto"/>
        <w:rPr>
          <w:rFonts w:ascii="Times New Roman" w:eastAsia="Times New Roman" w:hAnsi="Times New Roman" w:cs="Times New Roman"/>
        </w:rPr>
      </w:pPr>
      <w:r w:rsidRPr="00FC3011">
        <w:rPr>
          <w:rFonts w:ascii="Times New Roman" w:eastAsia="Times New Roman" w:hAnsi="Times New Roman" w:cs="Times New Roman"/>
        </w:rPr>
        <w:t>As in the regular Housing Choice Voucher</w:t>
      </w:r>
      <w:r w:rsidR="008F3381" w:rsidRPr="00FC3011">
        <w:rPr>
          <w:rFonts w:ascii="Times New Roman" w:eastAsia="Times New Roman" w:hAnsi="Times New Roman" w:cs="Times New Roman"/>
        </w:rPr>
        <w:t xml:space="preserve"> (HCV)</w:t>
      </w:r>
      <w:r w:rsidRPr="00FC3011">
        <w:rPr>
          <w:rFonts w:ascii="Times New Roman" w:eastAsia="Times New Roman" w:hAnsi="Times New Roman" w:cs="Times New Roman"/>
        </w:rPr>
        <w:t xml:space="preserve"> program, the PHA must determine whether a family is income eligible prior to the provision of EHV assistance. If the family is over income based on the most recently published income limits for the family size, the family is ineligible for HCV and therefore EHV assistance. </w:t>
      </w:r>
      <w:r w:rsidRPr="00FC3011">
        <w:rPr>
          <w:rFonts w:ascii="Times New Roman" w:eastAsia="Times New Roman" w:hAnsi="Times New Roman" w:cs="Times New Roman"/>
        </w:rPr>
        <w:tab/>
      </w:r>
    </w:p>
    <w:p w14:paraId="531F37C6" w14:textId="77777777" w:rsidR="00D0375C" w:rsidRPr="00FC3011" w:rsidRDefault="00D0375C" w:rsidP="005B6F6A">
      <w:pPr>
        <w:pStyle w:val="ListParagraph"/>
        <w:spacing w:line="251" w:lineRule="auto"/>
        <w:rPr>
          <w:rFonts w:ascii="Times New Roman" w:eastAsia="Times New Roman" w:hAnsi="Times New Roman" w:cs="Times New Roman"/>
          <w:b/>
          <w:bCs/>
        </w:rPr>
      </w:pPr>
    </w:p>
    <w:p w14:paraId="6EA7D885" w14:textId="542614C4" w:rsidR="005B6F6A" w:rsidRPr="00FC3011" w:rsidRDefault="005B6F6A" w:rsidP="00B86D98">
      <w:pPr>
        <w:pStyle w:val="paragraph"/>
        <w:numPr>
          <w:ilvl w:val="0"/>
          <w:numId w:val="3"/>
        </w:numPr>
        <w:spacing w:before="0" w:beforeAutospacing="0" w:after="0" w:afterAutospacing="0"/>
        <w:textAlignment w:val="baseline"/>
        <w:rPr>
          <w:b/>
          <w:bCs/>
          <w:sz w:val="22"/>
          <w:szCs w:val="22"/>
        </w:rPr>
      </w:pPr>
      <w:bookmarkStart w:id="2" w:name="_Hlk76656539"/>
      <w:r w:rsidRPr="00FC3011">
        <w:rPr>
          <w:b/>
          <w:bCs/>
          <w:sz w:val="22"/>
          <w:szCs w:val="22"/>
        </w:rPr>
        <w:lastRenderedPageBreak/>
        <w:t>What type of documentation is acceptable when determining that a family falls under</w:t>
      </w:r>
      <w:r w:rsidR="000303A0" w:rsidRPr="00FC3011">
        <w:rPr>
          <w:b/>
          <w:bCs/>
          <w:sz w:val="22"/>
          <w:szCs w:val="22"/>
        </w:rPr>
        <w:t xml:space="preserve"> one of</w:t>
      </w:r>
      <w:r w:rsidRPr="00FC3011">
        <w:rPr>
          <w:b/>
          <w:bCs/>
          <w:sz w:val="22"/>
          <w:szCs w:val="22"/>
        </w:rPr>
        <w:t xml:space="preserve"> the four </w:t>
      </w:r>
      <w:r w:rsidR="000303A0" w:rsidRPr="00FC3011">
        <w:rPr>
          <w:b/>
          <w:bCs/>
          <w:sz w:val="22"/>
          <w:szCs w:val="22"/>
        </w:rPr>
        <w:t xml:space="preserve">eligibility </w:t>
      </w:r>
      <w:r w:rsidRPr="00FC3011">
        <w:rPr>
          <w:b/>
          <w:bCs/>
          <w:sz w:val="22"/>
          <w:szCs w:val="22"/>
        </w:rPr>
        <w:t xml:space="preserve">categories?  Should the PHA receive formal documentation or information from the local </w:t>
      </w:r>
      <w:proofErr w:type="spellStart"/>
      <w:r w:rsidRPr="00FC3011">
        <w:rPr>
          <w:b/>
          <w:bCs/>
          <w:sz w:val="22"/>
          <w:szCs w:val="22"/>
        </w:rPr>
        <w:t>CoC</w:t>
      </w:r>
      <w:proofErr w:type="spellEnd"/>
      <w:r w:rsidRPr="00FC3011">
        <w:rPr>
          <w:b/>
          <w:bCs/>
          <w:sz w:val="22"/>
          <w:szCs w:val="22"/>
        </w:rPr>
        <w:t xml:space="preserve"> or local Victims Service Provider (VSP)?</w:t>
      </w:r>
      <w:r w:rsidR="00FD3B06" w:rsidRPr="00FC3011">
        <w:rPr>
          <w:b/>
          <w:bCs/>
          <w:sz w:val="22"/>
          <w:szCs w:val="22"/>
        </w:rPr>
        <w:t xml:space="preserve"> </w:t>
      </w:r>
    </w:p>
    <w:p w14:paraId="7BFA7650" w14:textId="7B22707D" w:rsidR="112416C2" w:rsidRPr="00FC3011" w:rsidRDefault="112416C2" w:rsidP="00B805AB">
      <w:pPr>
        <w:pStyle w:val="paragraph"/>
        <w:spacing w:before="0" w:beforeAutospacing="0" w:after="0" w:afterAutospacing="0"/>
        <w:rPr>
          <w:b/>
          <w:bCs/>
          <w:sz w:val="22"/>
          <w:szCs w:val="22"/>
        </w:rPr>
      </w:pPr>
    </w:p>
    <w:p w14:paraId="3FA6F24A" w14:textId="1BEB5DED" w:rsidR="00DF0803" w:rsidRPr="00FC3011" w:rsidRDefault="005B6F6A" w:rsidP="00D0375C">
      <w:pPr>
        <w:pStyle w:val="paragraph"/>
        <w:spacing w:before="0" w:beforeAutospacing="0" w:after="0" w:afterAutospacing="0"/>
        <w:ind w:left="720"/>
        <w:textAlignment w:val="baseline"/>
        <w:rPr>
          <w:b/>
          <w:bCs/>
          <w:sz w:val="22"/>
          <w:szCs w:val="22"/>
        </w:rPr>
      </w:pPr>
      <w:proofErr w:type="spellStart"/>
      <w:r w:rsidRPr="00FC3011">
        <w:rPr>
          <w:sz w:val="22"/>
          <w:szCs w:val="22"/>
        </w:rPr>
        <w:t>CoCs</w:t>
      </w:r>
      <w:proofErr w:type="spellEnd"/>
      <w:r w:rsidRPr="00FC3011">
        <w:rPr>
          <w:sz w:val="22"/>
          <w:szCs w:val="22"/>
        </w:rPr>
        <w:t xml:space="preserve"> and </w:t>
      </w:r>
      <w:r w:rsidR="007A476C" w:rsidRPr="00FC3011">
        <w:rPr>
          <w:sz w:val="22"/>
          <w:szCs w:val="22"/>
        </w:rPr>
        <w:t xml:space="preserve">VSPs </w:t>
      </w:r>
      <w:r w:rsidRPr="00FC3011">
        <w:rPr>
          <w:sz w:val="22"/>
          <w:szCs w:val="22"/>
        </w:rPr>
        <w:t>are responsible for determining eligibility for EHVs</w:t>
      </w:r>
      <w:r w:rsidR="00F43129" w:rsidRPr="00FC3011">
        <w:rPr>
          <w:sz w:val="22"/>
          <w:szCs w:val="22"/>
        </w:rPr>
        <w:t>,</w:t>
      </w:r>
      <w:r w:rsidRPr="00FC3011">
        <w:rPr>
          <w:sz w:val="22"/>
          <w:szCs w:val="22"/>
        </w:rPr>
        <w:t xml:space="preserve"> referring eligible families to the PHA</w:t>
      </w:r>
      <w:r w:rsidR="00F43129" w:rsidRPr="00FC3011">
        <w:rPr>
          <w:sz w:val="22"/>
          <w:szCs w:val="22"/>
        </w:rPr>
        <w:t xml:space="preserve">, and providing documentation to the PHA that the family meets one of the four </w:t>
      </w:r>
      <w:r w:rsidR="000303A0" w:rsidRPr="00FC3011">
        <w:rPr>
          <w:sz w:val="22"/>
          <w:szCs w:val="22"/>
        </w:rPr>
        <w:t xml:space="preserve">eligibility </w:t>
      </w:r>
      <w:r w:rsidR="00F43129" w:rsidRPr="00FC3011">
        <w:rPr>
          <w:sz w:val="22"/>
          <w:szCs w:val="22"/>
        </w:rPr>
        <w:t>categories</w:t>
      </w:r>
      <w:r w:rsidRPr="00FC3011">
        <w:rPr>
          <w:sz w:val="22"/>
          <w:szCs w:val="22"/>
        </w:rPr>
        <w:t xml:space="preserve">. An example </w:t>
      </w:r>
      <w:r w:rsidR="000303A0" w:rsidRPr="00FC3011">
        <w:rPr>
          <w:sz w:val="22"/>
          <w:szCs w:val="22"/>
        </w:rPr>
        <w:t>of</w:t>
      </w:r>
      <w:r w:rsidR="002C1E13" w:rsidRPr="00FC3011">
        <w:rPr>
          <w:sz w:val="22"/>
          <w:szCs w:val="22"/>
        </w:rPr>
        <w:t xml:space="preserve"> acceptable</w:t>
      </w:r>
      <w:r w:rsidR="000303A0" w:rsidRPr="00FC3011">
        <w:rPr>
          <w:sz w:val="22"/>
          <w:szCs w:val="22"/>
        </w:rPr>
        <w:t xml:space="preserve"> documentation that can be provided to the PHA is the </w:t>
      </w:r>
      <w:r w:rsidR="00F23CF2" w:rsidRPr="00FC3011">
        <w:rPr>
          <w:sz w:val="22"/>
          <w:szCs w:val="22"/>
        </w:rPr>
        <w:t xml:space="preserve">sample </w:t>
      </w:r>
      <w:r w:rsidRPr="00FC3011">
        <w:rPr>
          <w:sz w:val="22"/>
          <w:szCs w:val="22"/>
        </w:rPr>
        <w:t xml:space="preserve">certification of homelessness and </w:t>
      </w:r>
      <w:r w:rsidR="00F23CF2" w:rsidRPr="00FC3011">
        <w:rPr>
          <w:sz w:val="22"/>
          <w:szCs w:val="22"/>
        </w:rPr>
        <w:t xml:space="preserve">sample certification of </w:t>
      </w:r>
      <w:r w:rsidRPr="00FC3011">
        <w:rPr>
          <w:sz w:val="22"/>
          <w:szCs w:val="22"/>
        </w:rPr>
        <w:t>human trafficking</w:t>
      </w:r>
      <w:r w:rsidR="00F23CF2" w:rsidRPr="00FC3011">
        <w:rPr>
          <w:sz w:val="22"/>
          <w:szCs w:val="22"/>
        </w:rPr>
        <w:t xml:space="preserve"> that</w:t>
      </w:r>
      <w:r w:rsidRPr="00FC3011">
        <w:rPr>
          <w:sz w:val="22"/>
          <w:szCs w:val="22"/>
        </w:rPr>
        <w:t xml:space="preserve"> is provided in </w:t>
      </w:r>
      <w:hyperlink r:id="rId11" w:history="1">
        <w:r w:rsidRPr="00A02996">
          <w:rPr>
            <w:rStyle w:val="Hyperlink"/>
            <w:sz w:val="22"/>
            <w:szCs w:val="22"/>
          </w:rPr>
          <w:t>PIH Notice 202</w:t>
        </w:r>
        <w:r w:rsidR="002837AF" w:rsidRPr="00A02996">
          <w:rPr>
            <w:rStyle w:val="Hyperlink"/>
            <w:sz w:val="22"/>
            <w:szCs w:val="22"/>
          </w:rPr>
          <w:t>1</w:t>
        </w:r>
        <w:r w:rsidRPr="00A02996">
          <w:rPr>
            <w:rStyle w:val="Hyperlink"/>
            <w:sz w:val="22"/>
            <w:szCs w:val="22"/>
          </w:rPr>
          <w:t>-15</w:t>
        </w:r>
      </w:hyperlink>
      <w:r w:rsidRPr="00FC3011">
        <w:rPr>
          <w:sz w:val="22"/>
          <w:szCs w:val="22"/>
        </w:rPr>
        <w:t xml:space="preserve">. </w:t>
      </w:r>
      <w:r w:rsidR="00F43129" w:rsidRPr="00FC3011">
        <w:rPr>
          <w:sz w:val="22"/>
          <w:szCs w:val="22"/>
        </w:rPr>
        <w:t>In addition, a sample certification for survivors of domestic violence, dating violence, sexual assault, stalking, and</w:t>
      </w:r>
      <w:r w:rsidR="00DC3805" w:rsidRPr="00FC3011">
        <w:rPr>
          <w:sz w:val="22"/>
          <w:szCs w:val="22"/>
        </w:rPr>
        <w:t>/or</w:t>
      </w:r>
      <w:r w:rsidR="00F43129" w:rsidRPr="00FC3011">
        <w:rPr>
          <w:sz w:val="22"/>
          <w:szCs w:val="22"/>
        </w:rPr>
        <w:t xml:space="preserve"> human trafficking</w:t>
      </w:r>
      <w:r w:rsidR="000303A0" w:rsidRPr="00FC3011">
        <w:rPr>
          <w:sz w:val="22"/>
          <w:szCs w:val="22"/>
        </w:rPr>
        <w:t xml:space="preserve"> </w:t>
      </w:r>
      <w:r w:rsidR="00F23CF2" w:rsidRPr="00FC3011">
        <w:rPr>
          <w:sz w:val="22"/>
          <w:szCs w:val="22"/>
        </w:rPr>
        <w:t xml:space="preserve">was recently created and </w:t>
      </w:r>
      <w:r w:rsidR="00F43129" w:rsidRPr="00FC3011">
        <w:rPr>
          <w:sz w:val="22"/>
          <w:szCs w:val="22"/>
        </w:rPr>
        <w:t xml:space="preserve">is available on </w:t>
      </w:r>
      <w:r w:rsidR="00DC3805" w:rsidRPr="00FC3011">
        <w:rPr>
          <w:sz w:val="22"/>
          <w:szCs w:val="22"/>
        </w:rPr>
        <w:t>hud.gov/</w:t>
      </w:r>
      <w:proofErr w:type="spellStart"/>
      <w:r w:rsidR="00DC3805" w:rsidRPr="00FC3011">
        <w:rPr>
          <w:sz w:val="22"/>
          <w:szCs w:val="22"/>
        </w:rPr>
        <w:t>ehv</w:t>
      </w:r>
      <w:proofErr w:type="spellEnd"/>
      <w:r w:rsidR="00F23CF2" w:rsidRPr="00FC3011">
        <w:rPr>
          <w:sz w:val="22"/>
          <w:szCs w:val="22"/>
        </w:rPr>
        <w:t>; this sample certification is also an example of acceptable documentation</w:t>
      </w:r>
      <w:r w:rsidRPr="00FC3011">
        <w:rPr>
          <w:sz w:val="22"/>
          <w:szCs w:val="22"/>
        </w:rPr>
        <w:t>.</w:t>
      </w:r>
      <w:r w:rsidR="00DC3805" w:rsidRPr="00FC3011">
        <w:rPr>
          <w:sz w:val="22"/>
          <w:szCs w:val="22"/>
        </w:rPr>
        <w:t xml:space="preserve"> </w:t>
      </w:r>
      <w:r w:rsidR="000303A0" w:rsidRPr="00FC3011">
        <w:rPr>
          <w:sz w:val="22"/>
          <w:szCs w:val="22"/>
        </w:rPr>
        <w:t xml:space="preserve"> Once the PHA receives documentation from the </w:t>
      </w:r>
      <w:proofErr w:type="spellStart"/>
      <w:r w:rsidR="000303A0" w:rsidRPr="00FC3011">
        <w:rPr>
          <w:sz w:val="22"/>
          <w:szCs w:val="22"/>
        </w:rPr>
        <w:t>CoC</w:t>
      </w:r>
      <w:proofErr w:type="spellEnd"/>
      <w:r w:rsidR="000303A0" w:rsidRPr="00FC3011">
        <w:rPr>
          <w:sz w:val="22"/>
          <w:szCs w:val="22"/>
        </w:rPr>
        <w:t xml:space="preserve"> or VSP</w:t>
      </w:r>
      <w:r w:rsidR="00DC3805" w:rsidRPr="00FC3011">
        <w:rPr>
          <w:sz w:val="22"/>
          <w:szCs w:val="22"/>
        </w:rPr>
        <w:t xml:space="preserve"> </w:t>
      </w:r>
      <w:r w:rsidR="000303A0" w:rsidRPr="00FC3011">
        <w:rPr>
          <w:sz w:val="22"/>
          <w:szCs w:val="22"/>
        </w:rPr>
        <w:t>that the family falls under one of the four eligibility categories, n</w:t>
      </w:r>
      <w:r w:rsidR="00DC3805" w:rsidRPr="00FC3011">
        <w:rPr>
          <w:sz w:val="22"/>
          <w:szCs w:val="22"/>
        </w:rPr>
        <w:t xml:space="preserve">o further documentation is needed from the </w:t>
      </w:r>
      <w:proofErr w:type="spellStart"/>
      <w:r w:rsidR="00DC3805" w:rsidRPr="00FC3011">
        <w:rPr>
          <w:sz w:val="22"/>
          <w:szCs w:val="22"/>
        </w:rPr>
        <w:t>CoC</w:t>
      </w:r>
      <w:proofErr w:type="spellEnd"/>
      <w:r w:rsidR="00DC3805" w:rsidRPr="00FC3011">
        <w:rPr>
          <w:sz w:val="22"/>
          <w:szCs w:val="22"/>
        </w:rPr>
        <w:t xml:space="preserve"> or VSP</w:t>
      </w:r>
      <w:r w:rsidR="000303A0" w:rsidRPr="00FC3011">
        <w:rPr>
          <w:sz w:val="22"/>
          <w:szCs w:val="22"/>
        </w:rPr>
        <w:t>.</w:t>
      </w:r>
      <w:r w:rsidRPr="00FC3011">
        <w:rPr>
          <w:sz w:val="22"/>
          <w:szCs w:val="22"/>
        </w:rPr>
        <w:t xml:space="preserve"> </w:t>
      </w:r>
      <w:r w:rsidRPr="00FC3011">
        <w:rPr>
          <w:b/>
          <w:bCs/>
          <w:sz w:val="22"/>
          <w:szCs w:val="22"/>
        </w:rPr>
        <w:t xml:space="preserve">      </w:t>
      </w:r>
    </w:p>
    <w:bookmarkEnd w:id="2"/>
    <w:p w14:paraId="46C61912" w14:textId="77777777" w:rsidR="00DF0803" w:rsidRPr="00FC3011" w:rsidRDefault="00DF0803" w:rsidP="005B6F6A">
      <w:pPr>
        <w:pStyle w:val="paragraph"/>
        <w:spacing w:before="0" w:beforeAutospacing="0" w:after="0" w:afterAutospacing="0"/>
        <w:ind w:left="720"/>
        <w:textAlignment w:val="baseline"/>
        <w:rPr>
          <w:b/>
          <w:bCs/>
          <w:sz w:val="22"/>
          <w:szCs w:val="22"/>
        </w:rPr>
      </w:pPr>
    </w:p>
    <w:p w14:paraId="3442CE22" w14:textId="4A1A6BCB" w:rsidR="00BE2B56" w:rsidRPr="00FC3011" w:rsidRDefault="00BE2B56" w:rsidP="00B86D98">
      <w:pPr>
        <w:pStyle w:val="paragraph"/>
        <w:numPr>
          <w:ilvl w:val="0"/>
          <w:numId w:val="3"/>
        </w:numPr>
        <w:spacing w:before="0" w:beforeAutospacing="0" w:after="0" w:afterAutospacing="0"/>
        <w:textAlignment w:val="baseline"/>
        <w:rPr>
          <w:rStyle w:val="eop"/>
          <w:b/>
          <w:bCs/>
          <w:sz w:val="22"/>
          <w:szCs w:val="22"/>
        </w:rPr>
      </w:pPr>
      <w:r w:rsidRPr="00FC3011">
        <w:rPr>
          <w:rStyle w:val="normaltextrun"/>
          <w:rFonts w:eastAsia="Yu Mincho"/>
          <w:b/>
          <w:bCs/>
          <w:sz w:val="22"/>
          <w:szCs w:val="22"/>
        </w:rPr>
        <w:t>Are unaccompanied youth eligible for EHVs? </w:t>
      </w:r>
    </w:p>
    <w:p w14:paraId="01EAC127" w14:textId="77777777" w:rsidR="00BE2B56" w:rsidRPr="00FC3011" w:rsidRDefault="00BE2B56" w:rsidP="00BE2B56">
      <w:pPr>
        <w:pStyle w:val="paragraph"/>
        <w:spacing w:before="0" w:beforeAutospacing="0" w:after="0" w:afterAutospacing="0"/>
        <w:ind w:left="720"/>
        <w:textAlignment w:val="baseline"/>
        <w:rPr>
          <w:rStyle w:val="eop"/>
          <w:b/>
          <w:bCs/>
          <w:sz w:val="22"/>
          <w:szCs w:val="22"/>
        </w:rPr>
      </w:pPr>
    </w:p>
    <w:p w14:paraId="26009DA2" w14:textId="2C65E9C9" w:rsidR="00BE2B56" w:rsidRPr="008B6455" w:rsidRDefault="00BE2B56" w:rsidP="00BE2B56">
      <w:pPr>
        <w:pStyle w:val="paragraph"/>
        <w:spacing w:before="0" w:beforeAutospacing="0" w:after="0" w:afterAutospacing="0"/>
        <w:ind w:left="720"/>
        <w:textAlignment w:val="baseline"/>
        <w:rPr>
          <w:sz w:val="22"/>
          <w:szCs w:val="22"/>
        </w:rPr>
      </w:pPr>
      <w:r w:rsidRPr="008B6455">
        <w:rPr>
          <w:rStyle w:val="tabchar"/>
          <w:sz w:val="22"/>
          <w:szCs w:val="22"/>
        </w:rPr>
        <w:t>Youth between the ages of 18-24 are eligible for EHVs.</w:t>
      </w:r>
      <w:r w:rsidRPr="008B6455">
        <w:rPr>
          <w:rStyle w:val="eop"/>
          <w:sz w:val="22"/>
          <w:szCs w:val="22"/>
        </w:rPr>
        <w:t> </w:t>
      </w:r>
      <w:r w:rsidR="00195E51" w:rsidRPr="008B6455">
        <w:rPr>
          <w:rStyle w:val="normaltextrun"/>
          <w:sz w:val="22"/>
          <w:szCs w:val="22"/>
        </w:rPr>
        <w:t xml:space="preserve"> </w:t>
      </w:r>
      <w:r w:rsidR="008A690D" w:rsidRPr="008B6455">
        <w:rPr>
          <w:rStyle w:val="normaltextrun"/>
          <w:sz w:val="22"/>
          <w:szCs w:val="22"/>
        </w:rPr>
        <w:t xml:space="preserve">Youth under 18, however, must be part of a family that includes a person 18 years or older in order for the family to be eligible for an EHV. </w:t>
      </w:r>
    </w:p>
    <w:p w14:paraId="3C8FF41C" w14:textId="77777777" w:rsidR="005B6F6A" w:rsidRPr="008B6455" w:rsidRDefault="005B6F6A" w:rsidP="00BE2B56">
      <w:pPr>
        <w:pStyle w:val="paragraph"/>
        <w:spacing w:before="0" w:beforeAutospacing="0" w:after="0" w:afterAutospacing="0"/>
        <w:textAlignment w:val="baseline"/>
        <w:rPr>
          <w:rStyle w:val="eop"/>
          <w:b/>
          <w:bCs/>
          <w:sz w:val="22"/>
          <w:szCs w:val="22"/>
        </w:rPr>
      </w:pPr>
    </w:p>
    <w:p w14:paraId="79949B1A" w14:textId="7B4BFDE8" w:rsidR="005B6F6A" w:rsidRPr="008B6455" w:rsidRDefault="005B6F6A" w:rsidP="00B86D98">
      <w:pPr>
        <w:pStyle w:val="paragraph"/>
        <w:numPr>
          <w:ilvl w:val="0"/>
          <w:numId w:val="3"/>
        </w:numPr>
        <w:spacing w:before="0" w:beforeAutospacing="0" w:after="0" w:afterAutospacing="0"/>
        <w:textAlignment w:val="baseline"/>
        <w:rPr>
          <w:rStyle w:val="eop"/>
          <w:rFonts w:eastAsia="Yu Mincho"/>
          <w:sz w:val="22"/>
          <w:szCs w:val="22"/>
        </w:rPr>
      </w:pPr>
      <w:r w:rsidRPr="008B6455">
        <w:rPr>
          <w:rStyle w:val="normaltextrun"/>
          <w:rFonts w:eastAsia="Yu Mincho"/>
          <w:b/>
          <w:bCs/>
          <w:sz w:val="22"/>
          <w:szCs w:val="22"/>
        </w:rPr>
        <w:t>Can households without eligible immigrant status be eligible for EHV?</w:t>
      </w:r>
      <w:r w:rsidRPr="008B6455">
        <w:rPr>
          <w:rStyle w:val="normaltextrun"/>
          <w:rFonts w:eastAsia="Yu Mincho"/>
          <w:sz w:val="22"/>
          <w:szCs w:val="22"/>
        </w:rPr>
        <w:t> </w:t>
      </w:r>
    </w:p>
    <w:p w14:paraId="550F38D8" w14:textId="77777777" w:rsidR="005B6F6A" w:rsidRPr="008B6455" w:rsidRDefault="005B6F6A" w:rsidP="005B6F6A">
      <w:pPr>
        <w:pStyle w:val="paragraph"/>
        <w:spacing w:before="0" w:beforeAutospacing="0" w:after="0" w:afterAutospacing="0"/>
        <w:textAlignment w:val="baseline"/>
        <w:rPr>
          <w:sz w:val="22"/>
          <w:szCs w:val="22"/>
        </w:rPr>
      </w:pPr>
    </w:p>
    <w:p w14:paraId="015D2C49" w14:textId="5CC69192" w:rsidR="00CD4ABE" w:rsidRPr="008B6455" w:rsidRDefault="005B6F6A" w:rsidP="0131650B">
      <w:pPr>
        <w:pStyle w:val="paragraph"/>
        <w:spacing w:before="0" w:beforeAutospacing="0" w:after="0" w:afterAutospacing="0"/>
        <w:ind w:left="720"/>
        <w:rPr>
          <w:rStyle w:val="eop"/>
          <w:sz w:val="22"/>
          <w:szCs w:val="22"/>
        </w:rPr>
      </w:pPr>
      <w:r w:rsidRPr="008B6455">
        <w:rPr>
          <w:rStyle w:val="normaltextrun"/>
          <w:sz w:val="22"/>
          <w:szCs w:val="22"/>
        </w:rPr>
        <w:t xml:space="preserve">No. As </w:t>
      </w:r>
      <w:r w:rsidRPr="008B6455">
        <w:rPr>
          <w:rFonts w:eastAsia="Calibri"/>
          <w:color w:val="000000" w:themeColor="text1"/>
          <w:sz w:val="22"/>
          <w:szCs w:val="22"/>
        </w:rPr>
        <w:t xml:space="preserve">tenant-based assistance under section 8(o) of the United States Housing Act of 1937, EHV requirements for citizenship are the same as the </w:t>
      </w:r>
      <w:r w:rsidR="00DC60A3" w:rsidRPr="008B6455">
        <w:rPr>
          <w:rFonts w:eastAsia="Calibri"/>
          <w:color w:val="000000" w:themeColor="text1"/>
          <w:sz w:val="22"/>
          <w:szCs w:val="22"/>
        </w:rPr>
        <w:t xml:space="preserve">HCV </w:t>
      </w:r>
      <w:r w:rsidRPr="008B6455">
        <w:rPr>
          <w:rFonts w:eastAsia="Calibri"/>
          <w:color w:val="000000" w:themeColor="text1"/>
          <w:sz w:val="22"/>
          <w:szCs w:val="22"/>
        </w:rPr>
        <w:t xml:space="preserve">program. 24 CFR § 5.506 requires </w:t>
      </w:r>
      <w:r w:rsidRPr="008B6455">
        <w:rPr>
          <w:rStyle w:val="normaltextrun"/>
          <w:sz w:val="22"/>
          <w:szCs w:val="22"/>
        </w:rPr>
        <w:t xml:space="preserve">at least one member of the household to be a U.S. citizen or </w:t>
      </w:r>
      <w:r w:rsidR="002837AF" w:rsidRPr="008B6455">
        <w:rPr>
          <w:rStyle w:val="normaltextrun"/>
          <w:sz w:val="22"/>
          <w:szCs w:val="22"/>
        </w:rPr>
        <w:t xml:space="preserve">a </w:t>
      </w:r>
      <w:r w:rsidRPr="008B6455">
        <w:rPr>
          <w:rStyle w:val="normaltextrun"/>
          <w:sz w:val="22"/>
          <w:szCs w:val="22"/>
        </w:rPr>
        <w:t>noncitizen with eligible</w:t>
      </w:r>
      <w:r w:rsidRPr="008B6455">
        <w:rPr>
          <w:rStyle w:val="tabchar"/>
          <w:sz w:val="22"/>
          <w:szCs w:val="22"/>
        </w:rPr>
        <w:t xml:space="preserve"> </w:t>
      </w:r>
      <w:r w:rsidRPr="008B6455">
        <w:rPr>
          <w:rStyle w:val="normaltextrun"/>
          <w:sz w:val="22"/>
          <w:szCs w:val="22"/>
        </w:rPr>
        <w:t>immigration status to receive assistance under section 8(o).</w:t>
      </w:r>
      <w:r w:rsidRPr="008B6455">
        <w:rPr>
          <w:rStyle w:val="eop"/>
          <w:sz w:val="22"/>
          <w:szCs w:val="22"/>
        </w:rPr>
        <w:t> </w:t>
      </w:r>
    </w:p>
    <w:p w14:paraId="24CDE000" w14:textId="7B5DC724" w:rsidR="0131650B" w:rsidRPr="008B6455" w:rsidRDefault="0131650B" w:rsidP="0131650B">
      <w:pPr>
        <w:pStyle w:val="paragraph"/>
        <w:spacing w:before="0" w:beforeAutospacing="0" w:after="0" w:afterAutospacing="0"/>
        <w:ind w:left="720"/>
        <w:rPr>
          <w:rStyle w:val="eop"/>
          <w:sz w:val="22"/>
          <w:szCs w:val="22"/>
        </w:rPr>
      </w:pPr>
    </w:p>
    <w:p w14:paraId="6384A743" w14:textId="0068E7C7" w:rsidR="00CD4ABE" w:rsidRPr="008B6455" w:rsidRDefault="00CD4ABE" w:rsidP="00B86D98">
      <w:pPr>
        <w:pStyle w:val="ListParagraph"/>
        <w:numPr>
          <w:ilvl w:val="0"/>
          <w:numId w:val="3"/>
        </w:numPr>
        <w:rPr>
          <w:rFonts w:ascii="Times New Roman" w:hAnsi="Times New Roman" w:cs="Times New Roman"/>
          <w:b/>
          <w:bCs/>
        </w:rPr>
      </w:pPr>
      <w:r w:rsidRPr="008B6455">
        <w:rPr>
          <w:rFonts w:ascii="Times New Roman" w:hAnsi="Times New Roman" w:cs="Times New Roman"/>
          <w:b/>
          <w:bCs/>
          <w:color w:val="000000" w:themeColor="text1"/>
        </w:rPr>
        <w:t xml:space="preserve">My community has veterans who may be eligible for both HUD-VASH and EHV. How do we determine which program would be a better fit for them? </w:t>
      </w:r>
    </w:p>
    <w:p w14:paraId="7311ADAC" w14:textId="3E5A148A" w:rsidR="00CD4ABE" w:rsidRPr="008B6455" w:rsidRDefault="3859744D" w:rsidP="00CD4ABE">
      <w:pPr>
        <w:ind w:left="720"/>
        <w:rPr>
          <w:rFonts w:ascii="Times New Roman" w:hAnsi="Times New Roman" w:cs="Times New Roman"/>
        </w:rPr>
      </w:pPr>
      <w:r w:rsidRPr="008B6455">
        <w:rPr>
          <w:rFonts w:ascii="Times New Roman" w:eastAsia="Calibri" w:hAnsi="Times New Roman" w:cs="Times New Roman"/>
        </w:rPr>
        <w:t xml:space="preserve">In response to the specific request for guidance, </w:t>
      </w:r>
      <w:r w:rsidR="060DFCC1" w:rsidRPr="008B6455">
        <w:rPr>
          <w:rFonts w:ascii="Times New Roman" w:eastAsia="Calibri" w:hAnsi="Times New Roman" w:cs="Times New Roman"/>
        </w:rPr>
        <w:t xml:space="preserve">HUD </w:t>
      </w:r>
      <w:r w:rsidR="00AE5F3F" w:rsidRPr="008B6455">
        <w:rPr>
          <w:rFonts w:ascii="Times New Roman" w:eastAsia="Calibri" w:hAnsi="Times New Roman" w:cs="Times New Roman"/>
        </w:rPr>
        <w:t>recommends</w:t>
      </w:r>
      <w:r w:rsidR="4486A608" w:rsidRPr="008B6455">
        <w:rPr>
          <w:rFonts w:ascii="Times New Roman" w:eastAsia="Calibri" w:hAnsi="Times New Roman" w:cs="Times New Roman"/>
        </w:rPr>
        <w:t xml:space="preserve"> that </w:t>
      </w:r>
      <w:r w:rsidR="00A75E4E" w:rsidRPr="008B6455">
        <w:rPr>
          <w:rFonts w:ascii="Times New Roman" w:eastAsia="Calibri" w:hAnsi="Times New Roman" w:cs="Times New Roman"/>
        </w:rPr>
        <w:t>t</w:t>
      </w:r>
      <w:r w:rsidR="00CD4ABE" w:rsidRPr="008B6455">
        <w:rPr>
          <w:rFonts w:ascii="Times New Roman" w:eastAsia="Calibri" w:hAnsi="Times New Roman" w:cs="Times New Roman"/>
        </w:rPr>
        <w:t>he</w:t>
      </w:r>
      <w:r w:rsidR="7B3EC3A1" w:rsidRPr="008B6455">
        <w:rPr>
          <w:rFonts w:ascii="Times New Roman" w:eastAsia="Calibri" w:hAnsi="Times New Roman" w:cs="Times New Roman"/>
        </w:rPr>
        <w:t xml:space="preserve"> determination</w:t>
      </w:r>
      <w:r w:rsidR="471B66CE" w:rsidRPr="008B6455">
        <w:rPr>
          <w:rFonts w:ascii="Times New Roman" w:eastAsia="Calibri" w:hAnsi="Times New Roman" w:cs="Times New Roman"/>
        </w:rPr>
        <w:t xml:space="preserve"> </w:t>
      </w:r>
      <w:r w:rsidR="4486A608" w:rsidRPr="008B6455">
        <w:rPr>
          <w:rFonts w:ascii="Times New Roman" w:eastAsia="Calibri" w:hAnsi="Times New Roman" w:cs="Times New Roman"/>
        </w:rPr>
        <w:t xml:space="preserve">should </w:t>
      </w:r>
      <w:r w:rsidR="7B3EC3A1" w:rsidRPr="008B6455">
        <w:rPr>
          <w:rFonts w:ascii="Times New Roman" w:eastAsia="Calibri" w:hAnsi="Times New Roman" w:cs="Times New Roman"/>
        </w:rPr>
        <w:t>be made based on the case management needs of the veteran</w:t>
      </w:r>
      <w:r w:rsidR="00CD4ABE" w:rsidRPr="008B6455">
        <w:rPr>
          <w:rFonts w:ascii="Times New Roman" w:eastAsia="Calibri" w:hAnsi="Times New Roman" w:cs="Times New Roman"/>
        </w:rPr>
        <w:t>.</w:t>
      </w:r>
      <w:r w:rsidR="00CD4ABE" w:rsidRPr="008B6455">
        <w:rPr>
          <w:rFonts w:ascii="Times New Roman" w:eastAsia="Calibri" w:hAnsi="Times New Roman" w:cs="Times New Roman"/>
          <w:b/>
          <w:bCs/>
        </w:rPr>
        <w:t xml:space="preserve"> </w:t>
      </w:r>
      <w:r w:rsidR="00992F30" w:rsidRPr="008B6455">
        <w:rPr>
          <w:rFonts w:ascii="Times New Roman" w:eastAsia="Calibri" w:hAnsi="Times New Roman" w:cs="Times New Roman"/>
          <w:b/>
          <w:bCs/>
        </w:rPr>
        <w:t xml:space="preserve"> </w:t>
      </w:r>
      <w:r w:rsidR="00CB13A9" w:rsidRPr="008B6455">
        <w:rPr>
          <w:rFonts w:ascii="Times New Roman" w:eastAsia="Calibri" w:hAnsi="Times New Roman" w:cs="Times New Roman"/>
        </w:rPr>
        <w:t>This</w:t>
      </w:r>
      <w:r w:rsidR="0158BEB0" w:rsidRPr="008B6455">
        <w:rPr>
          <w:rFonts w:ascii="Times New Roman" w:eastAsia="Calibri" w:hAnsi="Times New Roman" w:cs="Times New Roman"/>
        </w:rPr>
        <w:t xml:space="preserve"> would result in </w:t>
      </w:r>
      <w:r w:rsidR="2CAA5A67" w:rsidRPr="008B6455">
        <w:rPr>
          <w:rFonts w:ascii="Times New Roman" w:eastAsia="Calibri" w:hAnsi="Times New Roman" w:cs="Times New Roman"/>
        </w:rPr>
        <w:t>v</w:t>
      </w:r>
      <w:r w:rsidR="7B3EC3A1" w:rsidRPr="008B6455">
        <w:rPr>
          <w:rFonts w:ascii="Times New Roman" w:eastAsia="Calibri" w:hAnsi="Times New Roman" w:cs="Times New Roman"/>
        </w:rPr>
        <w:t>eterans referred by the VA for HUD-VASH be</w:t>
      </w:r>
      <w:r w:rsidR="3668504F" w:rsidRPr="008B6455">
        <w:rPr>
          <w:rFonts w:ascii="Times New Roman" w:eastAsia="Calibri" w:hAnsi="Times New Roman" w:cs="Times New Roman"/>
        </w:rPr>
        <w:t>ing</w:t>
      </w:r>
      <w:r w:rsidR="7B3EC3A1" w:rsidRPr="008B6455">
        <w:rPr>
          <w:rFonts w:ascii="Times New Roman" w:eastAsia="Calibri" w:hAnsi="Times New Roman" w:cs="Times New Roman"/>
        </w:rPr>
        <w:t xml:space="preserve"> served by HUD-VASH, as the referral signifies the VA’s determination of the veteran’s needs for ongoing case management services. </w:t>
      </w:r>
      <w:r w:rsidR="4071FBA7" w:rsidRPr="008B6455">
        <w:rPr>
          <w:rFonts w:ascii="Times New Roman" w:eastAsia="Calibri" w:hAnsi="Times New Roman" w:cs="Times New Roman"/>
        </w:rPr>
        <w:t xml:space="preserve"> </w:t>
      </w:r>
      <w:r w:rsidR="7B3EC3A1" w:rsidRPr="008B6455">
        <w:rPr>
          <w:rFonts w:ascii="Times New Roman" w:eastAsia="Calibri" w:hAnsi="Times New Roman" w:cs="Times New Roman"/>
        </w:rPr>
        <w:t xml:space="preserve">Depending on the populations PHAs and their partnering </w:t>
      </w:r>
      <w:proofErr w:type="spellStart"/>
      <w:r w:rsidR="7B3EC3A1" w:rsidRPr="008B6455">
        <w:rPr>
          <w:rFonts w:ascii="Times New Roman" w:eastAsia="Calibri" w:hAnsi="Times New Roman" w:cs="Times New Roman"/>
        </w:rPr>
        <w:t>CoC</w:t>
      </w:r>
      <w:proofErr w:type="spellEnd"/>
      <w:r w:rsidR="7B3EC3A1" w:rsidRPr="008B6455">
        <w:rPr>
          <w:rFonts w:ascii="Times New Roman" w:eastAsia="Calibri" w:hAnsi="Times New Roman" w:cs="Times New Roman"/>
        </w:rPr>
        <w:t xml:space="preserve">(s) have agreed to prioritize for EHV referrals, the </w:t>
      </w:r>
      <w:proofErr w:type="spellStart"/>
      <w:r w:rsidR="7B3EC3A1" w:rsidRPr="008B6455">
        <w:rPr>
          <w:rFonts w:ascii="Times New Roman" w:eastAsia="Calibri" w:hAnsi="Times New Roman" w:cs="Times New Roman"/>
        </w:rPr>
        <w:t>CoC</w:t>
      </w:r>
      <w:proofErr w:type="spellEnd"/>
      <w:r w:rsidR="7B3EC3A1" w:rsidRPr="008B6455">
        <w:rPr>
          <w:rFonts w:ascii="Times New Roman" w:eastAsia="Calibri" w:hAnsi="Times New Roman" w:cs="Times New Roman"/>
        </w:rPr>
        <w:t xml:space="preserve"> may refer </w:t>
      </w:r>
      <w:r w:rsidR="7B3EC3A1" w:rsidRPr="008B6455">
        <w:rPr>
          <w:rFonts w:ascii="Times New Roman" w:eastAsia="Calibri" w:hAnsi="Times New Roman" w:cs="Times New Roman"/>
          <w:color w:val="000000" w:themeColor="text1"/>
        </w:rPr>
        <w:t xml:space="preserve">veteran </w:t>
      </w:r>
      <w:r w:rsidR="7B3EC3A1" w:rsidRPr="008B6455">
        <w:rPr>
          <w:rFonts w:ascii="Times New Roman" w:eastAsia="Calibri" w:hAnsi="Times New Roman" w:cs="Times New Roman"/>
        </w:rPr>
        <w:t xml:space="preserve">families who are ineligible for HUD-VASH but otherwise eligible for EHV.  </w:t>
      </w:r>
    </w:p>
    <w:p w14:paraId="084094C0" w14:textId="2E3A2AF9" w:rsidR="00CD4ABE" w:rsidRPr="008B6455" w:rsidRDefault="0D3C1A16" w:rsidP="00B86D98">
      <w:pPr>
        <w:pStyle w:val="ListParagraph"/>
        <w:numPr>
          <w:ilvl w:val="0"/>
          <w:numId w:val="3"/>
        </w:numPr>
        <w:rPr>
          <w:rFonts w:ascii="Times New Roman" w:hAnsi="Times New Roman" w:cs="Times New Roman"/>
          <w:b/>
          <w:bCs/>
        </w:rPr>
      </w:pPr>
      <w:r w:rsidRPr="008B6455">
        <w:rPr>
          <w:rFonts w:ascii="Times New Roman" w:eastAsia="Calibri" w:hAnsi="Times New Roman" w:cs="Times New Roman"/>
          <w:b/>
          <w:bCs/>
        </w:rPr>
        <w:t xml:space="preserve">Are former foster youth who are eligible for the Family Unification Program (FUP) also eligible for EHV? </w:t>
      </w:r>
      <w:r w:rsidR="7D49EF06" w:rsidRPr="008B6455">
        <w:rPr>
          <w:rFonts w:ascii="Times New Roman" w:eastAsia="Calibri" w:hAnsi="Times New Roman" w:cs="Times New Roman"/>
          <w:b/>
          <w:bCs/>
        </w:rPr>
        <w:t>If they are eligible for EHV,</w:t>
      </w:r>
      <w:r w:rsidR="7B3EC3A1" w:rsidRPr="008B6455">
        <w:rPr>
          <w:rFonts w:ascii="Times New Roman" w:eastAsia="Calibri" w:hAnsi="Times New Roman" w:cs="Times New Roman"/>
          <w:b/>
          <w:bCs/>
        </w:rPr>
        <w:t xml:space="preserve"> must they also be assessed through the </w:t>
      </w:r>
      <w:r w:rsidR="2883D472" w:rsidRPr="008B6455">
        <w:rPr>
          <w:rFonts w:ascii="Times New Roman" w:eastAsia="Calibri" w:hAnsi="Times New Roman" w:cs="Times New Roman"/>
          <w:b/>
          <w:bCs/>
        </w:rPr>
        <w:t>C</w:t>
      </w:r>
      <w:r w:rsidR="7B3EC3A1" w:rsidRPr="008B6455">
        <w:rPr>
          <w:rFonts w:ascii="Times New Roman" w:eastAsia="Calibri" w:hAnsi="Times New Roman" w:cs="Times New Roman"/>
          <w:b/>
          <w:bCs/>
        </w:rPr>
        <w:t xml:space="preserve">oordinated </w:t>
      </w:r>
      <w:r w:rsidR="2883D472" w:rsidRPr="008B6455">
        <w:rPr>
          <w:rFonts w:ascii="Times New Roman" w:eastAsia="Calibri" w:hAnsi="Times New Roman" w:cs="Times New Roman"/>
          <w:b/>
          <w:bCs/>
        </w:rPr>
        <w:t>E</w:t>
      </w:r>
      <w:r w:rsidR="7B3EC3A1" w:rsidRPr="008B6455">
        <w:rPr>
          <w:rFonts w:ascii="Times New Roman" w:eastAsia="Calibri" w:hAnsi="Times New Roman" w:cs="Times New Roman"/>
          <w:b/>
          <w:bCs/>
        </w:rPr>
        <w:t xml:space="preserve">ntry </w:t>
      </w:r>
      <w:r w:rsidR="2883D472" w:rsidRPr="008B6455">
        <w:rPr>
          <w:rFonts w:ascii="Times New Roman" w:eastAsia="Calibri" w:hAnsi="Times New Roman" w:cs="Times New Roman"/>
          <w:b/>
          <w:bCs/>
        </w:rPr>
        <w:t>S</w:t>
      </w:r>
      <w:r w:rsidR="7B3EC3A1" w:rsidRPr="008B6455">
        <w:rPr>
          <w:rFonts w:ascii="Times New Roman" w:eastAsia="Calibri" w:hAnsi="Times New Roman" w:cs="Times New Roman"/>
          <w:b/>
          <w:bCs/>
        </w:rPr>
        <w:t xml:space="preserve">ystem first? </w:t>
      </w:r>
    </w:p>
    <w:p w14:paraId="37861E4B" w14:textId="77777777" w:rsidR="00CD4ABE" w:rsidRPr="008B6455" w:rsidRDefault="00CD4ABE" w:rsidP="00CD4ABE">
      <w:pPr>
        <w:pStyle w:val="ListParagraph"/>
        <w:rPr>
          <w:rFonts w:ascii="Times New Roman" w:hAnsi="Times New Roman" w:cs="Times New Roman"/>
          <w:b/>
          <w:bCs/>
        </w:rPr>
      </w:pPr>
    </w:p>
    <w:p w14:paraId="4EB0EE14" w14:textId="3A0170E7" w:rsidR="00B67A00" w:rsidRDefault="67DBBE5D" w:rsidP="00D0375C">
      <w:pPr>
        <w:pStyle w:val="ListParagraph"/>
        <w:rPr>
          <w:rFonts w:ascii="Times New Roman" w:hAnsi="Times New Roman" w:cs="Times New Roman"/>
        </w:rPr>
      </w:pPr>
      <w:r w:rsidRPr="008B6455">
        <w:rPr>
          <w:rFonts w:ascii="Times New Roman" w:hAnsi="Times New Roman" w:cs="Times New Roman"/>
        </w:rPr>
        <w:t>F</w:t>
      </w:r>
      <w:r w:rsidR="7B3EC3A1" w:rsidRPr="008B6455">
        <w:rPr>
          <w:rFonts w:ascii="Times New Roman" w:hAnsi="Times New Roman" w:cs="Times New Roman"/>
        </w:rPr>
        <w:t xml:space="preserve">ormer foster youth who are eligible for FUP </w:t>
      </w:r>
      <w:r w:rsidR="5C48F5FC" w:rsidRPr="008B6455">
        <w:rPr>
          <w:rFonts w:ascii="Times New Roman" w:hAnsi="Times New Roman" w:cs="Times New Roman"/>
        </w:rPr>
        <w:t>may</w:t>
      </w:r>
      <w:r w:rsidR="7B3EC3A1" w:rsidRPr="008B6455">
        <w:rPr>
          <w:rFonts w:ascii="Times New Roman" w:hAnsi="Times New Roman" w:cs="Times New Roman"/>
        </w:rPr>
        <w:t xml:space="preserve"> </w:t>
      </w:r>
      <w:r w:rsidR="16733800" w:rsidRPr="008B6455">
        <w:rPr>
          <w:rFonts w:ascii="Times New Roman" w:hAnsi="Times New Roman" w:cs="Times New Roman"/>
        </w:rPr>
        <w:t>also</w:t>
      </w:r>
      <w:r w:rsidR="2E2451F6" w:rsidRPr="008B6455">
        <w:rPr>
          <w:rFonts w:ascii="Times New Roman" w:hAnsi="Times New Roman" w:cs="Times New Roman"/>
        </w:rPr>
        <w:t xml:space="preserve"> be</w:t>
      </w:r>
      <w:r w:rsidR="7B3EC3A1" w:rsidRPr="008B6455">
        <w:rPr>
          <w:rFonts w:ascii="Times New Roman" w:hAnsi="Times New Roman" w:cs="Times New Roman"/>
        </w:rPr>
        <w:t xml:space="preserve"> eligible for EHV </w:t>
      </w:r>
      <w:r w:rsidR="62AF8C60" w:rsidRPr="008B6455">
        <w:rPr>
          <w:rFonts w:ascii="Times New Roman" w:hAnsi="Times New Roman" w:cs="Times New Roman"/>
        </w:rPr>
        <w:t xml:space="preserve">if they meet the EHV eligibility criteria defined in Section 8 of </w:t>
      </w:r>
      <w:hyperlink r:id="rId12" w:history="1">
        <w:r w:rsidR="62AF8C60" w:rsidRPr="008B6455">
          <w:rPr>
            <w:rStyle w:val="Hyperlink"/>
            <w:rFonts w:ascii="Times New Roman" w:hAnsi="Times New Roman" w:cs="Times New Roman"/>
          </w:rPr>
          <w:t>PIH Notice 2021-15</w:t>
        </w:r>
      </w:hyperlink>
      <w:r w:rsidR="7B3EC3A1" w:rsidRPr="008B6455">
        <w:rPr>
          <w:rFonts w:ascii="Times New Roman" w:hAnsi="Times New Roman" w:cs="Times New Roman"/>
        </w:rPr>
        <w:t xml:space="preserve">. </w:t>
      </w:r>
      <w:r w:rsidR="4B1091E0" w:rsidRPr="008B6455">
        <w:rPr>
          <w:rFonts w:ascii="Times New Roman" w:hAnsi="Times New Roman" w:cs="Times New Roman"/>
        </w:rPr>
        <w:t xml:space="preserve">Per EHV requirements, the </w:t>
      </w:r>
      <w:proofErr w:type="spellStart"/>
      <w:r w:rsidR="4B1091E0" w:rsidRPr="008B6455">
        <w:rPr>
          <w:rFonts w:ascii="Times New Roman" w:hAnsi="Times New Roman" w:cs="Times New Roman"/>
        </w:rPr>
        <w:t>CoC</w:t>
      </w:r>
      <w:proofErr w:type="spellEnd"/>
      <w:r w:rsidR="4B1091E0" w:rsidRPr="008B6455">
        <w:rPr>
          <w:rFonts w:ascii="Times New Roman" w:hAnsi="Times New Roman" w:cs="Times New Roman"/>
        </w:rPr>
        <w:t xml:space="preserve"> or </w:t>
      </w:r>
      <w:proofErr w:type="gramStart"/>
      <w:r w:rsidR="4B1091E0" w:rsidRPr="008B6455">
        <w:rPr>
          <w:rFonts w:ascii="Times New Roman" w:hAnsi="Times New Roman" w:cs="Times New Roman"/>
        </w:rPr>
        <w:t>other</w:t>
      </w:r>
      <w:proofErr w:type="gramEnd"/>
      <w:r w:rsidR="4B1091E0" w:rsidRPr="008B6455">
        <w:rPr>
          <w:rFonts w:ascii="Times New Roman" w:hAnsi="Times New Roman" w:cs="Times New Roman"/>
        </w:rPr>
        <w:t xml:space="preserve"> partnering agency</w:t>
      </w:r>
      <w:r w:rsidR="60681F6D" w:rsidRPr="008B6455">
        <w:rPr>
          <w:rFonts w:ascii="Times New Roman" w:hAnsi="Times New Roman" w:cs="Times New Roman"/>
        </w:rPr>
        <w:t xml:space="preserve"> has</w:t>
      </w:r>
      <w:r w:rsidR="4B1091E0" w:rsidRPr="008B6455">
        <w:rPr>
          <w:rFonts w:ascii="Times New Roman" w:hAnsi="Times New Roman" w:cs="Times New Roman"/>
        </w:rPr>
        <w:t xml:space="preserve"> to provide the referral through </w:t>
      </w:r>
      <w:r w:rsidR="2FB69A46" w:rsidRPr="008B6455">
        <w:rPr>
          <w:rFonts w:ascii="Times New Roman" w:hAnsi="Times New Roman" w:cs="Times New Roman"/>
        </w:rPr>
        <w:t>the</w:t>
      </w:r>
      <w:r w:rsidR="4B1091E0" w:rsidRPr="008B6455">
        <w:rPr>
          <w:rFonts w:ascii="Times New Roman" w:hAnsi="Times New Roman" w:cs="Times New Roman"/>
        </w:rPr>
        <w:t xml:space="preserve"> CES. </w:t>
      </w:r>
    </w:p>
    <w:p w14:paraId="64553398" w14:textId="33A93AB7" w:rsidR="00864065" w:rsidRDefault="00864065" w:rsidP="00D0375C">
      <w:pPr>
        <w:pStyle w:val="ListParagraph"/>
        <w:rPr>
          <w:rFonts w:ascii="Times New Roman" w:hAnsi="Times New Roman" w:cs="Times New Roman"/>
        </w:rPr>
      </w:pPr>
    </w:p>
    <w:p w14:paraId="7E3E58EA" w14:textId="38E6126D" w:rsidR="00864065" w:rsidRDefault="00864065" w:rsidP="00D0375C">
      <w:pPr>
        <w:pStyle w:val="ListParagraph"/>
        <w:rPr>
          <w:rFonts w:ascii="Times New Roman" w:hAnsi="Times New Roman" w:cs="Times New Roman"/>
        </w:rPr>
      </w:pPr>
    </w:p>
    <w:p w14:paraId="6D5DBE88" w14:textId="77777777" w:rsidR="00864065" w:rsidRPr="008B6455" w:rsidRDefault="00864065" w:rsidP="00D0375C">
      <w:pPr>
        <w:pStyle w:val="ListParagraph"/>
        <w:rPr>
          <w:rFonts w:ascii="Times New Roman" w:hAnsi="Times New Roman" w:cs="Times New Roman"/>
        </w:rPr>
      </w:pPr>
    </w:p>
    <w:p w14:paraId="0E07AE1D" w14:textId="77777777" w:rsidR="007F63BD" w:rsidRPr="008B6455" w:rsidRDefault="007F63BD" w:rsidP="00D0375C">
      <w:pPr>
        <w:pStyle w:val="ListParagraph"/>
        <w:rPr>
          <w:rFonts w:ascii="Times New Roman" w:hAnsi="Times New Roman" w:cs="Times New Roman"/>
        </w:rPr>
      </w:pPr>
    </w:p>
    <w:p w14:paraId="06710115" w14:textId="69A52310" w:rsidR="00EA5E0E" w:rsidRPr="00864065" w:rsidRDefault="007F63BD" w:rsidP="00864065">
      <w:pPr>
        <w:pStyle w:val="ListParagraph"/>
        <w:numPr>
          <w:ilvl w:val="0"/>
          <w:numId w:val="3"/>
        </w:numPr>
        <w:spacing w:line="252" w:lineRule="auto"/>
        <w:rPr>
          <w:rFonts w:ascii="Times New Roman" w:hAnsi="Times New Roman" w:cs="Times New Roman"/>
          <w:b/>
          <w:bCs/>
          <w:color w:val="000000" w:themeColor="text1"/>
        </w:rPr>
      </w:pPr>
      <w:r w:rsidRPr="008B6455">
        <w:rPr>
          <w:rFonts w:ascii="Times New Roman" w:eastAsia="Calibri" w:hAnsi="Times New Roman" w:cs="Times New Roman"/>
          <w:b/>
          <w:bCs/>
          <w:color w:val="000000" w:themeColor="text1"/>
        </w:rPr>
        <w:lastRenderedPageBreak/>
        <w:t xml:space="preserve">What does “fleeing or attempting to flee” mean in the context of eligibility for EHV? </w:t>
      </w:r>
    </w:p>
    <w:p w14:paraId="4E96076F" w14:textId="77777777" w:rsidR="004151DE" w:rsidRPr="008B6455" w:rsidRDefault="004151DE" w:rsidP="00B60C61">
      <w:pPr>
        <w:pStyle w:val="ListParagraph"/>
        <w:rPr>
          <w:rFonts w:ascii="Times New Roman" w:eastAsia="Calibri" w:hAnsi="Times New Roman" w:cs="Times New Roman"/>
          <w:color w:val="000000" w:themeColor="text1"/>
        </w:rPr>
      </w:pPr>
    </w:p>
    <w:p w14:paraId="4AAEAA23" w14:textId="35EB4F9B" w:rsidR="00B60C61" w:rsidRPr="008B6455" w:rsidRDefault="00B54202" w:rsidP="00B60C61">
      <w:pPr>
        <w:pStyle w:val="ListParagraph"/>
        <w:rPr>
          <w:rFonts w:ascii="Times New Roman" w:hAnsi="Times New Roman" w:cs="Times New Roman"/>
        </w:rPr>
      </w:pPr>
      <w:proofErr w:type="spellStart"/>
      <w:r w:rsidRPr="008B6455">
        <w:rPr>
          <w:rFonts w:ascii="Times New Roman" w:eastAsia="Calibri" w:hAnsi="Times New Roman" w:cs="Times New Roman"/>
          <w:color w:val="000000" w:themeColor="text1"/>
        </w:rPr>
        <w:t>CoCs</w:t>
      </w:r>
      <w:proofErr w:type="spellEnd"/>
      <w:r w:rsidRPr="008B6455">
        <w:rPr>
          <w:rFonts w:ascii="Times New Roman" w:eastAsia="Calibri" w:hAnsi="Times New Roman" w:cs="Times New Roman"/>
          <w:color w:val="000000" w:themeColor="text1"/>
        </w:rPr>
        <w:t xml:space="preserve"> and VSPs are responsible for </w:t>
      </w:r>
      <w:r w:rsidR="007F24D7" w:rsidRPr="008B6455">
        <w:rPr>
          <w:rFonts w:ascii="Times New Roman" w:eastAsia="Calibri" w:hAnsi="Times New Roman" w:cs="Times New Roman"/>
          <w:color w:val="000000" w:themeColor="text1"/>
        </w:rPr>
        <w:t>certifying</w:t>
      </w:r>
      <w:r w:rsidRPr="008B6455">
        <w:rPr>
          <w:rFonts w:ascii="Times New Roman" w:eastAsia="Calibri" w:hAnsi="Times New Roman" w:cs="Times New Roman"/>
          <w:color w:val="000000" w:themeColor="text1"/>
        </w:rPr>
        <w:t xml:space="preserve"> eligibility for families fleeing or attempting flee domestic violence, dating violence, sexual assault and human trafficking.  These organizations may </w:t>
      </w:r>
      <w:r w:rsidR="00B60C61" w:rsidRPr="008B6455">
        <w:rPr>
          <w:rFonts w:ascii="Times New Roman" w:eastAsia="Calibri" w:hAnsi="Times New Roman" w:cs="Times New Roman"/>
          <w:color w:val="000000" w:themeColor="text1"/>
        </w:rPr>
        <w:t>accept survivors’ self-definition of “fleeing or attempting to flee” for the purpose of</w:t>
      </w:r>
      <w:r w:rsidR="004151DE" w:rsidRPr="008B6455">
        <w:rPr>
          <w:rFonts w:ascii="Times New Roman" w:eastAsia="Calibri" w:hAnsi="Times New Roman" w:cs="Times New Roman"/>
          <w:color w:val="000000" w:themeColor="text1"/>
        </w:rPr>
        <w:t xml:space="preserve"> </w:t>
      </w:r>
      <w:r w:rsidR="00B60C61" w:rsidRPr="008B6455">
        <w:rPr>
          <w:rFonts w:ascii="Times New Roman" w:eastAsia="Calibri" w:hAnsi="Times New Roman" w:cs="Times New Roman"/>
          <w:color w:val="000000" w:themeColor="text1"/>
        </w:rPr>
        <w:t>meeting eligibility for EHV as a person fleeing or attempting to flee domestic violence, dating violence, sexual assault, stalking, or human trafficking. Therefore, if an individual self-identifies as fleeing or attempting to flee domestic violence, that individual would be eligible for EHV.</w:t>
      </w:r>
      <w:r w:rsidR="00B60C61" w:rsidRPr="008B6455">
        <w:rPr>
          <w:rFonts w:ascii="Times New Roman" w:hAnsi="Times New Roman" w:cs="Times New Roman"/>
        </w:rPr>
        <w:t xml:space="preserve"> </w:t>
      </w:r>
    </w:p>
    <w:p w14:paraId="48576E3D" w14:textId="77777777" w:rsidR="00532F39" w:rsidRPr="008B6455" w:rsidRDefault="00532F39" w:rsidP="00B60C61">
      <w:pPr>
        <w:pStyle w:val="ListParagraph"/>
        <w:rPr>
          <w:rFonts w:ascii="Times New Roman" w:hAnsi="Times New Roman" w:cs="Times New Roman"/>
        </w:rPr>
      </w:pPr>
    </w:p>
    <w:p w14:paraId="413EBF7F" w14:textId="7F64204C" w:rsidR="00980103" w:rsidRPr="008B6455" w:rsidRDefault="00980103" w:rsidP="00B86D98">
      <w:pPr>
        <w:pStyle w:val="ListParagraph"/>
        <w:numPr>
          <w:ilvl w:val="0"/>
          <w:numId w:val="3"/>
        </w:numPr>
        <w:spacing w:line="252" w:lineRule="auto"/>
        <w:rPr>
          <w:rFonts w:ascii="Times New Roman" w:hAnsi="Times New Roman" w:cs="Times New Roman"/>
          <w:b/>
          <w:bCs/>
          <w:color w:val="000000" w:themeColor="text1"/>
        </w:rPr>
      </w:pPr>
      <w:r w:rsidRPr="008B6455">
        <w:rPr>
          <w:rFonts w:ascii="Times New Roman" w:eastAsia="Calibri" w:hAnsi="Times New Roman" w:cs="Times New Roman"/>
          <w:b/>
          <w:bCs/>
          <w:color w:val="000000" w:themeColor="text1"/>
        </w:rPr>
        <w:t xml:space="preserve">Can a household qualify for EHV even if they have previously received a VAWA emergency transfer or otherwise moved as a result of domestic violence, dating violence, sexual assault, stalking or human trafficking? </w:t>
      </w:r>
    </w:p>
    <w:p w14:paraId="1F45358B" w14:textId="77777777" w:rsidR="00980103" w:rsidRPr="008B6455" w:rsidRDefault="00980103" w:rsidP="00980103">
      <w:pPr>
        <w:pStyle w:val="ListParagraph"/>
        <w:spacing w:line="252" w:lineRule="auto"/>
        <w:rPr>
          <w:rFonts w:ascii="Times New Roman" w:hAnsi="Times New Roman" w:cs="Times New Roman"/>
          <w:b/>
          <w:bCs/>
          <w:color w:val="000000" w:themeColor="text1"/>
        </w:rPr>
      </w:pPr>
    </w:p>
    <w:p w14:paraId="72E8CCEC" w14:textId="11F05D9E" w:rsidR="00833DB7" w:rsidRPr="008B6455" w:rsidRDefault="00980103" w:rsidP="009C659C">
      <w:pPr>
        <w:pStyle w:val="ListParagraph"/>
        <w:rPr>
          <w:rFonts w:ascii="Times New Roman" w:eastAsia="Calibri" w:hAnsi="Times New Roman" w:cs="Times New Roman"/>
          <w:color w:val="000000" w:themeColor="text1"/>
        </w:rPr>
      </w:pPr>
      <w:r w:rsidRPr="008B6455">
        <w:rPr>
          <w:rFonts w:ascii="Times New Roman" w:eastAsia="Calibri" w:hAnsi="Times New Roman" w:cs="Times New Roman"/>
          <w:color w:val="000000" w:themeColor="text1"/>
        </w:rPr>
        <w:t xml:space="preserve">Yes. A PHA may not exclude a family who may have previously received a VAWA emergency transfer or otherwise moved as a result of domestic violence, dating violence, sexual assault, stalking, or human trafficking. However, the family may not receive duplicative federal rental assistance. A family currently receiving HUD rental assistance must agree to end participation in that HUD program to receive EHV. </w:t>
      </w:r>
    </w:p>
    <w:p w14:paraId="4D4426A7" w14:textId="77777777" w:rsidR="009C659C" w:rsidRPr="008B6455" w:rsidRDefault="009C659C" w:rsidP="009C659C">
      <w:pPr>
        <w:pStyle w:val="ListParagraph"/>
        <w:rPr>
          <w:rFonts w:ascii="Times New Roman" w:eastAsia="Calibri" w:hAnsi="Times New Roman" w:cs="Times New Roman"/>
          <w:color w:val="000000" w:themeColor="text1"/>
        </w:rPr>
      </w:pPr>
    </w:p>
    <w:p w14:paraId="5EF9F39F" w14:textId="6E42EB64" w:rsidR="00817609" w:rsidRPr="008B6455" w:rsidRDefault="00817609" w:rsidP="00B86D98">
      <w:pPr>
        <w:pStyle w:val="ListParagraph"/>
        <w:numPr>
          <w:ilvl w:val="0"/>
          <w:numId w:val="3"/>
        </w:numPr>
        <w:spacing w:line="252" w:lineRule="auto"/>
        <w:rPr>
          <w:rFonts w:ascii="Times New Roman" w:hAnsi="Times New Roman" w:cs="Times New Roman"/>
          <w:b/>
          <w:bCs/>
          <w:color w:val="000000" w:themeColor="text1"/>
        </w:rPr>
      </w:pPr>
      <w:r w:rsidRPr="008B6455">
        <w:rPr>
          <w:rFonts w:ascii="Times New Roman" w:eastAsia="Calibri" w:hAnsi="Times New Roman" w:cs="Times New Roman"/>
          <w:b/>
          <w:bCs/>
          <w:color w:val="000000" w:themeColor="text1"/>
        </w:rPr>
        <w:t xml:space="preserve"> </w:t>
      </w:r>
      <w:r w:rsidR="00801640" w:rsidRPr="008B6455">
        <w:rPr>
          <w:rFonts w:ascii="Times New Roman" w:eastAsia="Calibri" w:hAnsi="Times New Roman" w:cs="Times New Roman"/>
          <w:b/>
          <w:bCs/>
          <w:color w:val="000000" w:themeColor="text1"/>
        </w:rPr>
        <w:t>For non-citizens claiming eligible immigration status</w:t>
      </w:r>
      <w:r w:rsidR="00313660" w:rsidRPr="008B6455">
        <w:rPr>
          <w:rFonts w:ascii="Times New Roman" w:eastAsia="Calibri" w:hAnsi="Times New Roman" w:cs="Times New Roman"/>
          <w:b/>
          <w:bCs/>
          <w:color w:val="000000" w:themeColor="text1"/>
        </w:rPr>
        <w:t xml:space="preserve">, </w:t>
      </w:r>
      <w:r w:rsidR="00B752AE" w:rsidRPr="008B6455">
        <w:rPr>
          <w:rFonts w:ascii="Times New Roman" w:eastAsia="Calibri" w:hAnsi="Times New Roman" w:cs="Times New Roman"/>
          <w:b/>
          <w:bCs/>
          <w:color w:val="000000" w:themeColor="text1"/>
        </w:rPr>
        <w:t>a</w:t>
      </w:r>
      <w:r w:rsidRPr="008B6455">
        <w:rPr>
          <w:rFonts w:ascii="Times New Roman" w:eastAsia="Calibri" w:hAnsi="Times New Roman" w:cs="Times New Roman"/>
          <w:b/>
          <w:bCs/>
          <w:color w:val="000000" w:themeColor="text1"/>
        </w:rPr>
        <w:t xml:space="preserve">re VAWA self-petitioners eligible for EHV? </w:t>
      </w:r>
    </w:p>
    <w:p w14:paraId="234B0364" w14:textId="77777777" w:rsidR="008B0927" w:rsidRPr="008B6455" w:rsidRDefault="008B0927" w:rsidP="008B0927">
      <w:pPr>
        <w:pStyle w:val="ListParagraph"/>
        <w:rPr>
          <w:rFonts w:ascii="Times New Roman" w:eastAsia="Calibri" w:hAnsi="Times New Roman" w:cs="Times New Roman"/>
          <w:color w:val="000000" w:themeColor="text1"/>
        </w:rPr>
      </w:pPr>
    </w:p>
    <w:p w14:paraId="65217F00" w14:textId="4B06EC09" w:rsidR="006F2E33" w:rsidRPr="008B6455" w:rsidRDefault="006F2E33" w:rsidP="006F2E33">
      <w:pPr>
        <w:pStyle w:val="ListParagraph"/>
        <w:rPr>
          <w:rFonts w:ascii="Times New Roman" w:eastAsia="Calibri" w:hAnsi="Times New Roman" w:cs="Times New Roman"/>
          <w:color w:val="000000" w:themeColor="text1"/>
        </w:rPr>
      </w:pPr>
      <w:bookmarkStart w:id="3" w:name="_Hlk80258631"/>
      <w:r w:rsidRPr="008B6455">
        <w:rPr>
          <w:rFonts w:ascii="Times New Roman" w:eastAsia="Calibri" w:hAnsi="Times New Roman" w:cs="Times New Roman"/>
          <w:color w:val="000000" w:themeColor="text1"/>
        </w:rPr>
        <w:t xml:space="preserve">Yes. Per Notice </w:t>
      </w:r>
      <w:hyperlink r:id="rId13" w:history="1">
        <w:r w:rsidRPr="00A02996">
          <w:rPr>
            <w:rStyle w:val="Hyperlink"/>
            <w:rFonts w:ascii="Times New Roman" w:eastAsia="Calibri" w:hAnsi="Times New Roman" w:cs="Times New Roman"/>
          </w:rPr>
          <w:t>PIH 2017-02</w:t>
        </w:r>
      </w:hyperlink>
      <w:r w:rsidRPr="008B6455">
        <w:rPr>
          <w:rFonts w:ascii="Times New Roman" w:eastAsia="Calibri" w:hAnsi="Times New Roman" w:cs="Times New Roman"/>
          <w:color w:val="000000" w:themeColor="text1"/>
        </w:rPr>
        <w:t xml:space="preserve">, HUD regards VAWA self-petitioners as persons in “satisfactory immigration status” for purposes of compliance with Section 214 of the Housing and Community Development Act of 1980, as amended.   </w:t>
      </w:r>
    </w:p>
    <w:bookmarkEnd w:id="3"/>
    <w:p w14:paraId="6B900473" w14:textId="6AC8277C" w:rsidR="009C659C" w:rsidRPr="008B6455" w:rsidRDefault="006F2E33" w:rsidP="008B0927">
      <w:pPr>
        <w:pStyle w:val="ListParagraph"/>
        <w:rPr>
          <w:rFonts w:ascii="Times New Roman" w:eastAsia="Calibri" w:hAnsi="Times New Roman" w:cs="Times New Roman"/>
          <w:color w:val="000000" w:themeColor="text1"/>
        </w:rPr>
      </w:pPr>
      <w:r w:rsidRPr="008B6455">
        <w:rPr>
          <w:rFonts w:ascii="Times New Roman" w:eastAsia="Calibri" w:hAnsi="Times New Roman" w:cs="Times New Roman"/>
          <w:color w:val="000000" w:themeColor="text1"/>
        </w:rPr>
        <w:t xml:space="preserve"> </w:t>
      </w:r>
    </w:p>
    <w:p w14:paraId="5407645F" w14:textId="5B8F0474" w:rsidR="00817609" w:rsidRPr="008B6455" w:rsidRDefault="00817609" w:rsidP="00B86D98">
      <w:pPr>
        <w:pStyle w:val="ListParagraph"/>
        <w:numPr>
          <w:ilvl w:val="0"/>
          <w:numId w:val="3"/>
        </w:numPr>
        <w:spacing w:line="252" w:lineRule="auto"/>
        <w:rPr>
          <w:rFonts w:ascii="Times New Roman" w:hAnsi="Times New Roman" w:cs="Times New Roman"/>
          <w:b/>
          <w:bCs/>
          <w:color w:val="000000" w:themeColor="text1"/>
        </w:rPr>
      </w:pPr>
      <w:r w:rsidRPr="008B6455">
        <w:rPr>
          <w:rFonts w:ascii="Times New Roman" w:eastAsia="Calibri" w:hAnsi="Times New Roman" w:cs="Times New Roman"/>
          <w:b/>
          <w:color w:val="000000" w:themeColor="text1"/>
        </w:rPr>
        <w:t xml:space="preserve">In the EHV eligibility category of individuals or families who are fleeing, or attempting to flee, domestic violence, dating violence, sexual assault, stalking or human trafficking </w:t>
      </w:r>
      <w:r w:rsidRPr="008B6455">
        <w:rPr>
          <w:rFonts w:ascii="Times New Roman" w:eastAsia="Calibri" w:hAnsi="Times New Roman" w:cs="Times New Roman"/>
          <w:b/>
          <w:bCs/>
          <w:color w:val="000000" w:themeColor="text1"/>
        </w:rPr>
        <w:t xml:space="preserve">in Section 8c of </w:t>
      </w:r>
      <w:hyperlink r:id="rId14" w:history="1">
        <w:r w:rsidRPr="00973C1F">
          <w:rPr>
            <w:rStyle w:val="Hyperlink"/>
            <w:rFonts w:ascii="Times New Roman" w:eastAsia="Calibri" w:hAnsi="Times New Roman" w:cs="Times New Roman"/>
            <w:b/>
            <w:bCs/>
          </w:rPr>
          <w:t>PI</w:t>
        </w:r>
        <w:r w:rsidR="00973C1F" w:rsidRPr="00973C1F">
          <w:rPr>
            <w:rStyle w:val="Hyperlink"/>
            <w:rFonts w:ascii="Times New Roman" w:eastAsia="Calibri" w:hAnsi="Times New Roman" w:cs="Times New Roman"/>
            <w:b/>
            <w:bCs/>
          </w:rPr>
          <w:t>H Notice 2021-15</w:t>
        </w:r>
      </w:hyperlink>
      <w:r w:rsidRPr="008B6455">
        <w:rPr>
          <w:rFonts w:ascii="Times New Roman" w:eastAsia="Calibri" w:hAnsi="Times New Roman" w:cs="Times New Roman"/>
          <w:b/>
          <w:bCs/>
          <w:color w:val="000000" w:themeColor="text1"/>
        </w:rPr>
        <w:t xml:space="preserve">, HUD states that this “includes cases where a HUD-assisted tenant reasonably believes that there is a threat of imminent harm from further violence if they remain within the same dwelling unit.” What is meant by “imminent harm”? </w:t>
      </w:r>
    </w:p>
    <w:p w14:paraId="73AA1524" w14:textId="448D8B81" w:rsidR="00817609" w:rsidRPr="008B6455" w:rsidRDefault="00B745A5" w:rsidP="00B54202">
      <w:pPr>
        <w:ind w:left="720"/>
        <w:rPr>
          <w:rFonts w:ascii="Times New Roman" w:eastAsia="Calibri" w:hAnsi="Times New Roman" w:cs="Times New Roman"/>
          <w:color w:val="000000" w:themeColor="text1"/>
        </w:rPr>
      </w:pPr>
      <w:bookmarkStart w:id="4" w:name="_Hlk80258699"/>
      <w:r w:rsidRPr="008B6455">
        <w:rPr>
          <w:rFonts w:ascii="Times New Roman" w:eastAsia="Calibri" w:hAnsi="Times New Roman" w:cs="Times New Roman"/>
          <w:color w:val="000000" w:themeColor="text1"/>
        </w:rPr>
        <w:t xml:space="preserve">In accordance with </w:t>
      </w:r>
      <w:hyperlink r:id="rId15" w:history="1">
        <w:r w:rsidR="00F952BE" w:rsidRPr="008B6455">
          <w:rPr>
            <w:rStyle w:val="Hyperlink"/>
            <w:rFonts w:ascii="Times New Roman" w:eastAsia="Calibri" w:hAnsi="Times New Roman" w:cs="Times New Roman"/>
          </w:rPr>
          <w:t>VAWA Final Rule (81 FR 80742)</w:t>
        </w:r>
      </w:hyperlink>
      <w:r w:rsidRPr="008B6455">
        <w:rPr>
          <w:rFonts w:ascii="Times New Roman" w:eastAsia="Calibri" w:hAnsi="Times New Roman" w:cs="Times New Roman"/>
          <w:color w:val="000000" w:themeColor="text1"/>
        </w:rPr>
        <w:t>, “</w:t>
      </w:r>
      <w:r w:rsidR="00C51FF9" w:rsidRPr="008B6455">
        <w:rPr>
          <w:rFonts w:ascii="Times New Roman" w:eastAsia="Calibri" w:hAnsi="Times New Roman" w:cs="Times New Roman"/>
          <w:color w:val="000000" w:themeColor="text1"/>
        </w:rPr>
        <w:t>i</w:t>
      </w:r>
      <w:r w:rsidRPr="008B6455">
        <w:rPr>
          <w:rFonts w:ascii="Times New Roman" w:eastAsia="Calibri" w:hAnsi="Times New Roman" w:cs="Times New Roman"/>
          <w:color w:val="000000" w:themeColor="text1"/>
        </w:rPr>
        <w:t xml:space="preserve">mminent harm” refers to the tenant’s belief or fear of the threat or danger of domestic violence, dating violence, sexual assault, stalking or human trafficking based on their particular experiences and responses to violence, threats, and trauma that they will or may face if they remain in the same unit that they are currently occupying.  </w:t>
      </w:r>
      <w:bookmarkEnd w:id="4"/>
    </w:p>
    <w:p w14:paraId="71E40150" w14:textId="4CDFD2E6" w:rsidR="00833DB7" w:rsidRPr="008B6455" w:rsidRDefault="00833DB7" w:rsidP="00B86D98">
      <w:pPr>
        <w:pStyle w:val="ListParagraph"/>
        <w:numPr>
          <w:ilvl w:val="0"/>
          <w:numId w:val="3"/>
        </w:numPr>
        <w:spacing w:line="252" w:lineRule="auto"/>
        <w:rPr>
          <w:rFonts w:ascii="Times New Roman" w:hAnsi="Times New Roman" w:cs="Times New Roman"/>
          <w:b/>
          <w:bCs/>
          <w:color w:val="000000" w:themeColor="text1"/>
        </w:rPr>
      </w:pPr>
      <w:r w:rsidRPr="008B6455">
        <w:rPr>
          <w:rFonts w:ascii="Times New Roman" w:eastAsia="Calibri" w:hAnsi="Times New Roman" w:cs="Times New Roman"/>
          <w:b/>
          <w:bCs/>
          <w:color w:val="000000" w:themeColor="text1"/>
        </w:rPr>
        <w:t xml:space="preserve"> Are EHV households eligible to participate in the Family Self-Sufficiency Program (FSS)? </w:t>
      </w:r>
    </w:p>
    <w:p w14:paraId="4982984E" w14:textId="0FA16965" w:rsidR="00B67A00" w:rsidRPr="008B6455" w:rsidRDefault="00833DB7" w:rsidP="00833DB7">
      <w:pPr>
        <w:ind w:left="720"/>
        <w:rPr>
          <w:rFonts w:ascii="Times New Roman" w:eastAsia="Calibri" w:hAnsi="Times New Roman" w:cs="Times New Roman"/>
          <w:color w:val="000000" w:themeColor="text1"/>
        </w:rPr>
      </w:pPr>
      <w:r w:rsidRPr="008B6455">
        <w:rPr>
          <w:rFonts w:ascii="Times New Roman" w:eastAsia="Calibri" w:hAnsi="Times New Roman" w:cs="Times New Roman"/>
          <w:color w:val="000000" w:themeColor="text1"/>
        </w:rPr>
        <w:t>Yes.  Because EHV is part of Tenant-Based Rental Assistance under Section 8(o) of the Housing Act of 1937, EHV households are eligible to apply for and may be selected by the PHA to enroll in the FSS program.</w:t>
      </w:r>
    </w:p>
    <w:p w14:paraId="78DD0204" w14:textId="1ADD2063" w:rsidR="008E21E5" w:rsidRPr="008B6455" w:rsidRDefault="008E21E5" w:rsidP="00B86D98">
      <w:pPr>
        <w:pStyle w:val="xxmsonormal"/>
        <w:numPr>
          <w:ilvl w:val="0"/>
          <w:numId w:val="3"/>
        </w:numPr>
        <w:rPr>
          <w:rFonts w:ascii="Times New Roman" w:hAnsi="Times New Roman" w:cs="Times New Roman"/>
          <w:b/>
          <w:bCs/>
          <w:i/>
          <w:iCs/>
        </w:rPr>
      </w:pPr>
      <w:r w:rsidRPr="008B6455">
        <w:rPr>
          <w:rFonts w:ascii="Times New Roman" w:eastAsia="Calibri" w:hAnsi="Times New Roman" w:cs="Times New Roman"/>
          <w:b/>
          <w:bCs/>
          <w:color w:val="000000" w:themeColor="text1"/>
        </w:rPr>
        <w:t xml:space="preserve">Despite their high risk of homelessness, people who identify as lesbian, gay, bisexual, transgender, and/or queer (LGBTQ+) continue to face barriers to accessing homeless services. What can PHAs and their referring partners do to ensure that eligible LGBTQ+ people have equal access to EHV? </w:t>
      </w:r>
    </w:p>
    <w:p w14:paraId="51A35B86" w14:textId="77777777" w:rsidR="008E21E5" w:rsidRPr="00FC3011" w:rsidRDefault="008E21E5" w:rsidP="008E21E5">
      <w:pPr>
        <w:pStyle w:val="xxmsonormal"/>
        <w:rPr>
          <w:rFonts w:ascii="Times New Roman" w:hAnsi="Times New Roman" w:cs="Times New Roman"/>
        </w:rPr>
      </w:pPr>
    </w:p>
    <w:p w14:paraId="3FD9FD9A" w14:textId="4529E12D" w:rsidR="00B40701" w:rsidRDefault="00B40701" w:rsidP="00B40701">
      <w:pPr>
        <w:spacing w:after="240"/>
        <w:ind w:left="720"/>
        <w:rPr>
          <w:rFonts w:ascii="Times New Roman" w:eastAsia="Calibri" w:hAnsi="Times New Roman" w:cs="Times New Roman"/>
          <w:color w:val="000000" w:themeColor="text1"/>
        </w:rPr>
      </w:pPr>
      <w:r w:rsidRPr="001A0CDE">
        <w:rPr>
          <w:rFonts w:ascii="Times New Roman" w:eastAsia="Calibri" w:hAnsi="Times New Roman" w:cs="Times New Roman"/>
          <w:color w:val="000000" w:themeColor="text1"/>
        </w:rPr>
        <w:t xml:space="preserve">Studies show that LGBTQ+ people often </w:t>
      </w:r>
      <w:r>
        <w:rPr>
          <w:rFonts w:ascii="Times New Roman" w:eastAsia="Calibri" w:hAnsi="Times New Roman" w:cs="Times New Roman"/>
          <w:color w:val="000000" w:themeColor="text1"/>
        </w:rPr>
        <w:t>experience</w:t>
      </w:r>
      <w:r w:rsidRPr="001A0CDE">
        <w:rPr>
          <w:rFonts w:ascii="Times New Roman" w:eastAsia="Calibri" w:hAnsi="Times New Roman" w:cs="Times New Roman"/>
          <w:color w:val="000000" w:themeColor="text1"/>
        </w:rPr>
        <w:t xml:space="preserve"> a heightened risk of violence, abuse, and </w:t>
      </w:r>
      <w:r>
        <w:rPr>
          <w:rFonts w:ascii="Times New Roman" w:eastAsia="Calibri" w:hAnsi="Times New Roman" w:cs="Times New Roman"/>
          <w:color w:val="000000" w:themeColor="text1"/>
        </w:rPr>
        <w:t>discrimination</w:t>
      </w:r>
      <w:r w:rsidRPr="001A0CDE">
        <w:rPr>
          <w:rFonts w:ascii="Times New Roman" w:eastAsia="Calibri" w:hAnsi="Times New Roman" w:cs="Times New Roman"/>
          <w:color w:val="000000" w:themeColor="text1"/>
        </w:rPr>
        <w:t xml:space="preserve"> compared with the general population, and that these risks contribute to homelessness and housing instability</w:t>
      </w:r>
      <w:r w:rsidRPr="00D61E12">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 xml:space="preserve"> </w:t>
      </w:r>
      <w:r w:rsidRPr="00D36BF9">
        <w:rPr>
          <w:rFonts w:ascii="Times New Roman" w:eastAsia="Calibri" w:hAnsi="Times New Roman" w:cs="Times New Roman"/>
          <w:i/>
          <w:iCs/>
          <w:color w:val="000000" w:themeColor="text1"/>
        </w:rPr>
        <w:t>See, e.g.</w:t>
      </w:r>
      <w:r>
        <w:rPr>
          <w:rFonts w:ascii="Times New Roman" w:eastAsia="Calibri" w:hAnsi="Times New Roman" w:cs="Times New Roman"/>
          <w:color w:val="000000" w:themeColor="text1"/>
        </w:rPr>
        <w:t xml:space="preserve">, Williams Institute, </w:t>
      </w:r>
      <w:hyperlink r:id="rId16" w:history="1">
        <w:r w:rsidRPr="00A70ED6">
          <w:rPr>
            <w:rStyle w:val="Hyperlink"/>
            <w:rFonts w:ascii="Times New Roman" w:eastAsia="Calibri" w:hAnsi="Times New Roman" w:cs="Times New Roman"/>
          </w:rPr>
          <w:t>LGBT People and Housing Affordability, Discrimination, and Homelessness</w:t>
        </w:r>
      </w:hyperlink>
      <w:r>
        <w:rPr>
          <w:rFonts w:ascii="Times New Roman" w:eastAsia="Calibri" w:hAnsi="Times New Roman" w:cs="Times New Roman"/>
          <w:color w:val="000000" w:themeColor="text1"/>
        </w:rPr>
        <w:t xml:space="preserve"> (April 2020). </w:t>
      </w:r>
      <w:r w:rsidRPr="00D162CB">
        <w:rPr>
          <w:rFonts w:ascii="Times New Roman" w:eastAsia="Calibri" w:hAnsi="Times New Roman" w:cs="Times New Roman"/>
          <w:color w:val="000000" w:themeColor="text1"/>
        </w:rPr>
        <w:t>Because of this discrimination and exclusion, LGBTQ+ people experiencing homelessness may not always be connected to homeless services and therefore, may be overlooked for housing assistance.</w:t>
      </w:r>
      <w:r>
        <w:rPr>
          <w:rFonts w:ascii="Times New Roman" w:eastAsia="Calibri" w:hAnsi="Times New Roman" w:cs="Times New Roman"/>
          <w:color w:val="000000" w:themeColor="text1"/>
        </w:rPr>
        <w:t xml:space="preserve"> </w:t>
      </w:r>
      <w:r w:rsidRPr="00D162CB">
        <w:rPr>
          <w:rFonts w:ascii="Times New Roman" w:eastAsia="Calibri" w:hAnsi="Times New Roman" w:cs="Times New Roman"/>
          <w:color w:val="000000" w:themeColor="text1"/>
        </w:rPr>
        <w:t>To reduce barriers to assistance, PHAs</w:t>
      </w:r>
      <w:r>
        <w:rPr>
          <w:rFonts w:ascii="Times New Roman" w:eastAsia="Calibri" w:hAnsi="Times New Roman" w:cs="Times New Roman"/>
          <w:color w:val="000000" w:themeColor="text1"/>
        </w:rPr>
        <w:t xml:space="preserve"> </w:t>
      </w:r>
      <w:r w:rsidR="000764A6">
        <w:rPr>
          <w:rFonts w:ascii="Times New Roman" w:eastAsia="Calibri" w:hAnsi="Times New Roman" w:cs="Times New Roman"/>
          <w:color w:val="000000" w:themeColor="text1"/>
        </w:rPr>
        <w:t>s</w:t>
      </w:r>
      <w:r w:rsidRPr="00D162CB">
        <w:rPr>
          <w:rFonts w:ascii="Times New Roman" w:eastAsia="Calibri" w:hAnsi="Times New Roman" w:cs="Times New Roman"/>
          <w:color w:val="000000" w:themeColor="text1"/>
        </w:rPr>
        <w:t xml:space="preserve">hould strive to make the delivery of assistance </w:t>
      </w:r>
      <w:r>
        <w:rPr>
          <w:rFonts w:ascii="Times New Roman" w:eastAsia="Calibri" w:hAnsi="Times New Roman" w:cs="Times New Roman"/>
          <w:color w:val="000000" w:themeColor="text1"/>
        </w:rPr>
        <w:t xml:space="preserve">and the administration of this program </w:t>
      </w:r>
      <w:r w:rsidRPr="00D162CB">
        <w:rPr>
          <w:rFonts w:ascii="Times New Roman" w:eastAsia="Calibri" w:hAnsi="Times New Roman" w:cs="Times New Roman"/>
          <w:color w:val="000000" w:themeColor="text1"/>
        </w:rPr>
        <w:t xml:space="preserve">open, inclusive, and </w:t>
      </w:r>
      <w:r>
        <w:rPr>
          <w:rFonts w:ascii="Times New Roman" w:eastAsia="Calibri" w:hAnsi="Times New Roman" w:cs="Times New Roman"/>
          <w:color w:val="000000" w:themeColor="text1"/>
        </w:rPr>
        <w:t>welcoming to</w:t>
      </w:r>
      <w:r w:rsidRPr="00D162CB">
        <w:rPr>
          <w:rFonts w:ascii="Times New Roman" w:eastAsia="Calibri" w:hAnsi="Times New Roman" w:cs="Times New Roman"/>
          <w:color w:val="000000" w:themeColor="text1"/>
        </w:rPr>
        <w:t xml:space="preserve"> LGBTQ+ individuals and families experiencing homelessness. </w:t>
      </w:r>
    </w:p>
    <w:p w14:paraId="5683C4AD" w14:textId="7198EE7A" w:rsidR="000764A6" w:rsidRDefault="00B40701" w:rsidP="00B40701">
      <w:pPr>
        <w:spacing w:after="240"/>
        <w:ind w:left="720"/>
        <w:rPr>
          <w:rFonts w:ascii="Times New Roman" w:eastAsia="Calibri" w:hAnsi="Times New Roman" w:cs="Times New Roman"/>
          <w:color w:val="000000" w:themeColor="text1"/>
        </w:rPr>
      </w:pPr>
      <w:r w:rsidRPr="00D162CB">
        <w:rPr>
          <w:rFonts w:ascii="Times New Roman" w:eastAsia="Calibri" w:hAnsi="Times New Roman" w:cs="Times New Roman"/>
          <w:color w:val="000000" w:themeColor="text1"/>
        </w:rPr>
        <w:t>HUD strongly encourages PHAs</w:t>
      </w:r>
      <w:r>
        <w:rPr>
          <w:rFonts w:ascii="Times New Roman" w:eastAsia="Calibri" w:hAnsi="Times New Roman" w:cs="Times New Roman"/>
          <w:color w:val="000000" w:themeColor="text1"/>
        </w:rPr>
        <w:t xml:space="preserve"> involved in administering the EHV program</w:t>
      </w:r>
      <w:r w:rsidR="00FA265D">
        <w:rPr>
          <w:rFonts w:ascii="Times New Roman" w:eastAsia="Calibri" w:hAnsi="Times New Roman" w:cs="Times New Roman"/>
          <w:color w:val="000000" w:themeColor="text1"/>
        </w:rPr>
        <w:t xml:space="preserve">, and </w:t>
      </w:r>
      <w:proofErr w:type="spellStart"/>
      <w:r w:rsidR="00FA265D">
        <w:rPr>
          <w:rFonts w:ascii="Times New Roman" w:eastAsia="Calibri" w:hAnsi="Times New Roman" w:cs="Times New Roman"/>
          <w:color w:val="000000" w:themeColor="text1"/>
        </w:rPr>
        <w:t>CoCs</w:t>
      </w:r>
      <w:proofErr w:type="spellEnd"/>
      <w:r w:rsidR="00FA265D">
        <w:rPr>
          <w:rFonts w:ascii="Times New Roman" w:eastAsia="Calibri" w:hAnsi="Times New Roman" w:cs="Times New Roman"/>
          <w:color w:val="000000" w:themeColor="text1"/>
        </w:rPr>
        <w:t xml:space="preserve"> and other referring partners</w:t>
      </w:r>
      <w:r w:rsidRPr="00D162CB">
        <w:rPr>
          <w:rFonts w:ascii="Times New Roman" w:eastAsia="Calibri" w:hAnsi="Times New Roman" w:cs="Times New Roman"/>
          <w:color w:val="000000" w:themeColor="text1"/>
        </w:rPr>
        <w:t xml:space="preserve"> to incorporate inclusive and culturally competent strategies to reduce barriers to assistance for the LGBTQ+ community</w:t>
      </w:r>
      <w:r>
        <w:rPr>
          <w:rFonts w:ascii="Times New Roman" w:eastAsia="Calibri" w:hAnsi="Times New Roman" w:cs="Times New Roman"/>
          <w:color w:val="000000" w:themeColor="text1"/>
        </w:rPr>
        <w:t>. Referring partners should consider</w:t>
      </w:r>
      <w:r w:rsidRPr="00D162CB">
        <w:rPr>
          <w:rFonts w:ascii="Times New Roman" w:eastAsia="Calibri" w:hAnsi="Times New Roman" w:cs="Times New Roman"/>
          <w:color w:val="000000" w:themeColor="text1"/>
        </w:rPr>
        <w:t xml:space="preserve"> partnering with local organizations </w:t>
      </w:r>
      <w:r>
        <w:rPr>
          <w:rFonts w:ascii="Times New Roman" w:eastAsia="Calibri" w:hAnsi="Times New Roman" w:cs="Times New Roman"/>
          <w:color w:val="000000" w:themeColor="text1"/>
        </w:rPr>
        <w:t>serving</w:t>
      </w:r>
      <w:r w:rsidRPr="00D162CB">
        <w:rPr>
          <w:rFonts w:ascii="Times New Roman" w:eastAsia="Calibri" w:hAnsi="Times New Roman" w:cs="Times New Roman"/>
          <w:color w:val="000000" w:themeColor="text1"/>
        </w:rPr>
        <w:t xml:space="preserve"> the LGBTQ+ community for assistance in conducting outreach to the LGBTQ+ community</w:t>
      </w:r>
      <w:r>
        <w:rPr>
          <w:rFonts w:ascii="Times New Roman" w:eastAsia="Calibri" w:hAnsi="Times New Roman" w:cs="Times New Roman"/>
          <w:color w:val="000000" w:themeColor="text1"/>
        </w:rPr>
        <w:t>. Referring partners are also encouraged to provide volunteer and</w:t>
      </w:r>
      <w:r w:rsidRPr="00D162CB">
        <w:rPr>
          <w:rFonts w:ascii="Times New Roman" w:eastAsia="Calibri" w:hAnsi="Times New Roman" w:cs="Times New Roman"/>
          <w:color w:val="000000" w:themeColor="text1"/>
        </w:rPr>
        <w:t xml:space="preserve"> employee training</w:t>
      </w:r>
      <w:r>
        <w:rPr>
          <w:rFonts w:ascii="Times New Roman" w:eastAsia="Calibri" w:hAnsi="Times New Roman" w:cs="Times New Roman"/>
          <w:color w:val="000000" w:themeColor="text1"/>
        </w:rPr>
        <w:t xml:space="preserve"> on cultural competency and compliance with the law in interacting with LGBTQ+ individuals and communities</w:t>
      </w:r>
      <w:r w:rsidRPr="00D162CB">
        <w:rPr>
          <w:rFonts w:ascii="Times New Roman" w:eastAsia="Calibri" w:hAnsi="Times New Roman" w:cs="Times New Roman"/>
          <w:color w:val="000000" w:themeColor="text1"/>
        </w:rPr>
        <w:t>, in accordance with program requirements.  Employee training can include topics such as using inclusive language</w:t>
      </w:r>
      <w:r>
        <w:rPr>
          <w:rFonts w:ascii="Times New Roman" w:eastAsia="Calibri" w:hAnsi="Times New Roman" w:cs="Times New Roman"/>
          <w:color w:val="000000" w:themeColor="text1"/>
        </w:rPr>
        <w:t>, ensuring the safety and inclusion of LGBTQ+ people, and determining</w:t>
      </w:r>
      <w:r w:rsidRPr="00D162CB">
        <w:rPr>
          <w:rFonts w:ascii="Times New Roman" w:eastAsia="Calibri" w:hAnsi="Times New Roman" w:cs="Times New Roman"/>
          <w:color w:val="000000" w:themeColor="text1"/>
        </w:rPr>
        <w:t xml:space="preserve"> what types of inquiries are appropriate </w:t>
      </w:r>
      <w:r>
        <w:rPr>
          <w:rFonts w:ascii="Times New Roman" w:eastAsia="Calibri" w:hAnsi="Times New Roman" w:cs="Times New Roman"/>
          <w:color w:val="000000" w:themeColor="text1"/>
        </w:rPr>
        <w:t>or</w:t>
      </w:r>
      <w:r w:rsidRPr="00D162CB">
        <w:rPr>
          <w:rFonts w:ascii="Times New Roman" w:eastAsia="Calibri" w:hAnsi="Times New Roman" w:cs="Times New Roman"/>
          <w:color w:val="000000" w:themeColor="text1"/>
        </w:rPr>
        <w:t xml:space="preserve"> inappropriate. </w:t>
      </w:r>
    </w:p>
    <w:p w14:paraId="21201127" w14:textId="181CF525" w:rsidR="00B40701" w:rsidRPr="00D162CB" w:rsidRDefault="00B40701" w:rsidP="00B40701">
      <w:pPr>
        <w:spacing w:after="240"/>
        <w:ind w:left="720"/>
        <w:rPr>
          <w:rFonts w:ascii="Times New Roman" w:eastAsia="Calibri" w:hAnsi="Times New Roman" w:cs="Times New Roman"/>
          <w:color w:val="000000" w:themeColor="text1"/>
        </w:rPr>
      </w:pPr>
      <w:r w:rsidRPr="00D162CB">
        <w:rPr>
          <w:rFonts w:ascii="Times New Roman" w:eastAsia="Calibri" w:hAnsi="Times New Roman" w:cs="Times New Roman"/>
          <w:color w:val="000000" w:themeColor="text1"/>
        </w:rPr>
        <w:t xml:space="preserve">PHAs must provide equal access to EHVs to LGBTQ+ individuals and their families when they </w:t>
      </w:r>
      <w:proofErr w:type="gramStart"/>
      <w:r w:rsidRPr="00D162CB">
        <w:rPr>
          <w:rFonts w:ascii="Times New Roman" w:eastAsia="Calibri" w:hAnsi="Times New Roman" w:cs="Times New Roman"/>
          <w:color w:val="000000" w:themeColor="text1"/>
        </w:rPr>
        <w:t>are in need of</w:t>
      </w:r>
      <w:proofErr w:type="gramEnd"/>
      <w:r w:rsidRPr="00D162CB">
        <w:rPr>
          <w:rFonts w:ascii="Times New Roman" w:eastAsia="Calibri" w:hAnsi="Times New Roman" w:cs="Times New Roman"/>
          <w:color w:val="000000" w:themeColor="text1"/>
        </w:rPr>
        <w:t xml:space="preserve"> emergency housing assistance, including when they have been unable to access housing or services from other providers.  </w:t>
      </w:r>
      <w:r w:rsidRPr="00C26FC4">
        <w:rPr>
          <w:rFonts w:ascii="Times New Roman" w:eastAsia="Calibri" w:hAnsi="Times New Roman" w:cs="Times New Roman"/>
          <w:color w:val="000000" w:themeColor="text1"/>
        </w:rPr>
        <w:t xml:space="preserve">The Fair Housing Act prohibits discrimination because of sex, including sexual orientation and gender identity.  HUD’s Equal Access Rule also prohibits PHAs, </w:t>
      </w:r>
      <w:proofErr w:type="spellStart"/>
      <w:r w:rsidRPr="00C26FC4">
        <w:rPr>
          <w:rFonts w:ascii="Times New Roman" w:eastAsia="Calibri" w:hAnsi="Times New Roman" w:cs="Times New Roman"/>
          <w:color w:val="000000" w:themeColor="text1"/>
        </w:rPr>
        <w:t>CoCs</w:t>
      </w:r>
      <w:proofErr w:type="spellEnd"/>
      <w:r w:rsidRPr="00C26FC4">
        <w:rPr>
          <w:rFonts w:ascii="Times New Roman" w:eastAsia="Calibri" w:hAnsi="Times New Roman" w:cs="Times New Roman"/>
          <w:color w:val="000000" w:themeColor="text1"/>
        </w:rPr>
        <w:t xml:space="preserve">, and other HUD-assisted housing providers from denying access to housing, housing programs, and homeless services because of </w:t>
      </w:r>
      <w:r>
        <w:rPr>
          <w:rFonts w:ascii="Times New Roman" w:eastAsia="Calibri" w:hAnsi="Times New Roman" w:cs="Times New Roman"/>
          <w:color w:val="000000" w:themeColor="text1"/>
        </w:rPr>
        <w:t xml:space="preserve">a person’s actual or perceived </w:t>
      </w:r>
      <w:r w:rsidRPr="00C26FC4">
        <w:rPr>
          <w:rFonts w:ascii="Times New Roman" w:eastAsia="Calibri" w:hAnsi="Times New Roman" w:cs="Times New Roman"/>
          <w:color w:val="000000" w:themeColor="text1"/>
        </w:rPr>
        <w:t>sexual orientation</w:t>
      </w:r>
      <w:r>
        <w:rPr>
          <w:rFonts w:ascii="Times New Roman" w:eastAsia="Calibri" w:hAnsi="Times New Roman" w:cs="Times New Roman"/>
          <w:color w:val="000000" w:themeColor="text1"/>
        </w:rPr>
        <w:t>,</w:t>
      </w:r>
      <w:r w:rsidRPr="00C26FC4">
        <w:rPr>
          <w:rFonts w:ascii="Times New Roman" w:eastAsia="Calibri" w:hAnsi="Times New Roman" w:cs="Times New Roman"/>
          <w:color w:val="000000" w:themeColor="text1"/>
        </w:rPr>
        <w:t xml:space="preserve"> gender identity</w:t>
      </w:r>
      <w:r>
        <w:rPr>
          <w:rFonts w:ascii="Times New Roman" w:eastAsia="Calibri" w:hAnsi="Times New Roman" w:cs="Times New Roman"/>
          <w:color w:val="000000" w:themeColor="text1"/>
        </w:rPr>
        <w:t>, or marital status</w:t>
      </w:r>
      <w:r w:rsidRPr="00C26FC4">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 xml:space="preserve"> Therefore, </w:t>
      </w:r>
      <w:r w:rsidRPr="00D162CB">
        <w:rPr>
          <w:rFonts w:ascii="Times New Roman" w:eastAsia="Calibri" w:hAnsi="Times New Roman" w:cs="Times New Roman"/>
          <w:color w:val="000000" w:themeColor="text1"/>
        </w:rPr>
        <w:t xml:space="preserve">PHAs and other HUD-assisted housing providers should have nondiscrimination policies that explicitly </w:t>
      </w:r>
      <w:r>
        <w:rPr>
          <w:rFonts w:ascii="Times New Roman" w:eastAsia="Calibri" w:hAnsi="Times New Roman" w:cs="Times New Roman"/>
          <w:color w:val="000000" w:themeColor="text1"/>
        </w:rPr>
        <w:t xml:space="preserve">prohibit </w:t>
      </w:r>
      <w:r w:rsidRPr="00D162CB">
        <w:rPr>
          <w:rFonts w:ascii="Times New Roman" w:eastAsia="Calibri" w:hAnsi="Times New Roman" w:cs="Times New Roman"/>
          <w:color w:val="000000" w:themeColor="text1"/>
        </w:rPr>
        <w:t>discrimination against LGBTQ+ individuals and families. </w:t>
      </w:r>
      <w:r>
        <w:rPr>
          <w:rFonts w:ascii="Times New Roman" w:eastAsia="Calibri" w:hAnsi="Times New Roman" w:cs="Times New Roman"/>
          <w:color w:val="000000" w:themeColor="text1"/>
        </w:rPr>
        <w:t xml:space="preserve">In addition, PHAs and other referring providers must recognize LGBTQ+ family units, including unmarried domestic partners, same-sex spouses, and persons who have child-rearing responsibilities even where those persons are not the biological or adoptive parents of the child. </w:t>
      </w:r>
    </w:p>
    <w:p w14:paraId="663EB9C4" w14:textId="77777777" w:rsidR="00B40701" w:rsidRDefault="00B40701" w:rsidP="00B40701">
      <w:pPr>
        <w:spacing w:after="240"/>
        <w:ind w:left="720"/>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PHAs, </w:t>
      </w:r>
      <w:proofErr w:type="spellStart"/>
      <w:r>
        <w:rPr>
          <w:rFonts w:ascii="Times New Roman" w:eastAsia="Calibri" w:hAnsi="Times New Roman" w:cs="Times New Roman"/>
          <w:color w:val="000000" w:themeColor="text1"/>
        </w:rPr>
        <w:t>CoCs</w:t>
      </w:r>
      <w:proofErr w:type="spellEnd"/>
      <w:r>
        <w:rPr>
          <w:rFonts w:ascii="Times New Roman" w:eastAsia="Calibri" w:hAnsi="Times New Roman" w:cs="Times New Roman"/>
          <w:color w:val="000000" w:themeColor="text1"/>
        </w:rPr>
        <w:t xml:space="preserve"> and other referring partners should use policies and practices that ensure that persons who are seeking assistance are referred to by their correct names and pronouns, whether or not those names and pronouns appear on the person’s official identification documents. Many low-income transgender and gender non-conforming people do not have the resources to change their names and gender markers on identification documents, and in many jurisdictions, they face significant legal barriers to doing so. It is good practice not to make assumptions about a person’s name or pronouns and instead to ask the person to state their correct name and pronouns. Referring partners should have a policy so that where a person seeking assistance states their correct name and pronouns, the referring partner uses them, especially when publicly addressing or corresponding with that person, or when collecting their information on forms or in databases. This is because when a transgender or gender non-conforming person’s correct name or pronouns are different from the ones they were assigned at birth, using the incorrect name or pronouns (referred to as deadnaming or misgendering them) can be harmful to them. Although written for </w:t>
      </w:r>
      <w:r>
        <w:rPr>
          <w:rFonts w:ascii="Times New Roman" w:eastAsia="Calibri" w:hAnsi="Times New Roman" w:cs="Times New Roman"/>
          <w:color w:val="000000" w:themeColor="text1"/>
        </w:rPr>
        <w:lastRenderedPageBreak/>
        <w:t>shelters, useful resources are available from the HUD SNAPS office for programs seeking to set policies that ensure the inclusion and safety of LGBTQ+ individuals. (</w:t>
      </w:r>
      <w:hyperlink r:id="rId17" w:anchor="guide-to-support-equal-access-in-shelters-and-projects" w:history="1">
        <w:r w:rsidRPr="00B21950">
          <w:rPr>
            <w:rStyle w:val="Hyperlink"/>
            <w:rFonts w:ascii="Times New Roman" w:eastAsia="Calibri" w:hAnsi="Times New Roman" w:cs="Times New Roman"/>
          </w:rPr>
          <w:t>https://www.hudexchange.info/homelessness-assistance/resources-for-lgbt-homelessness/#guide-to-support-equal-access-in-shelters-and-projects</w:t>
        </w:r>
      </w:hyperlink>
      <w:r>
        <w:rPr>
          <w:rFonts w:ascii="Times New Roman" w:eastAsia="Calibri" w:hAnsi="Times New Roman" w:cs="Times New Roman"/>
          <w:color w:val="000000" w:themeColor="text1"/>
        </w:rPr>
        <w:t xml:space="preserve">) </w:t>
      </w:r>
    </w:p>
    <w:p w14:paraId="0F6981AD" w14:textId="6E684B50" w:rsidR="00B40701" w:rsidRDefault="00B40701" w:rsidP="00B40701">
      <w:pPr>
        <w:keepNext/>
        <w:keepLines/>
        <w:spacing w:before="240" w:after="0"/>
        <w:ind w:left="720"/>
        <w:outlineLvl w:val="0"/>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For specific questions on assessing or formulating appropriate policies, PHAs may </w:t>
      </w:r>
      <w:r w:rsidR="00FA265D">
        <w:rPr>
          <w:rFonts w:ascii="Times New Roman" w:eastAsia="Calibri" w:hAnsi="Times New Roman" w:cs="Times New Roman"/>
          <w:color w:val="000000" w:themeColor="text1"/>
        </w:rPr>
        <w:t>contact</w:t>
      </w:r>
      <w:r>
        <w:rPr>
          <w:rFonts w:ascii="Times New Roman" w:eastAsia="Calibri" w:hAnsi="Times New Roman" w:cs="Times New Roman"/>
          <w:color w:val="000000" w:themeColor="text1"/>
        </w:rPr>
        <w:t xml:space="preserve"> </w:t>
      </w:r>
      <w:r w:rsidR="00FA265D">
        <w:rPr>
          <w:rFonts w:ascii="Times New Roman" w:eastAsia="Calibri" w:hAnsi="Times New Roman" w:cs="Times New Roman"/>
          <w:color w:val="000000" w:themeColor="text1"/>
        </w:rPr>
        <w:t>HUD’s Fair Housing and Equal Opportunity (</w:t>
      </w:r>
      <w:r>
        <w:rPr>
          <w:rFonts w:ascii="Times New Roman" w:eastAsia="Calibri" w:hAnsi="Times New Roman" w:cs="Times New Roman"/>
          <w:color w:val="000000" w:themeColor="text1"/>
        </w:rPr>
        <w:t>FHEO</w:t>
      </w:r>
      <w:r w:rsidR="00FA265D">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 xml:space="preserve"> Regional Office</w:t>
      </w:r>
      <w:r w:rsidR="00FA265D">
        <w:rPr>
          <w:rFonts w:ascii="Times New Roman" w:eastAsia="Calibri" w:hAnsi="Times New Roman" w:cs="Times New Roman"/>
          <w:color w:val="000000" w:themeColor="text1"/>
        </w:rPr>
        <w:t xml:space="preserve"> or the PHA may also request t</w:t>
      </w:r>
      <w:r>
        <w:rPr>
          <w:rFonts w:ascii="Times New Roman" w:eastAsia="Calibri" w:hAnsi="Times New Roman" w:cs="Times New Roman"/>
          <w:color w:val="000000" w:themeColor="text1"/>
        </w:rPr>
        <w:t xml:space="preserve">echnical assistance </w:t>
      </w:r>
      <w:r w:rsidR="00FA265D">
        <w:rPr>
          <w:rFonts w:ascii="Times New Roman" w:eastAsia="Calibri" w:hAnsi="Times New Roman" w:cs="Times New Roman"/>
          <w:color w:val="000000" w:themeColor="text1"/>
        </w:rPr>
        <w:t xml:space="preserve">by </w:t>
      </w:r>
      <w:r>
        <w:rPr>
          <w:rFonts w:ascii="Times New Roman" w:eastAsia="Calibri" w:hAnsi="Times New Roman" w:cs="Times New Roman"/>
          <w:color w:val="000000" w:themeColor="text1"/>
        </w:rPr>
        <w:t>contact</w:t>
      </w:r>
      <w:r w:rsidR="00FA265D">
        <w:rPr>
          <w:rFonts w:ascii="Times New Roman" w:eastAsia="Calibri" w:hAnsi="Times New Roman" w:cs="Times New Roman"/>
          <w:color w:val="000000" w:themeColor="text1"/>
        </w:rPr>
        <w:t xml:space="preserve">ing </w:t>
      </w:r>
      <w:hyperlink r:id="rId18" w:history="1">
        <w:r w:rsidR="00FA265D" w:rsidRPr="00D77C2B">
          <w:rPr>
            <w:rStyle w:val="Hyperlink"/>
            <w:rFonts w:ascii="Times New Roman" w:eastAsia="Calibri" w:hAnsi="Times New Roman" w:cs="Times New Roman"/>
          </w:rPr>
          <w:t>ehv@hud.gov</w:t>
        </w:r>
      </w:hyperlink>
      <w:r w:rsidR="00FA265D">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 xml:space="preserve"> </w:t>
      </w:r>
      <w:proofErr w:type="spellStart"/>
      <w:r>
        <w:rPr>
          <w:rFonts w:ascii="Times New Roman" w:eastAsia="Calibri" w:hAnsi="Times New Roman" w:cs="Times New Roman"/>
          <w:color w:val="000000" w:themeColor="text1"/>
        </w:rPr>
        <w:t>CoCs</w:t>
      </w:r>
      <w:proofErr w:type="spellEnd"/>
      <w:r>
        <w:rPr>
          <w:rFonts w:ascii="Times New Roman" w:eastAsia="Calibri" w:hAnsi="Times New Roman" w:cs="Times New Roman"/>
          <w:color w:val="000000" w:themeColor="text1"/>
        </w:rPr>
        <w:t xml:space="preserve"> and other referring partners may reach out to </w:t>
      </w:r>
      <w:hyperlink r:id="rId19" w:history="1">
        <w:r w:rsidR="00FA265D" w:rsidRPr="00D77C2B">
          <w:rPr>
            <w:rStyle w:val="Hyperlink"/>
            <w:rFonts w:ascii="Times New Roman" w:eastAsia="Calibri" w:hAnsi="Times New Roman" w:cs="Times New Roman"/>
          </w:rPr>
          <w:t>https://www.hudexchange.info/program-support/</w:t>
        </w:r>
      </w:hyperlink>
      <w:r>
        <w:rPr>
          <w:rFonts w:ascii="Times New Roman" w:eastAsia="Calibri" w:hAnsi="Times New Roman" w:cs="Times New Roman"/>
          <w:color w:val="000000" w:themeColor="text1"/>
        </w:rPr>
        <w:t>.</w:t>
      </w:r>
    </w:p>
    <w:p w14:paraId="321E2EB4" w14:textId="77777777" w:rsidR="00886E68" w:rsidRDefault="00886E68" w:rsidP="00B40701">
      <w:pPr>
        <w:keepNext/>
        <w:keepLines/>
        <w:spacing w:before="240" w:after="0"/>
        <w:ind w:left="720"/>
        <w:outlineLvl w:val="0"/>
        <w:rPr>
          <w:rFonts w:ascii="Times New Roman" w:eastAsia="Calibri" w:hAnsi="Times New Roman" w:cs="Times New Roman"/>
          <w:color w:val="000000" w:themeColor="text1"/>
        </w:rPr>
      </w:pPr>
    </w:p>
    <w:p w14:paraId="4B1808E1" w14:textId="0B8F5FC0" w:rsidR="00886E68" w:rsidRPr="00125A6B" w:rsidRDefault="00886E68" w:rsidP="00886E68">
      <w:pPr>
        <w:pStyle w:val="ListParagraph"/>
        <w:numPr>
          <w:ilvl w:val="0"/>
          <w:numId w:val="3"/>
        </w:numPr>
        <w:spacing w:line="252" w:lineRule="auto"/>
        <w:rPr>
          <w:rFonts w:ascii="Times New Roman" w:hAnsi="Times New Roman" w:cs="Times New Roman"/>
          <w:b/>
          <w:bCs/>
        </w:rPr>
      </w:pPr>
      <w:r w:rsidRPr="00125A6B">
        <w:rPr>
          <w:rFonts w:ascii="Times New Roman" w:eastAsia="Calibri" w:hAnsi="Times New Roman" w:cs="Times New Roman"/>
          <w:b/>
          <w:bCs/>
        </w:rPr>
        <w:t xml:space="preserve">For EHV eligibility, can the person who is a victim of human trafficking be a minor child, thereby making the family eligible for EHV? </w:t>
      </w:r>
    </w:p>
    <w:p w14:paraId="1C93B103" w14:textId="1658FCFA" w:rsidR="008E21E5" w:rsidRPr="00864065" w:rsidRDefault="00886E68" w:rsidP="00864065">
      <w:pPr>
        <w:ind w:left="720"/>
        <w:rPr>
          <w:rFonts w:ascii="Times New Roman" w:eastAsia="Times New Roman" w:hAnsi="Times New Roman" w:cs="Times New Roman"/>
          <w:color w:val="000000" w:themeColor="text1"/>
        </w:rPr>
      </w:pPr>
      <w:r w:rsidRPr="005646CC">
        <w:rPr>
          <w:rFonts w:ascii="Times New Roman" w:eastAsia="Times New Roman" w:hAnsi="Times New Roman" w:cs="Times New Roman"/>
          <w:color w:val="000000" w:themeColor="text1"/>
        </w:rPr>
        <w:t xml:space="preserve">Yes. As stated in </w:t>
      </w:r>
      <w:hyperlink r:id="rId20" w:history="1">
        <w:r w:rsidRPr="003B6E3B">
          <w:rPr>
            <w:rStyle w:val="Hyperlink"/>
            <w:rFonts w:ascii="Times New Roman" w:eastAsia="Times New Roman" w:hAnsi="Times New Roman" w:cs="Times New Roman"/>
          </w:rPr>
          <w:t>PIH Notice 2021-15</w:t>
        </w:r>
      </w:hyperlink>
      <w:r w:rsidRPr="005646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human trafficking includes both sex and labor trafficking as outlined in </w:t>
      </w:r>
      <w:r w:rsidRPr="005646CC">
        <w:rPr>
          <w:rFonts w:ascii="Times New Roman" w:eastAsia="Times New Roman" w:hAnsi="Times New Roman" w:cs="Times New Roman"/>
          <w:color w:val="000000" w:themeColor="text1"/>
        </w:rPr>
        <w:t>the Trafficking Victims Protection Act of 2000</w:t>
      </w:r>
      <w:r>
        <w:rPr>
          <w:rFonts w:ascii="Times New Roman" w:eastAsia="Times New Roman" w:hAnsi="Times New Roman" w:cs="Times New Roman"/>
          <w:color w:val="000000" w:themeColor="text1"/>
        </w:rPr>
        <w:t xml:space="preserve">. The statue </w:t>
      </w:r>
      <w:r w:rsidRPr="005646CC">
        <w:rPr>
          <w:rFonts w:ascii="Times New Roman" w:eastAsia="Times New Roman" w:hAnsi="Times New Roman" w:cs="Times New Roman"/>
          <w:color w:val="000000" w:themeColor="text1"/>
        </w:rPr>
        <w:t xml:space="preserve">defines sex trafficking as “the recruitment, harboring, transportation, provision, obtaining, patronizing, or soliciting of a person for the purpose of a commercial sex act, in which the commercial sex act is induced by force, fraud, or coercion, or in which the person induced to perform such act has not attained 18 years of age.” Therefore, a minor child may be a victim of human trafficking. </w:t>
      </w:r>
      <w:r>
        <w:rPr>
          <w:rFonts w:ascii="Times New Roman" w:eastAsia="Calibri" w:hAnsi="Times New Roman" w:cs="Times New Roman"/>
          <w:color w:val="000000" w:themeColor="text1"/>
        </w:rPr>
        <w:tab/>
      </w:r>
    </w:p>
    <w:p w14:paraId="7DE77AF4" w14:textId="1017ADCD" w:rsidR="005B6F6A" w:rsidRDefault="005B6F6A" w:rsidP="005B6F6A">
      <w:pPr>
        <w:pStyle w:val="Heading1"/>
      </w:pPr>
      <w:bookmarkStart w:id="5" w:name="_Toc74733176"/>
      <w:r>
        <w:t>Partnerships and Collaborations</w:t>
      </w:r>
      <w:bookmarkEnd w:id="5"/>
    </w:p>
    <w:p w14:paraId="77734445" w14:textId="1C0F111E" w:rsidR="00145A08" w:rsidRDefault="00145A08" w:rsidP="00145A08"/>
    <w:p w14:paraId="53E87A64" w14:textId="4FB1DB88" w:rsidR="00145A08" w:rsidRPr="00886E68" w:rsidRDefault="00145A08" w:rsidP="00CB7838">
      <w:pPr>
        <w:pStyle w:val="ListParagraph"/>
        <w:numPr>
          <w:ilvl w:val="0"/>
          <w:numId w:val="21"/>
        </w:numPr>
        <w:rPr>
          <w:rFonts w:ascii="Times New Roman" w:hAnsi="Times New Roman" w:cs="Times New Roman"/>
          <w:b/>
          <w:bCs/>
          <w:color w:val="000000"/>
        </w:rPr>
      </w:pPr>
      <w:r w:rsidRPr="00886E68">
        <w:rPr>
          <w:rFonts w:ascii="Times New Roman" w:hAnsi="Times New Roman" w:cs="Times New Roman"/>
          <w:b/>
          <w:bCs/>
          <w:color w:val="000000"/>
        </w:rPr>
        <w:t xml:space="preserve">If a </w:t>
      </w:r>
      <w:proofErr w:type="spellStart"/>
      <w:r w:rsidRPr="00886E68">
        <w:rPr>
          <w:rFonts w:ascii="Times New Roman" w:hAnsi="Times New Roman" w:cs="Times New Roman"/>
          <w:b/>
          <w:bCs/>
          <w:color w:val="000000"/>
        </w:rPr>
        <w:t>CoC</w:t>
      </w:r>
      <w:proofErr w:type="spellEnd"/>
      <w:r w:rsidRPr="00886E68">
        <w:rPr>
          <w:rFonts w:ascii="Times New Roman" w:hAnsi="Times New Roman" w:cs="Times New Roman"/>
          <w:b/>
          <w:bCs/>
          <w:color w:val="000000"/>
        </w:rPr>
        <w:t xml:space="preserve"> is collaborating with more than one PHA, can the </w:t>
      </w:r>
      <w:proofErr w:type="spellStart"/>
      <w:r w:rsidRPr="00886E68">
        <w:rPr>
          <w:rFonts w:ascii="Times New Roman" w:hAnsi="Times New Roman" w:cs="Times New Roman"/>
          <w:b/>
          <w:bCs/>
          <w:color w:val="000000"/>
        </w:rPr>
        <w:t>CoC</w:t>
      </w:r>
      <w:proofErr w:type="spellEnd"/>
      <w:r w:rsidRPr="00886E68">
        <w:rPr>
          <w:rFonts w:ascii="Times New Roman" w:hAnsi="Times New Roman" w:cs="Times New Roman"/>
          <w:b/>
          <w:bCs/>
          <w:color w:val="000000"/>
        </w:rPr>
        <w:t xml:space="preserve"> use the same prioritization for both PHAs and allow families to port vouchers if one geography has more applicants than the other? </w:t>
      </w:r>
    </w:p>
    <w:p w14:paraId="18AC35A8" w14:textId="356473CD" w:rsidR="00145A08" w:rsidRDefault="00145A08" w:rsidP="00145A08">
      <w:pPr>
        <w:ind w:left="720"/>
        <w:rPr>
          <w:rFonts w:ascii="Times New Roman" w:hAnsi="Times New Roman" w:cs="Times New Roman"/>
          <w:color w:val="000000"/>
        </w:rPr>
      </w:pPr>
      <w:r>
        <w:rPr>
          <w:rFonts w:ascii="Times New Roman" w:hAnsi="Times New Roman" w:cs="Times New Roman"/>
          <w:color w:val="000000"/>
        </w:rPr>
        <w:t xml:space="preserve">Yes.  </w:t>
      </w:r>
      <w:proofErr w:type="spellStart"/>
      <w:r>
        <w:rPr>
          <w:rFonts w:ascii="Times New Roman" w:hAnsi="Times New Roman" w:cs="Times New Roman"/>
          <w:color w:val="000000"/>
        </w:rPr>
        <w:t>CoCs</w:t>
      </w:r>
      <w:proofErr w:type="spellEnd"/>
      <w:r>
        <w:rPr>
          <w:rFonts w:ascii="Times New Roman" w:hAnsi="Times New Roman" w:cs="Times New Roman"/>
          <w:color w:val="000000"/>
        </w:rPr>
        <w:t xml:space="preserve"> may utilize the same prioritization when collaborating with multiple PHAs.  </w:t>
      </w:r>
      <w:r>
        <w:rPr>
          <w:rFonts w:ascii="Times New Roman" w:hAnsi="Times New Roman" w:cs="Times New Roman"/>
          <w:color w:val="000000" w:themeColor="text1"/>
        </w:rPr>
        <w:t xml:space="preserve">Per section 9b of </w:t>
      </w:r>
      <w:hyperlink r:id="rId21" w:history="1">
        <w:r w:rsidRPr="00A02996">
          <w:rPr>
            <w:rStyle w:val="Hyperlink"/>
            <w:rFonts w:ascii="Times New Roman" w:hAnsi="Times New Roman" w:cs="Times New Roman"/>
          </w:rPr>
          <w:t>PIH Notice 2021-25</w:t>
        </w:r>
      </w:hyperlink>
      <w:r>
        <w:rPr>
          <w:rFonts w:ascii="Times New Roman" w:hAnsi="Times New Roman" w:cs="Times New Roman"/>
          <w:color w:val="000000" w:themeColor="text1"/>
        </w:rPr>
        <w:t xml:space="preserve">, PHAs and </w:t>
      </w:r>
      <w:proofErr w:type="spellStart"/>
      <w:r>
        <w:rPr>
          <w:rFonts w:ascii="Times New Roman" w:hAnsi="Times New Roman" w:cs="Times New Roman"/>
          <w:color w:val="000000" w:themeColor="text1"/>
        </w:rPr>
        <w:t>CoCs</w:t>
      </w:r>
      <w:proofErr w:type="spellEnd"/>
      <w:r>
        <w:rPr>
          <w:rFonts w:ascii="Times New Roman" w:hAnsi="Times New Roman" w:cs="Times New Roman"/>
          <w:color w:val="000000" w:themeColor="text1"/>
        </w:rPr>
        <w:t xml:space="preserve"> should work collaboratively to </w:t>
      </w:r>
      <w:r w:rsidRPr="00356650">
        <w:rPr>
          <w:rFonts w:ascii="Times New Roman" w:hAnsi="Times New Roman" w:cs="Times New Roman"/>
          <w:color w:val="000000" w:themeColor="text1"/>
        </w:rPr>
        <w:t xml:space="preserve">determine the best use and targeting for </w:t>
      </w:r>
      <w:r>
        <w:rPr>
          <w:rFonts w:ascii="Times New Roman" w:hAnsi="Times New Roman" w:cs="Times New Roman"/>
          <w:color w:val="000000" w:themeColor="text1"/>
        </w:rPr>
        <w:t xml:space="preserve">EHVs.  This information may be included in the PHA’s MOU with </w:t>
      </w:r>
      <w:r>
        <w:rPr>
          <w:rFonts w:ascii="Times New Roman" w:hAnsi="Times New Roman" w:cs="Times New Roman"/>
          <w:color w:val="000000"/>
        </w:rPr>
        <w:t xml:space="preserve">partnering organizations.  </w:t>
      </w:r>
    </w:p>
    <w:p w14:paraId="21933404" w14:textId="77777777" w:rsidR="00145A08" w:rsidRPr="00916D39" w:rsidRDefault="00145A08" w:rsidP="00145A08">
      <w:pPr>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In accordance with </w:t>
      </w:r>
      <w:r w:rsidRPr="00916D39">
        <w:rPr>
          <w:rFonts w:ascii="Times New Roman" w:hAnsi="Times New Roman" w:cs="Times New Roman"/>
          <w:color w:val="000000"/>
        </w:rPr>
        <w:t xml:space="preserve">Section 9(o)(iii) </w:t>
      </w:r>
      <w:hyperlink r:id="rId22" w:tgtFrame="_blank" w:history="1">
        <w:r w:rsidRPr="00856172">
          <w:rPr>
            <w:rStyle w:val="normaltextrun"/>
            <w:rFonts w:ascii="Times New Roman" w:hAnsi="Times New Roman" w:cs="Times New Roman"/>
            <w:color w:val="0563C1"/>
            <w:u w:val="single"/>
            <w:shd w:val="clear" w:color="auto" w:fill="FFFFFF"/>
          </w:rPr>
          <w:t>PIH Notice 2021-15</w:t>
        </w:r>
      </w:hyperlink>
      <w:r w:rsidRPr="00916D39">
        <w:rPr>
          <w:rFonts w:ascii="Times New Roman" w:hAnsi="Times New Roman" w:cs="Times New Roman"/>
          <w:color w:val="000000"/>
        </w:rPr>
        <w:t>, families opting to port to an alternative PHA jurisdiction should be advised how portability works and how relocation outside of the PHAs jurisdiction may affect the family’s assistance and impact the special EHV services and assistance that may be available to the family.</w:t>
      </w:r>
    </w:p>
    <w:p w14:paraId="09105DBB" w14:textId="77777777" w:rsidR="00145A08" w:rsidRPr="00145A08" w:rsidRDefault="00145A08" w:rsidP="00145A08"/>
    <w:p w14:paraId="3464E817" w14:textId="7049FB69" w:rsidR="005B6F6A" w:rsidRPr="00FC3011" w:rsidRDefault="00CB7838" w:rsidP="00013216">
      <w:pPr>
        <w:ind w:left="360"/>
        <w:rPr>
          <w:rFonts w:ascii="Times New Roman" w:hAnsi="Times New Roman" w:cs="Times New Roman"/>
          <w:b/>
          <w:bCs/>
        </w:rPr>
      </w:pPr>
      <w:r>
        <w:rPr>
          <w:rFonts w:ascii="Times New Roman" w:hAnsi="Times New Roman" w:cs="Times New Roman"/>
          <w:b/>
          <w:bCs/>
        </w:rPr>
        <w:t>23</w:t>
      </w:r>
      <w:r w:rsidR="00013216" w:rsidRPr="00013216">
        <w:rPr>
          <w:rFonts w:ascii="Times New Roman" w:hAnsi="Times New Roman" w:cs="Times New Roman"/>
          <w:b/>
          <w:bCs/>
        </w:rPr>
        <w:t>.</w:t>
      </w:r>
      <w:r w:rsidR="005B6F6A" w:rsidRPr="00013216">
        <w:rPr>
          <w:rFonts w:ascii="Times New Roman" w:hAnsi="Times New Roman" w:cs="Times New Roman"/>
          <w:b/>
          <w:bCs/>
        </w:rPr>
        <w:t xml:space="preserve"> </w:t>
      </w:r>
      <w:r w:rsidR="005B6F6A" w:rsidRPr="00FC3011">
        <w:rPr>
          <w:rFonts w:ascii="Times New Roman" w:hAnsi="Times New Roman" w:cs="Times New Roman"/>
          <w:b/>
          <w:bCs/>
        </w:rPr>
        <w:t>What is a Continuum of Care (</w:t>
      </w:r>
      <w:proofErr w:type="spellStart"/>
      <w:r w:rsidR="005B6F6A" w:rsidRPr="00FC3011">
        <w:rPr>
          <w:rFonts w:ascii="Times New Roman" w:hAnsi="Times New Roman" w:cs="Times New Roman"/>
          <w:b/>
          <w:bCs/>
        </w:rPr>
        <w:t>CoC</w:t>
      </w:r>
      <w:proofErr w:type="spellEnd"/>
      <w:r w:rsidR="005B6F6A" w:rsidRPr="00FC3011">
        <w:rPr>
          <w:rFonts w:ascii="Times New Roman" w:hAnsi="Times New Roman" w:cs="Times New Roman"/>
          <w:b/>
          <w:bCs/>
        </w:rPr>
        <w:t>)?</w:t>
      </w:r>
    </w:p>
    <w:p w14:paraId="1E28812A" w14:textId="09361E56" w:rsidR="005B6F6A" w:rsidRPr="00FC3011" w:rsidRDefault="005B6F6A" w:rsidP="005B6F6A">
      <w:pPr>
        <w:ind w:left="720"/>
        <w:rPr>
          <w:rFonts w:ascii="Times New Roman" w:eastAsia="Times New Roman" w:hAnsi="Times New Roman" w:cs="Times New Roman"/>
        </w:rPr>
      </w:pPr>
      <w:r w:rsidRPr="00FC3011">
        <w:rPr>
          <w:rFonts w:ascii="Times New Roman" w:eastAsia="Times New Roman" w:hAnsi="Times New Roman" w:cs="Times New Roman"/>
        </w:rPr>
        <w:t xml:space="preserve">The </w:t>
      </w:r>
      <w:proofErr w:type="spellStart"/>
      <w:r w:rsidR="00626A55" w:rsidRPr="00FC3011">
        <w:rPr>
          <w:rFonts w:ascii="Times New Roman" w:eastAsia="Times New Roman" w:hAnsi="Times New Roman" w:cs="Times New Roman"/>
        </w:rPr>
        <w:t>CoC</w:t>
      </w:r>
      <w:proofErr w:type="spellEnd"/>
      <w:r w:rsidR="00626A55" w:rsidRPr="00FC3011">
        <w:rPr>
          <w:rFonts w:ascii="Times New Roman" w:eastAsia="Times New Roman" w:hAnsi="Times New Roman" w:cs="Times New Roman"/>
        </w:rPr>
        <w:t xml:space="preserve"> </w:t>
      </w:r>
      <w:r w:rsidRPr="00FC3011">
        <w:rPr>
          <w:rFonts w:ascii="Times New Roman" w:eastAsia="Times New Roman" w:hAnsi="Times New Roman" w:cs="Times New Roman"/>
        </w:rPr>
        <w:t xml:space="preserve">is a local planning body that coordinates housing and services funding for homeless individuals and families.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Program is designed to:</w:t>
      </w:r>
    </w:p>
    <w:p w14:paraId="12EFF4B0" w14:textId="121F1550" w:rsidR="005B6F6A" w:rsidRPr="00FC3011" w:rsidRDefault="00FD3288" w:rsidP="00B86D98">
      <w:pPr>
        <w:pStyle w:val="ListParagraph"/>
        <w:numPr>
          <w:ilvl w:val="0"/>
          <w:numId w:val="4"/>
        </w:numPr>
        <w:rPr>
          <w:rFonts w:ascii="Times New Roman" w:eastAsia="Times New Roman" w:hAnsi="Times New Roman" w:cs="Times New Roman"/>
        </w:rPr>
      </w:pPr>
      <w:r w:rsidRPr="00FC3011">
        <w:rPr>
          <w:rFonts w:ascii="Times New Roman" w:eastAsia="Times New Roman" w:hAnsi="Times New Roman" w:cs="Times New Roman"/>
        </w:rPr>
        <w:t>P</w:t>
      </w:r>
      <w:r w:rsidR="005B6F6A" w:rsidRPr="00FC3011">
        <w:rPr>
          <w:rFonts w:ascii="Times New Roman" w:eastAsia="Times New Roman" w:hAnsi="Times New Roman" w:cs="Times New Roman"/>
        </w:rPr>
        <w:t xml:space="preserve">romote communitywide commitment to the goal of ending homelessness; </w:t>
      </w:r>
    </w:p>
    <w:p w14:paraId="1A8AC1E8" w14:textId="78244A24" w:rsidR="005B6F6A" w:rsidRPr="00FC3011" w:rsidRDefault="00FD3288" w:rsidP="00B86D98">
      <w:pPr>
        <w:pStyle w:val="ListParagraph"/>
        <w:numPr>
          <w:ilvl w:val="0"/>
          <w:numId w:val="4"/>
        </w:numPr>
        <w:rPr>
          <w:rFonts w:ascii="Times New Roman" w:eastAsia="Times New Roman" w:hAnsi="Times New Roman" w:cs="Times New Roman"/>
        </w:rPr>
      </w:pPr>
      <w:r w:rsidRPr="00FC3011">
        <w:rPr>
          <w:rFonts w:ascii="Times New Roman" w:eastAsia="Times New Roman" w:hAnsi="Times New Roman" w:cs="Times New Roman"/>
        </w:rPr>
        <w:t>P</w:t>
      </w:r>
      <w:r w:rsidR="005B6F6A" w:rsidRPr="00FC3011">
        <w:rPr>
          <w:rFonts w:ascii="Times New Roman" w:eastAsia="Times New Roman" w:hAnsi="Times New Roman" w:cs="Times New Roman"/>
        </w:rPr>
        <w:t>rovide funding for efforts by nonprofit providers and State and local governments to   quickly rehouse homeless individuals and families and minimize the trauma and dislocation that homelessness causes for individuals, families, and communities;</w:t>
      </w:r>
    </w:p>
    <w:p w14:paraId="583D9D13" w14:textId="020999B7" w:rsidR="005B6F6A" w:rsidRPr="00FC3011" w:rsidRDefault="00FD3288" w:rsidP="00B86D98">
      <w:pPr>
        <w:pStyle w:val="ListParagraph"/>
        <w:numPr>
          <w:ilvl w:val="0"/>
          <w:numId w:val="4"/>
        </w:numPr>
        <w:rPr>
          <w:rFonts w:ascii="Times New Roman" w:eastAsia="Times New Roman" w:hAnsi="Times New Roman" w:cs="Times New Roman"/>
        </w:rPr>
      </w:pPr>
      <w:r w:rsidRPr="00FC3011">
        <w:rPr>
          <w:rFonts w:ascii="Times New Roman" w:eastAsia="Times New Roman" w:hAnsi="Times New Roman" w:cs="Times New Roman"/>
        </w:rPr>
        <w:lastRenderedPageBreak/>
        <w:t>P</w:t>
      </w:r>
      <w:r w:rsidR="005B6F6A" w:rsidRPr="00FC3011">
        <w:rPr>
          <w:rFonts w:ascii="Times New Roman" w:eastAsia="Times New Roman" w:hAnsi="Times New Roman" w:cs="Times New Roman"/>
        </w:rPr>
        <w:t xml:space="preserve">romote access to and effect utilization of mainstream programs by homeless individuals and families; and </w:t>
      </w:r>
    </w:p>
    <w:p w14:paraId="4EBFB9CB" w14:textId="0DBE2238" w:rsidR="005B6F6A" w:rsidRPr="00FC3011" w:rsidRDefault="00FD3288" w:rsidP="00B86D98">
      <w:pPr>
        <w:pStyle w:val="ListParagraph"/>
        <w:numPr>
          <w:ilvl w:val="0"/>
          <w:numId w:val="4"/>
        </w:numPr>
        <w:rPr>
          <w:rFonts w:ascii="Times New Roman" w:eastAsia="Times New Roman" w:hAnsi="Times New Roman" w:cs="Times New Roman"/>
        </w:rPr>
      </w:pPr>
      <w:r w:rsidRPr="00FC3011">
        <w:rPr>
          <w:rFonts w:ascii="Times New Roman" w:eastAsia="Times New Roman" w:hAnsi="Times New Roman" w:cs="Times New Roman"/>
        </w:rPr>
        <w:t>O</w:t>
      </w:r>
      <w:r w:rsidR="005B6F6A" w:rsidRPr="00FC3011">
        <w:rPr>
          <w:rFonts w:ascii="Times New Roman" w:eastAsia="Times New Roman" w:hAnsi="Times New Roman" w:cs="Times New Roman"/>
        </w:rPr>
        <w:t xml:space="preserve">ptimize self-sufficiency among individuals and families experiencing homelessness.  </w:t>
      </w:r>
    </w:p>
    <w:p w14:paraId="2C477D0F" w14:textId="5828347A" w:rsidR="005B6F6A" w:rsidRPr="00FC3011" w:rsidRDefault="005B6F6A" w:rsidP="005B6F6A">
      <w:pPr>
        <w:ind w:left="720"/>
        <w:rPr>
          <w:rFonts w:ascii="Times New Roman" w:eastAsia="Times New Roman" w:hAnsi="Times New Roman" w:cs="Times New Roman"/>
        </w:rPr>
      </w:pPr>
      <w:r w:rsidRPr="00FC3011">
        <w:rPr>
          <w:rFonts w:ascii="Times New Roman" w:eastAsia="Times New Roman" w:hAnsi="Times New Roman" w:cs="Times New Roman"/>
        </w:rPr>
        <w:t xml:space="preserve">Section 9.b of </w:t>
      </w:r>
      <w:hyperlink r:id="rId23" w:history="1">
        <w:r w:rsidRPr="00973C1F">
          <w:rPr>
            <w:rStyle w:val="Hyperlink"/>
            <w:rFonts w:ascii="Times New Roman" w:eastAsia="Times New Roman" w:hAnsi="Times New Roman" w:cs="Times New Roman"/>
          </w:rPr>
          <w:t>PIH Notice 2021-15</w:t>
        </w:r>
      </w:hyperlink>
      <w:r w:rsidRPr="00FC3011">
        <w:rPr>
          <w:rFonts w:ascii="Times New Roman" w:eastAsia="Times New Roman" w:hAnsi="Times New Roman" w:cs="Times New Roman"/>
        </w:rPr>
        <w:t xml:space="preserve"> provides a more thorough description of </w:t>
      </w:r>
      <w:proofErr w:type="spellStart"/>
      <w:r w:rsidRPr="00FC3011">
        <w:rPr>
          <w:rFonts w:ascii="Times New Roman" w:eastAsia="Times New Roman" w:hAnsi="Times New Roman" w:cs="Times New Roman"/>
        </w:rPr>
        <w:t>CoCs</w:t>
      </w:r>
      <w:proofErr w:type="spellEnd"/>
      <w:r w:rsidRPr="00FC3011">
        <w:rPr>
          <w:rFonts w:ascii="Times New Roman" w:eastAsia="Times New Roman" w:hAnsi="Times New Roman" w:cs="Times New Roman"/>
        </w:rPr>
        <w:t xml:space="preserve"> and their role in the EHV program.  Additional information on </w:t>
      </w:r>
      <w:proofErr w:type="spellStart"/>
      <w:r w:rsidRPr="00FC3011">
        <w:rPr>
          <w:rFonts w:ascii="Times New Roman" w:eastAsia="Times New Roman" w:hAnsi="Times New Roman" w:cs="Times New Roman"/>
        </w:rPr>
        <w:t>CoCs</w:t>
      </w:r>
      <w:proofErr w:type="spellEnd"/>
      <w:r w:rsidRPr="00FC3011">
        <w:rPr>
          <w:rFonts w:ascii="Times New Roman" w:eastAsia="Times New Roman" w:hAnsi="Times New Roman" w:cs="Times New Roman"/>
        </w:rPr>
        <w:t xml:space="preserve"> can be found at </w:t>
      </w:r>
      <w:hyperlink r:id="rId24" w:history="1">
        <w:r w:rsidRPr="00FC3011">
          <w:rPr>
            <w:rStyle w:val="Hyperlink"/>
            <w:rFonts w:ascii="Times New Roman" w:eastAsia="Times New Roman" w:hAnsi="Times New Roman" w:cs="Times New Roman"/>
          </w:rPr>
          <w:t>https://www.hud.gov/program_offices/comm_planning/coc</w:t>
        </w:r>
      </w:hyperlink>
      <w:r w:rsidRPr="00FC3011">
        <w:rPr>
          <w:rFonts w:ascii="Times New Roman" w:eastAsia="Times New Roman" w:hAnsi="Times New Roman" w:cs="Times New Roman"/>
        </w:rPr>
        <w:t>.</w:t>
      </w:r>
    </w:p>
    <w:p w14:paraId="07D54E8B" w14:textId="4A8AFEC6" w:rsidR="00B67A00" w:rsidRPr="00FC3011" w:rsidRDefault="00CB7838" w:rsidP="00B67A00">
      <w:pPr>
        <w:spacing w:line="252" w:lineRule="auto"/>
        <w:ind w:left="360"/>
        <w:rPr>
          <w:rFonts w:ascii="Times New Roman" w:hAnsi="Times New Roman" w:cs="Times New Roman"/>
          <w:b/>
          <w:bCs/>
        </w:rPr>
      </w:pPr>
      <w:r>
        <w:rPr>
          <w:rFonts w:ascii="Times New Roman" w:hAnsi="Times New Roman" w:cs="Times New Roman"/>
          <w:b/>
          <w:bCs/>
        </w:rPr>
        <w:t>24</w:t>
      </w:r>
      <w:r w:rsidR="00B67A00" w:rsidRPr="00FC3011">
        <w:rPr>
          <w:rFonts w:ascii="Times New Roman" w:hAnsi="Times New Roman" w:cs="Times New Roman"/>
          <w:b/>
          <w:bCs/>
        </w:rPr>
        <w:t xml:space="preserve">.  What is a Victims Service Provider (VSP)? </w:t>
      </w:r>
    </w:p>
    <w:p w14:paraId="1D32EE62" w14:textId="20D2CFA5" w:rsidR="00B67A00" w:rsidRPr="00FC3011" w:rsidRDefault="00B67A00" w:rsidP="00B67A00">
      <w:pPr>
        <w:pStyle w:val="Default"/>
        <w:ind w:left="720"/>
        <w:rPr>
          <w:rFonts w:ascii="Times New Roman" w:hAnsi="Times New Roman" w:cs="Times New Roman"/>
          <w:sz w:val="22"/>
          <w:szCs w:val="22"/>
        </w:rPr>
      </w:pPr>
      <w:r w:rsidRPr="00FC3011">
        <w:rPr>
          <w:rFonts w:ascii="Times New Roman" w:hAnsi="Times New Roman" w:cs="Times New Roman"/>
          <w:sz w:val="22"/>
          <w:szCs w:val="22"/>
        </w:rPr>
        <w:t xml:space="preserve">HUD defines a </w:t>
      </w:r>
      <w:r w:rsidR="00192514" w:rsidRPr="00FC3011">
        <w:rPr>
          <w:rFonts w:ascii="Times New Roman" w:hAnsi="Times New Roman" w:cs="Times New Roman"/>
          <w:sz w:val="22"/>
          <w:szCs w:val="22"/>
        </w:rPr>
        <w:t xml:space="preserve">VSP </w:t>
      </w:r>
      <w:r w:rsidRPr="00FC3011">
        <w:rPr>
          <w:rFonts w:ascii="Times New Roman" w:hAnsi="Times New Roman" w:cs="Times New Roman"/>
          <w:sz w:val="22"/>
          <w:szCs w:val="22"/>
        </w:rPr>
        <w:t xml:space="preserve">to mean a private nonprofit organization whose primary mission is to provide direct services to victims of domestic violence. This term includes permanent housing providers—including rapid rehousing, domestic violence programs (shelters and non-residential), domestic violence transitional housing programs, dual domestic violence and sexual assault programs, and related advocacy and supportive services programs.  The </w:t>
      </w:r>
      <w:r w:rsidR="00B02706" w:rsidRPr="00FC3011">
        <w:rPr>
          <w:rFonts w:ascii="Times New Roman" w:hAnsi="Times New Roman" w:cs="Times New Roman"/>
          <w:sz w:val="22"/>
          <w:szCs w:val="22"/>
        </w:rPr>
        <w:t>term</w:t>
      </w:r>
      <w:r w:rsidRPr="00FC3011">
        <w:rPr>
          <w:rFonts w:ascii="Times New Roman" w:hAnsi="Times New Roman" w:cs="Times New Roman"/>
          <w:sz w:val="22"/>
          <w:szCs w:val="22"/>
        </w:rPr>
        <w:t xml:space="preserve"> </w:t>
      </w:r>
      <w:r w:rsidR="00B02706" w:rsidRPr="00FC3011">
        <w:rPr>
          <w:rFonts w:ascii="Times New Roman" w:hAnsi="Times New Roman" w:cs="Times New Roman"/>
          <w:sz w:val="22"/>
          <w:szCs w:val="22"/>
        </w:rPr>
        <w:t>includes</w:t>
      </w:r>
      <w:r w:rsidRPr="00FC3011">
        <w:rPr>
          <w:rFonts w:ascii="Times New Roman" w:hAnsi="Times New Roman" w:cs="Times New Roman"/>
          <w:sz w:val="22"/>
          <w:szCs w:val="22"/>
        </w:rPr>
        <w:t xml:space="preserve"> </w:t>
      </w:r>
      <w:r w:rsidR="00B02706" w:rsidRPr="00FC3011">
        <w:rPr>
          <w:rFonts w:ascii="Times New Roman" w:hAnsi="Times New Roman" w:cs="Times New Roman"/>
          <w:sz w:val="22"/>
          <w:szCs w:val="22"/>
        </w:rPr>
        <w:t xml:space="preserve">organizations that provide these services to </w:t>
      </w:r>
      <w:r w:rsidRPr="00FC3011">
        <w:rPr>
          <w:rFonts w:ascii="Times New Roman" w:hAnsi="Times New Roman" w:cs="Times New Roman"/>
          <w:sz w:val="22"/>
          <w:szCs w:val="22"/>
        </w:rPr>
        <w:t>individuals or families fleeing or attempting to flee domestic violence, dating violence, sexual assault, stalking,</w:t>
      </w:r>
      <w:r w:rsidR="00797690" w:rsidRPr="00FC3011">
        <w:rPr>
          <w:rFonts w:ascii="Times New Roman" w:hAnsi="Times New Roman" w:cs="Times New Roman"/>
          <w:sz w:val="22"/>
          <w:szCs w:val="22"/>
        </w:rPr>
        <w:t xml:space="preserve"> human trafficking</w:t>
      </w:r>
      <w:r w:rsidRPr="00FC3011">
        <w:rPr>
          <w:rFonts w:ascii="Times New Roman" w:hAnsi="Times New Roman" w:cs="Times New Roman"/>
          <w:sz w:val="22"/>
          <w:szCs w:val="22"/>
        </w:rPr>
        <w:t xml:space="preserve"> or other dangerous or life-threatening conditions that relate to violence against the individual or a family member. </w:t>
      </w:r>
      <w:r w:rsidR="00B02706" w:rsidRPr="00FC3011">
        <w:rPr>
          <w:rFonts w:ascii="Times New Roman" w:hAnsi="Times New Roman" w:cs="Times New Roman"/>
          <w:sz w:val="22"/>
          <w:szCs w:val="22"/>
        </w:rPr>
        <w:t>Additional information about how HUD defines VSP</w:t>
      </w:r>
      <w:r w:rsidRPr="00FC3011">
        <w:rPr>
          <w:rFonts w:ascii="Times New Roman" w:hAnsi="Times New Roman" w:cs="Times New Roman"/>
          <w:sz w:val="22"/>
          <w:szCs w:val="22"/>
        </w:rPr>
        <w:t xml:space="preserve"> is available at </w:t>
      </w:r>
      <w:hyperlink r:id="rId25" w:history="1">
        <w:r w:rsidRPr="00FC3011">
          <w:rPr>
            <w:rStyle w:val="Hyperlink"/>
            <w:rFonts w:ascii="Times New Roman" w:hAnsi="Times New Roman" w:cs="Times New Roman"/>
            <w:sz w:val="22"/>
            <w:szCs w:val="22"/>
          </w:rPr>
          <w:t>https://files.hudexchange.info/resources/documents/Coordinated-Entry-and-Victim-Service-Providers-FAQs.pdf</w:t>
        </w:r>
      </w:hyperlink>
      <w:r w:rsidRPr="00FC3011">
        <w:rPr>
          <w:rFonts w:ascii="Times New Roman" w:hAnsi="Times New Roman" w:cs="Times New Roman"/>
          <w:sz w:val="22"/>
          <w:szCs w:val="22"/>
        </w:rPr>
        <w:t>.</w:t>
      </w:r>
    </w:p>
    <w:p w14:paraId="117D806A" w14:textId="77777777" w:rsidR="005B6F6A" w:rsidRPr="00FC3011" w:rsidRDefault="005B6F6A" w:rsidP="005B6F6A">
      <w:pPr>
        <w:pStyle w:val="ListParagraph"/>
        <w:spacing w:line="251" w:lineRule="auto"/>
        <w:rPr>
          <w:rFonts w:ascii="Times New Roman" w:eastAsia="Times New Roman" w:hAnsi="Times New Roman" w:cs="Times New Roman"/>
          <w:b/>
          <w:bCs/>
        </w:rPr>
      </w:pPr>
    </w:p>
    <w:p w14:paraId="743864F2" w14:textId="34895863" w:rsidR="00D0375C" w:rsidRPr="00FC3011" w:rsidRDefault="00D0375C" w:rsidP="00CB7838">
      <w:pPr>
        <w:pStyle w:val="ListParagraph"/>
        <w:numPr>
          <w:ilvl w:val="0"/>
          <w:numId w:val="28"/>
        </w:numPr>
        <w:spacing w:line="244" w:lineRule="auto"/>
        <w:rPr>
          <w:rFonts w:ascii="Times New Roman" w:hAnsi="Times New Roman" w:cs="Times New Roman"/>
          <w:b/>
          <w:bCs/>
        </w:rPr>
      </w:pPr>
      <w:r w:rsidRPr="00FC3011">
        <w:rPr>
          <w:rFonts w:ascii="Times New Roman" w:hAnsi="Times New Roman" w:cs="Times New Roman"/>
          <w:b/>
          <w:bCs/>
        </w:rPr>
        <w:t xml:space="preserve">What is a Coordinated Entry (CE) system? </w:t>
      </w:r>
    </w:p>
    <w:p w14:paraId="774D895D" w14:textId="77777777" w:rsidR="00D0375C" w:rsidRPr="00FC3011" w:rsidRDefault="00D0375C" w:rsidP="00D0375C">
      <w:pPr>
        <w:pStyle w:val="ListParagraph"/>
        <w:spacing w:line="244" w:lineRule="auto"/>
        <w:rPr>
          <w:rFonts w:ascii="Times New Roman" w:hAnsi="Times New Roman" w:cs="Times New Roman"/>
          <w:b/>
          <w:bCs/>
        </w:rPr>
      </w:pPr>
    </w:p>
    <w:p w14:paraId="20EDD2E5" w14:textId="5274BACB" w:rsidR="00E2397F" w:rsidRPr="00FC3011" w:rsidRDefault="00D0375C" w:rsidP="00D0375C">
      <w:pPr>
        <w:pStyle w:val="ListParagraph"/>
        <w:rPr>
          <w:rStyle w:val="normaltextrun"/>
          <w:rFonts w:ascii="Times New Roman" w:hAnsi="Times New Roman" w:cs="Times New Roman"/>
          <w:color w:val="000000"/>
        </w:rPr>
      </w:pPr>
      <w:r w:rsidRPr="00FC3011">
        <w:rPr>
          <w:rFonts w:ascii="Times New Roman" w:hAnsi="Times New Roman" w:cs="Times New Roman"/>
        </w:rPr>
        <w:t>Provisions in the</w:t>
      </w:r>
      <w:r w:rsidR="003E6A27" w:rsidRPr="00FC3011">
        <w:rPr>
          <w:rFonts w:ascii="Times New Roman" w:hAnsi="Times New Roman" w:cs="Times New Roman"/>
        </w:rPr>
        <w:t xml:space="preserve"> C</w:t>
      </w:r>
      <w:r w:rsidR="00120226" w:rsidRPr="00FC3011">
        <w:rPr>
          <w:rFonts w:ascii="Times New Roman" w:hAnsi="Times New Roman" w:cs="Times New Roman"/>
        </w:rPr>
        <w:t xml:space="preserve">ontinuum of </w:t>
      </w:r>
      <w:r w:rsidR="003E6A27" w:rsidRPr="00FC3011">
        <w:rPr>
          <w:rFonts w:ascii="Times New Roman" w:hAnsi="Times New Roman" w:cs="Times New Roman"/>
        </w:rPr>
        <w:t>C</w:t>
      </w:r>
      <w:r w:rsidR="00120226" w:rsidRPr="00FC3011">
        <w:rPr>
          <w:rFonts w:ascii="Times New Roman" w:hAnsi="Times New Roman" w:cs="Times New Roman"/>
        </w:rPr>
        <w:t>are (</w:t>
      </w:r>
      <w:proofErr w:type="spellStart"/>
      <w:r w:rsidR="00120226" w:rsidRPr="00FC3011">
        <w:rPr>
          <w:rFonts w:ascii="Times New Roman" w:hAnsi="Times New Roman" w:cs="Times New Roman"/>
        </w:rPr>
        <w:t>CoC</w:t>
      </w:r>
      <w:proofErr w:type="spellEnd"/>
      <w:r w:rsidR="00120226" w:rsidRPr="00FC3011">
        <w:rPr>
          <w:rFonts w:ascii="Times New Roman" w:hAnsi="Times New Roman" w:cs="Times New Roman"/>
        </w:rPr>
        <w:t>)</w:t>
      </w:r>
      <w:r w:rsidRPr="00FC3011">
        <w:rPr>
          <w:rFonts w:ascii="Times New Roman" w:hAnsi="Times New Roman" w:cs="Times New Roman"/>
        </w:rPr>
        <w:t xml:space="preserve"> Program Interim Rule at 24 CFR§578.7(a)(8) require that </w:t>
      </w:r>
      <w:proofErr w:type="spellStart"/>
      <w:r w:rsidRPr="00FC3011">
        <w:rPr>
          <w:rFonts w:ascii="Times New Roman" w:hAnsi="Times New Roman" w:cs="Times New Roman"/>
        </w:rPr>
        <w:t>CoCs</w:t>
      </w:r>
      <w:proofErr w:type="spellEnd"/>
      <w:r w:rsidRPr="00FC3011">
        <w:rPr>
          <w:rFonts w:ascii="Times New Roman" w:hAnsi="Times New Roman" w:cs="Times New Roman"/>
        </w:rPr>
        <w:t xml:space="preserve"> establish a C</w:t>
      </w:r>
      <w:r w:rsidR="00B02706" w:rsidRPr="00FC3011">
        <w:rPr>
          <w:rFonts w:ascii="Times New Roman" w:hAnsi="Times New Roman" w:cs="Times New Roman"/>
        </w:rPr>
        <w:t xml:space="preserve">oordinated </w:t>
      </w:r>
      <w:r w:rsidRPr="00FC3011">
        <w:rPr>
          <w:rFonts w:ascii="Times New Roman" w:hAnsi="Times New Roman" w:cs="Times New Roman"/>
        </w:rPr>
        <w:t>E</w:t>
      </w:r>
      <w:r w:rsidR="00B02706" w:rsidRPr="00FC3011">
        <w:rPr>
          <w:rFonts w:ascii="Times New Roman" w:hAnsi="Times New Roman" w:cs="Times New Roman"/>
        </w:rPr>
        <w:t>ntry (CE)</w:t>
      </w:r>
      <w:r w:rsidRPr="00FC3011">
        <w:rPr>
          <w:rFonts w:ascii="Times New Roman" w:hAnsi="Times New Roman" w:cs="Times New Roman"/>
        </w:rPr>
        <w:t xml:space="preserve"> system.  The CE </w:t>
      </w:r>
      <w:r w:rsidR="00B02706" w:rsidRPr="00FC3011">
        <w:rPr>
          <w:rFonts w:ascii="Times New Roman" w:hAnsi="Times New Roman" w:cs="Times New Roman"/>
        </w:rPr>
        <w:t xml:space="preserve">system </w:t>
      </w:r>
      <w:r w:rsidRPr="00FC3011">
        <w:rPr>
          <w:rFonts w:ascii="Times New Roman" w:hAnsi="Times New Roman" w:cs="Times New Roman"/>
        </w:rPr>
        <w:t>helps coordinate and manage crisis response resources</w:t>
      </w:r>
      <w:r w:rsidR="008A4E0A" w:rsidRPr="00FC3011">
        <w:rPr>
          <w:rFonts w:ascii="Times New Roman" w:hAnsi="Times New Roman" w:cs="Times New Roman"/>
        </w:rPr>
        <w:t xml:space="preserve"> so</w:t>
      </w:r>
      <w:r w:rsidRPr="00FC3011">
        <w:rPr>
          <w:rFonts w:ascii="Times New Roman" w:hAnsi="Times New Roman" w:cs="Times New Roman"/>
        </w:rPr>
        <w:t xml:space="preserve"> that</w:t>
      </w:r>
      <w:r w:rsidR="008A4E0A" w:rsidRPr="00FC3011">
        <w:rPr>
          <w:rFonts w:ascii="Times New Roman" w:hAnsi="Times New Roman" w:cs="Times New Roman"/>
        </w:rPr>
        <w:t xml:space="preserve"> </w:t>
      </w:r>
      <w:r w:rsidR="0079355A" w:rsidRPr="00FC3011">
        <w:rPr>
          <w:rFonts w:ascii="Times New Roman" w:hAnsi="Times New Roman" w:cs="Times New Roman"/>
        </w:rPr>
        <w:t xml:space="preserve">CE system </w:t>
      </w:r>
      <w:r w:rsidRPr="00FC3011">
        <w:rPr>
          <w:rFonts w:ascii="Times New Roman" w:hAnsi="Times New Roman" w:cs="Times New Roman"/>
        </w:rPr>
        <w:t xml:space="preserve">users </w:t>
      </w:r>
      <w:r w:rsidR="0079355A" w:rsidRPr="00FC3011">
        <w:rPr>
          <w:rFonts w:ascii="Times New Roman" w:hAnsi="Times New Roman" w:cs="Times New Roman"/>
        </w:rPr>
        <w:t xml:space="preserve">can </w:t>
      </w:r>
      <w:r w:rsidRPr="00FC3011">
        <w:rPr>
          <w:rFonts w:ascii="Times New Roman" w:hAnsi="Times New Roman" w:cs="Times New Roman"/>
        </w:rPr>
        <w:t xml:space="preserve">make consistent decisions based on available </w:t>
      </w:r>
      <w:r w:rsidRPr="00FC3011">
        <w:rPr>
          <w:rStyle w:val="normaltextrun"/>
          <w:rFonts w:ascii="Times New Roman" w:hAnsi="Times New Roman" w:cs="Times New Roman"/>
          <w:color w:val="000000"/>
        </w:rPr>
        <w:t xml:space="preserve">information to connect people to housing and service interventions efficiently and effectively. </w:t>
      </w:r>
    </w:p>
    <w:p w14:paraId="17B58CD3" w14:textId="77777777" w:rsidR="00E2397F" w:rsidRPr="00FC3011" w:rsidRDefault="00E2397F" w:rsidP="00D0375C">
      <w:pPr>
        <w:pStyle w:val="ListParagraph"/>
        <w:rPr>
          <w:rStyle w:val="normaltextrun"/>
          <w:rFonts w:ascii="Times New Roman" w:hAnsi="Times New Roman" w:cs="Times New Roman"/>
          <w:color w:val="000000"/>
        </w:rPr>
      </w:pPr>
    </w:p>
    <w:p w14:paraId="409FF285" w14:textId="6240F1A4" w:rsidR="00D0375C" w:rsidRPr="00FC3011" w:rsidRDefault="00D0375C" w:rsidP="00D0375C">
      <w:pPr>
        <w:pStyle w:val="ListParagraph"/>
        <w:rPr>
          <w:rStyle w:val="eop"/>
          <w:rFonts w:ascii="Times New Roman" w:hAnsi="Times New Roman" w:cs="Times New Roman"/>
          <w:color w:val="000000"/>
        </w:rPr>
      </w:pPr>
      <w:r w:rsidRPr="00FC3011">
        <w:rPr>
          <w:rStyle w:val="normaltextrun"/>
          <w:rFonts w:ascii="Times New Roman" w:hAnsi="Times New Roman" w:cs="Times New Roman"/>
          <w:color w:val="000000"/>
        </w:rPr>
        <w:t>HUD’s Coordinated Entry (CE) Notice (</w:t>
      </w:r>
      <w:hyperlink r:id="rId26" w:history="1">
        <w:r w:rsidRPr="00FC3011">
          <w:rPr>
            <w:rStyle w:val="Hyperlink"/>
            <w:rFonts w:ascii="Times New Roman" w:hAnsi="Times New Roman" w:cs="Times New Roman"/>
          </w:rPr>
          <w:t>Notice CPD 17-01</w:t>
        </w:r>
      </w:hyperlink>
      <w:r w:rsidRPr="00FC3011">
        <w:rPr>
          <w:rStyle w:val="normaltextrun"/>
          <w:rFonts w:ascii="Times New Roman" w:hAnsi="Times New Roman" w:cs="Times New Roman"/>
          <w:color w:val="000000"/>
        </w:rPr>
        <w:t>), published in January 2017, sets specific requirements for CE systems. These include non-discrimination (p. 6) and affirmative marketing requirements (p. 3). The Notice also sets forth annual CE evaluation requirements, which have been waived </w:t>
      </w:r>
      <w:r w:rsidR="009F6141" w:rsidRPr="00FC3011">
        <w:rPr>
          <w:rStyle w:val="normaltextrun"/>
          <w:rFonts w:ascii="Times New Roman" w:hAnsi="Times New Roman" w:cs="Times New Roman"/>
          <w:color w:val="000000"/>
        </w:rPr>
        <w:t>because of</w:t>
      </w:r>
      <w:r w:rsidR="009F6141" w:rsidRPr="00FC3011" w:rsidDel="00C70A4C">
        <w:rPr>
          <w:rStyle w:val="normaltextrun"/>
          <w:rFonts w:ascii="Times New Roman" w:hAnsi="Times New Roman" w:cs="Times New Roman"/>
          <w:color w:val="000000"/>
        </w:rPr>
        <w:t xml:space="preserve"> </w:t>
      </w:r>
      <w:r w:rsidRPr="00FC3011">
        <w:rPr>
          <w:rStyle w:val="normaltextrun"/>
          <w:rFonts w:ascii="Times New Roman" w:hAnsi="Times New Roman" w:cs="Times New Roman"/>
          <w:color w:val="000000"/>
        </w:rPr>
        <w:t>the COVID-19 pandemic (effective September 1, 2020 through September 1, 2021). Through evaluation, </w:t>
      </w:r>
      <w:proofErr w:type="spellStart"/>
      <w:r w:rsidRPr="00FC3011">
        <w:rPr>
          <w:rStyle w:val="normaltextrun"/>
          <w:rFonts w:ascii="Times New Roman" w:hAnsi="Times New Roman" w:cs="Times New Roman"/>
          <w:color w:val="000000"/>
        </w:rPr>
        <w:t>CoCs</w:t>
      </w:r>
      <w:proofErr w:type="spellEnd"/>
      <w:r w:rsidRPr="00FC3011">
        <w:rPr>
          <w:rStyle w:val="normaltextrun"/>
          <w:rFonts w:ascii="Times New Roman" w:hAnsi="Times New Roman" w:cs="Times New Roman"/>
          <w:color w:val="000000"/>
        </w:rPr>
        <w:t> </w:t>
      </w:r>
      <w:r w:rsidR="000D186D" w:rsidRPr="00FC3011">
        <w:rPr>
          <w:rStyle w:val="normaltextrun"/>
          <w:rFonts w:ascii="Times New Roman" w:hAnsi="Times New Roman" w:cs="Times New Roman"/>
          <w:color w:val="000000"/>
        </w:rPr>
        <w:t>can</w:t>
      </w:r>
      <w:r w:rsidR="000D186D" w:rsidRPr="00FC3011" w:rsidDel="009C394C">
        <w:rPr>
          <w:rStyle w:val="normaltextrun"/>
          <w:rFonts w:ascii="Times New Roman" w:hAnsi="Times New Roman" w:cs="Times New Roman"/>
          <w:color w:val="000000"/>
        </w:rPr>
        <w:t xml:space="preserve"> </w:t>
      </w:r>
      <w:r w:rsidR="000D186D" w:rsidRPr="00FC3011">
        <w:rPr>
          <w:rStyle w:val="normaltextrun"/>
          <w:rFonts w:ascii="Times New Roman" w:hAnsi="Times New Roman" w:cs="Times New Roman"/>
          <w:color w:val="000000"/>
        </w:rPr>
        <w:t>identify</w:t>
      </w:r>
      <w:r w:rsidRPr="00FC3011">
        <w:rPr>
          <w:rStyle w:val="normaltextrun"/>
          <w:rFonts w:ascii="Times New Roman" w:hAnsi="Times New Roman" w:cs="Times New Roman"/>
          <w:color w:val="000000"/>
        </w:rPr>
        <w:t xml:space="preserve"> where inequities exist, </w:t>
      </w:r>
      <w:r w:rsidR="009C394C" w:rsidRPr="00FC3011">
        <w:rPr>
          <w:rStyle w:val="normaltextrun"/>
          <w:rFonts w:ascii="Times New Roman" w:hAnsi="Times New Roman" w:cs="Times New Roman"/>
          <w:color w:val="000000"/>
        </w:rPr>
        <w:t xml:space="preserve">discern </w:t>
      </w:r>
      <w:r w:rsidRPr="00FC3011">
        <w:rPr>
          <w:rStyle w:val="normaltextrun"/>
          <w:rFonts w:ascii="Times New Roman" w:hAnsi="Times New Roman" w:cs="Times New Roman"/>
          <w:color w:val="000000"/>
        </w:rPr>
        <w:t>how to improve them, and monitor the effectiveness of attempted improvements.</w:t>
      </w:r>
      <w:r w:rsidRPr="00FC3011">
        <w:rPr>
          <w:rStyle w:val="eop"/>
          <w:rFonts w:ascii="Times New Roman" w:hAnsi="Times New Roman" w:cs="Times New Roman"/>
          <w:color w:val="000000"/>
        </w:rPr>
        <w:t> </w:t>
      </w:r>
    </w:p>
    <w:p w14:paraId="5327B347" w14:textId="77777777" w:rsidR="00D0375C" w:rsidRPr="00FC3011" w:rsidRDefault="00D0375C" w:rsidP="00D0375C">
      <w:pPr>
        <w:pStyle w:val="ListParagraph"/>
        <w:rPr>
          <w:rFonts w:ascii="Times New Roman" w:hAnsi="Times New Roman" w:cs="Times New Roman"/>
        </w:rPr>
      </w:pPr>
    </w:p>
    <w:p w14:paraId="35159844" w14:textId="74504A76" w:rsidR="00D0375C" w:rsidRPr="00FC3011" w:rsidRDefault="00E308B5" w:rsidP="00D0375C">
      <w:pPr>
        <w:pStyle w:val="ListParagraph"/>
        <w:rPr>
          <w:rFonts w:ascii="Times New Roman" w:hAnsi="Times New Roman" w:cs="Times New Roman"/>
        </w:rPr>
      </w:pPr>
      <w:r w:rsidRPr="00FC3011">
        <w:rPr>
          <w:rFonts w:ascii="Times New Roman" w:hAnsi="Times New Roman" w:cs="Times New Roman"/>
        </w:rPr>
        <w:t>CE s</w:t>
      </w:r>
      <w:r w:rsidR="00D0375C" w:rsidRPr="00FC3011">
        <w:rPr>
          <w:rFonts w:ascii="Times New Roman" w:hAnsi="Times New Roman" w:cs="Times New Roman"/>
        </w:rPr>
        <w:t xml:space="preserve">ystems use standardized assessment tools, prioritization policies, and practices to take into account the unique needs of different populations including families, youth, survivors of domestic violence, and populations that are disproportionally represented among people experiencing homelessness.  The most intensive interventions should be prioritized for those with the highest needs, as identified by the community.  </w:t>
      </w:r>
    </w:p>
    <w:p w14:paraId="78D777E3" w14:textId="461E74F1" w:rsidR="00D0375C" w:rsidRPr="00FC3011" w:rsidRDefault="00D0375C" w:rsidP="00D0375C">
      <w:pPr>
        <w:ind w:left="720"/>
        <w:rPr>
          <w:rFonts w:ascii="Times New Roman" w:hAnsi="Times New Roman" w:cs="Times New Roman"/>
        </w:rPr>
      </w:pPr>
      <w:r w:rsidRPr="00FC3011">
        <w:rPr>
          <w:rFonts w:ascii="Times New Roman" w:hAnsi="Times New Roman" w:cs="Times New Roman"/>
        </w:rPr>
        <w:t xml:space="preserve">There are four core elements of a community’s </w:t>
      </w:r>
      <w:r w:rsidR="00E308B5" w:rsidRPr="00FC3011">
        <w:rPr>
          <w:rFonts w:ascii="Times New Roman" w:hAnsi="Times New Roman" w:cs="Times New Roman"/>
        </w:rPr>
        <w:t>CE s</w:t>
      </w:r>
      <w:r w:rsidRPr="00FC3011">
        <w:rPr>
          <w:rFonts w:ascii="Times New Roman" w:hAnsi="Times New Roman" w:cs="Times New Roman"/>
        </w:rPr>
        <w:t>ystem designed to aide</w:t>
      </w:r>
      <w:r w:rsidR="6306B56C" w:rsidRPr="00FC3011">
        <w:rPr>
          <w:rFonts w:ascii="Times New Roman" w:hAnsi="Times New Roman" w:cs="Times New Roman"/>
        </w:rPr>
        <w:t xml:space="preserve"> </w:t>
      </w:r>
      <w:r w:rsidRPr="00FC3011">
        <w:rPr>
          <w:rFonts w:ascii="Times New Roman" w:hAnsi="Times New Roman" w:cs="Times New Roman"/>
        </w:rPr>
        <w:t>households who request assistance through the housing crisis response system</w:t>
      </w:r>
      <w:r w:rsidR="001A64A0" w:rsidRPr="00FC3011">
        <w:rPr>
          <w:rFonts w:ascii="Times New Roman" w:hAnsi="Times New Roman" w:cs="Times New Roman"/>
        </w:rPr>
        <w:t>, including:</w:t>
      </w:r>
      <w:r w:rsidRPr="00FC3011">
        <w:rPr>
          <w:rFonts w:ascii="Times New Roman" w:hAnsi="Times New Roman" w:cs="Times New Roman"/>
        </w:rPr>
        <w:t xml:space="preserve"> (1) establish access points for persons experiencing a housing crisis</w:t>
      </w:r>
      <w:r w:rsidR="0079355A" w:rsidRPr="00FC3011">
        <w:rPr>
          <w:rFonts w:ascii="Times New Roman" w:hAnsi="Times New Roman" w:cs="Times New Roman"/>
        </w:rPr>
        <w:t>;</w:t>
      </w:r>
      <w:r w:rsidRPr="00FC3011">
        <w:rPr>
          <w:rFonts w:ascii="Times New Roman" w:hAnsi="Times New Roman" w:cs="Times New Roman"/>
        </w:rPr>
        <w:t xml:space="preserve"> </w:t>
      </w:r>
      <w:r w:rsidR="0079355A" w:rsidRPr="00FC3011">
        <w:rPr>
          <w:rFonts w:ascii="Times New Roman" w:hAnsi="Times New Roman" w:cs="Times New Roman"/>
        </w:rPr>
        <w:t xml:space="preserve">and </w:t>
      </w:r>
      <w:r w:rsidRPr="00FC3011">
        <w:rPr>
          <w:rFonts w:ascii="Times New Roman" w:hAnsi="Times New Roman" w:cs="Times New Roman"/>
        </w:rPr>
        <w:t>(2) institute an assessment process to gather information on people’s needs, preferences, and the barriers they face to housing</w:t>
      </w:r>
      <w:r w:rsidR="00C54CA6" w:rsidRPr="00FC3011">
        <w:rPr>
          <w:rFonts w:ascii="Times New Roman" w:hAnsi="Times New Roman" w:cs="Times New Roman"/>
        </w:rPr>
        <w:t xml:space="preserve"> </w:t>
      </w:r>
      <w:r w:rsidRPr="00FC3011">
        <w:rPr>
          <w:rFonts w:ascii="Times New Roman" w:hAnsi="Times New Roman" w:cs="Times New Roman"/>
        </w:rPr>
        <w:t xml:space="preserve">instability.  Once the assessment has identified the most vulnerable households with the highest </w:t>
      </w:r>
      <w:r w:rsidRPr="00FC3011">
        <w:rPr>
          <w:rFonts w:ascii="Times New Roman" w:hAnsi="Times New Roman" w:cs="Times New Roman"/>
        </w:rPr>
        <w:lastRenderedPageBreak/>
        <w:t xml:space="preserve">needs, the </w:t>
      </w:r>
      <w:proofErr w:type="spellStart"/>
      <w:r w:rsidRPr="00FC3011">
        <w:rPr>
          <w:rFonts w:ascii="Times New Roman" w:hAnsi="Times New Roman" w:cs="Times New Roman"/>
        </w:rPr>
        <w:t>CoC</w:t>
      </w:r>
      <w:proofErr w:type="spellEnd"/>
      <w:r w:rsidRPr="00FC3011">
        <w:rPr>
          <w:rFonts w:ascii="Times New Roman" w:hAnsi="Times New Roman" w:cs="Times New Roman"/>
        </w:rPr>
        <w:t xml:space="preserve"> follows established policies and procedures to (3) prioritize households </w:t>
      </w:r>
      <w:r w:rsidR="0079355A" w:rsidRPr="00FC3011">
        <w:rPr>
          <w:rFonts w:ascii="Times New Roman" w:hAnsi="Times New Roman" w:cs="Times New Roman"/>
        </w:rPr>
        <w:t>and</w:t>
      </w:r>
      <w:r w:rsidRPr="00FC3011">
        <w:rPr>
          <w:rFonts w:ascii="Times New Roman" w:hAnsi="Times New Roman" w:cs="Times New Roman"/>
        </w:rPr>
        <w:t xml:space="preserve"> (4) refer</w:t>
      </w:r>
      <w:r w:rsidR="0079355A" w:rsidRPr="00FC3011">
        <w:rPr>
          <w:rFonts w:ascii="Times New Roman" w:hAnsi="Times New Roman" w:cs="Times New Roman"/>
        </w:rPr>
        <w:t xml:space="preserve"> households</w:t>
      </w:r>
      <w:r w:rsidRPr="00FC3011">
        <w:rPr>
          <w:rFonts w:ascii="Times New Roman" w:hAnsi="Times New Roman" w:cs="Times New Roman"/>
        </w:rPr>
        <w:t xml:space="preserve"> to the most appropriate intervention.</w:t>
      </w:r>
    </w:p>
    <w:p w14:paraId="7D1F2FA1" w14:textId="4A0A79FC" w:rsidR="00D0375C" w:rsidRPr="00FC3011" w:rsidRDefault="0079355A" w:rsidP="00D0375C">
      <w:pPr>
        <w:pStyle w:val="ListParagraph"/>
        <w:rPr>
          <w:rFonts w:ascii="Times New Roman" w:hAnsi="Times New Roman" w:cs="Times New Roman"/>
        </w:rPr>
      </w:pPr>
      <w:r w:rsidRPr="00FC3011">
        <w:rPr>
          <w:rFonts w:ascii="Times New Roman" w:hAnsi="Times New Roman" w:cs="Times New Roman"/>
        </w:rPr>
        <w:t xml:space="preserve">Additional </w:t>
      </w:r>
      <w:r w:rsidR="00D0375C" w:rsidRPr="00FC3011">
        <w:rPr>
          <w:rFonts w:ascii="Times New Roman" w:hAnsi="Times New Roman" w:cs="Times New Roman"/>
        </w:rPr>
        <w:t>resource:</w:t>
      </w:r>
    </w:p>
    <w:bookmarkStart w:id="6" w:name="_Hlk74249190"/>
    <w:p w14:paraId="4E1A247B" w14:textId="69B04810" w:rsidR="00D0375C" w:rsidRPr="00FC3011" w:rsidRDefault="005C6072" w:rsidP="00100557">
      <w:pPr>
        <w:pStyle w:val="paragraph"/>
        <w:shd w:val="clear" w:color="auto" w:fill="FFFFFF"/>
        <w:tabs>
          <w:tab w:val="left" w:pos="7080"/>
        </w:tabs>
        <w:spacing w:before="0" w:beforeAutospacing="0" w:after="0" w:afterAutospacing="0"/>
        <w:ind w:left="720"/>
        <w:textAlignment w:val="baseline"/>
        <w:rPr>
          <w:rStyle w:val="normaltextrun"/>
          <w:rFonts w:eastAsiaTheme="minorEastAsia"/>
          <w:color w:val="0563C1" w:themeColor="hyperlink"/>
          <w:sz w:val="22"/>
          <w:szCs w:val="22"/>
          <w:u w:val="single"/>
        </w:rPr>
      </w:pPr>
      <w:r w:rsidRPr="00FC3011">
        <w:rPr>
          <w:rStyle w:val="normaltextrun"/>
          <w:rFonts w:eastAsiaTheme="minorEastAsia"/>
          <w:color w:val="0000FF"/>
          <w:sz w:val="22"/>
          <w:szCs w:val="22"/>
          <w:u w:val="single"/>
        </w:rPr>
        <w:fldChar w:fldCharType="begin"/>
      </w:r>
      <w:r w:rsidRPr="00FC3011">
        <w:rPr>
          <w:rStyle w:val="normaltextrun"/>
          <w:rFonts w:eastAsiaTheme="minorEastAsia"/>
          <w:color w:val="0000FF"/>
          <w:sz w:val="22"/>
          <w:szCs w:val="22"/>
          <w:u w:val="single"/>
        </w:rPr>
        <w:instrText xml:space="preserve"> HYPERLINK "https://files.hudexchange.info/resources/documents/COVID-19-Homeless-System-Response-Equity-Driven-Changes-to-Coordinated-Entry-Prioritization.pdf" </w:instrText>
      </w:r>
      <w:r w:rsidRPr="00FC3011">
        <w:rPr>
          <w:rStyle w:val="normaltextrun"/>
          <w:rFonts w:eastAsiaTheme="minorEastAsia"/>
          <w:color w:val="0000FF"/>
          <w:sz w:val="22"/>
          <w:szCs w:val="22"/>
          <w:u w:val="single"/>
        </w:rPr>
        <w:fldChar w:fldCharType="separate"/>
      </w:r>
      <w:r w:rsidR="00D0375C" w:rsidRPr="00FC3011">
        <w:rPr>
          <w:rStyle w:val="Hyperlink"/>
          <w:rFonts w:eastAsiaTheme="minorEastAsia"/>
          <w:sz w:val="22"/>
          <w:szCs w:val="22"/>
        </w:rPr>
        <w:t>Equity-Driven Changes to Coordinated Entry Prioritization</w:t>
      </w:r>
      <w:r w:rsidR="00100557" w:rsidRPr="00FC3011">
        <w:rPr>
          <w:rStyle w:val="Hyperlink"/>
          <w:sz w:val="22"/>
          <w:szCs w:val="22"/>
        </w:rPr>
        <w:t xml:space="preserve"> </w:t>
      </w:r>
      <w:r w:rsidR="00D0375C" w:rsidRPr="00FC3011">
        <w:rPr>
          <w:rStyle w:val="Hyperlink"/>
          <w:sz w:val="22"/>
          <w:szCs w:val="22"/>
        </w:rPr>
        <w:t>Changes to Coordinated Entry Prioritization to Support and Respond to COVID-19</w:t>
      </w:r>
      <w:r w:rsidRPr="00FC3011">
        <w:rPr>
          <w:rStyle w:val="normaltextrun"/>
          <w:color w:val="0000FF"/>
          <w:sz w:val="22"/>
          <w:szCs w:val="22"/>
          <w:u w:val="single"/>
        </w:rPr>
        <w:fldChar w:fldCharType="end"/>
      </w:r>
    </w:p>
    <w:p w14:paraId="066AFBF2" w14:textId="77777777" w:rsidR="0079355A" w:rsidRPr="00FC3011" w:rsidRDefault="0079355A" w:rsidP="009D494D">
      <w:pPr>
        <w:pStyle w:val="ListParagraph"/>
        <w:spacing w:after="0"/>
        <w:rPr>
          <w:rFonts w:ascii="Times New Roman" w:hAnsi="Times New Roman" w:cs="Times New Roman"/>
        </w:rPr>
      </w:pPr>
    </w:p>
    <w:bookmarkEnd w:id="6"/>
    <w:p w14:paraId="3D94D9B4" w14:textId="67232E94" w:rsidR="002357EF" w:rsidRPr="00FC3011" w:rsidRDefault="00CB7838" w:rsidP="0079355A">
      <w:pPr>
        <w:spacing w:after="0" w:line="251" w:lineRule="auto"/>
        <w:ind w:left="360"/>
        <w:rPr>
          <w:rFonts w:ascii="Times New Roman" w:eastAsia="Times New Roman" w:hAnsi="Times New Roman" w:cs="Times New Roman"/>
          <w:b/>
          <w:bCs/>
        </w:rPr>
      </w:pPr>
      <w:r>
        <w:rPr>
          <w:rFonts w:ascii="Times New Roman" w:eastAsia="Times New Roman" w:hAnsi="Times New Roman" w:cs="Times New Roman"/>
          <w:b/>
          <w:bCs/>
        </w:rPr>
        <w:t>26.</w:t>
      </w:r>
      <w:r w:rsidR="0084210D" w:rsidRPr="00FC3011">
        <w:rPr>
          <w:rFonts w:ascii="Times New Roman" w:eastAsia="Times New Roman" w:hAnsi="Times New Roman" w:cs="Times New Roman"/>
        </w:rPr>
        <w:t xml:space="preserve"> </w:t>
      </w:r>
      <w:r w:rsidR="002F3FDD" w:rsidRPr="00FC3011">
        <w:rPr>
          <w:rStyle w:val="normaltextrun"/>
          <w:rFonts w:ascii="Times New Roman" w:hAnsi="Times New Roman" w:cs="Times New Roman"/>
          <w:b/>
          <w:bCs/>
          <w:color w:val="000000"/>
          <w:bdr w:val="none" w:sz="0" w:space="0" w:color="auto" w:frame="1"/>
        </w:rPr>
        <w:t>Who is responsible for establishing prioritization for EHVs?</w:t>
      </w:r>
      <w:r w:rsidR="002F3FDD" w:rsidRPr="00FC3011" w:rsidDel="002F3FDD">
        <w:rPr>
          <w:rFonts w:ascii="Times New Roman" w:eastAsia="Times New Roman" w:hAnsi="Times New Roman" w:cs="Times New Roman"/>
        </w:rPr>
        <w:t xml:space="preserve"> </w:t>
      </w:r>
    </w:p>
    <w:p w14:paraId="0C6D58E5" w14:textId="77777777" w:rsidR="00D0375C" w:rsidRPr="00FC3011" w:rsidRDefault="00D0375C" w:rsidP="001447DA">
      <w:pPr>
        <w:spacing w:after="0" w:line="251" w:lineRule="auto"/>
        <w:rPr>
          <w:rFonts w:ascii="Times New Roman" w:eastAsia="Times New Roman" w:hAnsi="Times New Roman" w:cs="Times New Roman"/>
        </w:rPr>
      </w:pPr>
    </w:p>
    <w:p w14:paraId="72277170" w14:textId="336CD58A" w:rsidR="00120226" w:rsidRPr="00FC3011" w:rsidRDefault="16DB8552" w:rsidP="001447DA">
      <w:pPr>
        <w:spacing w:after="0" w:line="251" w:lineRule="auto"/>
        <w:ind w:left="720"/>
        <w:rPr>
          <w:rFonts w:ascii="Times New Roman" w:eastAsia="Times New Roman" w:hAnsi="Times New Roman" w:cs="Times New Roman"/>
        </w:rPr>
      </w:pPr>
      <w:r w:rsidRPr="00FC3011">
        <w:rPr>
          <w:rFonts w:ascii="Times New Roman" w:eastAsia="Times New Roman" w:hAnsi="Times New Roman" w:cs="Times New Roman"/>
        </w:rPr>
        <w:t xml:space="preserve">PHAs are required to work with community partners to determine the best use and targeting for EHVs along with other resources available in the community. While the prioritization is primarily accomplished through the </w:t>
      </w:r>
      <w:proofErr w:type="spellStart"/>
      <w:r w:rsidRPr="00FC3011">
        <w:rPr>
          <w:rFonts w:ascii="Times New Roman" w:eastAsia="Times New Roman" w:hAnsi="Times New Roman" w:cs="Times New Roman"/>
        </w:rPr>
        <w:t>CoC’s</w:t>
      </w:r>
      <w:proofErr w:type="spellEnd"/>
      <w:r w:rsidRPr="00FC3011">
        <w:rPr>
          <w:rFonts w:ascii="Times New Roman" w:eastAsia="Times New Roman" w:hAnsi="Times New Roman" w:cs="Times New Roman"/>
        </w:rPr>
        <w:t xml:space="preserve"> CE system (CE the PHA may choose to establish local preferences for EHV admissions, which would then prioritize the order that families are issued EHVs from the EHV waiting list when the number of referrals to the PHA exceeds the available EHVs. However, the establishment of EHV local preferences by the PHA must be done in coordination with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and any other referral partners (</w:t>
      </w:r>
      <w:hyperlink r:id="rId27" w:history="1">
        <w:r w:rsidRPr="00FC3011">
          <w:rPr>
            <w:rStyle w:val="Hyperlink"/>
            <w:rFonts w:ascii="Times New Roman" w:eastAsia="Times New Roman" w:hAnsi="Times New Roman" w:cs="Times New Roman"/>
          </w:rPr>
          <w:t>PIH Notice 2021-15</w:t>
        </w:r>
      </w:hyperlink>
      <w:r w:rsidRPr="00FC3011">
        <w:rPr>
          <w:rFonts w:ascii="Times New Roman" w:eastAsia="Times New Roman" w:hAnsi="Times New Roman" w:cs="Times New Roman"/>
        </w:rPr>
        <w:t xml:space="preserve"> Section 9f outlines the requirements for establishing local preferences for EHVs).  HUD’s expectation is that the prioritization of the EHVs through the CE</w:t>
      </w:r>
      <w:r w:rsidR="004A56A6" w:rsidRPr="00FC3011">
        <w:rPr>
          <w:rFonts w:ascii="Times New Roman" w:eastAsia="Times New Roman" w:hAnsi="Times New Roman" w:cs="Times New Roman"/>
        </w:rPr>
        <w:t xml:space="preserve"> system</w:t>
      </w:r>
      <w:r w:rsidR="00EA72FF" w:rsidRPr="00FC3011">
        <w:rPr>
          <w:rFonts w:ascii="Times New Roman" w:eastAsia="Times New Roman" w:hAnsi="Times New Roman" w:cs="Times New Roman"/>
        </w:rPr>
        <w:t xml:space="preserve"> </w:t>
      </w:r>
      <w:r w:rsidRPr="00FC3011">
        <w:rPr>
          <w:rFonts w:ascii="Times New Roman" w:eastAsia="Times New Roman" w:hAnsi="Times New Roman" w:cs="Times New Roman"/>
        </w:rPr>
        <w:t xml:space="preserve">and any EHV local preferences will ultimately be a collaborative effort by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PHA, other referral partners (where applicable), and other stakeholders in the community.</w:t>
      </w:r>
    </w:p>
    <w:p w14:paraId="474E8853" w14:textId="570AC35D" w:rsidR="0E91D7C5" w:rsidRPr="00FC3011" w:rsidRDefault="0E91D7C5" w:rsidP="0E91D7C5">
      <w:pPr>
        <w:spacing w:after="0" w:line="251" w:lineRule="auto"/>
        <w:ind w:left="720"/>
        <w:rPr>
          <w:rFonts w:ascii="Times New Roman" w:hAnsi="Times New Roman" w:cs="Times New Roman"/>
        </w:rPr>
      </w:pPr>
    </w:p>
    <w:p w14:paraId="092DE376" w14:textId="727F1251" w:rsidR="005B6F6A" w:rsidRPr="00FC3011" w:rsidRDefault="00145A08" w:rsidP="00C77131">
      <w:pPr>
        <w:tabs>
          <w:tab w:val="left" w:pos="720"/>
        </w:tabs>
        <w:spacing w:after="0" w:line="251" w:lineRule="auto"/>
        <w:ind w:firstLine="360"/>
        <w:rPr>
          <w:rFonts w:ascii="Times New Roman" w:eastAsia="Times New Roman" w:hAnsi="Times New Roman" w:cs="Times New Roman"/>
          <w:b/>
          <w:bCs/>
        </w:rPr>
      </w:pPr>
      <w:r>
        <w:rPr>
          <w:rFonts w:ascii="Times New Roman" w:eastAsia="Times New Roman" w:hAnsi="Times New Roman" w:cs="Times New Roman"/>
          <w:b/>
          <w:bCs/>
        </w:rPr>
        <w:t>2</w:t>
      </w:r>
      <w:r w:rsidR="00CB7838">
        <w:rPr>
          <w:rFonts w:ascii="Times New Roman" w:eastAsia="Times New Roman" w:hAnsi="Times New Roman" w:cs="Times New Roman"/>
          <w:b/>
          <w:bCs/>
        </w:rPr>
        <w:t>7</w:t>
      </w:r>
      <w:r w:rsidR="0084210D" w:rsidRPr="00FC3011">
        <w:rPr>
          <w:rFonts w:ascii="Times New Roman" w:eastAsia="Times New Roman" w:hAnsi="Times New Roman" w:cs="Times New Roman"/>
          <w:b/>
          <w:bCs/>
        </w:rPr>
        <w:t xml:space="preserve">. </w:t>
      </w:r>
      <w:r w:rsidR="005B6F6A" w:rsidRPr="00FC3011">
        <w:rPr>
          <w:rFonts w:ascii="Times New Roman" w:eastAsia="Times New Roman" w:hAnsi="Times New Roman" w:cs="Times New Roman"/>
          <w:b/>
          <w:bCs/>
        </w:rPr>
        <w:t xml:space="preserve">Is HUD requiring a signed Memorandum of Understanding (MOU) with the                    </w:t>
      </w:r>
    </w:p>
    <w:p w14:paraId="407BDE83" w14:textId="0E291C7B" w:rsidR="005B6F6A" w:rsidRPr="00FC3011" w:rsidRDefault="00D0375C" w:rsidP="003D5CCF">
      <w:pPr>
        <w:spacing w:after="0" w:line="252" w:lineRule="auto"/>
        <w:ind w:left="360" w:hanging="360"/>
        <w:rPr>
          <w:rFonts w:ascii="Times New Roman" w:eastAsia="Times New Roman" w:hAnsi="Times New Roman" w:cs="Times New Roman"/>
          <w:b/>
          <w:bCs/>
        </w:rPr>
      </w:pPr>
      <w:r w:rsidRPr="00FC3011">
        <w:rPr>
          <w:rFonts w:ascii="Times New Roman" w:eastAsia="Times New Roman" w:hAnsi="Times New Roman" w:cs="Times New Roman"/>
          <w:b/>
          <w:bCs/>
        </w:rPr>
        <w:t xml:space="preserve">     </w:t>
      </w:r>
      <w:r w:rsidR="003D5CCF" w:rsidRPr="00FC3011">
        <w:rPr>
          <w:rFonts w:ascii="Times New Roman" w:eastAsia="Times New Roman" w:hAnsi="Times New Roman" w:cs="Times New Roman"/>
          <w:b/>
          <w:bCs/>
        </w:rPr>
        <w:t xml:space="preserve">       </w:t>
      </w:r>
      <w:proofErr w:type="spellStart"/>
      <w:r w:rsidR="005B6F6A" w:rsidRPr="00FC3011">
        <w:rPr>
          <w:rFonts w:ascii="Times New Roman" w:eastAsia="Times New Roman" w:hAnsi="Times New Roman" w:cs="Times New Roman"/>
          <w:b/>
          <w:bCs/>
        </w:rPr>
        <w:t>CoC</w:t>
      </w:r>
      <w:proofErr w:type="spellEnd"/>
      <w:r w:rsidR="005B6F6A" w:rsidRPr="00FC3011">
        <w:rPr>
          <w:rFonts w:ascii="Times New Roman" w:eastAsia="Times New Roman" w:hAnsi="Times New Roman" w:cs="Times New Roman"/>
          <w:b/>
          <w:bCs/>
        </w:rPr>
        <w:t xml:space="preserve"> and Victim Service Providers for the administration of EHVs? </w:t>
      </w:r>
    </w:p>
    <w:p w14:paraId="127C35F3" w14:textId="77777777" w:rsidR="005C6F72" w:rsidRPr="00FC3011" w:rsidRDefault="005C6F72" w:rsidP="005C6F72">
      <w:pPr>
        <w:pStyle w:val="ListParagraph"/>
        <w:spacing w:after="0" w:line="252" w:lineRule="auto"/>
        <w:rPr>
          <w:rFonts w:ascii="Times New Roman" w:eastAsia="Times New Roman" w:hAnsi="Times New Roman" w:cs="Times New Roman"/>
          <w:b/>
          <w:bCs/>
        </w:rPr>
      </w:pPr>
    </w:p>
    <w:p w14:paraId="6B142DB7" w14:textId="5C6D8615" w:rsidR="005B6F6A" w:rsidRPr="00FC3011" w:rsidRDefault="005B6F6A" w:rsidP="009828A6">
      <w:pPr>
        <w:spacing w:after="0"/>
        <w:ind w:left="720"/>
        <w:rPr>
          <w:rFonts w:ascii="Times New Roman" w:eastAsia="Times New Roman" w:hAnsi="Times New Roman" w:cs="Times New Roman"/>
        </w:rPr>
      </w:pPr>
      <w:r w:rsidRPr="00FC3011">
        <w:rPr>
          <w:rFonts w:ascii="Times New Roman" w:eastAsia="Times New Roman" w:hAnsi="Times New Roman" w:cs="Times New Roman"/>
        </w:rPr>
        <w:t xml:space="preserve">HUD has established an alternative requirement for the EHV program under which the PHA must enter into an MOU with all referring agencies to establish a partnership for the administration of EHVs. Communities may have a single MOU or multiple MOUs with referring agencies.  </w:t>
      </w:r>
    </w:p>
    <w:p w14:paraId="002AB56D" w14:textId="77777777" w:rsidR="005B6F6A" w:rsidRPr="00FC3011" w:rsidRDefault="005B6F6A" w:rsidP="005B6F6A">
      <w:pPr>
        <w:spacing w:after="0"/>
        <w:ind w:left="720"/>
        <w:rPr>
          <w:rFonts w:ascii="Times New Roman" w:eastAsia="Times New Roman" w:hAnsi="Times New Roman" w:cs="Times New Roman"/>
        </w:rPr>
      </w:pPr>
    </w:p>
    <w:p w14:paraId="017ED877" w14:textId="309CFF54" w:rsidR="005B6F6A" w:rsidRPr="00FC3011" w:rsidRDefault="005B6F6A" w:rsidP="003D5CCF">
      <w:pPr>
        <w:spacing w:after="0"/>
        <w:ind w:left="720"/>
        <w:rPr>
          <w:rFonts w:ascii="Times New Roman" w:eastAsia="Times New Roman" w:hAnsi="Times New Roman" w:cs="Times New Roman"/>
        </w:rPr>
      </w:pPr>
      <w:r w:rsidRPr="00FC3011">
        <w:rPr>
          <w:rFonts w:ascii="Times New Roman" w:eastAsia="Times New Roman" w:hAnsi="Times New Roman" w:cs="Times New Roman"/>
        </w:rPr>
        <w:t xml:space="preserve">See Section 9.b of </w:t>
      </w:r>
      <w:hyperlink r:id="rId28" w:history="1">
        <w:r w:rsidRPr="00FC3011">
          <w:rPr>
            <w:rStyle w:val="Hyperlink"/>
            <w:rFonts w:ascii="Times New Roman" w:eastAsia="Times New Roman" w:hAnsi="Times New Roman" w:cs="Times New Roman"/>
          </w:rPr>
          <w:t>PIH Notice 2021-15</w:t>
        </w:r>
      </w:hyperlink>
      <w:r w:rsidRPr="00FC3011">
        <w:rPr>
          <w:rFonts w:ascii="Times New Roman" w:eastAsia="Times New Roman" w:hAnsi="Times New Roman" w:cs="Times New Roman"/>
        </w:rPr>
        <w:t xml:space="preserve"> for more information regarding the MOU requirement and Attachment 2 </w:t>
      </w:r>
      <w:r w:rsidR="003A5C81" w:rsidRPr="00FC3011">
        <w:rPr>
          <w:rFonts w:ascii="Times New Roman" w:eastAsia="Times New Roman" w:hAnsi="Times New Roman" w:cs="Times New Roman"/>
        </w:rPr>
        <w:t xml:space="preserve">of the same notice </w:t>
      </w:r>
      <w:r w:rsidRPr="00FC3011">
        <w:rPr>
          <w:rFonts w:ascii="Times New Roman" w:eastAsia="Times New Roman" w:hAnsi="Times New Roman" w:cs="Times New Roman"/>
        </w:rPr>
        <w:t>for a sample MOU template. Partners can update MOUs as the program progresses.</w:t>
      </w:r>
    </w:p>
    <w:p w14:paraId="68BD0BD7" w14:textId="77777777" w:rsidR="00347ED0" w:rsidRPr="00FC3011" w:rsidRDefault="00347ED0" w:rsidP="003D5CCF">
      <w:pPr>
        <w:spacing w:after="0"/>
        <w:ind w:left="720"/>
        <w:rPr>
          <w:rFonts w:ascii="Times New Roman" w:eastAsia="Times New Roman" w:hAnsi="Times New Roman" w:cs="Times New Roman"/>
        </w:rPr>
      </w:pPr>
    </w:p>
    <w:p w14:paraId="449F1CD8" w14:textId="53ACFE0B" w:rsidR="00347ED0" w:rsidRPr="00FC3011" w:rsidRDefault="00347ED0" w:rsidP="00347ED0">
      <w:pPr>
        <w:pStyle w:val="xmsonormal"/>
        <w:rPr>
          <w:rFonts w:ascii="Times New Roman" w:hAnsi="Times New Roman" w:cs="Times New Roman"/>
          <w:color w:val="C00000"/>
        </w:rPr>
      </w:pPr>
      <w:r w:rsidRPr="00FC3011">
        <w:rPr>
          <w:rFonts w:ascii="Times New Roman" w:eastAsia="Times New Roman" w:hAnsi="Times New Roman" w:cs="Times New Roman"/>
        </w:rPr>
        <w:t xml:space="preserve">     </w:t>
      </w:r>
      <w:r w:rsidR="00C77131" w:rsidRPr="00FC3011">
        <w:rPr>
          <w:rFonts w:ascii="Times New Roman" w:eastAsia="Times New Roman" w:hAnsi="Times New Roman" w:cs="Times New Roman"/>
          <w:b/>
          <w:bCs/>
        </w:rPr>
        <w:t>2</w:t>
      </w:r>
      <w:r w:rsidR="00CB7838">
        <w:rPr>
          <w:rFonts w:ascii="Times New Roman" w:eastAsia="Times New Roman" w:hAnsi="Times New Roman" w:cs="Times New Roman"/>
          <w:b/>
          <w:bCs/>
        </w:rPr>
        <w:t>8</w:t>
      </w:r>
      <w:r w:rsidR="007648D6" w:rsidRPr="00FC3011">
        <w:rPr>
          <w:rFonts w:ascii="Times New Roman" w:eastAsia="Times New Roman" w:hAnsi="Times New Roman" w:cs="Times New Roman"/>
        </w:rPr>
        <w:t xml:space="preserve">.  </w:t>
      </w:r>
      <w:r w:rsidRPr="00FC3011">
        <w:rPr>
          <w:rFonts w:ascii="Times New Roman" w:hAnsi="Times New Roman" w:cs="Times New Roman"/>
          <w:b/>
          <w:bCs/>
        </w:rPr>
        <w:t xml:space="preserve">If the PHA is also the </w:t>
      </w:r>
      <w:proofErr w:type="spellStart"/>
      <w:r w:rsidRPr="00FC3011">
        <w:rPr>
          <w:rFonts w:ascii="Times New Roman" w:hAnsi="Times New Roman" w:cs="Times New Roman"/>
          <w:b/>
          <w:bCs/>
        </w:rPr>
        <w:t>CoC</w:t>
      </w:r>
      <w:proofErr w:type="spellEnd"/>
      <w:r w:rsidRPr="00FC3011">
        <w:rPr>
          <w:rFonts w:ascii="Times New Roman" w:hAnsi="Times New Roman" w:cs="Times New Roman"/>
          <w:b/>
          <w:bCs/>
        </w:rPr>
        <w:t>, how should the MOU be structured?</w:t>
      </w:r>
      <w:r w:rsidR="003C3F2F" w:rsidRPr="00FC3011">
        <w:rPr>
          <w:rFonts w:ascii="Times New Roman" w:hAnsi="Times New Roman" w:cs="Times New Roman"/>
          <w:b/>
          <w:bCs/>
        </w:rPr>
        <w:t xml:space="preserve"> </w:t>
      </w:r>
    </w:p>
    <w:p w14:paraId="27225912" w14:textId="77777777" w:rsidR="00347ED0" w:rsidRPr="00FC3011" w:rsidRDefault="00347ED0" w:rsidP="00347ED0">
      <w:pPr>
        <w:pStyle w:val="xmsonormal"/>
        <w:rPr>
          <w:rFonts w:ascii="Times New Roman" w:hAnsi="Times New Roman" w:cs="Times New Roman"/>
        </w:rPr>
      </w:pPr>
      <w:r w:rsidRPr="00FC3011">
        <w:rPr>
          <w:rFonts w:ascii="Times New Roman" w:hAnsi="Times New Roman" w:cs="Times New Roman"/>
          <w:b/>
          <w:bCs/>
        </w:rPr>
        <w:t> </w:t>
      </w:r>
    </w:p>
    <w:p w14:paraId="6BBFCFC5" w14:textId="0987FE65" w:rsidR="00347ED0" w:rsidRPr="00FC3011" w:rsidRDefault="00347ED0" w:rsidP="0131650B">
      <w:pPr>
        <w:pStyle w:val="xmsonormal"/>
        <w:ind w:left="720"/>
        <w:rPr>
          <w:rFonts w:ascii="Times New Roman" w:hAnsi="Times New Roman" w:cs="Times New Roman"/>
        </w:rPr>
      </w:pPr>
      <w:r w:rsidRPr="00FC3011">
        <w:rPr>
          <w:rFonts w:ascii="Times New Roman" w:hAnsi="Times New Roman" w:cs="Times New Roman"/>
        </w:rPr>
        <w:t xml:space="preserve">While this is a rare occurrence, if the PHA and the </w:t>
      </w:r>
      <w:proofErr w:type="spellStart"/>
      <w:r w:rsidRPr="00FC3011">
        <w:rPr>
          <w:rFonts w:ascii="Times New Roman" w:hAnsi="Times New Roman" w:cs="Times New Roman"/>
        </w:rPr>
        <w:t>CoC</w:t>
      </w:r>
      <w:proofErr w:type="spellEnd"/>
      <w:r w:rsidRPr="00FC3011">
        <w:rPr>
          <w:rFonts w:ascii="Times New Roman" w:hAnsi="Times New Roman" w:cs="Times New Roman"/>
        </w:rPr>
        <w:t xml:space="preserve"> are the same entity, the MOU is structured to reflect the understanding between the organizational component within the PHA that has the primary responsibility for administering the EHV program and the organizational component within the PHA that has primary responsibility for carrying out its </w:t>
      </w:r>
      <w:proofErr w:type="spellStart"/>
      <w:r w:rsidRPr="00FC3011">
        <w:rPr>
          <w:rFonts w:ascii="Times New Roman" w:hAnsi="Times New Roman" w:cs="Times New Roman"/>
        </w:rPr>
        <w:t>CoC</w:t>
      </w:r>
      <w:proofErr w:type="spellEnd"/>
      <w:r w:rsidRPr="00FC3011">
        <w:rPr>
          <w:rFonts w:ascii="Times New Roman" w:hAnsi="Times New Roman" w:cs="Times New Roman"/>
        </w:rPr>
        <w:t xml:space="preserve"> functions, including but not limited to the administration of the Coordinated Entry (CE) System. (An organizational component could be a division, office, department, branch, etc., depending on how the PHA is organized and the terms that are used.)  While the MOU in this case is being executed by representatives of two organizational components within the same agency, the MOU must still contain the minimum requirements of the MOU as provided in Section 9.b of </w:t>
      </w:r>
      <w:hyperlink r:id="rId29" w:history="1">
        <w:r w:rsidRPr="00973C1F">
          <w:rPr>
            <w:rStyle w:val="Hyperlink"/>
            <w:rFonts w:ascii="Times New Roman" w:hAnsi="Times New Roman" w:cs="Times New Roman"/>
          </w:rPr>
          <w:t>PIH Notice 2021-15</w:t>
        </w:r>
      </w:hyperlink>
      <w:r w:rsidRPr="00FC3011">
        <w:rPr>
          <w:rFonts w:ascii="Times New Roman" w:hAnsi="Times New Roman" w:cs="Times New Roman"/>
        </w:rPr>
        <w:t>.  In such a circumstance, the term “PHA” refers to the organizational component of the PHA that has the primary responsibility for administering the EHV program, and the term “</w:t>
      </w:r>
      <w:proofErr w:type="spellStart"/>
      <w:r w:rsidRPr="00FC3011">
        <w:rPr>
          <w:rFonts w:ascii="Times New Roman" w:hAnsi="Times New Roman" w:cs="Times New Roman"/>
        </w:rPr>
        <w:t>CoC</w:t>
      </w:r>
      <w:proofErr w:type="spellEnd"/>
      <w:r w:rsidRPr="00FC3011">
        <w:rPr>
          <w:rFonts w:ascii="Times New Roman" w:hAnsi="Times New Roman" w:cs="Times New Roman"/>
        </w:rPr>
        <w:t xml:space="preserve">” refers to the organization component of the PHA that has the primary responsibility for carrying out its </w:t>
      </w:r>
      <w:proofErr w:type="spellStart"/>
      <w:r w:rsidRPr="00FC3011">
        <w:rPr>
          <w:rFonts w:ascii="Times New Roman" w:hAnsi="Times New Roman" w:cs="Times New Roman"/>
        </w:rPr>
        <w:t>CoC</w:t>
      </w:r>
      <w:proofErr w:type="spellEnd"/>
      <w:r w:rsidRPr="00FC3011">
        <w:rPr>
          <w:rFonts w:ascii="Times New Roman" w:hAnsi="Times New Roman" w:cs="Times New Roman"/>
        </w:rPr>
        <w:t xml:space="preserve"> functions.  The fact that the PHA and the </w:t>
      </w:r>
      <w:proofErr w:type="spellStart"/>
      <w:r w:rsidRPr="00FC3011">
        <w:rPr>
          <w:rFonts w:ascii="Times New Roman" w:hAnsi="Times New Roman" w:cs="Times New Roman"/>
        </w:rPr>
        <w:t>CoC</w:t>
      </w:r>
      <w:proofErr w:type="spellEnd"/>
      <w:r w:rsidRPr="00FC3011">
        <w:rPr>
          <w:rFonts w:ascii="Times New Roman" w:hAnsi="Times New Roman" w:cs="Times New Roman"/>
        </w:rPr>
        <w:t xml:space="preserve"> are one </w:t>
      </w:r>
      <w:r w:rsidR="000034BE" w:rsidRPr="00FC3011">
        <w:rPr>
          <w:rFonts w:ascii="Times New Roman" w:hAnsi="Times New Roman" w:cs="Times New Roman"/>
        </w:rPr>
        <w:t xml:space="preserve">and </w:t>
      </w:r>
      <w:r w:rsidRPr="00FC3011">
        <w:rPr>
          <w:rFonts w:ascii="Times New Roman" w:hAnsi="Times New Roman" w:cs="Times New Roman"/>
        </w:rPr>
        <w:t xml:space="preserve">the same does not alter the EHV </w:t>
      </w:r>
      <w:r w:rsidRPr="00FC3011">
        <w:rPr>
          <w:rFonts w:ascii="Times New Roman" w:hAnsi="Times New Roman" w:cs="Times New Roman"/>
        </w:rPr>
        <w:lastRenderedPageBreak/>
        <w:t xml:space="preserve">requirement that families must be referred to the program through the </w:t>
      </w:r>
      <w:proofErr w:type="spellStart"/>
      <w:r w:rsidRPr="00FC3011">
        <w:rPr>
          <w:rFonts w:ascii="Times New Roman" w:hAnsi="Times New Roman" w:cs="Times New Roman"/>
        </w:rPr>
        <w:t>CoC’s</w:t>
      </w:r>
      <w:proofErr w:type="spellEnd"/>
      <w:r w:rsidRPr="00FC3011">
        <w:rPr>
          <w:rFonts w:ascii="Times New Roman" w:hAnsi="Times New Roman" w:cs="Times New Roman"/>
        </w:rPr>
        <w:t xml:space="preserve"> CE System and are not pulled directly from the PHA’s HCV waiting list.</w:t>
      </w:r>
    </w:p>
    <w:p w14:paraId="3892964D" w14:textId="77777777" w:rsidR="00347ED0" w:rsidRPr="00FC3011" w:rsidRDefault="00347ED0" w:rsidP="0131650B">
      <w:pPr>
        <w:pStyle w:val="xmsonormal"/>
        <w:rPr>
          <w:rFonts w:ascii="Times New Roman" w:hAnsi="Times New Roman" w:cs="Times New Roman"/>
        </w:rPr>
      </w:pPr>
      <w:r w:rsidRPr="00FC3011">
        <w:rPr>
          <w:rFonts w:ascii="Times New Roman" w:hAnsi="Times New Roman" w:cs="Times New Roman"/>
        </w:rPr>
        <w:t> </w:t>
      </w:r>
    </w:p>
    <w:p w14:paraId="6A9CEACD" w14:textId="77777777" w:rsidR="00347ED0" w:rsidRPr="00FC3011" w:rsidRDefault="00347ED0" w:rsidP="0131650B">
      <w:pPr>
        <w:pStyle w:val="xmsonormal"/>
        <w:ind w:left="720"/>
        <w:rPr>
          <w:rFonts w:ascii="Times New Roman" w:hAnsi="Times New Roman" w:cs="Times New Roman"/>
        </w:rPr>
      </w:pPr>
      <w:r w:rsidRPr="00FC3011">
        <w:rPr>
          <w:rFonts w:ascii="Times New Roman" w:hAnsi="Times New Roman" w:cs="Times New Roman"/>
        </w:rPr>
        <w:t xml:space="preserve">Note that if the PHA is partnering with another </w:t>
      </w:r>
      <w:proofErr w:type="spellStart"/>
      <w:r w:rsidRPr="00FC3011">
        <w:rPr>
          <w:rFonts w:ascii="Times New Roman" w:hAnsi="Times New Roman" w:cs="Times New Roman"/>
        </w:rPr>
        <w:t>CoC</w:t>
      </w:r>
      <w:proofErr w:type="spellEnd"/>
      <w:r w:rsidRPr="00FC3011">
        <w:rPr>
          <w:rFonts w:ascii="Times New Roman" w:hAnsi="Times New Roman" w:cs="Times New Roman"/>
        </w:rPr>
        <w:t xml:space="preserve"> and/or referral partnering agency in accordance with the requirements of </w:t>
      </w:r>
      <w:hyperlink r:id="rId30" w:history="1">
        <w:r w:rsidRPr="00FC3011">
          <w:rPr>
            <w:rStyle w:val="Hyperlink"/>
            <w:rFonts w:ascii="Times New Roman" w:hAnsi="Times New Roman" w:cs="Times New Roman"/>
          </w:rPr>
          <w:t>PIH Notice 2021-15</w:t>
        </w:r>
      </w:hyperlink>
      <w:r w:rsidRPr="00FC3011">
        <w:rPr>
          <w:rFonts w:ascii="Times New Roman" w:hAnsi="Times New Roman" w:cs="Times New Roman"/>
        </w:rPr>
        <w:t xml:space="preserve">, the MOU must reflect the PHA’s responsibilities solely as the PHA with respect to referrals coming from the other </w:t>
      </w:r>
      <w:proofErr w:type="spellStart"/>
      <w:r w:rsidRPr="00FC3011">
        <w:rPr>
          <w:rFonts w:ascii="Times New Roman" w:hAnsi="Times New Roman" w:cs="Times New Roman"/>
        </w:rPr>
        <w:t>CoC</w:t>
      </w:r>
      <w:proofErr w:type="spellEnd"/>
      <w:r w:rsidRPr="00FC3011">
        <w:rPr>
          <w:rFonts w:ascii="Times New Roman" w:hAnsi="Times New Roman" w:cs="Times New Roman"/>
        </w:rPr>
        <w:t xml:space="preserve"> and/or referral partnering agencies.</w:t>
      </w:r>
    </w:p>
    <w:p w14:paraId="0E99C9A0" w14:textId="20E8AAB8" w:rsidR="00085B90" w:rsidRPr="00FC3011" w:rsidRDefault="00085B90" w:rsidP="00D0375C">
      <w:pPr>
        <w:spacing w:line="251" w:lineRule="auto"/>
        <w:rPr>
          <w:rFonts w:ascii="Times New Roman" w:eastAsia="Times New Roman" w:hAnsi="Times New Roman" w:cs="Times New Roman"/>
        </w:rPr>
      </w:pPr>
    </w:p>
    <w:p w14:paraId="758DB62B" w14:textId="03DDC652" w:rsidR="005B6F6A" w:rsidRPr="00FC3011" w:rsidRDefault="00C02BAB" w:rsidP="009828A6">
      <w:pPr>
        <w:pStyle w:val="ListParagraph"/>
        <w:tabs>
          <w:tab w:val="left" w:pos="540"/>
        </w:tabs>
        <w:spacing w:line="251" w:lineRule="auto"/>
        <w:ind w:left="360"/>
        <w:rPr>
          <w:rFonts w:ascii="Times New Roman" w:eastAsia="Times New Roman" w:hAnsi="Times New Roman" w:cs="Times New Roman"/>
          <w:b/>
          <w:bCs/>
        </w:rPr>
      </w:pPr>
      <w:r w:rsidRPr="00FC3011">
        <w:rPr>
          <w:rFonts w:ascii="Times New Roman" w:eastAsia="Times New Roman" w:hAnsi="Times New Roman" w:cs="Times New Roman"/>
          <w:b/>
          <w:bCs/>
        </w:rPr>
        <w:t>2</w:t>
      </w:r>
      <w:r w:rsidR="00CB7838">
        <w:rPr>
          <w:rFonts w:ascii="Times New Roman" w:eastAsia="Times New Roman" w:hAnsi="Times New Roman" w:cs="Times New Roman"/>
          <w:b/>
          <w:bCs/>
        </w:rPr>
        <w:t>9</w:t>
      </w:r>
      <w:r w:rsidRPr="00FC3011">
        <w:rPr>
          <w:rFonts w:ascii="Times New Roman" w:eastAsia="Times New Roman" w:hAnsi="Times New Roman" w:cs="Times New Roman"/>
          <w:b/>
          <w:bCs/>
        </w:rPr>
        <w:t xml:space="preserve">. </w:t>
      </w:r>
      <w:r w:rsidR="00546F32" w:rsidRPr="00FC3011">
        <w:rPr>
          <w:rFonts w:ascii="Times New Roman" w:eastAsia="Times New Roman" w:hAnsi="Times New Roman" w:cs="Times New Roman"/>
          <w:b/>
          <w:bCs/>
        </w:rPr>
        <w:t>W</w:t>
      </w:r>
      <w:r w:rsidR="005B6F6A" w:rsidRPr="00FC3011">
        <w:rPr>
          <w:rFonts w:ascii="Times New Roman" w:eastAsia="Times New Roman" w:hAnsi="Times New Roman" w:cs="Times New Roman"/>
          <w:b/>
          <w:bCs/>
        </w:rPr>
        <w:t xml:space="preserve">hat are the roles and responsibilities of </w:t>
      </w:r>
      <w:proofErr w:type="spellStart"/>
      <w:r w:rsidR="005B6F6A" w:rsidRPr="00FC3011">
        <w:rPr>
          <w:rFonts w:ascii="Times New Roman" w:eastAsia="Times New Roman" w:hAnsi="Times New Roman" w:cs="Times New Roman"/>
          <w:b/>
          <w:bCs/>
        </w:rPr>
        <w:t>CoCs</w:t>
      </w:r>
      <w:proofErr w:type="spellEnd"/>
      <w:r w:rsidR="005B6F6A" w:rsidRPr="00FC3011">
        <w:rPr>
          <w:rFonts w:ascii="Times New Roman" w:eastAsia="Times New Roman" w:hAnsi="Times New Roman" w:cs="Times New Roman"/>
          <w:b/>
          <w:bCs/>
        </w:rPr>
        <w:t>, VSPs, and PHAs?</w:t>
      </w:r>
    </w:p>
    <w:p w14:paraId="0A849951" w14:textId="690BFA83" w:rsidR="005B6F6A" w:rsidRPr="00FC3011" w:rsidRDefault="00C02BAB" w:rsidP="009828A6">
      <w:pPr>
        <w:spacing w:line="251" w:lineRule="auto"/>
        <w:ind w:left="360"/>
        <w:rPr>
          <w:rFonts w:ascii="Times New Roman" w:eastAsia="Times New Roman" w:hAnsi="Times New Roman" w:cs="Times New Roman"/>
        </w:rPr>
      </w:pPr>
      <w:r w:rsidRPr="00FC3011">
        <w:rPr>
          <w:rFonts w:ascii="Times New Roman" w:eastAsia="Times New Roman" w:hAnsi="Times New Roman" w:cs="Times New Roman"/>
        </w:rPr>
        <w:t xml:space="preserve">       </w:t>
      </w:r>
      <w:proofErr w:type="spellStart"/>
      <w:r w:rsidR="005B6F6A" w:rsidRPr="00FC3011">
        <w:rPr>
          <w:rFonts w:ascii="Times New Roman" w:eastAsia="Times New Roman" w:hAnsi="Times New Roman" w:cs="Times New Roman"/>
        </w:rPr>
        <w:t>CoCs</w:t>
      </w:r>
      <w:proofErr w:type="spellEnd"/>
      <w:r w:rsidR="005B6F6A" w:rsidRPr="00FC3011">
        <w:rPr>
          <w:rFonts w:ascii="Times New Roman" w:eastAsia="Times New Roman" w:hAnsi="Times New Roman" w:cs="Times New Roman"/>
        </w:rPr>
        <w:t xml:space="preserve"> and VSPs are responsible for the following:</w:t>
      </w:r>
    </w:p>
    <w:p w14:paraId="1BFA63E3" w14:textId="77777777" w:rsidR="005B6F6A" w:rsidRPr="00FC3011" w:rsidRDefault="005B6F6A" w:rsidP="00B86D98">
      <w:pPr>
        <w:pStyle w:val="ListParagraph"/>
        <w:numPr>
          <w:ilvl w:val="0"/>
          <w:numId w:val="2"/>
        </w:numPr>
        <w:spacing w:line="251" w:lineRule="auto"/>
        <w:ind w:left="1800"/>
        <w:rPr>
          <w:rFonts w:ascii="Times New Roman" w:eastAsia="Times New Roman" w:hAnsi="Times New Roman" w:cs="Times New Roman"/>
          <w:color w:val="000000" w:themeColor="text1"/>
        </w:rPr>
      </w:pPr>
      <w:r w:rsidRPr="00FC3011">
        <w:rPr>
          <w:rFonts w:ascii="Times New Roman" w:eastAsia="Times New Roman" w:hAnsi="Times New Roman" w:cs="Times New Roman"/>
          <w:color w:val="000000" w:themeColor="text1"/>
        </w:rPr>
        <w:t>Assessing eligible households for EHV and services, if needed.</w:t>
      </w:r>
    </w:p>
    <w:p w14:paraId="6FD6BC6D" w14:textId="77777777" w:rsidR="005B6F6A" w:rsidRPr="00FC3011" w:rsidRDefault="005B6F6A" w:rsidP="00B86D98">
      <w:pPr>
        <w:pStyle w:val="ListParagraph"/>
        <w:numPr>
          <w:ilvl w:val="0"/>
          <w:numId w:val="2"/>
        </w:numPr>
        <w:spacing w:line="251" w:lineRule="auto"/>
        <w:ind w:left="1800"/>
        <w:rPr>
          <w:rFonts w:ascii="Times New Roman" w:eastAsia="Times New Roman" w:hAnsi="Times New Roman" w:cs="Times New Roman"/>
          <w:color w:val="000000" w:themeColor="text1"/>
        </w:rPr>
      </w:pPr>
      <w:r w:rsidRPr="00FC3011">
        <w:rPr>
          <w:rFonts w:ascii="Times New Roman" w:eastAsia="Times New Roman" w:hAnsi="Times New Roman" w:cs="Times New Roman"/>
          <w:color w:val="000000" w:themeColor="text1"/>
        </w:rPr>
        <w:t xml:space="preserve">Referring eligible households to the PHA for EHV.  </w:t>
      </w:r>
    </w:p>
    <w:p w14:paraId="1C078DF2" w14:textId="77777777" w:rsidR="005B6F6A" w:rsidRPr="00FC3011" w:rsidRDefault="005B6F6A" w:rsidP="00B86D98">
      <w:pPr>
        <w:pStyle w:val="ListParagraph"/>
        <w:numPr>
          <w:ilvl w:val="0"/>
          <w:numId w:val="2"/>
        </w:numPr>
        <w:spacing w:line="251" w:lineRule="auto"/>
        <w:ind w:left="1800"/>
        <w:rPr>
          <w:rFonts w:ascii="Times New Roman" w:hAnsi="Times New Roman" w:cs="Times New Roman"/>
          <w:color w:val="000000" w:themeColor="text1"/>
        </w:rPr>
      </w:pPr>
      <w:proofErr w:type="spellStart"/>
      <w:r w:rsidRPr="00FC3011">
        <w:rPr>
          <w:rFonts w:ascii="Times New Roman" w:eastAsia="Times New Roman" w:hAnsi="Times New Roman" w:cs="Times New Roman"/>
          <w:color w:val="000000" w:themeColor="text1"/>
        </w:rPr>
        <w:t>CoCs</w:t>
      </w:r>
      <w:proofErr w:type="spellEnd"/>
      <w:r w:rsidRPr="00FC3011">
        <w:rPr>
          <w:rFonts w:ascii="Times New Roman" w:eastAsia="Times New Roman" w:hAnsi="Times New Roman" w:cs="Times New Roman"/>
          <w:color w:val="000000" w:themeColor="text1"/>
        </w:rPr>
        <w:t xml:space="preserve"> may also assist referred households in completing and obtaining necessary documentation for the EHV application</w:t>
      </w:r>
      <w:r w:rsidRPr="00FC3011">
        <w:rPr>
          <w:rFonts w:ascii="Times New Roman" w:eastAsia="Times New Roman" w:hAnsi="Times New Roman" w:cs="Times New Roman"/>
        </w:rPr>
        <w:t xml:space="preserve"> process.</w:t>
      </w:r>
    </w:p>
    <w:p w14:paraId="68DD4990" w14:textId="6EEDCD72" w:rsidR="005B6F6A" w:rsidRDefault="005B6F6A" w:rsidP="005B6F6A">
      <w:pPr>
        <w:tabs>
          <w:tab w:val="left" w:pos="720"/>
        </w:tabs>
        <w:spacing w:after="0" w:line="252" w:lineRule="auto"/>
        <w:ind w:left="720"/>
        <w:contextualSpacing/>
        <w:rPr>
          <w:rFonts w:ascii="Times New Roman" w:eastAsia="Times New Roman" w:hAnsi="Times New Roman" w:cs="Times New Roman"/>
        </w:rPr>
      </w:pPr>
      <w:r w:rsidRPr="00FC3011">
        <w:rPr>
          <w:rFonts w:ascii="Times New Roman" w:eastAsia="Times New Roman" w:hAnsi="Times New Roman" w:cs="Times New Roman"/>
        </w:rPr>
        <w:t>PHAs are responsible for all the PHA administrative responsibilities for the EHV program in accordance with the EHV Operating Requirements Notice and the applicable HCV program regulations, including but not limited to:</w:t>
      </w:r>
    </w:p>
    <w:p w14:paraId="33EF8B52" w14:textId="77777777" w:rsidR="00864065" w:rsidRPr="00FC3011" w:rsidRDefault="00864065" w:rsidP="005B6F6A">
      <w:pPr>
        <w:tabs>
          <w:tab w:val="left" w:pos="720"/>
        </w:tabs>
        <w:spacing w:after="0" w:line="252" w:lineRule="auto"/>
        <w:ind w:left="720"/>
        <w:contextualSpacing/>
        <w:rPr>
          <w:rFonts w:ascii="Times New Roman" w:eastAsia="Times New Roman" w:hAnsi="Times New Roman" w:cs="Times New Roman"/>
        </w:rPr>
      </w:pPr>
    </w:p>
    <w:p w14:paraId="0C5C128D" w14:textId="77777777" w:rsidR="005B6F6A" w:rsidRPr="00FC3011" w:rsidRDefault="005B6F6A" w:rsidP="00B86D98">
      <w:pPr>
        <w:pStyle w:val="ListParagraph"/>
        <w:numPr>
          <w:ilvl w:val="0"/>
          <w:numId w:val="2"/>
        </w:numPr>
        <w:spacing w:after="0" w:line="252" w:lineRule="auto"/>
        <w:ind w:left="1800"/>
        <w:rPr>
          <w:rFonts w:ascii="Times New Roman" w:hAnsi="Times New Roman" w:cs="Times New Roman"/>
          <w:color w:val="000000" w:themeColor="text1"/>
        </w:rPr>
      </w:pPr>
      <w:r w:rsidRPr="00FC3011">
        <w:rPr>
          <w:rFonts w:ascii="Times New Roman" w:eastAsia="Times New Roman" w:hAnsi="Times New Roman" w:cs="Times New Roman"/>
        </w:rPr>
        <w:t>Reviewing applications for EHV, certify program eligibility, and conducting annual recertifications for continued eligibility.</w:t>
      </w:r>
    </w:p>
    <w:p w14:paraId="43405AA7" w14:textId="77777777" w:rsidR="005B6F6A" w:rsidRPr="00FC3011" w:rsidRDefault="005B6F6A" w:rsidP="00B86D98">
      <w:pPr>
        <w:pStyle w:val="ListParagraph"/>
        <w:numPr>
          <w:ilvl w:val="0"/>
          <w:numId w:val="2"/>
        </w:numPr>
        <w:spacing w:line="251" w:lineRule="auto"/>
        <w:ind w:left="1800"/>
        <w:rPr>
          <w:rFonts w:ascii="Times New Roman" w:hAnsi="Times New Roman" w:cs="Times New Roman"/>
          <w:color w:val="000000" w:themeColor="text1"/>
        </w:rPr>
      </w:pPr>
      <w:r w:rsidRPr="00FC3011">
        <w:rPr>
          <w:rFonts w:ascii="Times New Roman" w:eastAsia="Times New Roman" w:hAnsi="Times New Roman" w:cs="Times New Roman"/>
        </w:rPr>
        <w:t>Determining that the unit meets Housing Quality Standards and approving units for leasing and contracts.</w:t>
      </w:r>
    </w:p>
    <w:p w14:paraId="16E291B0" w14:textId="584A6B82" w:rsidR="005B6F6A" w:rsidRPr="00FC3011" w:rsidRDefault="005B6F6A" w:rsidP="00B86D98">
      <w:pPr>
        <w:pStyle w:val="ListParagraph"/>
        <w:numPr>
          <w:ilvl w:val="0"/>
          <w:numId w:val="2"/>
        </w:numPr>
        <w:spacing w:line="251" w:lineRule="auto"/>
        <w:ind w:left="1800"/>
        <w:rPr>
          <w:rFonts w:ascii="Times New Roman" w:hAnsi="Times New Roman" w:cs="Times New Roman"/>
          <w:color w:val="000000" w:themeColor="text1"/>
        </w:rPr>
      </w:pPr>
      <w:r w:rsidRPr="00FC3011">
        <w:rPr>
          <w:rFonts w:ascii="Times New Roman" w:eastAsia="Times New Roman" w:hAnsi="Times New Roman" w:cs="Times New Roman"/>
        </w:rPr>
        <w:t xml:space="preserve">Determining amounts and paying Housing Assistance Payments </w:t>
      </w:r>
      <w:r w:rsidR="0063134C" w:rsidRPr="00FC3011">
        <w:rPr>
          <w:rFonts w:ascii="Times New Roman" w:eastAsia="Times New Roman" w:hAnsi="Times New Roman" w:cs="Times New Roman"/>
        </w:rPr>
        <w:t xml:space="preserve">to </w:t>
      </w:r>
      <w:r w:rsidRPr="00FC3011">
        <w:rPr>
          <w:rFonts w:ascii="Times New Roman" w:eastAsia="Times New Roman" w:hAnsi="Times New Roman" w:cs="Times New Roman"/>
        </w:rPr>
        <w:t>landlords on behalf of the participants.</w:t>
      </w:r>
    </w:p>
    <w:p w14:paraId="0CFBB853" w14:textId="77777777" w:rsidR="005B6F6A" w:rsidRPr="00FC3011" w:rsidRDefault="005B6F6A" w:rsidP="00B86D98">
      <w:pPr>
        <w:pStyle w:val="ListParagraph"/>
        <w:numPr>
          <w:ilvl w:val="0"/>
          <w:numId w:val="2"/>
        </w:numPr>
        <w:spacing w:line="251" w:lineRule="auto"/>
        <w:ind w:left="1800"/>
        <w:rPr>
          <w:rFonts w:ascii="Times New Roman" w:hAnsi="Times New Roman" w:cs="Times New Roman"/>
          <w:color w:val="000000" w:themeColor="text1"/>
        </w:rPr>
      </w:pPr>
      <w:r w:rsidRPr="00FC3011">
        <w:rPr>
          <w:rFonts w:ascii="Times New Roman" w:eastAsia="Times New Roman" w:hAnsi="Times New Roman" w:cs="Times New Roman"/>
        </w:rPr>
        <w:t>Explaining and providing information about program policies and procedures to current and prospective landlords and participants.</w:t>
      </w:r>
    </w:p>
    <w:p w14:paraId="2FDB0226" w14:textId="77777777" w:rsidR="005B6F6A" w:rsidRPr="00FC3011" w:rsidRDefault="005B6F6A" w:rsidP="00B86D98">
      <w:pPr>
        <w:pStyle w:val="ListParagraph"/>
        <w:numPr>
          <w:ilvl w:val="0"/>
          <w:numId w:val="2"/>
        </w:numPr>
        <w:spacing w:line="251" w:lineRule="auto"/>
        <w:ind w:left="1800"/>
        <w:rPr>
          <w:rFonts w:ascii="Times New Roman" w:hAnsi="Times New Roman" w:cs="Times New Roman"/>
          <w:color w:val="000000" w:themeColor="text1"/>
        </w:rPr>
      </w:pPr>
      <w:r w:rsidRPr="00FC3011">
        <w:rPr>
          <w:rFonts w:ascii="Times New Roman" w:eastAsia="Times New Roman" w:hAnsi="Times New Roman" w:cs="Times New Roman"/>
        </w:rPr>
        <w:t>Monitoring program performance and compliance of participants and owners.</w:t>
      </w:r>
    </w:p>
    <w:p w14:paraId="7FEE35E8" w14:textId="77777777" w:rsidR="005B6F6A" w:rsidRPr="00FC3011" w:rsidRDefault="005B6F6A" w:rsidP="005B6F6A">
      <w:pPr>
        <w:pStyle w:val="ListParagraph"/>
        <w:spacing w:line="251" w:lineRule="auto"/>
        <w:ind w:left="0"/>
        <w:rPr>
          <w:rFonts w:ascii="Times New Roman" w:eastAsia="Times New Roman" w:hAnsi="Times New Roman" w:cs="Times New Roman"/>
          <w:b/>
          <w:bCs/>
        </w:rPr>
      </w:pPr>
    </w:p>
    <w:p w14:paraId="6AAC2F62" w14:textId="4CEFA0CB" w:rsidR="005B6F6A" w:rsidRPr="00FC3011" w:rsidRDefault="00CB7838" w:rsidP="0131650B">
      <w:pPr>
        <w:tabs>
          <w:tab w:val="left" w:pos="360"/>
        </w:tabs>
        <w:spacing w:after="0" w:line="251" w:lineRule="auto"/>
        <w:ind w:left="360"/>
        <w:rPr>
          <w:rFonts w:ascii="Times New Roman" w:eastAsia="Times New Roman" w:hAnsi="Times New Roman" w:cs="Times New Roman"/>
          <w:b/>
          <w:bCs/>
          <w:color w:val="FF0000"/>
        </w:rPr>
      </w:pPr>
      <w:r>
        <w:rPr>
          <w:rFonts w:ascii="Times New Roman" w:eastAsia="Times New Roman" w:hAnsi="Times New Roman" w:cs="Times New Roman"/>
          <w:b/>
          <w:bCs/>
        </w:rPr>
        <w:t>30</w:t>
      </w:r>
      <w:r w:rsidR="00E66497" w:rsidRPr="00FC3011">
        <w:rPr>
          <w:rFonts w:ascii="Times New Roman" w:eastAsia="Times New Roman" w:hAnsi="Times New Roman" w:cs="Times New Roman"/>
          <w:b/>
          <w:bCs/>
        </w:rPr>
        <w:t xml:space="preserve">.  </w:t>
      </w:r>
      <w:r w:rsidR="005B6F6A" w:rsidRPr="00FC3011">
        <w:rPr>
          <w:rFonts w:ascii="Times New Roman" w:eastAsia="Times New Roman" w:hAnsi="Times New Roman" w:cs="Times New Roman"/>
          <w:b/>
          <w:bCs/>
        </w:rPr>
        <w:t xml:space="preserve">Are PHAs required to partner with more than one </w:t>
      </w:r>
      <w:proofErr w:type="spellStart"/>
      <w:r w:rsidR="005B6F6A" w:rsidRPr="00FC3011">
        <w:rPr>
          <w:rFonts w:ascii="Times New Roman" w:eastAsia="Times New Roman" w:hAnsi="Times New Roman" w:cs="Times New Roman"/>
          <w:b/>
          <w:bCs/>
        </w:rPr>
        <w:t>CoC</w:t>
      </w:r>
      <w:proofErr w:type="spellEnd"/>
      <w:r w:rsidR="005B6F6A" w:rsidRPr="00FC3011">
        <w:rPr>
          <w:rFonts w:ascii="Times New Roman" w:eastAsia="Times New Roman" w:hAnsi="Times New Roman" w:cs="Times New Roman"/>
          <w:b/>
          <w:bCs/>
        </w:rPr>
        <w:t>?</w:t>
      </w:r>
      <w:r w:rsidR="009E60BD" w:rsidRPr="00FC3011">
        <w:rPr>
          <w:rFonts w:ascii="Times New Roman" w:eastAsia="Times New Roman" w:hAnsi="Times New Roman" w:cs="Times New Roman"/>
          <w:b/>
          <w:bCs/>
        </w:rPr>
        <w:t xml:space="preserve"> </w:t>
      </w:r>
    </w:p>
    <w:p w14:paraId="6AA2B551" w14:textId="3FC92EDA" w:rsidR="005B6F6A" w:rsidRPr="00FC3011" w:rsidRDefault="004F2E15" w:rsidP="005B6F6A">
      <w:pPr>
        <w:spacing w:after="0"/>
        <w:ind w:left="720"/>
        <w:rPr>
          <w:rFonts w:ascii="Times New Roman" w:eastAsia="Times New Roman" w:hAnsi="Times New Roman" w:cs="Times New Roman"/>
        </w:rPr>
      </w:pPr>
      <w:r w:rsidRPr="00FC3011">
        <w:rPr>
          <w:rFonts w:ascii="Times New Roman" w:eastAsia="Times New Roman" w:hAnsi="Times New Roman" w:cs="Times New Roman"/>
        </w:rPr>
        <w:t>N</w:t>
      </w:r>
      <w:r w:rsidR="001115E0" w:rsidRPr="00FC3011">
        <w:rPr>
          <w:rFonts w:ascii="Times New Roman" w:eastAsia="Times New Roman" w:hAnsi="Times New Roman" w:cs="Times New Roman"/>
        </w:rPr>
        <w:t xml:space="preserve">o, there is not a </w:t>
      </w:r>
      <w:r w:rsidR="001115E0" w:rsidRPr="00FC3011">
        <w:rPr>
          <w:rFonts w:ascii="Times New Roman" w:eastAsia="Times New Roman" w:hAnsi="Times New Roman" w:cs="Times New Roman"/>
          <w:i/>
          <w:iCs/>
        </w:rPr>
        <w:t>requirement</w:t>
      </w:r>
      <w:r w:rsidR="001115E0" w:rsidRPr="00FC3011">
        <w:rPr>
          <w:rFonts w:ascii="Times New Roman" w:eastAsia="Times New Roman" w:hAnsi="Times New Roman" w:cs="Times New Roman"/>
        </w:rPr>
        <w:t xml:space="preserve"> to partner with more than one </w:t>
      </w:r>
      <w:proofErr w:type="spellStart"/>
      <w:r w:rsidR="001115E0" w:rsidRPr="00FC3011">
        <w:rPr>
          <w:rFonts w:ascii="Times New Roman" w:eastAsia="Times New Roman" w:hAnsi="Times New Roman" w:cs="Times New Roman"/>
        </w:rPr>
        <w:t>CoC</w:t>
      </w:r>
      <w:proofErr w:type="spellEnd"/>
      <w:r w:rsidR="00F95CFA" w:rsidRPr="00FC3011">
        <w:rPr>
          <w:rFonts w:ascii="Times New Roman" w:eastAsia="Times New Roman" w:hAnsi="Times New Roman" w:cs="Times New Roman"/>
        </w:rPr>
        <w:t xml:space="preserve">. </w:t>
      </w:r>
      <w:r w:rsidR="00E81D28" w:rsidRPr="00FC3011">
        <w:rPr>
          <w:rFonts w:ascii="Times New Roman" w:eastAsia="Times New Roman" w:hAnsi="Times New Roman" w:cs="Times New Roman"/>
        </w:rPr>
        <w:t xml:space="preserve">Rather, </w:t>
      </w:r>
      <w:r w:rsidR="005B6F6A" w:rsidRPr="00FC3011">
        <w:rPr>
          <w:rFonts w:ascii="Times New Roman" w:eastAsia="Times New Roman" w:hAnsi="Times New Roman" w:cs="Times New Roman"/>
        </w:rPr>
        <w:t xml:space="preserve">PHAs are required to partner with at least one </w:t>
      </w:r>
      <w:proofErr w:type="spellStart"/>
      <w:r w:rsidR="005B6F6A" w:rsidRPr="00FC3011">
        <w:rPr>
          <w:rFonts w:ascii="Times New Roman" w:eastAsia="Times New Roman" w:hAnsi="Times New Roman" w:cs="Times New Roman"/>
        </w:rPr>
        <w:t>CoC</w:t>
      </w:r>
      <w:proofErr w:type="spellEnd"/>
      <w:r w:rsidR="005B6F6A" w:rsidRPr="00FC3011">
        <w:rPr>
          <w:rFonts w:ascii="Times New Roman" w:eastAsia="Times New Roman" w:hAnsi="Times New Roman" w:cs="Times New Roman"/>
        </w:rPr>
        <w:t xml:space="preserve"> in the administration of EHVs.  HUD strongly encourages PHAs to partner with as many </w:t>
      </w:r>
      <w:proofErr w:type="spellStart"/>
      <w:r w:rsidR="005B6F6A" w:rsidRPr="00FC3011">
        <w:rPr>
          <w:rFonts w:ascii="Times New Roman" w:eastAsia="Times New Roman" w:hAnsi="Times New Roman" w:cs="Times New Roman"/>
        </w:rPr>
        <w:t>CoCs</w:t>
      </w:r>
      <w:proofErr w:type="spellEnd"/>
      <w:r w:rsidR="005B6F6A" w:rsidRPr="00FC3011">
        <w:rPr>
          <w:rFonts w:ascii="Times New Roman" w:eastAsia="Times New Roman" w:hAnsi="Times New Roman" w:cs="Times New Roman"/>
        </w:rPr>
        <w:t xml:space="preserve"> as possible to effectively administer EHVs.   </w:t>
      </w:r>
    </w:p>
    <w:p w14:paraId="6453A727" w14:textId="77777777" w:rsidR="00BD67EB" w:rsidRPr="00FC3011" w:rsidRDefault="00BD67EB" w:rsidP="005B6F6A">
      <w:pPr>
        <w:spacing w:after="0"/>
        <w:ind w:left="720"/>
        <w:rPr>
          <w:rFonts w:ascii="Times New Roman" w:eastAsia="Times New Roman" w:hAnsi="Times New Roman" w:cs="Times New Roman"/>
        </w:rPr>
      </w:pPr>
    </w:p>
    <w:p w14:paraId="5BB7FF4E" w14:textId="25252116" w:rsidR="00BD67EB" w:rsidRPr="00FC3011" w:rsidRDefault="00BD67EB" w:rsidP="005B6F6A">
      <w:pPr>
        <w:spacing w:after="0"/>
        <w:ind w:left="720"/>
        <w:rPr>
          <w:rFonts w:ascii="Times New Roman" w:eastAsia="Times New Roman" w:hAnsi="Times New Roman" w:cs="Times New Roman"/>
        </w:rPr>
      </w:pPr>
      <w:r w:rsidRPr="00FC3011">
        <w:rPr>
          <w:rFonts w:ascii="Times New Roman" w:eastAsia="Times New Roman" w:hAnsi="Times New Roman" w:cs="Times New Roman"/>
        </w:rPr>
        <w:t xml:space="preserve">Refer to the </w:t>
      </w:r>
      <w:hyperlink r:id="rId31" w:history="1">
        <w:r w:rsidR="004934ED" w:rsidRPr="00FC3011">
          <w:rPr>
            <w:rStyle w:val="Hyperlink"/>
            <w:rFonts w:ascii="Times New Roman" w:eastAsia="Times New Roman" w:hAnsi="Times New Roman" w:cs="Times New Roman"/>
          </w:rPr>
          <w:t xml:space="preserve">2020 </w:t>
        </w:r>
        <w:proofErr w:type="spellStart"/>
        <w:r w:rsidR="00524719" w:rsidRPr="00FC3011">
          <w:rPr>
            <w:rStyle w:val="Hyperlink"/>
            <w:rFonts w:ascii="Times New Roman" w:eastAsia="Times New Roman" w:hAnsi="Times New Roman" w:cs="Times New Roman"/>
          </w:rPr>
          <w:t>CoC</w:t>
        </w:r>
        <w:proofErr w:type="spellEnd"/>
        <w:r w:rsidR="00524719" w:rsidRPr="00FC3011">
          <w:rPr>
            <w:rStyle w:val="Hyperlink"/>
            <w:rFonts w:ascii="Times New Roman" w:eastAsia="Times New Roman" w:hAnsi="Times New Roman" w:cs="Times New Roman"/>
          </w:rPr>
          <w:t>-PHA Crosswalk</w:t>
        </w:r>
      </w:hyperlink>
      <w:r w:rsidR="00326D31" w:rsidRPr="00FC3011">
        <w:rPr>
          <w:rFonts w:ascii="Times New Roman" w:eastAsia="Times New Roman" w:hAnsi="Times New Roman" w:cs="Times New Roman"/>
        </w:rPr>
        <w:t xml:space="preserve"> report which shows PHAs operating HCV units within each </w:t>
      </w:r>
      <w:proofErr w:type="spellStart"/>
      <w:r w:rsidR="00326D31" w:rsidRPr="00FC3011">
        <w:rPr>
          <w:rFonts w:ascii="Times New Roman" w:eastAsia="Times New Roman" w:hAnsi="Times New Roman" w:cs="Times New Roman"/>
        </w:rPr>
        <w:t>CoC</w:t>
      </w:r>
      <w:proofErr w:type="spellEnd"/>
      <w:r w:rsidR="00326D31" w:rsidRPr="00FC3011">
        <w:rPr>
          <w:rFonts w:ascii="Times New Roman" w:eastAsia="Times New Roman" w:hAnsi="Times New Roman" w:cs="Times New Roman"/>
        </w:rPr>
        <w:t xml:space="preserve">. </w:t>
      </w:r>
    </w:p>
    <w:p w14:paraId="7F12C1C8" w14:textId="77777777" w:rsidR="005B6F6A" w:rsidRPr="00FC3011" w:rsidRDefault="005B6F6A" w:rsidP="005B6F6A">
      <w:pPr>
        <w:spacing w:after="0"/>
        <w:ind w:left="720"/>
        <w:rPr>
          <w:rFonts w:ascii="Times New Roman" w:eastAsia="Times New Roman" w:hAnsi="Times New Roman" w:cs="Times New Roman"/>
        </w:rPr>
      </w:pPr>
    </w:p>
    <w:p w14:paraId="0DA1224D" w14:textId="3877F73C" w:rsidR="005B6F6A" w:rsidRPr="00FC3011" w:rsidRDefault="005B6F6A" w:rsidP="00CB7838">
      <w:pPr>
        <w:pStyle w:val="ListParagraph"/>
        <w:numPr>
          <w:ilvl w:val="0"/>
          <w:numId w:val="29"/>
        </w:numPr>
        <w:tabs>
          <w:tab w:val="left" w:pos="360"/>
        </w:tabs>
        <w:spacing w:line="251" w:lineRule="auto"/>
        <w:rPr>
          <w:rFonts w:ascii="Times New Roman" w:eastAsia="Times New Roman" w:hAnsi="Times New Roman" w:cs="Times New Roman"/>
          <w:b/>
          <w:bCs/>
        </w:rPr>
      </w:pPr>
      <w:r w:rsidRPr="00FC3011">
        <w:rPr>
          <w:rFonts w:ascii="Times New Roman" w:eastAsia="Times New Roman" w:hAnsi="Times New Roman" w:cs="Times New Roman"/>
          <w:b/>
          <w:bCs/>
        </w:rPr>
        <w:t xml:space="preserve">How should MOUs be structured if (a) a PHA’s jurisdiction includes more than one </w:t>
      </w:r>
      <w:proofErr w:type="spellStart"/>
      <w:r w:rsidRPr="00FC3011">
        <w:rPr>
          <w:rFonts w:ascii="Times New Roman" w:eastAsia="Times New Roman" w:hAnsi="Times New Roman" w:cs="Times New Roman"/>
          <w:b/>
          <w:bCs/>
        </w:rPr>
        <w:t>CoC</w:t>
      </w:r>
      <w:proofErr w:type="spellEnd"/>
      <w:r w:rsidRPr="00FC3011">
        <w:rPr>
          <w:rFonts w:ascii="Times New Roman" w:eastAsia="Times New Roman" w:hAnsi="Times New Roman" w:cs="Times New Roman"/>
          <w:b/>
          <w:bCs/>
        </w:rPr>
        <w:t xml:space="preserve"> or (</w:t>
      </w:r>
      <w:r w:rsidR="00A74302" w:rsidRPr="00FC3011">
        <w:rPr>
          <w:rFonts w:ascii="Times New Roman" w:eastAsia="Times New Roman" w:hAnsi="Times New Roman" w:cs="Times New Roman"/>
          <w:b/>
          <w:bCs/>
        </w:rPr>
        <w:t>b) a</w:t>
      </w:r>
      <w:r w:rsidRPr="00FC3011">
        <w:rPr>
          <w:rFonts w:ascii="Times New Roman" w:eastAsia="Times New Roman" w:hAnsi="Times New Roman" w:cs="Times New Roman"/>
          <w:b/>
          <w:bCs/>
        </w:rPr>
        <w:t xml:space="preserve"> </w:t>
      </w:r>
      <w:proofErr w:type="spellStart"/>
      <w:r w:rsidRPr="00FC3011">
        <w:rPr>
          <w:rFonts w:ascii="Times New Roman" w:eastAsia="Times New Roman" w:hAnsi="Times New Roman" w:cs="Times New Roman"/>
          <w:b/>
          <w:bCs/>
        </w:rPr>
        <w:t>CoC</w:t>
      </w:r>
      <w:proofErr w:type="spellEnd"/>
      <w:r w:rsidRPr="00FC3011">
        <w:rPr>
          <w:rFonts w:ascii="Times New Roman" w:eastAsia="Times New Roman" w:hAnsi="Times New Roman" w:cs="Times New Roman"/>
          <w:b/>
          <w:bCs/>
        </w:rPr>
        <w:t xml:space="preserve"> catchment area requires work with multiple PHAs?       </w:t>
      </w:r>
    </w:p>
    <w:p w14:paraId="79AD9533" w14:textId="64EEE354" w:rsidR="005B6F6A" w:rsidRPr="00FC3011" w:rsidRDefault="005B6F6A" w:rsidP="005B6F6A">
      <w:pPr>
        <w:spacing w:after="0"/>
        <w:ind w:left="720"/>
        <w:rPr>
          <w:rFonts w:ascii="Times New Roman" w:eastAsia="Times New Roman" w:hAnsi="Times New Roman" w:cs="Times New Roman"/>
        </w:rPr>
      </w:pPr>
      <w:r w:rsidRPr="00FC3011">
        <w:rPr>
          <w:rFonts w:ascii="Times New Roman" w:eastAsia="Times New Roman" w:hAnsi="Times New Roman" w:cs="Times New Roman"/>
        </w:rPr>
        <w:t xml:space="preserve">The intent of the Notice is to provide communities with the flexibilities needed to respond to </w:t>
      </w:r>
      <w:r w:rsidR="00A74302" w:rsidRPr="00FC3011">
        <w:rPr>
          <w:rFonts w:ascii="Times New Roman" w:eastAsia="Times New Roman" w:hAnsi="Times New Roman" w:cs="Times New Roman"/>
        </w:rPr>
        <w:t>the target</w:t>
      </w:r>
      <w:r w:rsidRPr="00FC3011">
        <w:rPr>
          <w:rFonts w:ascii="Times New Roman" w:eastAsia="Times New Roman" w:hAnsi="Times New Roman" w:cs="Times New Roman"/>
        </w:rPr>
        <w:t xml:space="preserve"> population.  HUD expects these vouchers to be deployed in a community-wide manner.  PHAs are required to partner with at least one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in the administration of EHVs. In instances where there are multiple </w:t>
      </w:r>
      <w:proofErr w:type="spellStart"/>
      <w:r w:rsidRPr="00FC3011">
        <w:rPr>
          <w:rFonts w:ascii="Times New Roman" w:eastAsia="Times New Roman" w:hAnsi="Times New Roman" w:cs="Times New Roman"/>
        </w:rPr>
        <w:t>CoCs</w:t>
      </w:r>
      <w:proofErr w:type="spellEnd"/>
      <w:r w:rsidRPr="00FC3011">
        <w:rPr>
          <w:rFonts w:ascii="Times New Roman" w:eastAsia="Times New Roman" w:hAnsi="Times New Roman" w:cs="Times New Roman"/>
        </w:rPr>
        <w:t xml:space="preserve"> within the PHA’s jurisdiction, HUD strongly encourages PHAs to collaborate with as many </w:t>
      </w:r>
      <w:proofErr w:type="spellStart"/>
      <w:r w:rsidRPr="00FC3011">
        <w:rPr>
          <w:rFonts w:ascii="Times New Roman" w:eastAsia="Times New Roman" w:hAnsi="Times New Roman" w:cs="Times New Roman"/>
        </w:rPr>
        <w:t>CoCs</w:t>
      </w:r>
      <w:proofErr w:type="spellEnd"/>
      <w:r w:rsidRPr="00FC3011">
        <w:rPr>
          <w:rFonts w:ascii="Times New Roman" w:eastAsia="Times New Roman" w:hAnsi="Times New Roman" w:cs="Times New Roman"/>
        </w:rPr>
        <w:t xml:space="preserve"> as possible to effectively administer EHVs. Regardless of how many </w:t>
      </w:r>
      <w:proofErr w:type="spellStart"/>
      <w:r w:rsidRPr="00FC3011">
        <w:rPr>
          <w:rFonts w:ascii="Times New Roman" w:eastAsia="Times New Roman" w:hAnsi="Times New Roman" w:cs="Times New Roman"/>
        </w:rPr>
        <w:t>CoCs</w:t>
      </w:r>
      <w:proofErr w:type="spellEnd"/>
      <w:r w:rsidRPr="00FC3011">
        <w:rPr>
          <w:rFonts w:ascii="Times New Roman" w:eastAsia="Times New Roman" w:hAnsi="Times New Roman" w:cs="Times New Roman"/>
        </w:rPr>
        <w:t xml:space="preserve"> a PHA is working with, they can enter into a single MOU or multiple MOUs as </w:t>
      </w:r>
      <w:r w:rsidRPr="00FC3011">
        <w:rPr>
          <w:rFonts w:ascii="Times New Roman" w:eastAsia="Times New Roman" w:hAnsi="Times New Roman" w:cs="Times New Roman"/>
        </w:rPr>
        <w:lastRenderedPageBreak/>
        <w:t>needed. The intent of these MOUs is to ensure that all parties are aware of the policies governing referrals and defining the roles and responsibilities of each involved entity. MOUs may additionally address local protocols and procedures that are consistent and equitable in designating clear EHV distribution criteria.</w:t>
      </w:r>
    </w:p>
    <w:p w14:paraId="1341AC55" w14:textId="77777777" w:rsidR="005B6F6A" w:rsidRPr="00FC3011" w:rsidRDefault="005B6F6A" w:rsidP="005B6F6A">
      <w:pPr>
        <w:spacing w:after="0"/>
        <w:ind w:left="720"/>
        <w:rPr>
          <w:rFonts w:ascii="Times New Roman" w:eastAsia="Times New Roman" w:hAnsi="Times New Roman" w:cs="Times New Roman"/>
        </w:rPr>
      </w:pPr>
    </w:p>
    <w:p w14:paraId="597CF472" w14:textId="6C23F6A2" w:rsidR="005B6F6A" w:rsidRPr="00FC3011" w:rsidRDefault="005B6F6A" w:rsidP="00CB7838">
      <w:pPr>
        <w:pStyle w:val="ListParagraph"/>
        <w:numPr>
          <w:ilvl w:val="0"/>
          <w:numId w:val="29"/>
        </w:numPr>
        <w:tabs>
          <w:tab w:val="left" w:pos="360"/>
        </w:tabs>
        <w:spacing w:line="251" w:lineRule="auto"/>
        <w:rPr>
          <w:rFonts w:ascii="Times New Roman" w:eastAsia="Times New Roman" w:hAnsi="Times New Roman" w:cs="Times New Roman"/>
          <w:b/>
          <w:bCs/>
        </w:rPr>
      </w:pPr>
      <w:r w:rsidRPr="00FC3011">
        <w:rPr>
          <w:rFonts w:ascii="Times New Roman" w:eastAsia="Times New Roman" w:hAnsi="Times New Roman" w:cs="Times New Roman"/>
          <w:b/>
          <w:bCs/>
        </w:rPr>
        <w:t>When does HUD expect PHAs to have executed MOUs with partnering agencies?</w:t>
      </w:r>
      <w:r w:rsidR="00F03DB5" w:rsidRPr="00FC3011">
        <w:rPr>
          <w:rFonts w:ascii="Times New Roman" w:eastAsia="Times New Roman" w:hAnsi="Times New Roman" w:cs="Times New Roman"/>
          <w:b/>
          <w:bCs/>
        </w:rPr>
        <w:t xml:space="preserve"> </w:t>
      </w:r>
    </w:p>
    <w:p w14:paraId="29BAA2C4" w14:textId="09AE7A47" w:rsidR="005B6F6A" w:rsidRPr="00FC3011" w:rsidRDefault="005B6F6A" w:rsidP="005B6F6A">
      <w:pPr>
        <w:spacing w:after="0"/>
        <w:ind w:left="720"/>
        <w:rPr>
          <w:rFonts w:ascii="Times New Roman" w:eastAsia="Times New Roman" w:hAnsi="Times New Roman" w:cs="Times New Roman"/>
        </w:rPr>
      </w:pPr>
      <w:r w:rsidRPr="00FC3011">
        <w:rPr>
          <w:rFonts w:ascii="Times New Roman" w:eastAsia="Times New Roman" w:hAnsi="Times New Roman" w:cs="Times New Roman"/>
        </w:rPr>
        <w:t xml:space="preserve">HUD’s expectation is that PHAs will enter into an MOU as soon as possible, ideally by July 1, 2021.  </w:t>
      </w:r>
      <w:r w:rsidR="00FB6BDF" w:rsidRPr="00FC3011">
        <w:rPr>
          <w:rFonts w:ascii="Times New Roman" w:eastAsia="Times New Roman" w:hAnsi="Times New Roman" w:cs="Times New Roman"/>
        </w:rPr>
        <w:t xml:space="preserve">All participating </w:t>
      </w:r>
      <w:r w:rsidRPr="00FC3011">
        <w:rPr>
          <w:rFonts w:ascii="Times New Roman" w:eastAsia="Times New Roman" w:hAnsi="Times New Roman" w:cs="Times New Roman"/>
        </w:rPr>
        <w:t xml:space="preserve">PHAs received their July </w:t>
      </w:r>
      <w:r w:rsidR="006C38D7" w:rsidRPr="00FC3011">
        <w:rPr>
          <w:rFonts w:ascii="Times New Roman" w:eastAsia="Times New Roman" w:hAnsi="Times New Roman" w:cs="Times New Roman"/>
        </w:rPr>
        <w:t xml:space="preserve">2021 </w:t>
      </w:r>
      <w:r w:rsidRPr="00FC3011">
        <w:rPr>
          <w:rFonts w:ascii="Times New Roman" w:eastAsia="Times New Roman" w:hAnsi="Times New Roman" w:cs="Times New Roman"/>
        </w:rPr>
        <w:t>EHV Housing Assistance Payment (HAP) amount</w:t>
      </w:r>
      <w:r w:rsidR="00FB6BDF" w:rsidRPr="00FC3011">
        <w:rPr>
          <w:rFonts w:ascii="Times New Roman" w:eastAsia="Times New Roman" w:hAnsi="Times New Roman" w:cs="Times New Roman"/>
        </w:rPr>
        <w:t xml:space="preserve"> initiating the</w:t>
      </w:r>
      <w:r w:rsidRPr="00FC3011">
        <w:rPr>
          <w:rFonts w:ascii="Times New Roman" w:eastAsia="Times New Roman" w:hAnsi="Times New Roman" w:cs="Times New Roman"/>
        </w:rPr>
        <w:t xml:space="preserve"> timeline for placement fees.  HUD is providing $500 for each EHV family placed under contract no later than 4 months from the effective date of July 1, 2021, of the ACC funding increment, which is November 1, 2021.  PHAs are required to enter into a MOU within 30 days of the effective date of the ACC funding increment; therefore, the MOU must be established no later than July 31, 2021. </w:t>
      </w:r>
    </w:p>
    <w:p w14:paraId="7802FB83" w14:textId="77777777" w:rsidR="005B6F6A" w:rsidRPr="00FC3011" w:rsidRDefault="005B6F6A" w:rsidP="005B6F6A">
      <w:pPr>
        <w:spacing w:after="0"/>
        <w:ind w:left="720"/>
        <w:rPr>
          <w:rFonts w:ascii="Times New Roman" w:eastAsia="Times New Roman" w:hAnsi="Times New Roman" w:cs="Times New Roman"/>
        </w:rPr>
      </w:pPr>
    </w:p>
    <w:p w14:paraId="2577C747" w14:textId="3ED3942A" w:rsidR="005B6F6A" w:rsidRPr="00FC3011" w:rsidRDefault="005B6F6A" w:rsidP="005B6F6A">
      <w:pPr>
        <w:spacing w:after="0"/>
        <w:ind w:left="720"/>
        <w:rPr>
          <w:rFonts w:ascii="Times New Roman" w:eastAsia="Times New Roman" w:hAnsi="Times New Roman" w:cs="Times New Roman"/>
        </w:rPr>
      </w:pPr>
      <w:r w:rsidRPr="00FC3011">
        <w:rPr>
          <w:rFonts w:ascii="Times New Roman" w:eastAsia="Times New Roman" w:hAnsi="Times New Roman" w:cs="Times New Roman"/>
        </w:rPr>
        <w:t>A sample MOU has been included in the Notice to help communities start.</w:t>
      </w:r>
    </w:p>
    <w:p w14:paraId="7F24BDD7" w14:textId="77777777" w:rsidR="005B6F6A" w:rsidRPr="00FC3011" w:rsidRDefault="005B6F6A" w:rsidP="005B6F6A">
      <w:pPr>
        <w:spacing w:after="0" w:line="240" w:lineRule="auto"/>
        <w:ind w:left="720"/>
        <w:rPr>
          <w:rFonts w:ascii="Times New Roman" w:eastAsia="Times New Roman" w:hAnsi="Times New Roman" w:cs="Times New Roman"/>
        </w:rPr>
      </w:pPr>
    </w:p>
    <w:p w14:paraId="4A1C2C1A" w14:textId="438A066C" w:rsidR="00BE2B56" w:rsidRPr="00FC3011" w:rsidRDefault="00BE2B56" w:rsidP="00CB7838">
      <w:pPr>
        <w:pStyle w:val="ListParagraph"/>
        <w:numPr>
          <w:ilvl w:val="0"/>
          <w:numId w:val="29"/>
        </w:numPr>
        <w:tabs>
          <w:tab w:val="left" w:pos="360"/>
        </w:tabs>
        <w:spacing w:line="251" w:lineRule="auto"/>
        <w:rPr>
          <w:rFonts w:ascii="Times New Roman" w:eastAsia="Times New Roman" w:hAnsi="Times New Roman" w:cs="Times New Roman"/>
          <w:b/>
          <w:bCs/>
        </w:rPr>
      </w:pPr>
      <w:r w:rsidRPr="00FC3011">
        <w:rPr>
          <w:rFonts w:ascii="Times New Roman" w:eastAsia="Times New Roman" w:hAnsi="Times New Roman" w:cs="Times New Roman"/>
          <w:b/>
          <w:bCs/>
        </w:rPr>
        <w:t xml:space="preserve">How do service providers outside of the </w:t>
      </w:r>
      <w:proofErr w:type="spellStart"/>
      <w:r w:rsidRPr="00FC3011">
        <w:rPr>
          <w:rFonts w:ascii="Times New Roman" w:eastAsia="Times New Roman" w:hAnsi="Times New Roman" w:cs="Times New Roman"/>
          <w:b/>
          <w:bCs/>
        </w:rPr>
        <w:t>CoC</w:t>
      </w:r>
      <w:proofErr w:type="spellEnd"/>
      <w:r w:rsidRPr="00FC3011">
        <w:rPr>
          <w:rFonts w:ascii="Times New Roman" w:eastAsia="Times New Roman" w:hAnsi="Times New Roman" w:cs="Times New Roman"/>
          <w:b/>
          <w:bCs/>
        </w:rPr>
        <w:t xml:space="preserve"> scope (e.g. victims of domestic violence, sexual assault, stalking, dating violence, and human trafficking) facilitate referrals to the PHA? With whom does the PHA enter into an MOU for this purpose? </w:t>
      </w:r>
    </w:p>
    <w:p w14:paraId="3B27C7F4" w14:textId="6BB0AB7E" w:rsidR="00BE2B56" w:rsidRPr="00FC3011" w:rsidRDefault="00BE2B56" w:rsidP="00BE2B56">
      <w:pPr>
        <w:ind w:left="720"/>
        <w:rPr>
          <w:rFonts w:ascii="Times New Roman" w:eastAsia="Times New Roman" w:hAnsi="Times New Roman" w:cs="Times New Roman"/>
        </w:rPr>
      </w:pPr>
      <w:r w:rsidRPr="00FC3011">
        <w:rPr>
          <w:rFonts w:ascii="Times New Roman" w:eastAsia="Times New Roman" w:hAnsi="Times New Roman" w:cs="Times New Roman"/>
        </w:rPr>
        <w:t xml:space="preserve">In some communities, Victim Service Providers may be a partner within the community’s Coordinated Entry system.  In such instances, VSPs will work with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to refer qualified households to PHAs.</w:t>
      </w:r>
    </w:p>
    <w:p w14:paraId="62EFA8DC" w14:textId="05959E09" w:rsidR="005B6F6A" w:rsidRPr="00FC3011" w:rsidRDefault="00BE2B56" w:rsidP="00BE2B56">
      <w:pPr>
        <w:ind w:left="720"/>
        <w:rPr>
          <w:rFonts w:ascii="Times New Roman" w:eastAsia="Times New Roman" w:hAnsi="Times New Roman" w:cs="Times New Roman"/>
        </w:rPr>
      </w:pPr>
      <w:r w:rsidRPr="00FC3011">
        <w:rPr>
          <w:rFonts w:ascii="Times New Roman" w:eastAsia="Times New Roman" w:hAnsi="Times New Roman" w:cs="Times New Roman"/>
        </w:rPr>
        <w:t xml:space="preserve">In communities where VSPs are not a partner within the </w:t>
      </w:r>
      <w:proofErr w:type="spellStart"/>
      <w:r w:rsidRPr="00FC3011">
        <w:rPr>
          <w:rFonts w:ascii="Times New Roman" w:eastAsia="Times New Roman" w:hAnsi="Times New Roman" w:cs="Times New Roman"/>
        </w:rPr>
        <w:t>CoC’s</w:t>
      </w:r>
      <w:proofErr w:type="spellEnd"/>
      <w:r w:rsidRPr="00FC3011">
        <w:rPr>
          <w:rFonts w:ascii="Times New Roman" w:eastAsia="Times New Roman" w:hAnsi="Times New Roman" w:cs="Times New Roman"/>
        </w:rPr>
        <w:t xml:space="preserve"> Coordinated Entry process, PHAs must enter into a MOU with respective partners outlining each entit</w:t>
      </w:r>
      <w:r w:rsidR="0063134C" w:rsidRPr="00FC3011">
        <w:rPr>
          <w:rFonts w:ascii="Times New Roman" w:eastAsia="Times New Roman" w:hAnsi="Times New Roman" w:cs="Times New Roman"/>
        </w:rPr>
        <w:t>y’s</w:t>
      </w:r>
      <w:r w:rsidRPr="00FC3011">
        <w:rPr>
          <w:rFonts w:ascii="Times New Roman" w:eastAsia="Times New Roman" w:hAnsi="Times New Roman" w:cs="Times New Roman"/>
        </w:rPr>
        <w:t xml:space="preserve"> roles and responsibilities while developing consistent and equitable protocols and procedures governing referrals to the PHA.  HUD recognizes that each community is unique, and PIH Notice 2021-15 provides communities the flexibility to develop procedures that work best on a local level.</w:t>
      </w:r>
    </w:p>
    <w:p w14:paraId="1F2DD890" w14:textId="77777777" w:rsidR="005B6F6A" w:rsidRPr="00FC3011" w:rsidRDefault="005B6F6A" w:rsidP="00CB7838">
      <w:pPr>
        <w:pStyle w:val="ListParagraph"/>
        <w:numPr>
          <w:ilvl w:val="0"/>
          <w:numId w:val="29"/>
        </w:numPr>
        <w:tabs>
          <w:tab w:val="left" w:pos="360"/>
        </w:tabs>
        <w:spacing w:line="251" w:lineRule="auto"/>
        <w:rPr>
          <w:rFonts w:ascii="Times New Roman" w:eastAsia="Times New Roman" w:hAnsi="Times New Roman" w:cs="Times New Roman"/>
          <w:b/>
          <w:bCs/>
        </w:rPr>
      </w:pPr>
      <w:r w:rsidRPr="00FC3011">
        <w:rPr>
          <w:rFonts w:ascii="Times New Roman" w:eastAsia="Times New Roman" w:hAnsi="Times New Roman" w:cs="Times New Roman"/>
          <w:b/>
          <w:bCs/>
        </w:rPr>
        <w:t xml:space="preserve">What happens if the PHA and </w:t>
      </w:r>
      <w:proofErr w:type="spellStart"/>
      <w:r w:rsidRPr="00FC3011">
        <w:rPr>
          <w:rFonts w:ascii="Times New Roman" w:eastAsia="Times New Roman" w:hAnsi="Times New Roman" w:cs="Times New Roman"/>
          <w:b/>
          <w:bCs/>
        </w:rPr>
        <w:t>CoC</w:t>
      </w:r>
      <w:proofErr w:type="spellEnd"/>
      <w:r w:rsidRPr="00FC3011">
        <w:rPr>
          <w:rFonts w:ascii="Times New Roman" w:eastAsia="Times New Roman" w:hAnsi="Times New Roman" w:cs="Times New Roman"/>
          <w:b/>
          <w:bCs/>
        </w:rPr>
        <w:t>(s) cannot agree on the terms of an MOU?</w:t>
      </w:r>
    </w:p>
    <w:p w14:paraId="0DAFDFBB" w14:textId="48A9DF3B" w:rsidR="005B6F6A" w:rsidRPr="00FC3011" w:rsidRDefault="005B6F6A" w:rsidP="005B6F6A">
      <w:pPr>
        <w:spacing w:after="0"/>
        <w:ind w:left="720"/>
        <w:rPr>
          <w:rFonts w:ascii="Times New Roman" w:eastAsia="Times New Roman" w:hAnsi="Times New Roman" w:cs="Times New Roman"/>
        </w:rPr>
      </w:pPr>
      <w:r w:rsidRPr="00FC3011">
        <w:rPr>
          <w:rFonts w:ascii="Times New Roman" w:eastAsia="Times New Roman" w:hAnsi="Times New Roman" w:cs="Times New Roman"/>
        </w:rPr>
        <w:t xml:space="preserve">If you are having difficulties entering into a MOU, please email </w:t>
      </w:r>
      <w:hyperlink r:id="rId32">
        <w:r w:rsidRPr="00FC3011">
          <w:rPr>
            <w:rStyle w:val="Hyperlink"/>
            <w:rFonts w:ascii="Times New Roman" w:hAnsi="Times New Roman" w:cs="Times New Roman"/>
          </w:rPr>
          <w:t>EHV@hud.gov</w:t>
        </w:r>
      </w:hyperlink>
      <w:r w:rsidRPr="00FC3011">
        <w:rPr>
          <w:rStyle w:val="Hyperlink"/>
          <w:rFonts w:ascii="Times New Roman" w:hAnsi="Times New Roman" w:cs="Times New Roman"/>
        </w:rPr>
        <w:t>.</w:t>
      </w:r>
      <w:r w:rsidRPr="00FC3011">
        <w:rPr>
          <w:rFonts w:ascii="Times New Roman" w:eastAsia="Times New Roman" w:hAnsi="Times New Roman" w:cs="Times New Roman"/>
        </w:rPr>
        <w:t xml:space="preserve">  The HUD EHV team regularly monitors this mailbox.  HUD will be able to provide technical assistance to you and your community.</w:t>
      </w:r>
    </w:p>
    <w:p w14:paraId="2F26D12A" w14:textId="77777777" w:rsidR="005B6F6A" w:rsidRPr="00FC3011" w:rsidRDefault="005B6F6A" w:rsidP="005B6F6A">
      <w:pPr>
        <w:spacing w:after="0" w:line="240" w:lineRule="auto"/>
        <w:ind w:left="720"/>
        <w:rPr>
          <w:rFonts w:ascii="Times New Roman" w:eastAsia="Times New Roman" w:hAnsi="Times New Roman" w:cs="Times New Roman"/>
        </w:rPr>
      </w:pPr>
    </w:p>
    <w:p w14:paraId="7F3315FD" w14:textId="3EB454A2" w:rsidR="005B6F6A" w:rsidRPr="00FC3011" w:rsidRDefault="005B6F6A" w:rsidP="00CB7838">
      <w:pPr>
        <w:pStyle w:val="ListParagraph"/>
        <w:numPr>
          <w:ilvl w:val="0"/>
          <w:numId w:val="29"/>
        </w:numPr>
        <w:tabs>
          <w:tab w:val="left" w:pos="360"/>
        </w:tabs>
        <w:spacing w:line="251" w:lineRule="auto"/>
        <w:rPr>
          <w:rFonts w:ascii="Times New Roman" w:eastAsia="Times New Roman" w:hAnsi="Times New Roman" w:cs="Times New Roman"/>
          <w:b/>
          <w:bCs/>
        </w:rPr>
      </w:pPr>
      <w:r w:rsidRPr="00FC3011">
        <w:rPr>
          <w:rFonts w:ascii="Times New Roman" w:eastAsia="Times New Roman" w:hAnsi="Times New Roman" w:cs="Times New Roman"/>
          <w:b/>
          <w:bCs/>
        </w:rPr>
        <w:t xml:space="preserve">Can you clarify if or how the agencies partnering with PHAs on EHVs are paid? If the </w:t>
      </w:r>
      <w:proofErr w:type="spellStart"/>
      <w:r w:rsidRPr="00FC3011">
        <w:rPr>
          <w:rFonts w:ascii="Times New Roman" w:eastAsia="Times New Roman" w:hAnsi="Times New Roman" w:cs="Times New Roman"/>
          <w:b/>
          <w:bCs/>
        </w:rPr>
        <w:t>CoC</w:t>
      </w:r>
      <w:proofErr w:type="spellEnd"/>
      <w:r w:rsidRPr="00FC3011">
        <w:rPr>
          <w:rFonts w:ascii="Times New Roman" w:eastAsia="Times New Roman" w:hAnsi="Times New Roman" w:cs="Times New Roman"/>
          <w:b/>
          <w:bCs/>
        </w:rPr>
        <w:t xml:space="preserve">   or VSP refers a family, or assists the family, does the PHA pay them by way of the services fee, or out of the admin fee?  And if so, at what rate? Or are the partnering agencies </w:t>
      </w:r>
      <w:proofErr w:type="gramStart"/>
      <w:r w:rsidRPr="00FC3011">
        <w:rPr>
          <w:rFonts w:ascii="Times New Roman" w:eastAsia="Times New Roman" w:hAnsi="Times New Roman" w:cs="Times New Roman"/>
          <w:b/>
          <w:bCs/>
        </w:rPr>
        <w:t>paid</w:t>
      </w:r>
      <w:proofErr w:type="gramEnd"/>
      <w:r w:rsidRPr="00FC3011">
        <w:rPr>
          <w:rFonts w:ascii="Times New Roman" w:eastAsia="Times New Roman" w:hAnsi="Times New Roman" w:cs="Times New Roman"/>
          <w:b/>
          <w:bCs/>
        </w:rPr>
        <w:t xml:space="preserve"> some other way?</w:t>
      </w:r>
    </w:p>
    <w:p w14:paraId="4D3EB9F7" w14:textId="3C875973" w:rsidR="005B6F6A" w:rsidRPr="00FC3011" w:rsidRDefault="005B6F6A" w:rsidP="005B6F6A">
      <w:pPr>
        <w:spacing w:after="0"/>
        <w:ind w:left="720"/>
        <w:rPr>
          <w:rFonts w:ascii="Times New Roman" w:eastAsia="Times New Roman" w:hAnsi="Times New Roman" w:cs="Times New Roman"/>
        </w:rPr>
      </w:pPr>
      <w:r w:rsidRPr="00FC3011">
        <w:rPr>
          <w:rFonts w:ascii="Times New Roman" w:eastAsia="Times New Roman" w:hAnsi="Times New Roman" w:cs="Times New Roman"/>
        </w:rPr>
        <w:t xml:space="preserve">Paying a fee to a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V</w:t>
      </w:r>
      <w:r w:rsidR="00825CFD" w:rsidRPr="00FC3011">
        <w:rPr>
          <w:rFonts w:ascii="Times New Roman" w:eastAsia="Times New Roman" w:hAnsi="Times New Roman" w:cs="Times New Roman"/>
        </w:rPr>
        <w:t>SP</w:t>
      </w:r>
      <w:r w:rsidRPr="00FC3011">
        <w:rPr>
          <w:rFonts w:ascii="Times New Roman" w:eastAsia="Times New Roman" w:hAnsi="Times New Roman" w:cs="Times New Roman"/>
        </w:rPr>
        <w:t xml:space="preserve">, or other partnering agency for a referral is not an eligible use of the EHV funding. Section 6 of PIH Notice 2021-15 defines the administrative fees and funding for other eligible expenses a PHA administering EHVs may receive. The use of this funding is limited to the activities defined in the notice. </w:t>
      </w:r>
    </w:p>
    <w:p w14:paraId="7A71285F" w14:textId="77777777" w:rsidR="005B6F6A" w:rsidRPr="00FC3011" w:rsidRDefault="005B6F6A" w:rsidP="005B6F6A">
      <w:pPr>
        <w:spacing w:after="0" w:line="240" w:lineRule="auto"/>
        <w:ind w:left="720"/>
        <w:rPr>
          <w:rFonts w:ascii="Times New Roman" w:eastAsia="Times New Roman" w:hAnsi="Times New Roman" w:cs="Times New Roman"/>
        </w:rPr>
      </w:pPr>
    </w:p>
    <w:p w14:paraId="6226B713" w14:textId="34654CA5" w:rsidR="005B6F6A" w:rsidRPr="00FC3011" w:rsidRDefault="005B6F6A" w:rsidP="005B6F6A">
      <w:pPr>
        <w:spacing w:after="0"/>
        <w:ind w:left="720"/>
        <w:rPr>
          <w:rFonts w:ascii="Times New Roman" w:eastAsia="Times New Roman" w:hAnsi="Times New Roman" w:cs="Times New Roman"/>
        </w:rPr>
      </w:pPr>
      <w:r w:rsidRPr="00FC3011">
        <w:rPr>
          <w:rFonts w:ascii="Times New Roman" w:eastAsia="Times New Roman" w:hAnsi="Times New Roman" w:cs="Times New Roman"/>
        </w:rPr>
        <w:t xml:space="preserve">A PHA may enter into an agreement, through the MOU for the EHV program, to reimburse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or other partnering service agencies for </w:t>
      </w:r>
      <w:r w:rsidR="0063134C" w:rsidRPr="00FC3011">
        <w:rPr>
          <w:rFonts w:ascii="Times New Roman" w:eastAsia="Times New Roman" w:hAnsi="Times New Roman" w:cs="Times New Roman"/>
        </w:rPr>
        <w:t xml:space="preserve">EHV </w:t>
      </w:r>
      <w:r w:rsidRPr="00FC3011">
        <w:rPr>
          <w:rFonts w:ascii="Times New Roman" w:eastAsia="Times New Roman" w:hAnsi="Times New Roman" w:cs="Times New Roman"/>
        </w:rPr>
        <w:t xml:space="preserve">eligible expenses. For example, housing search assistance is required to be made available to EHV families during their initial housing search. </w:t>
      </w:r>
      <w:r w:rsidRPr="00FC3011">
        <w:rPr>
          <w:rFonts w:ascii="Times New Roman" w:eastAsia="Times New Roman" w:hAnsi="Times New Roman" w:cs="Times New Roman"/>
        </w:rPr>
        <w:lastRenderedPageBreak/>
        <w:t xml:space="preserve">Housing search assistance may be provided directly by the PHA or through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or another agency or entity. Where housing search assistance is being provided by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or another agency or entity, the PHA may reimburse that entity for the eligible activities as defined in the agreement.</w:t>
      </w:r>
    </w:p>
    <w:p w14:paraId="024A49C5" w14:textId="77777777" w:rsidR="005B6F6A" w:rsidRPr="00FC3011" w:rsidRDefault="005B6F6A" w:rsidP="005B6F6A">
      <w:pPr>
        <w:spacing w:after="0" w:line="240" w:lineRule="auto"/>
        <w:ind w:left="720"/>
        <w:rPr>
          <w:rFonts w:ascii="Times New Roman" w:eastAsia="Times New Roman" w:hAnsi="Times New Roman" w:cs="Times New Roman"/>
        </w:rPr>
      </w:pPr>
      <w:r w:rsidRPr="00FC3011">
        <w:rPr>
          <w:rFonts w:ascii="Times New Roman" w:eastAsia="Times New Roman" w:hAnsi="Times New Roman" w:cs="Times New Roman"/>
        </w:rPr>
        <w:t xml:space="preserve"> </w:t>
      </w:r>
    </w:p>
    <w:p w14:paraId="3B643627" w14:textId="7826698D" w:rsidR="00983E0F" w:rsidRPr="00FC3011" w:rsidRDefault="005B6F6A" w:rsidP="005B6F6A">
      <w:pPr>
        <w:spacing w:after="0"/>
        <w:ind w:left="720"/>
        <w:rPr>
          <w:rFonts w:ascii="Times New Roman" w:eastAsia="Times New Roman" w:hAnsi="Times New Roman" w:cs="Times New Roman"/>
        </w:rPr>
      </w:pPr>
      <w:r w:rsidRPr="00FC3011">
        <w:rPr>
          <w:rFonts w:ascii="Times New Roman" w:eastAsia="Times New Roman" w:hAnsi="Times New Roman" w:cs="Times New Roman"/>
        </w:rPr>
        <w:t xml:space="preserve">As a reminder,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funds may be used to cover many of the costs associated with the EHV Program. For example, Coordinated Entry (CE) grants can be used to cover the CE costs, and RRH funds can be used to assist with housing location etc. In addition, Homeless Emergency Solutions Grants (ESG)-CV funds may be used for referrals, housing location, and other costs, including outreach, essential services in emergency shelter, RRH, and homeless</w:t>
      </w:r>
      <w:r w:rsidR="0063134C" w:rsidRPr="00FC3011">
        <w:rPr>
          <w:rFonts w:ascii="Times New Roman" w:eastAsia="Times New Roman" w:hAnsi="Times New Roman" w:cs="Times New Roman"/>
        </w:rPr>
        <w:t>ness</w:t>
      </w:r>
      <w:r w:rsidRPr="00FC3011">
        <w:rPr>
          <w:rFonts w:ascii="Times New Roman" w:eastAsia="Times New Roman" w:hAnsi="Times New Roman" w:cs="Times New Roman"/>
        </w:rPr>
        <w:t xml:space="preserve"> prevention.</w:t>
      </w:r>
    </w:p>
    <w:p w14:paraId="3C09D20B" w14:textId="1CD2691F" w:rsidR="00E81A49" w:rsidRPr="00FC3011" w:rsidRDefault="00E81A49" w:rsidP="005B6F6A">
      <w:pPr>
        <w:spacing w:after="0"/>
        <w:ind w:left="720"/>
        <w:rPr>
          <w:rFonts w:ascii="Times New Roman" w:eastAsia="Times New Roman" w:hAnsi="Times New Roman" w:cs="Times New Roman"/>
        </w:rPr>
      </w:pPr>
    </w:p>
    <w:p w14:paraId="2AD509C2" w14:textId="34129355" w:rsidR="00B22989" w:rsidRPr="00FC3011" w:rsidRDefault="440AE88C" w:rsidP="00CB7838">
      <w:pPr>
        <w:pStyle w:val="ListParagraph"/>
        <w:numPr>
          <w:ilvl w:val="0"/>
          <w:numId w:val="29"/>
        </w:numPr>
        <w:tabs>
          <w:tab w:val="left" w:pos="360"/>
        </w:tabs>
        <w:spacing w:after="0" w:line="251" w:lineRule="auto"/>
        <w:rPr>
          <w:rFonts w:ascii="Times New Roman" w:hAnsi="Times New Roman" w:cs="Times New Roman"/>
          <w:b/>
          <w:bCs/>
        </w:rPr>
      </w:pPr>
      <w:r w:rsidRPr="00FC3011">
        <w:rPr>
          <w:rFonts w:ascii="Times New Roman" w:eastAsia="Times New Roman" w:hAnsi="Times New Roman" w:cs="Times New Roman"/>
          <w:b/>
          <w:bCs/>
        </w:rPr>
        <w:t xml:space="preserve">Can the </w:t>
      </w:r>
      <w:proofErr w:type="spellStart"/>
      <w:r w:rsidRPr="00FC3011">
        <w:rPr>
          <w:rFonts w:ascii="Times New Roman" w:eastAsia="Times New Roman" w:hAnsi="Times New Roman" w:cs="Times New Roman"/>
          <w:b/>
          <w:bCs/>
        </w:rPr>
        <w:t>CoC</w:t>
      </w:r>
      <w:proofErr w:type="spellEnd"/>
      <w:r w:rsidRPr="00FC3011">
        <w:rPr>
          <w:rFonts w:ascii="Times New Roman" w:eastAsia="Times New Roman" w:hAnsi="Times New Roman" w:cs="Times New Roman"/>
          <w:b/>
          <w:bCs/>
        </w:rPr>
        <w:t xml:space="preserve"> Governance Board Chair sign the MOU or should we use our Collaborative Applicant?</w:t>
      </w:r>
      <w:r w:rsidR="52E78FE2" w:rsidRPr="00FC3011">
        <w:rPr>
          <w:rFonts w:ascii="Times New Roman" w:eastAsia="Times New Roman" w:hAnsi="Times New Roman" w:cs="Times New Roman"/>
          <w:b/>
          <w:bCs/>
        </w:rPr>
        <w:t xml:space="preserve"> </w:t>
      </w:r>
      <w:r w:rsidR="402AF49E" w:rsidRPr="00FC3011">
        <w:rPr>
          <w:rFonts w:ascii="Times New Roman" w:eastAsia="Times New Roman" w:hAnsi="Times New Roman" w:cs="Times New Roman"/>
          <w:b/>
          <w:bCs/>
          <w:color w:val="C00000"/>
        </w:rPr>
        <w:t xml:space="preserve"> </w:t>
      </w:r>
    </w:p>
    <w:p w14:paraId="5591DED1" w14:textId="09C60C3C" w:rsidR="00B22989" w:rsidRPr="00FC3011" w:rsidRDefault="00B22989" w:rsidP="25A5E2D2">
      <w:pPr>
        <w:pStyle w:val="ListParagraph"/>
        <w:tabs>
          <w:tab w:val="left" w:pos="360"/>
        </w:tabs>
        <w:spacing w:after="0" w:line="251" w:lineRule="auto"/>
        <w:rPr>
          <w:rFonts w:ascii="Times New Roman" w:hAnsi="Times New Roman" w:cs="Times New Roman"/>
          <w:b/>
          <w:bCs/>
        </w:rPr>
      </w:pPr>
    </w:p>
    <w:p w14:paraId="60F8AAE8" w14:textId="119ED0F8" w:rsidR="002A113E" w:rsidRPr="00FC3011" w:rsidRDefault="70F5348B" w:rsidP="004F40D2">
      <w:pPr>
        <w:pStyle w:val="ListParagraph"/>
        <w:tabs>
          <w:tab w:val="left" w:pos="360"/>
        </w:tabs>
        <w:spacing w:after="0" w:line="251" w:lineRule="auto"/>
        <w:rPr>
          <w:rFonts w:ascii="Times New Roman" w:eastAsia="Times New Roman" w:hAnsi="Times New Roman" w:cs="Times New Roman"/>
        </w:rPr>
      </w:pPr>
      <w:r w:rsidRPr="00FC3011">
        <w:rPr>
          <w:rFonts w:ascii="Times New Roman" w:eastAsia="Times New Roman" w:hAnsi="Times New Roman" w:cs="Times New Roman"/>
        </w:rPr>
        <w:t>H</w:t>
      </w:r>
      <w:r w:rsidR="440AE88C" w:rsidRPr="00FC3011">
        <w:rPr>
          <w:rFonts w:ascii="Times New Roman" w:eastAsia="Times New Roman" w:hAnsi="Times New Roman" w:cs="Times New Roman"/>
        </w:rPr>
        <w:t xml:space="preserve">UD is not requiring a specific entity from the </w:t>
      </w:r>
      <w:proofErr w:type="spellStart"/>
      <w:r w:rsidR="440AE88C" w:rsidRPr="00FC3011">
        <w:rPr>
          <w:rFonts w:ascii="Times New Roman" w:eastAsia="Times New Roman" w:hAnsi="Times New Roman" w:cs="Times New Roman"/>
        </w:rPr>
        <w:t>CoC</w:t>
      </w:r>
      <w:proofErr w:type="spellEnd"/>
      <w:r w:rsidR="440AE88C" w:rsidRPr="00FC3011">
        <w:rPr>
          <w:rFonts w:ascii="Times New Roman" w:eastAsia="Times New Roman" w:hAnsi="Times New Roman" w:cs="Times New Roman"/>
        </w:rPr>
        <w:t xml:space="preserve"> to sign the MOU for EHVs. </w:t>
      </w:r>
      <w:r w:rsidR="6CED7487" w:rsidRPr="00FC3011">
        <w:rPr>
          <w:rFonts w:ascii="Times New Roman" w:eastAsia="Times New Roman" w:hAnsi="Times New Roman" w:cs="Times New Roman"/>
        </w:rPr>
        <w:t>The signatory</w:t>
      </w:r>
      <w:r w:rsidR="440AE88C" w:rsidRPr="00FC3011">
        <w:rPr>
          <w:rFonts w:ascii="Times New Roman" w:eastAsia="Times New Roman" w:hAnsi="Times New Roman" w:cs="Times New Roman"/>
        </w:rPr>
        <w:t xml:space="preserve"> must be a person or entity that has the authority of the </w:t>
      </w:r>
      <w:proofErr w:type="spellStart"/>
      <w:r w:rsidR="440AE88C" w:rsidRPr="00FC3011">
        <w:rPr>
          <w:rFonts w:ascii="Times New Roman" w:eastAsia="Times New Roman" w:hAnsi="Times New Roman" w:cs="Times New Roman"/>
        </w:rPr>
        <w:t>CoC</w:t>
      </w:r>
      <w:proofErr w:type="spellEnd"/>
      <w:r w:rsidR="440AE88C" w:rsidRPr="00FC3011">
        <w:rPr>
          <w:rFonts w:ascii="Times New Roman" w:eastAsia="Times New Roman" w:hAnsi="Times New Roman" w:cs="Times New Roman"/>
        </w:rPr>
        <w:t xml:space="preserve"> to sign documents on behalf of the </w:t>
      </w:r>
      <w:proofErr w:type="spellStart"/>
      <w:r w:rsidR="440AE88C" w:rsidRPr="00FC3011">
        <w:rPr>
          <w:rFonts w:ascii="Times New Roman" w:eastAsia="Times New Roman" w:hAnsi="Times New Roman" w:cs="Times New Roman"/>
        </w:rPr>
        <w:t>CoC</w:t>
      </w:r>
      <w:proofErr w:type="spellEnd"/>
      <w:r w:rsidR="440AE88C" w:rsidRPr="00FC3011">
        <w:rPr>
          <w:rFonts w:ascii="Times New Roman" w:eastAsia="Times New Roman" w:hAnsi="Times New Roman" w:cs="Times New Roman"/>
        </w:rPr>
        <w:t>.   </w:t>
      </w:r>
    </w:p>
    <w:p w14:paraId="1AC6C7E5" w14:textId="77777777" w:rsidR="005B6F6A" w:rsidRPr="00FC3011" w:rsidRDefault="005B6F6A" w:rsidP="005B6F6A">
      <w:pPr>
        <w:pStyle w:val="paragraph"/>
        <w:spacing w:before="0" w:beforeAutospacing="0" w:after="0" w:afterAutospacing="0"/>
        <w:textAlignment w:val="baseline"/>
        <w:rPr>
          <w:b/>
          <w:bCs/>
          <w:sz w:val="22"/>
          <w:szCs w:val="22"/>
        </w:rPr>
      </w:pPr>
    </w:p>
    <w:p w14:paraId="56EF5762" w14:textId="1B6FB5B1" w:rsidR="005B6F6A" w:rsidRPr="00EE7DB8" w:rsidRDefault="440AE88C" w:rsidP="00CB7838">
      <w:pPr>
        <w:pStyle w:val="ListParagraph"/>
        <w:numPr>
          <w:ilvl w:val="0"/>
          <w:numId w:val="29"/>
        </w:numPr>
        <w:tabs>
          <w:tab w:val="left" w:pos="360"/>
        </w:tabs>
        <w:spacing w:line="251" w:lineRule="auto"/>
        <w:rPr>
          <w:rFonts w:ascii="Times New Roman" w:eastAsia="Times New Roman" w:hAnsi="Times New Roman" w:cs="Times New Roman"/>
          <w:b/>
          <w:bCs/>
        </w:rPr>
      </w:pPr>
      <w:bookmarkStart w:id="7" w:name="_Hlk95379872"/>
      <w:bookmarkStart w:id="8" w:name="_Hlk95379932"/>
      <w:r w:rsidRPr="00EE7DB8">
        <w:rPr>
          <w:rFonts w:ascii="Times New Roman" w:eastAsia="Times New Roman" w:hAnsi="Times New Roman" w:cs="Times New Roman"/>
          <w:b/>
          <w:bCs/>
        </w:rPr>
        <w:t>Are PHAs allowed to accept referrals outside the Coordinated Entry system if the CE system does not have anyone on the list from multiple eligible categories? </w:t>
      </w:r>
      <w:r w:rsidR="00864065" w:rsidRPr="00EE7DB8">
        <w:rPr>
          <w:rFonts w:ascii="Times New Roman" w:eastAsia="Times New Roman" w:hAnsi="Times New Roman" w:cs="Times New Roman"/>
          <w:b/>
          <w:bCs/>
          <w:color w:val="C00000"/>
        </w:rPr>
        <w:t>(UPDATED)</w:t>
      </w:r>
    </w:p>
    <w:bookmarkEnd w:id="7"/>
    <w:bookmarkEnd w:id="8"/>
    <w:p w14:paraId="5AA48A0B" w14:textId="77777777" w:rsidR="00E400BD" w:rsidRDefault="00E400BD" w:rsidP="00E400BD">
      <w:pPr>
        <w:pStyle w:val="ListParagraph"/>
        <w:tabs>
          <w:tab w:val="left" w:pos="360"/>
        </w:tabs>
        <w:spacing w:line="247" w:lineRule="auto"/>
        <w:rPr>
          <w:rFonts w:ascii="Times New Roman" w:eastAsia="Times New Roman" w:hAnsi="Times New Roman" w:cs="Times New Roman"/>
        </w:rPr>
      </w:pPr>
    </w:p>
    <w:p w14:paraId="5FD98C52" w14:textId="0CC77372" w:rsidR="00E400BD" w:rsidRDefault="00E400BD" w:rsidP="00E400BD">
      <w:pPr>
        <w:pStyle w:val="ListParagraph"/>
        <w:tabs>
          <w:tab w:val="left" w:pos="360"/>
        </w:tabs>
        <w:spacing w:line="247" w:lineRule="auto"/>
        <w:rPr>
          <w:rFonts w:ascii="Times New Roman" w:eastAsia="Times New Roman" w:hAnsi="Times New Roman" w:cs="Times New Roman"/>
        </w:rPr>
      </w:pPr>
      <w:r>
        <w:rPr>
          <w:rFonts w:ascii="Times New Roman" w:eastAsia="Times New Roman" w:hAnsi="Times New Roman" w:cs="Times New Roman"/>
        </w:rPr>
        <w:t xml:space="preserve">Per Section 9.c of </w:t>
      </w:r>
      <w:hyperlink r:id="rId33" w:history="1">
        <w:r>
          <w:rPr>
            <w:rStyle w:val="Hyperlink"/>
            <w:rFonts w:ascii="Times New Roman" w:eastAsia="Times New Roman" w:hAnsi="Times New Roman" w:cs="Times New Roman"/>
          </w:rPr>
          <w:t>PIH Notice 2021-15</w:t>
        </w:r>
      </w:hyperlink>
      <w:r>
        <w:rPr>
          <w:rFonts w:ascii="Times New Roman" w:eastAsia="Times New Roman" w:hAnsi="Times New Roman" w:cs="Times New Roman"/>
        </w:rPr>
        <w:t>, if the CE system does not have a sufficient number of eligible households, the PHA must enter into a formal partnership with another entity, such as another homeless service provider and/or victim services provider, to receive referrals. </w:t>
      </w:r>
    </w:p>
    <w:p w14:paraId="35DDCF74" w14:textId="77777777" w:rsidR="00E400BD" w:rsidRDefault="00E400BD" w:rsidP="00E400BD">
      <w:pPr>
        <w:pStyle w:val="ListParagraph"/>
        <w:spacing w:before="100" w:beforeAutospacing="1" w:after="100" w:afterAutospacing="1"/>
        <w:rPr>
          <w:rFonts w:ascii="Times New Roman" w:eastAsia="Times New Roman" w:hAnsi="Times New Roman" w:cs="Times New Roman"/>
        </w:rPr>
      </w:pPr>
    </w:p>
    <w:p w14:paraId="5CD0E181" w14:textId="404FA88A" w:rsidR="00E400BD" w:rsidRDefault="00E400BD" w:rsidP="00E400BD">
      <w:pPr>
        <w:pStyle w:val="ListParagraph"/>
        <w:spacing w:before="100" w:beforeAutospacing="1" w:after="100" w:afterAutospacing="1"/>
        <w:rPr>
          <w:rFonts w:ascii="Times New Roman" w:eastAsia="Times New Roman" w:hAnsi="Times New Roman" w:cs="Times New Roman"/>
        </w:rPr>
      </w:pPr>
      <w:r w:rsidRPr="00E400BD">
        <w:rPr>
          <w:rFonts w:ascii="Times New Roman" w:eastAsia="Times New Roman" w:hAnsi="Times New Roman" w:cs="Times New Roman"/>
        </w:rPr>
        <w:t xml:space="preserve">This system should continue to allow for prioritization according to the standards set out in the MOU between the referring organization and the PHA and should be easy to transition to the </w:t>
      </w:r>
      <w:proofErr w:type="spellStart"/>
      <w:r w:rsidRPr="00E400BD">
        <w:rPr>
          <w:rFonts w:ascii="Times New Roman" w:eastAsia="Times New Roman" w:hAnsi="Times New Roman" w:cs="Times New Roman"/>
        </w:rPr>
        <w:t>CoC’s</w:t>
      </w:r>
      <w:proofErr w:type="spellEnd"/>
      <w:r w:rsidRPr="00E400BD">
        <w:rPr>
          <w:rFonts w:ascii="Times New Roman" w:eastAsia="Times New Roman" w:hAnsi="Times New Roman" w:cs="Times New Roman"/>
        </w:rPr>
        <w:t xml:space="preserve"> CE system when it comes online or is able to begin making referrals. PHAs should additionally contact HUD for assistance which may include technical assistance to the </w:t>
      </w:r>
      <w:proofErr w:type="spellStart"/>
      <w:r w:rsidRPr="00E400BD">
        <w:rPr>
          <w:rFonts w:ascii="Times New Roman" w:eastAsia="Times New Roman" w:hAnsi="Times New Roman" w:cs="Times New Roman"/>
        </w:rPr>
        <w:t>CoC</w:t>
      </w:r>
      <w:proofErr w:type="spellEnd"/>
      <w:r w:rsidRPr="00E400BD">
        <w:rPr>
          <w:rFonts w:ascii="Times New Roman" w:eastAsia="Times New Roman" w:hAnsi="Times New Roman" w:cs="Times New Roman"/>
        </w:rPr>
        <w:t xml:space="preserve"> for capacity building. Following notification, HUD will provide additional guidance to the PHA on adoption of direct referrals outside of the CE system if needed). </w:t>
      </w:r>
    </w:p>
    <w:p w14:paraId="4B018C9A" w14:textId="77777777" w:rsidR="00E400BD" w:rsidRPr="00E400BD" w:rsidRDefault="00E400BD" w:rsidP="00E400BD">
      <w:pPr>
        <w:pStyle w:val="ListParagraph"/>
        <w:spacing w:before="100" w:beforeAutospacing="1" w:after="100" w:afterAutospacing="1"/>
        <w:rPr>
          <w:rFonts w:ascii="Segoe UI" w:eastAsia="Times New Roman" w:hAnsi="Segoe UI" w:cs="Segoe UI"/>
          <w:sz w:val="21"/>
          <w:szCs w:val="21"/>
        </w:rPr>
      </w:pPr>
    </w:p>
    <w:p w14:paraId="6058CD62" w14:textId="4B86DE44" w:rsidR="005B6F6A" w:rsidRPr="00FC3011" w:rsidRDefault="440AE88C" w:rsidP="00CB7838">
      <w:pPr>
        <w:pStyle w:val="ListParagraph"/>
        <w:numPr>
          <w:ilvl w:val="0"/>
          <w:numId w:val="29"/>
        </w:numPr>
        <w:tabs>
          <w:tab w:val="left" w:pos="360"/>
        </w:tabs>
        <w:spacing w:line="251" w:lineRule="auto"/>
        <w:rPr>
          <w:rFonts w:ascii="Times New Roman" w:hAnsi="Times New Roman" w:cs="Times New Roman"/>
          <w:b/>
          <w:bCs/>
        </w:rPr>
      </w:pPr>
      <w:r w:rsidRPr="00FC3011">
        <w:rPr>
          <w:rFonts w:ascii="Times New Roman" w:eastAsia="Times New Roman" w:hAnsi="Times New Roman" w:cs="Times New Roman"/>
          <w:b/>
          <w:bCs/>
        </w:rPr>
        <w:t xml:space="preserve">We are in the Balance of State </w:t>
      </w:r>
      <w:proofErr w:type="spellStart"/>
      <w:r w:rsidRPr="00FC3011">
        <w:rPr>
          <w:rFonts w:ascii="Times New Roman" w:eastAsia="Times New Roman" w:hAnsi="Times New Roman" w:cs="Times New Roman"/>
          <w:b/>
          <w:bCs/>
        </w:rPr>
        <w:t>CoC</w:t>
      </w:r>
      <w:proofErr w:type="spellEnd"/>
      <w:r w:rsidR="005B6F6A" w:rsidRPr="00FC3011">
        <w:rPr>
          <w:rStyle w:val="FootnoteReference"/>
          <w:rFonts w:ascii="Times New Roman" w:eastAsia="Times New Roman" w:hAnsi="Times New Roman" w:cs="Times New Roman"/>
          <w:b/>
          <w:bCs/>
        </w:rPr>
        <w:footnoteReference w:id="2"/>
      </w:r>
      <w:r w:rsidRPr="00FC3011">
        <w:rPr>
          <w:rFonts w:ascii="Times New Roman" w:eastAsia="Times New Roman" w:hAnsi="Times New Roman" w:cs="Times New Roman"/>
          <w:b/>
          <w:bCs/>
        </w:rPr>
        <w:t xml:space="preserve">, but we have a local homeless coalition. Can we              work with the local organization, or do we have to use a HUD recognized </w:t>
      </w:r>
      <w:proofErr w:type="spellStart"/>
      <w:r w:rsidRPr="00FC3011">
        <w:rPr>
          <w:rFonts w:ascii="Times New Roman" w:eastAsia="Times New Roman" w:hAnsi="Times New Roman" w:cs="Times New Roman"/>
          <w:b/>
          <w:bCs/>
        </w:rPr>
        <w:t>CoC</w:t>
      </w:r>
      <w:proofErr w:type="spellEnd"/>
      <w:r w:rsidRPr="00FC3011">
        <w:rPr>
          <w:rFonts w:ascii="Times New Roman" w:eastAsia="Times New Roman" w:hAnsi="Times New Roman" w:cs="Times New Roman"/>
          <w:b/>
          <w:bCs/>
        </w:rPr>
        <w:t>? </w:t>
      </w:r>
    </w:p>
    <w:p w14:paraId="49CC158C" w14:textId="77777777" w:rsidR="005B6F6A" w:rsidRPr="00FC3011" w:rsidRDefault="005B6F6A" w:rsidP="005B6F6A">
      <w:pPr>
        <w:pStyle w:val="ListParagraph"/>
        <w:spacing w:after="0" w:line="240" w:lineRule="auto"/>
        <w:textAlignment w:val="baseline"/>
        <w:rPr>
          <w:rFonts w:ascii="Times New Roman" w:eastAsia="Times New Roman" w:hAnsi="Times New Roman" w:cs="Times New Roman"/>
          <w:b/>
          <w:bCs/>
        </w:rPr>
      </w:pPr>
    </w:p>
    <w:p w14:paraId="35638536" w14:textId="00932038" w:rsidR="005B6F6A" w:rsidRPr="00FC3011" w:rsidRDefault="005B6F6A" w:rsidP="005B6F6A">
      <w:pPr>
        <w:spacing w:after="0"/>
        <w:ind w:left="720"/>
        <w:rPr>
          <w:rFonts w:ascii="Times New Roman" w:eastAsia="Times New Roman" w:hAnsi="Times New Roman" w:cs="Times New Roman"/>
        </w:rPr>
      </w:pPr>
      <w:r w:rsidRPr="00FC3011">
        <w:rPr>
          <w:rFonts w:ascii="Times New Roman" w:eastAsia="Times New Roman" w:hAnsi="Times New Roman" w:cs="Times New Roman"/>
        </w:rPr>
        <w:t xml:space="preserve">No, the PHA’s partnership must be with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HUD established an alternative requirement for the EHV Program under which the PHA must enter into an MOU with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to establish a partnership for the administration of EHVs. The specific services that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will provide to</w:t>
      </w:r>
      <w:r w:rsidR="0BB68C82" w:rsidRPr="00FC3011">
        <w:rPr>
          <w:rFonts w:ascii="Times New Roman" w:eastAsia="Times New Roman" w:hAnsi="Times New Roman" w:cs="Times New Roman"/>
        </w:rPr>
        <w:t xml:space="preserve"> </w:t>
      </w:r>
      <w:r w:rsidRPr="00FC3011">
        <w:rPr>
          <w:rFonts w:ascii="Times New Roman" w:eastAsia="Times New Roman" w:hAnsi="Times New Roman" w:cs="Times New Roman"/>
        </w:rPr>
        <w:t xml:space="preserve">individuals/families referred to the EHV program must be outlined in the PHA's MOU with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PHAs that agree to accept an allocation must enter into an MOU with a partnering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within 30 days of the effective date of the ACC funding increment. See Section 9.b of </w:t>
      </w:r>
      <w:hyperlink r:id="rId34" w:history="1">
        <w:r w:rsidRPr="00973C1F">
          <w:rPr>
            <w:rStyle w:val="Hyperlink"/>
            <w:rFonts w:ascii="Times New Roman" w:eastAsia="Times New Roman" w:hAnsi="Times New Roman" w:cs="Times New Roman"/>
          </w:rPr>
          <w:t>PIH Notice 2021-15</w:t>
        </w:r>
      </w:hyperlink>
      <w:r w:rsidRPr="00FC3011">
        <w:rPr>
          <w:rFonts w:ascii="Times New Roman" w:eastAsia="Times New Roman" w:hAnsi="Times New Roman" w:cs="Times New Roman"/>
        </w:rPr>
        <w:t xml:space="preserve"> for more information regarding the MOU requirement.  Additionally, a sample MOU template is included as Attachment 2 o</w:t>
      </w:r>
      <w:r w:rsidR="00973C1F">
        <w:rPr>
          <w:rFonts w:ascii="Times New Roman" w:eastAsia="Times New Roman" w:hAnsi="Times New Roman" w:cs="Times New Roman"/>
        </w:rPr>
        <w:t xml:space="preserve">f </w:t>
      </w:r>
      <w:hyperlink r:id="rId35" w:history="1">
        <w:r w:rsidR="00973C1F" w:rsidRPr="00973C1F">
          <w:rPr>
            <w:rStyle w:val="Hyperlink"/>
            <w:rFonts w:ascii="Times New Roman" w:eastAsia="Times New Roman" w:hAnsi="Times New Roman" w:cs="Times New Roman"/>
          </w:rPr>
          <w:t>PIH Notice 2021-15</w:t>
        </w:r>
      </w:hyperlink>
      <w:r w:rsidR="00973C1F">
        <w:rPr>
          <w:rFonts w:ascii="Times New Roman" w:eastAsia="Times New Roman" w:hAnsi="Times New Roman" w:cs="Times New Roman"/>
        </w:rPr>
        <w:t>.</w:t>
      </w:r>
      <w:r w:rsidRPr="00FC3011">
        <w:rPr>
          <w:rFonts w:ascii="Times New Roman" w:eastAsia="Times New Roman" w:hAnsi="Times New Roman" w:cs="Times New Roman"/>
        </w:rPr>
        <w:t xml:space="preserve">  </w:t>
      </w:r>
    </w:p>
    <w:p w14:paraId="1F8AE928" w14:textId="77777777" w:rsidR="002A113E" w:rsidRPr="00FC3011" w:rsidRDefault="002A113E" w:rsidP="005B6F6A">
      <w:pPr>
        <w:spacing w:after="0"/>
        <w:ind w:left="720"/>
        <w:rPr>
          <w:rFonts w:ascii="Times New Roman" w:eastAsia="Times New Roman" w:hAnsi="Times New Roman" w:cs="Times New Roman"/>
        </w:rPr>
      </w:pPr>
    </w:p>
    <w:p w14:paraId="294DBCC9" w14:textId="7892EEB0" w:rsidR="005B6F6A" w:rsidRPr="00FC3011" w:rsidRDefault="005B6F6A" w:rsidP="005B6F6A">
      <w:pPr>
        <w:spacing w:after="0"/>
        <w:ind w:left="720"/>
        <w:rPr>
          <w:rFonts w:ascii="Times New Roman" w:eastAsia="Times New Roman" w:hAnsi="Times New Roman" w:cs="Times New Roman"/>
        </w:rPr>
      </w:pPr>
      <w:r w:rsidRPr="00FC3011">
        <w:rPr>
          <w:rFonts w:ascii="Times New Roman" w:eastAsia="Times New Roman" w:hAnsi="Times New Roman" w:cs="Times New Roman"/>
        </w:rPr>
        <w:lastRenderedPageBreak/>
        <w:t>HUD strongly encourages communities to involve as many stakeholders as possible during the planning and implementation process to ensure the EHV Initiative is successful.  The MOU can be amended over time to reflect changes in how the program is implemented. </w:t>
      </w:r>
    </w:p>
    <w:p w14:paraId="26503A12" w14:textId="77777777" w:rsidR="005B6F6A" w:rsidRPr="00FC3011" w:rsidRDefault="005B6F6A" w:rsidP="005B6F6A">
      <w:pPr>
        <w:spacing w:after="0" w:line="240" w:lineRule="auto"/>
        <w:rPr>
          <w:rFonts w:ascii="Times New Roman" w:eastAsia="Times New Roman" w:hAnsi="Times New Roman" w:cs="Times New Roman"/>
        </w:rPr>
      </w:pPr>
    </w:p>
    <w:p w14:paraId="6ED09037" w14:textId="1317E747" w:rsidR="005B6F6A" w:rsidRPr="00FC3011" w:rsidRDefault="440AE88C" w:rsidP="00CB7838">
      <w:pPr>
        <w:pStyle w:val="ListParagraph"/>
        <w:numPr>
          <w:ilvl w:val="0"/>
          <w:numId w:val="29"/>
        </w:numPr>
        <w:tabs>
          <w:tab w:val="left" w:pos="360"/>
        </w:tabs>
        <w:spacing w:line="251" w:lineRule="auto"/>
        <w:rPr>
          <w:rFonts w:ascii="Times New Roman" w:eastAsia="Times New Roman" w:hAnsi="Times New Roman" w:cs="Times New Roman"/>
          <w:b/>
          <w:bCs/>
        </w:rPr>
      </w:pPr>
      <w:r w:rsidRPr="00FC3011">
        <w:rPr>
          <w:rFonts w:ascii="Times New Roman" w:eastAsia="Times New Roman" w:hAnsi="Times New Roman" w:cs="Times New Roman"/>
          <w:b/>
          <w:bCs/>
        </w:rPr>
        <w:t xml:space="preserve">What should we do if our </w:t>
      </w:r>
      <w:proofErr w:type="spellStart"/>
      <w:r w:rsidRPr="00FC3011">
        <w:rPr>
          <w:rFonts w:ascii="Times New Roman" w:eastAsia="Times New Roman" w:hAnsi="Times New Roman" w:cs="Times New Roman"/>
          <w:b/>
          <w:bCs/>
        </w:rPr>
        <w:t>CoC</w:t>
      </w:r>
      <w:proofErr w:type="spellEnd"/>
      <w:r w:rsidRPr="00FC3011">
        <w:rPr>
          <w:rFonts w:ascii="Times New Roman" w:eastAsia="Times New Roman" w:hAnsi="Times New Roman" w:cs="Times New Roman"/>
          <w:b/>
          <w:bCs/>
        </w:rPr>
        <w:t xml:space="preserve"> does not have a functioning Coordinated Entry system? </w:t>
      </w:r>
    </w:p>
    <w:p w14:paraId="5239795A" w14:textId="024832A4" w:rsidR="005B6F6A" w:rsidRPr="00FC3011" w:rsidRDefault="005B6F6A" w:rsidP="005B6F6A">
      <w:pPr>
        <w:spacing w:line="252" w:lineRule="auto"/>
        <w:ind w:left="720"/>
        <w:rPr>
          <w:rFonts w:ascii="Times New Roman" w:eastAsia="Times New Roman" w:hAnsi="Times New Roman" w:cs="Times New Roman"/>
        </w:rPr>
      </w:pPr>
      <w:r w:rsidRPr="00FC3011">
        <w:rPr>
          <w:rFonts w:ascii="Times New Roman" w:eastAsia="Times New Roman" w:hAnsi="Times New Roman" w:cs="Times New Roman"/>
        </w:rPr>
        <w:t xml:space="preserve">Section 9.c of </w:t>
      </w:r>
      <w:hyperlink r:id="rId36" w:history="1">
        <w:r w:rsidRPr="00973C1F">
          <w:rPr>
            <w:rStyle w:val="Hyperlink"/>
            <w:rFonts w:ascii="Times New Roman" w:eastAsia="Times New Roman" w:hAnsi="Times New Roman" w:cs="Times New Roman"/>
          </w:rPr>
          <w:t>PIH Notice 2021-15</w:t>
        </w:r>
      </w:hyperlink>
      <w:r w:rsidRPr="00FC3011">
        <w:rPr>
          <w:rFonts w:ascii="Times New Roman" w:eastAsia="Times New Roman" w:hAnsi="Times New Roman" w:cs="Times New Roman"/>
        </w:rPr>
        <w:t xml:space="preserve">, states that “[t]he PHA must also take direct referrals from outside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w:t>
      </w:r>
      <w:r w:rsidR="004A56A6" w:rsidRPr="00FC3011">
        <w:rPr>
          <w:rFonts w:ascii="Times New Roman" w:eastAsia="Times New Roman" w:hAnsi="Times New Roman" w:cs="Times New Roman"/>
        </w:rPr>
        <w:t xml:space="preserve">CE system </w:t>
      </w:r>
      <w:r w:rsidRPr="00FC3011">
        <w:rPr>
          <w:rFonts w:ascii="Times New Roman" w:eastAsia="Times New Roman" w:hAnsi="Times New Roman" w:cs="Times New Roman"/>
        </w:rPr>
        <w:t>if: (1) the CE system does not have a sufficient number of eligible families to refer to the PHA, or (2) the CE</w:t>
      </w:r>
      <w:r w:rsidR="004A56A6" w:rsidRPr="00FC3011">
        <w:rPr>
          <w:rFonts w:ascii="Times New Roman" w:eastAsia="Times New Roman" w:hAnsi="Times New Roman" w:cs="Times New Roman"/>
        </w:rPr>
        <w:t xml:space="preserve"> system</w:t>
      </w:r>
      <w:r w:rsidRPr="00FC3011">
        <w:rPr>
          <w:rFonts w:ascii="Times New Roman" w:eastAsia="Times New Roman" w:hAnsi="Times New Roman" w:cs="Times New Roman"/>
        </w:rPr>
        <w:t xml:space="preserve"> does not identify families that may be eligible for EHV assistance because they are fleeing, or attempting to flee, domestic violence, dating violence, sexual assault, stalking or human trafficking.”</w:t>
      </w:r>
    </w:p>
    <w:p w14:paraId="01F156C7" w14:textId="173321EC" w:rsidR="005B6F6A" w:rsidRPr="00FC3011" w:rsidRDefault="005B6F6A" w:rsidP="005B6F6A">
      <w:pPr>
        <w:spacing w:line="252" w:lineRule="auto"/>
        <w:ind w:left="720"/>
        <w:rPr>
          <w:rFonts w:ascii="Times New Roman" w:eastAsia="Times New Roman" w:hAnsi="Times New Roman" w:cs="Times New Roman"/>
        </w:rPr>
      </w:pPr>
      <w:r w:rsidRPr="00FC3011">
        <w:rPr>
          <w:rFonts w:ascii="Times New Roman" w:eastAsia="Times New Roman" w:hAnsi="Times New Roman" w:cs="Times New Roman"/>
        </w:rPr>
        <w:t>If there is no active CE system in the community or the PHA could not receive adequate referrals from a CE</w:t>
      </w:r>
      <w:r w:rsidR="004A56A6" w:rsidRPr="00FC3011">
        <w:rPr>
          <w:rFonts w:ascii="Times New Roman" w:eastAsia="Times New Roman" w:hAnsi="Times New Roman" w:cs="Times New Roman"/>
        </w:rPr>
        <w:t xml:space="preserve"> system</w:t>
      </w:r>
      <w:r w:rsidR="00802493" w:rsidRPr="00FC3011">
        <w:rPr>
          <w:rFonts w:ascii="Times New Roman" w:eastAsia="Times New Roman" w:hAnsi="Times New Roman" w:cs="Times New Roman"/>
        </w:rPr>
        <w:t>,</w:t>
      </w:r>
      <w:r w:rsidRPr="00FC3011">
        <w:rPr>
          <w:rFonts w:ascii="Times New Roman" w:eastAsia="Times New Roman" w:hAnsi="Times New Roman" w:cs="Times New Roman"/>
        </w:rPr>
        <w:t xml:space="preserve"> the </w:t>
      </w:r>
      <w:proofErr w:type="spellStart"/>
      <w:r w:rsidRPr="00FC3011">
        <w:rPr>
          <w:rFonts w:ascii="Times New Roman" w:eastAsia="Times New Roman" w:hAnsi="Times New Roman" w:cs="Times New Roman"/>
        </w:rPr>
        <w:t>CoC</w:t>
      </w:r>
      <w:proofErr w:type="spellEnd"/>
      <w:r w:rsidRPr="00FC3011">
        <w:rPr>
          <w:rFonts w:ascii="Times New Roman" w:eastAsia="Times New Roman" w:hAnsi="Times New Roman" w:cs="Times New Roman"/>
        </w:rPr>
        <w:t xml:space="preserve"> should work with the PHA to come up with an alternative referral system.  This system should continue to allow for prioritization according to the standards set out in the MOU between the referring organization and the PHA and should be easy to transition to the </w:t>
      </w:r>
      <w:proofErr w:type="spellStart"/>
      <w:r w:rsidRPr="00FC3011">
        <w:rPr>
          <w:rFonts w:ascii="Times New Roman" w:eastAsia="Times New Roman" w:hAnsi="Times New Roman" w:cs="Times New Roman"/>
        </w:rPr>
        <w:t>CoC’s</w:t>
      </w:r>
      <w:proofErr w:type="spellEnd"/>
      <w:r w:rsidRPr="00FC3011">
        <w:rPr>
          <w:rFonts w:ascii="Times New Roman" w:eastAsia="Times New Roman" w:hAnsi="Times New Roman" w:cs="Times New Roman"/>
        </w:rPr>
        <w:t xml:space="preserve"> CE system when it comes online. </w:t>
      </w:r>
    </w:p>
    <w:p w14:paraId="26860C0B" w14:textId="0436C63B" w:rsidR="005B6F6A" w:rsidRPr="00FC3011" w:rsidRDefault="005B6F6A" w:rsidP="005B6F6A">
      <w:pPr>
        <w:spacing w:after="0" w:line="240" w:lineRule="auto"/>
        <w:rPr>
          <w:rFonts w:ascii="Times New Roman" w:eastAsia="Times New Roman" w:hAnsi="Times New Roman" w:cs="Times New Roman"/>
        </w:rPr>
      </w:pPr>
      <w:r w:rsidRPr="00FC3011">
        <w:rPr>
          <w:rFonts w:ascii="Times New Roman" w:eastAsia="Times New Roman" w:hAnsi="Times New Roman" w:cs="Times New Roman"/>
        </w:rPr>
        <w:t xml:space="preserve">    </w:t>
      </w:r>
      <w:r w:rsidRPr="00FC3011">
        <w:rPr>
          <w:rFonts w:ascii="Times New Roman" w:eastAsia="Times New Roman" w:hAnsi="Times New Roman" w:cs="Times New Roman"/>
        </w:rPr>
        <w:tab/>
        <w:t xml:space="preserve">If you are having difficulties, please email </w:t>
      </w:r>
      <w:hyperlink r:id="rId37">
        <w:r w:rsidRPr="00FC3011">
          <w:rPr>
            <w:rStyle w:val="Hyperlink"/>
            <w:rFonts w:ascii="Times New Roman" w:eastAsia="Times New Roman" w:hAnsi="Times New Roman" w:cs="Times New Roman"/>
          </w:rPr>
          <w:t>EHV@hud.gov</w:t>
        </w:r>
      </w:hyperlink>
      <w:r w:rsidRPr="00FC3011">
        <w:rPr>
          <w:rFonts w:ascii="Times New Roman" w:eastAsia="Times New Roman" w:hAnsi="Times New Roman" w:cs="Times New Roman"/>
        </w:rPr>
        <w:t>.</w:t>
      </w:r>
    </w:p>
    <w:p w14:paraId="1475F729" w14:textId="611CD67B" w:rsidR="00293986" w:rsidRPr="00FC3011" w:rsidRDefault="00293986" w:rsidP="0131650B">
      <w:pPr>
        <w:spacing w:after="0" w:line="240" w:lineRule="auto"/>
        <w:rPr>
          <w:rFonts w:ascii="Times New Roman" w:eastAsia="Yu Mincho" w:hAnsi="Times New Roman" w:cs="Times New Roman"/>
        </w:rPr>
      </w:pPr>
    </w:p>
    <w:p w14:paraId="323E4744" w14:textId="05366FCD" w:rsidR="00462574" w:rsidRPr="00FC3011" w:rsidRDefault="75AFAFD8" w:rsidP="00CB7838">
      <w:pPr>
        <w:pStyle w:val="ListParagraph"/>
        <w:numPr>
          <w:ilvl w:val="0"/>
          <w:numId w:val="29"/>
        </w:numPr>
        <w:spacing w:after="0"/>
        <w:rPr>
          <w:rFonts w:ascii="Times New Roman" w:eastAsia="Times New Roman" w:hAnsi="Times New Roman" w:cs="Times New Roman"/>
          <w:b/>
          <w:bCs/>
        </w:rPr>
      </w:pPr>
      <w:r w:rsidRPr="00FC3011">
        <w:rPr>
          <w:rFonts w:ascii="Times New Roman" w:eastAsia="Times New Roman" w:hAnsi="Times New Roman" w:cs="Times New Roman"/>
          <w:b/>
          <w:bCs/>
        </w:rPr>
        <w:t>What are</w:t>
      </w:r>
      <w:r w:rsidR="69B96012" w:rsidRPr="00FC3011">
        <w:rPr>
          <w:rFonts w:ascii="Times New Roman" w:eastAsia="Times New Roman" w:hAnsi="Times New Roman" w:cs="Times New Roman"/>
          <w:b/>
          <w:bCs/>
        </w:rPr>
        <w:t xml:space="preserve"> EHV</w:t>
      </w:r>
      <w:r w:rsidRPr="00FC3011">
        <w:rPr>
          <w:rFonts w:ascii="Times New Roman" w:eastAsia="Times New Roman" w:hAnsi="Times New Roman" w:cs="Times New Roman"/>
          <w:b/>
          <w:bCs/>
        </w:rPr>
        <w:t xml:space="preserve"> </w:t>
      </w:r>
      <w:r w:rsidR="2848B0E5" w:rsidRPr="00FC3011">
        <w:rPr>
          <w:rFonts w:ascii="Times New Roman" w:eastAsia="Times New Roman" w:hAnsi="Times New Roman" w:cs="Times New Roman"/>
          <w:b/>
          <w:bCs/>
        </w:rPr>
        <w:t>permissive prohibition policies?</w:t>
      </w:r>
      <w:r w:rsidR="70CC2D25" w:rsidRPr="00FC3011">
        <w:rPr>
          <w:rFonts w:ascii="Times New Roman" w:eastAsia="Times New Roman" w:hAnsi="Times New Roman" w:cs="Times New Roman"/>
          <w:b/>
          <w:bCs/>
        </w:rPr>
        <w:t xml:space="preserve"> </w:t>
      </w:r>
    </w:p>
    <w:p w14:paraId="428C9B58" w14:textId="77777777" w:rsidR="00462574" w:rsidRPr="00FC3011" w:rsidRDefault="00462574" w:rsidP="009143DA">
      <w:pPr>
        <w:spacing w:after="0"/>
        <w:ind w:left="720"/>
        <w:rPr>
          <w:rFonts w:ascii="Times New Roman" w:eastAsia="Times New Roman" w:hAnsi="Times New Roman" w:cs="Times New Roman"/>
          <w:b/>
          <w:bCs/>
        </w:rPr>
      </w:pPr>
    </w:p>
    <w:p w14:paraId="5B872DBC" w14:textId="5ADA4403" w:rsidR="00266FF5" w:rsidRPr="00FC3011" w:rsidRDefault="5848E976" w:rsidP="00E34B5C">
      <w:pPr>
        <w:spacing w:after="0"/>
        <w:ind w:left="720"/>
        <w:rPr>
          <w:rFonts w:ascii="Times New Roman" w:hAnsi="Times New Roman" w:cs="Times New Roman"/>
        </w:rPr>
      </w:pPr>
      <w:r w:rsidRPr="00FC3011">
        <w:rPr>
          <w:rFonts w:ascii="Times New Roman" w:hAnsi="Times New Roman" w:cs="Times New Roman"/>
        </w:rPr>
        <w:t>Under regular HCV rules, PHAs are allowed to use permissive prohibitions in their admissions policies</w:t>
      </w:r>
      <w:r w:rsidR="73B355D5" w:rsidRPr="00FC3011">
        <w:rPr>
          <w:rFonts w:ascii="Times New Roman" w:hAnsi="Times New Roman" w:cs="Times New Roman"/>
        </w:rPr>
        <w:t xml:space="preserve">, which means that </w:t>
      </w:r>
      <w:r w:rsidRPr="00FC3011">
        <w:rPr>
          <w:rFonts w:ascii="Times New Roman" w:hAnsi="Times New Roman" w:cs="Times New Roman"/>
        </w:rPr>
        <w:t>PHA may prohibit admission of a household to the program if the PHA determines that any household member is currently engaged in, or has engaged in during a reasonable time before the admission</w:t>
      </w:r>
      <w:r w:rsidR="3F08525F" w:rsidRPr="00FC3011">
        <w:rPr>
          <w:rFonts w:ascii="Times New Roman" w:hAnsi="Times New Roman" w:cs="Times New Roman"/>
        </w:rPr>
        <w:t>, certain types of criminal activity.</w:t>
      </w:r>
      <w:r w:rsidRPr="00FC3011">
        <w:rPr>
          <w:rFonts w:ascii="Times New Roman" w:hAnsi="Times New Roman" w:cs="Times New Roman"/>
        </w:rPr>
        <w:t xml:space="preserve"> </w:t>
      </w:r>
      <w:r w:rsidR="6CE3EB2A" w:rsidRPr="00FC3011">
        <w:rPr>
          <w:rFonts w:ascii="Times New Roman" w:hAnsi="Times New Roman" w:cs="Times New Roman"/>
        </w:rPr>
        <w:t xml:space="preserve">Per Section 9g of PIH Notice 2021-15, HUD has </w:t>
      </w:r>
      <w:r w:rsidR="0D37232A" w:rsidRPr="00FC3011">
        <w:rPr>
          <w:rFonts w:ascii="Times New Roman" w:hAnsi="Times New Roman" w:cs="Times New Roman"/>
        </w:rPr>
        <w:t>eliminated the PHA’s permissive prohibitions for EHV admissions related to drug-related criminal activity</w:t>
      </w:r>
      <w:r w:rsidR="6B7C8A83" w:rsidRPr="00FC3011">
        <w:rPr>
          <w:rFonts w:ascii="Times New Roman" w:hAnsi="Times New Roman" w:cs="Times New Roman"/>
        </w:rPr>
        <w:t xml:space="preserve">. </w:t>
      </w:r>
    </w:p>
    <w:p w14:paraId="12260AB5" w14:textId="77777777" w:rsidR="00E34B5C" w:rsidRPr="00FC3011" w:rsidRDefault="00E34B5C" w:rsidP="00E34B5C">
      <w:pPr>
        <w:spacing w:after="0"/>
        <w:ind w:left="720"/>
        <w:rPr>
          <w:rFonts w:ascii="Times New Roman" w:eastAsia="Yu Mincho" w:hAnsi="Times New Roman" w:cs="Times New Roman"/>
        </w:rPr>
      </w:pPr>
    </w:p>
    <w:p w14:paraId="7FBBBF09" w14:textId="71E40C46" w:rsidR="00FC2FD1" w:rsidRPr="00FC3011" w:rsidRDefault="51A6F3B4" w:rsidP="00CB7838">
      <w:pPr>
        <w:pStyle w:val="ListParagraph"/>
        <w:numPr>
          <w:ilvl w:val="0"/>
          <w:numId w:val="29"/>
        </w:numPr>
        <w:spacing w:line="257" w:lineRule="auto"/>
        <w:rPr>
          <w:rFonts w:ascii="Times New Roman" w:hAnsi="Times New Roman" w:cs="Times New Roman"/>
          <w:b/>
          <w:bCs/>
          <w:color w:val="70AD47" w:themeColor="accent6"/>
        </w:rPr>
      </w:pPr>
      <w:r w:rsidRPr="00CB7838">
        <w:rPr>
          <w:rFonts w:ascii="Times New Roman" w:hAnsi="Times New Roman" w:cs="Times New Roman"/>
          <w:b/>
          <w:bCs/>
        </w:rPr>
        <w:t xml:space="preserve">Are </w:t>
      </w:r>
      <w:r w:rsidRPr="00FC3011">
        <w:rPr>
          <w:rFonts w:ascii="Times New Roman" w:hAnsi="Times New Roman" w:cs="Times New Roman"/>
          <w:b/>
          <w:bCs/>
        </w:rPr>
        <w:t xml:space="preserve">PHAs required to consult with the </w:t>
      </w:r>
      <w:proofErr w:type="spellStart"/>
      <w:r w:rsidRPr="00FC3011">
        <w:rPr>
          <w:rFonts w:ascii="Times New Roman" w:hAnsi="Times New Roman" w:cs="Times New Roman"/>
          <w:b/>
          <w:bCs/>
        </w:rPr>
        <w:t>CoC</w:t>
      </w:r>
      <w:proofErr w:type="spellEnd"/>
      <w:r w:rsidRPr="00FC3011">
        <w:rPr>
          <w:rFonts w:ascii="Times New Roman" w:hAnsi="Times New Roman" w:cs="Times New Roman"/>
          <w:b/>
          <w:bCs/>
        </w:rPr>
        <w:t xml:space="preserve"> prior to establishing permissive prohibition policies for EHV applicants? </w:t>
      </w:r>
    </w:p>
    <w:p w14:paraId="609CB713" w14:textId="275EB191" w:rsidR="00FC2FD1" w:rsidRPr="00FC3011" w:rsidRDefault="1A091B49" w:rsidP="00FC2FD1">
      <w:pPr>
        <w:spacing w:line="257" w:lineRule="auto"/>
        <w:ind w:left="720"/>
        <w:rPr>
          <w:rFonts w:ascii="Times New Roman" w:hAnsi="Times New Roman" w:cs="Times New Roman"/>
        </w:rPr>
      </w:pPr>
      <w:r w:rsidRPr="00FC3011">
        <w:rPr>
          <w:rFonts w:ascii="Times New Roman" w:hAnsi="Times New Roman" w:cs="Times New Roman"/>
        </w:rPr>
        <w:t xml:space="preserve">Yes. </w:t>
      </w:r>
      <w:r w:rsidR="00FC2FD1" w:rsidRPr="00FC3011">
        <w:rPr>
          <w:rFonts w:ascii="Times New Roman" w:hAnsi="Times New Roman" w:cs="Times New Roman"/>
        </w:rPr>
        <w:t xml:space="preserve">If the PHA intends to establish </w:t>
      </w:r>
      <w:r w:rsidR="2EC9E56C" w:rsidRPr="00FC3011">
        <w:rPr>
          <w:rFonts w:ascii="Times New Roman" w:hAnsi="Times New Roman" w:cs="Times New Roman"/>
        </w:rPr>
        <w:t>grounds for denying admission to</w:t>
      </w:r>
      <w:r w:rsidR="00FC2FD1" w:rsidRPr="00FC3011">
        <w:rPr>
          <w:rFonts w:ascii="Times New Roman" w:hAnsi="Times New Roman" w:cs="Times New Roman"/>
        </w:rPr>
        <w:t xml:space="preserve"> EHV applicants, </w:t>
      </w:r>
      <w:r w:rsidR="394B9A89" w:rsidRPr="00FC3011">
        <w:rPr>
          <w:rFonts w:ascii="Times New Roman" w:hAnsi="Times New Roman" w:cs="Times New Roman"/>
        </w:rPr>
        <w:t xml:space="preserve">Section 9g of </w:t>
      </w:r>
      <w:hyperlink r:id="rId38" w:history="1">
        <w:r w:rsidR="394B9A89" w:rsidRPr="00FC3011">
          <w:rPr>
            <w:rStyle w:val="Hyperlink"/>
            <w:rFonts w:ascii="Times New Roman" w:hAnsi="Times New Roman" w:cs="Times New Roman"/>
          </w:rPr>
          <w:t>PIH Notice 2021-15</w:t>
        </w:r>
      </w:hyperlink>
      <w:r w:rsidR="394B9A89" w:rsidRPr="00FC3011">
        <w:rPr>
          <w:rFonts w:ascii="Times New Roman" w:hAnsi="Times New Roman" w:cs="Times New Roman"/>
        </w:rPr>
        <w:t xml:space="preserve"> states that </w:t>
      </w:r>
      <w:r w:rsidR="00FC2FD1" w:rsidRPr="00FC3011">
        <w:rPr>
          <w:rFonts w:ascii="Times New Roman" w:hAnsi="Times New Roman" w:cs="Times New Roman"/>
        </w:rPr>
        <w:t xml:space="preserve">the PHA must consult with its </w:t>
      </w:r>
      <w:proofErr w:type="spellStart"/>
      <w:r w:rsidR="00FC2FD1" w:rsidRPr="00FC3011">
        <w:rPr>
          <w:rFonts w:ascii="Times New Roman" w:hAnsi="Times New Roman" w:cs="Times New Roman"/>
        </w:rPr>
        <w:t>CoC</w:t>
      </w:r>
      <w:proofErr w:type="spellEnd"/>
      <w:r w:rsidR="00FC2FD1" w:rsidRPr="00FC3011">
        <w:rPr>
          <w:rFonts w:ascii="Times New Roman" w:hAnsi="Times New Roman" w:cs="Times New Roman"/>
        </w:rPr>
        <w:t xml:space="preserve"> partner to understand the impact that the proposed prohibitions may have on referrals and must take the </w:t>
      </w:r>
      <w:proofErr w:type="spellStart"/>
      <w:r w:rsidR="00FC2FD1" w:rsidRPr="00FC3011">
        <w:rPr>
          <w:rFonts w:ascii="Times New Roman" w:hAnsi="Times New Roman" w:cs="Times New Roman"/>
        </w:rPr>
        <w:t>CoC’s</w:t>
      </w:r>
      <w:proofErr w:type="spellEnd"/>
      <w:r w:rsidR="00FC2FD1" w:rsidRPr="00FC3011">
        <w:rPr>
          <w:rFonts w:ascii="Times New Roman" w:hAnsi="Times New Roman" w:cs="Times New Roman"/>
        </w:rPr>
        <w:t xml:space="preserve"> recommendations into consideration. The PHA policy on EHV permissive prohibitions must be described in the PHA’s administrative plan. </w:t>
      </w:r>
      <w:r w:rsidR="67083439" w:rsidRPr="00FC3011">
        <w:rPr>
          <w:rFonts w:ascii="Times New Roman" w:hAnsi="Times New Roman" w:cs="Times New Roman"/>
        </w:rPr>
        <w:t xml:space="preserve">Per Section 9g of </w:t>
      </w:r>
      <w:hyperlink r:id="rId39" w:history="1">
        <w:r w:rsidR="67083439" w:rsidRPr="00973C1F">
          <w:rPr>
            <w:rStyle w:val="Hyperlink"/>
            <w:rFonts w:ascii="Times New Roman" w:hAnsi="Times New Roman" w:cs="Times New Roman"/>
          </w:rPr>
          <w:t>PIH Notice 2021-15</w:t>
        </w:r>
      </w:hyperlink>
      <w:r w:rsidR="67083439" w:rsidRPr="00FC3011">
        <w:rPr>
          <w:rFonts w:ascii="Times New Roman" w:hAnsi="Times New Roman" w:cs="Times New Roman"/>
        </w:rPr>
        <w:t>, “</w:t>
      </w:r>
      <w:r w:rsidR="00FC2FD1" w:rsidRPr="00FC3011">
        <w:rPr>
          <w:rFonts w:ascii="Times New Roman" w:hAnsi="Times New Roman" w:cs="Times New Roman"/>
        </w:rPr>
        <w:t>Determinations must be made based on an individualized assessment of relevant mitigating information.</w:t>
      </w:r>
      <w:r w:rsidR="1482EE69" w:rsidRPr="00FC3011">
        <w:rPr>
          <w:rFonts w:ascii="Times New Roman" w:hAnsi="Times New Roman" w:cs="Times New Roman"/>
        </w:rPr>
        <w:t>”</w:t>
      </w:r>
    </w:p>
    <w:p w14:paraId="7494214E" w14:textId="30EAEA86" w:rsidR="004F5C56" w:rsidRPr="00FC3011" w:rsidRDefault="070084DE" w:rsidP="00CB7838">
      <w:pPr>
        <w:pStyle w:val="ListParagraph"/>
        <w:numPr>
          <w:ilvl w:val="0"/>
          <w:numId w:val="29"/>
        </w:numPr>
        <w:rPr>
          <w:rFonts w:ascii="Times New Roman" w:hAnsi="Times New Roman" w:cs="Times New Roman"/>
        </w:rPr>
      </w:pPr>
      <w:r w:rsidRPr="00FC3011">
        <w:rPr>
          <w:rFonts w:ascii="Times New Roman" w:hAnsi="Times New Roman" w:cs="Times New Roman"/>
          <w:b/>
          <w:bCs/>
        </w:rPr>
        <w:t xml:space="preserve"> Does the completed MOU need to be sent to HUD?  If not, where does it need to be sent? </w:t>
      </w:r>
    </w:p>
    <w:p w14:paraId="67213359" w14:textId="66E24FB5" w:rsidR="00FC2FD1" w:rsidRPr="00FC3011" w:rsidRDefault="004F5C56" w:rsidP="004F5C56">
      <w:pPr>
        <w:spacing w:line="257" w:lineRule="auto"/>
        <w:ind w:left="720"/>
        <w:rPr>
          <w:rFonts w:ascii="Times New Roman" w:eastAsia="Calibri" w:hAnsi="Times New Roman" w:cs="Times New Roman"/>
        </w:rPr>
      </w:pPr>
      <w:r w:rsidRPr="00FC3011">
        <w:rPr>
          <w:rFonts w:ascii="Times New Roman" w:eastAsia="Calibri" w:hAnsi="Times New Roman" w:cs="Times New Roman"/>
        </w:rPr>
        <w:t>HUD is not requiring submission of the MOU.  A copy of the</w:t>
      </w:r>
      <w:r w:rsidR="00592CEF" w:rsidRPr="00FC3011">
        <w:rPr>
          <w:rFonts w:ascii="Times New Roman" w:eastAsia="Calibri" w:hAnsi="Times New Roman" w:cs="Times New Roman"/>
        </w:rPr>
        <w:t xml:space="preserve"> latest version of the</w:t>
      </w:r>
      <w:r w:rsidRPr="00FC3011">
        <w:rPr>
          <w:rFonts w:ascii="Times New Roman" w:eastAsia="Calibri" w:hAnsi="Times New Roman" w:cs="Times New Roman"/>
        </w:rPr>
        <w:t xml:space="preserve"> MOU should be kept on file by </w:t>
      </w:r>
      <w:r w:rsidR="00592CEF" w:rsidRPr="00FC3011">
        <w:rPr>
          <w:rFonts w:ascii="Times New Roman" w:eastAsia="Calibri" w:hAnsi="Times New Roman" w:cs="Times New Roman"/>
        </w:rPr>
        <w:t xml:space="preserve">the PHA and </w:t>
      </w:r>
      <w:r w:rsidRPr="00FC3011">
        <w:rPr>
          <w:rFonts w:ascii="Times New Roman" w:eastAsia="Calibri" w:hAnsi="Times New Roman" w:cs="Times New Roman"/>
        </w:rPr>
        <w:t>all partnering agencies.</w:t>
      </w:r>
      <w:r w:rsidR="00604F4F" w:rsidRPr="00FC3011">
        <w:rPr>
          <w:rFonts w:ascii="Times New Roman" w:eastAsia="Calibri" w:hAnsi="Times New Roman" w:cs="Times New Roman"/>
        </w:rPr>
        <w:t xml:space="preserve"> </w:t>
      </w:r>
      <w:r w:rsidR="003F0F89" w:rsidRPr="00FC3011">
        <w:rPr>
          <w:rFonts w:ascii="Times New Roman" w:eastAsia="Calibri" w:hAnsi="Times New Roman" w:cs="Times New Roman"/>
        </w:rPr>
        <w:t>In the</w:t>
      </w:r>
      <w:r w:rsidR="00255D5B" w:rsidRPr="00FC3011">
        <w:rPr>
          <w:rFonts w:ascii="Times New Roman" w:eastAsia="Calibri" w:hAnsi="Times New Roman" w:cs="Times New Roman"/>
        </w:rPr>
        <w:t xml:space="preserve"> </w:t>
      </w:r>
      <w:r w:rsidR="003F0F89" w:rsidRPr="00FC3011">
        <w:rPr>
          <w:rFonts w:ascii="Times New Roman" w:eastAsia="Calibri" w:hAnsi="Times New Roman" w:cs="Times New Roman"/>
        </w:rPr>
        <w:t>process of</w:t>
      </w:r>
      <w:r w:rsidR="0089782A" w:rsidRPr="00FC3011">
        <w:rPr>
          <w:rFonts w:ascii="Times New Roman" w:eastAsia="Calibri" w:hAnsi="Times New Roman" w:cs="Times New Roman"/>
        </w:rPr>
        <w:t xml:space="preserve"> overseeing the</w:t>
      </w:r>
      <w:r w:rsidR="00722B71" w:rsidRPr="00FC3011">
        <w:rPr>
          <w:rFonts w:ascii="Times New Roman" w:eastAsia="Calibri" w:hAnsi="Times New Roman" w:cs="Times New Roman"/>
        </w:rPr>
        <w:t xml:space="preserve"> EHV program, HUD may request </w:t>
      </w:r>
      <w:r w:rsidR="00DA33D8" w:rsidRPr="00FC3011">
        <w:rPr>
          <w:rFonts w:ascii="Times New Roman" w:eastAsia="Calibri" w:hAnsi="Times New Roman" w:cs="Times New Roman"/>
        </w:rPr>
        <w:t xml:space="preserve">the latest </w:t>
      </w:r>
      <w:r w:rsidR="00722B71" w:rsidRPr="00FC3011">
        <w:rPr>
          <w:rFonts w:ascii="Times New Roman" w:eastAsia="Calibri" w:hAnsi="Times New Roman" w:cs="Times New Roman"/>
        </w:rPr>
        <w:t xml:space="preserve">copy of the </w:t>
      </w:r>
      <w:r w:rsidR="006414A8" w:rsidRPr="00FC3011">
        <w:rPr>
          <w:rFonts w:ascii="Times New Roman" w:eastAsia="Calibri" w:hAnsi="Times New Roman" w:cs="Times New Roman"/>
        </w:rPr>
        <w:t>MOU</w:t>
      </w:r>
      <w:r w:rsidR="003F0F89" w:rsidRPr="00FC3011">
        <w:rPr>
          <w:rFonts w:ascii="Times New Roman" w:eastAsia="Calibri" w:hAnsi="Times New Roman" w:cs="Times New Roman"/>
        </w:rPr>
        <w:t xml:space="preserve"> from the PHA. </w:t>
      </w:r>
      <w:r w:rsidR="00C4375E" w:rsidRPr="00FC3011">
        <w:rPr>
          <w:rFonts w:ascii="Times New Roman" w:eastAsia="Calibri" w:hAnsi="Times New Roman" w:cs="Times New Roman"/>
        </w:rPr>
        <w:t xml:space="preserve">At the time of the request, HUD will provide the email address </w:t>
      </w:r>
      <w:r w:rsidR="00B11FBC" w:rsidRPr="00FC3011">
        <w:rPr>
          <w:rFonts w:ascii="Times New Roman" w:eastAsia="Calibri" w:hAnsi="Times New Roman" w:cs="Times New Roman"/>
        </w:rPr>
        <w:t xml:space="preserve">for the requested copy of the MOU. </w:t>
      </w:r>
    </w:p>
    <w:p w14:paraId="252316BB" w14:textId="068C0B03" w:rsidR="00D0375C" w:rsidRPr="00FC3011" w:rsidRDefault="00D0375C" w:rsidP="00CB7838">
      <w:pPr>
        <w:pStyle w:val="Default"/>
        <w:numPr>
          <w:ilvl w:val="0"/>
          <w:numId w:val="29"/>
        </w:numPr>
        <w:rPr>
          <w:rFonts w:ascii="Times New Roman" w:hAnsi="Times New Roman" w:cs="Times New Roman"/>
          <w:b/>
          <w:bCs/>
          <w:sz w:val="22"/>
          <w:szCs w:val="22"/>
        </w:rPr>
      </w:pPr>
      <w:r w:rsidRPr="00FC3011">
        <w:rPr>
          <w:rFonts w:ascii="Times New Roman" w:hAnsi="Times New Roman" w:cs="Times New Roman"/>
          <w:b/>
          <w:bCs/>
          <w:sz w:val="22"/>
          <w:szCs w:val="22"/>
        </w:rPr>
        <w:t>Where can I find additional resources and information on working with survivors of domestic violence, dating violence, sexual assault</w:t>
      </w:r>
      <w:r w:rsidR="0079355A" w:rsidRPr="00FC3011">
        <w:rPr>
          <w:rFonts w:ascii="Times New Roman" w:hAnsi="Times New Roman" w:cs="Times New Roman"/>
          <w:b/>
          <w:bCs/>
          <w:sz w:val="22"/>
          <w:szCs w:val="22"/>
        </w:rPr>
        <w:t>,</w:t>
      </w:r>
      <w:r w:rsidRPr="00FC3011">
        <w:rPr>
          <w:rFonts w:ascii="Times New Roman" w:hAnsi="Times New Roman" w:cs="Times New Roman"/>
          <w:b/>
          <w:bCs/>
          <w:sz w:val="22"/>
          <w:szCs w:val="22"/>
        </w:rPr>
        <w:t xml:space="preserve"> and human trafficking? </w:t>
      </w:r>
    </w:p>
    <w:p w14:paraId="4E2BD767" w14:textId="3928B246" w:rsidR="00D0375C" w:rsidRPr="00FC3011" w:rsidRDefault="00D0375C" w:rsidP="00D0375C">
      <w:pPr>
        <w:pStyle w:val="Default"/>
        <w:ind w:left="720"/>
        <w:rPr>
          <w:rFonts w:ascii="Times New Roman" w:hAnsi="Times New Roman" w:cs="Times New Roman"/>
          <w:b/>
          <w:bCs/>
          <w:sz w:val="22"/>
          <w:szCs w:val="22"/>
        </w:rPr>
      </w:pPr>
    </w:p>
    <w:p w14:paraId="59EF922A" w14:textId="77777777" w:rsidR="0079355A" w:rsidRPr="00FC3011" w:rsidRDefault="0079355A" w:rsidP="00D0375C">
      <w:pPr>
        <w:autoSpaceDE w:val="0"/>
        <w:autoSpaceDN w:val="0"/>
        <w:adjustRightInd w:val="0"/>
        <w:ind w:firstLine="720"/>
        <w:rPr>
          <w:rFonts w:ascii="Times New Roman" w:eastAsia="Times New Roman" w:hAnsi="Times New Roman" w:cs="Times New Roman"/>
          <w:color w:val="000000" w:themeColor="text1"/>
        </w:rPr>
      </w:pPr>
      <w:r w:rsidRPr="00FC3011">
        <w:rPr>
          <w:rFonts w:ascii="Times New Roman" w:eastAsia="Times New Roman" w:hAnsi="Times New Roman" w:cs="Times New Roman"/>
          <w:color w:val="000000" w:themeColor="text1"/>
        </w:rPr>
        <w:lastRenderedPageBreak/>
        <w:t>Additional resources include, but are not limited to:</w:t>
      </w:r>
    </w:p>
    <w:p w14:paraId="02F37199" w14:textId="1DFBA4D7" w:rsidR="00D0375C" w:rsidRPr="00FC3011" w:rsidRDefault="00D0375C" w:rsidP="00D0375C">
      <w:pPr>
        <w:autoSpaceDE w:val="0"/>
        <w:autoSpaceDN w:val="0"/>
        <w:adjustRightInd w:val="0"/>
        <w:ind w:firstLine="720"/>
        <w:rPr>
          <w:rFonts w:ascii="Times New Roman" w:eastAsia="Times New Roman" w:hAnsi="Times New Roman" w:cs="Times New Roman"/>
          <w:color w:val="000000"/>
        </w:rPr>
      </w:pPr>
      <w:r w:rsidRPr="00FC3011">
        <w:rPr>
          <w:rFonts w:ascii="Times New Roman" w:eastAsia="Times New Roman" w:hAnsi="Times New Roman" w:cs="Times New Roman"/>
          <w:color w:val="000000" w:themeColor="text1"/>
        </w:rPr>
        <w:t>Human trafficking organizations:</w:t>
      </w:r>
    </w:p>
    <w:p w14:paraId="5F713E40" w14:textId="57FD6D8C" w:rsidR="002A3802" w:rsidRPr="00FC3011" w:rsidRDefault="00D0375C" w:rsidP="00B86D98">
      <w:pPr>
        <w:pStyle w:val="ListParagraph"/>
        <w:numPr>
          <w:ilvl w:val="2"/>
          <w:numId w:val="11"/>
        </w:numPr>
        <w:autoSpaceDE w:val="0"/>
        <w:autoSpaceDN w:val="0"/>
        <w:adjustRightInd w:val="0"/>
        <w:spacing w:after="0"/>
        <w:ind w:left="1440"/>
        <w:rPr>
          <w:rFonts w:ascii="Times New Roman" w:eastAsia="Times New Roman" w:hAnsi="Times New Roman" w:cs="Times New Roman"/>
          <w:color w:val="000000"/>
        </w:rPr>
      </w:pPr>
      <w:r w:rsidRPr="00FC3011">
        <w:rPr>
          <w:rFonts w:ascii="Times New Roman" w:eastAsia="Times New Roman" w:hAnsi="Times New Roman" w:cs="Times New Roman"/>
          <w:color w:val="000000" w:themeColor="text1"/>
        </w:rPr>
        <w:t xml:space="preserve">Office for Victims of Crime (OVC) grantees: </w:t>
      </w:r>
      <w:hyperlink r:id="rId40" w:history="1">
        <w:r w:rsidR="002A3802" w:rsidRPr="00FC3011">
          <w:rPr>
            <w:rStyle w:val="Hyperlink"/>
            <w:rFonts w:ascii="Times New Roman" w:eastAsia="Times New Roman" w:hAnsi="Times New Roman" w:cs="Times New Roman"/>
          </w:rPr>
          <w:t>https://ovc.ojp.gov/matrix-ovc-fundedhuman-trafficking-services-grantees-and-task-forces</w:t>
        </w:r>
      </w:hyperlink>
    </w:p>
    <w:p w14:paraId="0BC59840" w14:textId="77777777" w:rsidR="002A3802" w:rsidRPr="00FC3011" w:rsidRDefault="002A3802" w:rsidP="002A3802">
      <w:pPr>
        <w:pStyle w:val="ListParagraph"/>
        <w:autoSpaceDE w:val="0"/>
        <w:autoSpaceDN w:val="0"/>
        <w:adjustRightInd w:val="0"/>
        <w:spacing w:after="0"/>
        <w:ind w:left="1440"/>
        <w:rPr>
          <w:rFonts w:ascii="Times New Roman" w:eastAsia="Times New Roman" w:hAnsi="Times New Roman" w:cs="Times New Roman"/>
          <w:color w:val="000000"/>
        </w:rPr>
      </w:pPr>
    </w:p>
    <w:p w14:paraId="5A98DF3A" w14:textId="15708F84" w:rsidR="002A3802" w:rsidRPr="00FC3011" w:rsidRDefault="00D0375C" w:rsidP="00B86D98">
      <w:pPr>
        <w:pStyle w:val="ListParagraph"/>
        <w:numPr>
          <w:ilvl w:val="3"/>
          <w:numId w:val="11"/>
        </w:numPr>
        <w:tabs>
          <w:tab w:val="left" w:pos="1890"/>
        </w:tabs>
        <w:autoSpaceDE w:val="0"/>
        <w:autoSpaceDN w:val="0"/>
        <w:adjustRightInd w:val="0"/>
        <w:spacing w:after="0"/>
        <w:ind w:hanging="1440"/>
        <w:rPr>
          <w:rFonts w:ascii="Times New Roman" w:eastAsia="Times New Roman" w:hAnsi="Times New Roman" w:cs="Times New Roman"/>
          <w:color w:val="000000"/>
        </w:rPr>
      </w:pPr>
      <w:r w:rsidRPr="00FC3011">
        <w:rPr>
          <w:rFonts w:ascii="Times New Roman" w:eastAsia="Times New Roman" w:hAnsi="Times New Roman" w:cs="Times New Roman"/>
          <w:color w:val="000000" w:themeColor="text1"/>
        </w:rPr>
        <w:t xml:space="preserve">OVC awards by state: </w:t>
      </w:r>
      <w:hyperlink r:id="rId41" w:history="1">
        <w:r w:rsidR="002A3802" w:rsidRPr="00FC3011">
          <w:rPr>
            <w:rStyle w:val="Hyperlink"/>
            <w:rFonts w:ascii="Times New Roman" w:eastAsia="Times New Roman" w:hAnsi="Times New Roman" w:cs="Times New Roman"/>
          </w:rPr>
          <w:t>https://ovc.ojp.gov/states</w:t>
        </w:r>
      </w:hyperlink>
    </w:p>
    <w:p w14:paraId="4DD04A03" w14:textId="77777777" w:rsidR="002A3802" w:rsidRPr="00FC3011" w:rsidRDefault="002A3802" w:rsidP="002A3802">
      <w:pPr>
        <w:pStyle w:val="ListParagraph"/>
        <w:autoSpaceDE w:val="0"/>
        <w:autoSpaceDN w:val="0"/>
        <w:adjustRightInd w:val="0"/>
        <w:spacing w:after="0"/>
        <w:ind w:left="1440"/>
        <w:rPr>
          <w:rFonts w:ascii="Times New Roman" w:eastAsia="Times New Roman" w:hAnsi="Times New Roman" w:cs="Times New Roman"/>
          <w:color w:val="000000"/>
        </w:rPr>
      </w:pPr>
    </w:p>
    <w:p w14:paraId="4CEA5FFA" w14:textId="1A57CE06" w:rsidR="0000542C" w:rsidRPr="00FC3011" w:rsidRDefault="00D0375C" w:rsidP="00B86D98">
      <w:pPr>
        <w:pStyle w:val="ListParagraph"/>
        <w:numPr>
          <w:ilvl w:val="2"/>
          <w:numId w:val="11"/>
        </w:numPr>
        <w:autoSpaceDE w:val="0"/>
        <w:autoSpaceDN w:val="0"/>
        <w:adjustRightInd w:val="0"/>
        <w:spacing w:after="0"/>
        <w:ind w:left="1440"/>
        <w:rPr>
          <w:rFonts w:ascii="Times New Roman" w:eastAsia="Times New Roman" w:hAnsi="Times New Roman" w:cs="Times New Roman"/>
          <w:color w:val="000000"/>
        </w:rPr>
      </w:pPr>
      <w:r w:rsidRPr="00FC3011">
        <w:rPr>
          <w:rFonts w:ascii="Times New Roman" w:eastAsia="Times New Roman" w:hAnsi="Times New Roman" w:cs="Times New Roman"/>
          <w:color w:val="000000" w:themeColor="text1"/>
        </w:rPr>
        <w:t xml:space="preserve">Domestic Victims of Human Trafficking Program: </w:t>
      </w:r>
      <w:hyperlink r:id="rId42" w:history="1">
        <w:r w:rsidR="0079355A" w:rsidRPr="00FC3011">
          <w:rPr>
            <w:rStyle w:val="Hyperlink"/>
            <w:rFonts w:ascii="Times New Roman" w:eastAsia="Times New Roman" w:hAnsi="Times New Roman" w:cs="Times New Roman"/>
          </w:rPr>
          <w:t>https://www.acf.hhs.gov/otip/map/domestic-victims-human-trafficking-program-grantees</w:t>
        </w:r>
      </w:hyperlink>
      <w:r w:rsidR="0079355A" w:rsidRPr="00FC3011">
        <w:rPr>
          <w:rFonts w:ascii="Times New Roman" w:eastAsia="Times New Roman" w:hAnsi="Times New Roman" w:cs="Times New Roman"/>
          <w:color w:val="1155CD"/>
        </w:rPr>
        <w:t xml:space="preserve"> </w:t>
      </w:r>
    </w:p>
    <w:p w14:paraId="3F9DA831" w14:textId="77777777" w:rsidR="002A3802" w:rsidRPr="00FC3011" w:rsidRDefault="002A3802" w:rsidP="002A3802">
      <w:pPr>
        <w:pStyle w:val="ListParagraph"/>
        <w:autoSpaceDE w:val="0"/>
        <w:autoSpaceDN w:val="0"/>
        <w:adjustRightInd w:val="0"/>
        <w:spacing w:after="0"/>
        <w:ind w:left="1440"/>
        <w:rPr>
          <w:rFonts w:ascii="Times New Roman" w:eastAsia="Times New Roman" w:hAnsi="Times New Roman" w:cs="Times New Roman"/>
          <w:color w:val="000000"/>
        </w:rPr>
      </w:pPr>
    </w:p>
    <w:p w14:paraId="09149057" w14:textId="77777777" w:rsidR="00EB505E" w:rsidRPr="00FC3011" w:rsidRDefault="0000542C" w:rsidP="00B86D98">
      <w:pPr>
        <w:pStyle w:val="ListParagraph"/>
        <w:numPr>
          <w:ilvl w:val="2"/>
          <w:numId w:val="11"/>
        </w:numPr>
        <w:autoSpaceDE w:val="0"/>
        <w:autoSpaceDN w:val="0"/>
        <w:adjustRightInd w:val="0"/>
        <w:spacing w:after="0"/>
        <w:ind w:left="1440"/>
        <w:rPr>
          <w:rFonts w:ascii="Times New Roman" w:eastAsia="Times New Roman" w:hAnsi="Times New Roman" w:cs="Times New Roman"/>
          <w:color w:val="000000"/>
        </w:rPr>
      </w:pPr>
      <w:r w:rsidRPr="00FC3011">
        <w:rPr>
          <w:rFonts w:ascii="Times New Roman" w:eastAsia="Times New Roman" w:hAnsi="Times New Roman" w:cs="Times New Roman"/>
          <w:color w:val="000000" w:themeColor="text1"/>
        </w:rPr>
        <w:t>Trafficking Victims Assistance Program:</w:t>
      </w:r>
    </w:p>
    <w:p w14:paraId="52B7BFE3" w14:textId="3F66C3BC" w:rsidR="00D0375C" w:rsidRPr="00FC3011" w:rsidRDefault="00EE7DB8" w:rsidP="00EB505E">
      <w:pPr>
        <w:pStyle w:val="ListParagraph"/>
        <w:autoSpaceDE w:val="0"/>
        <w:autoSpaceDN w:val="0"/>
        <w:adjustRightInd w:val="0"/>
        <w:spacing w:after="0"/>
        <w:ind w:left="1440"/>
        <w:rPr>
          <w:rFonts w:ascii="Times New Roman" w:eastAsia="Times New Roman" w:hAnsi="Times New Roman" w:cs="Times New Roman"/>
          <w:color w:val="000000"/>
        </w:rPr>
      </w:pPr>
      <w:hyperlink r:id="rId43" w:history="1">
        <w:r w:rsidR="00EB505E" w:rsidRPr="00FC3011">
          <w:rPr>
            <w:rStyle w:val="Hyperlink"/>
            <w:rFonts w:ascii="Times New Roman" w:eastAsia="Times New Roman" w:hAnsi="Times New Roman" w:cs="Times New Roman"/>
          </w:rPr>
          <w:t>https://www.acf.hhs.gov/otip/map/traffickingvictim-assistance-program</w:t>
        </w:r>
      </w:hyperlink>
    </w:p>
    <w:p w14:paraId="0CD1BEB9" w14:textId="77777777" w:rsidR="00D0375C" w:rsidRPr="00FC3011" w:rsidRDefault="00D0375C" w:rsidP="00D0375C">
      <w:pPr>
        <w:autoSpaceDE w:val="0"/>
        <w:autoSpaceDN w:val="0"/>
        <w:adjustRightInd w:val="0"/>
        <w:spacing w:after="0"/>
        <w:ind w:left="1440"/>
        <w:rPr>
          <w:rFonts w:ascii="Times New Roman" w:eastAsia="Times New Roman" w:hAnsi="Times New Roman" w:cs="Times New Roman"/>
          <w:color w:val="1155CD"/>
        </w:rPr>
      </w:pPr>
    </w:p>
    <w:p w14:paraId="6E493C82" w14:textId="77777777" w:rsidR="00D0375C" w:rsidRPr="00FC3011" w:rsidRDefault="00D0375C" w:rsidP="00D0375C">
      <w:pPr>
        <w:autoSpaceDE w:val="0"/>
        <w:autoSpaceDN w:val="0"/>
        <w:adjustRightInd w:val="0"/>
        <w:ind w:firstLine="720"/>
        <w:rPr>
          <w:rFonts w:ascii="Times New Roman" w:eastAsia="Times New Roman" w:hAnsi="Times New Roman" w:cs="Times New Roman"/>
          <w:color w:val="000000"/>
        </w:rPr>
      </w:pPr>
      <w:r w:rsidRPr="00FC3011">
        <w:rPr>
          <w:rFonts w:ascii="Times New Roman" w:eastAsia="Times New Roman" w:hAnsi="Times New Roman" w:cs="Times New Roman"/>
          <w:color w:val="000000" w:themeColor="text1"/>
        </w:rPr>
        <w:t>Sexual assault organizations:</w:t>
      </w:r>
    </w:p>
    <w:p w14:paraId="6CCAF444" w14:textId="77777777" w:rsidR="008D7D00" w:rsidRPr="00FC3011" w:rsidRDefault="008A3724" w:rsidP="00B86D98">
      <w:pPr>
        <w:pStyle w:val="ListParagraph"/>
        <w:numPr>
          <w:ilvl w:val="2"/>
          <w:numId w:val="11"/>
        </w:numPr>
        <w:autoSpaceDE w:val="0"/>
        <w:autoSpaceDN w:val="0"/>
        <w:adjustRightInd w:val="0"/>
        <w:spacing w:after="0"/>
        <w:ind w:left="1440"/>
        <w:rPr>
          <w:rFonts w:ascii="Times New Roman" w:eastAsia="Times New Roman" w:hAnsi="Times New Roman" w:cs="Times New Roman"/>
          <w:color w:val="000000" w:themeColor="text1"/>
        </w:rPr>
      </w:pPr>
      <w:r w:rsidRPr="00FC3011">
        <w:rPr>
          <w:rFonts w:ascii="Times New Roman" w:eastAsia="Times New Roman" w:hAnsi="Times New Roman" w:cs="Times New Roman"/>
          <w:color w:val="000000" w:themeColor="text1"/>
        </w:rPr>
        <w:t xml:space="preserve">National Sexual Violence </w:t>
      </w:r>
      <w:r w:rsidR="008D7D00" w:rsidRPr="00FC3011">
        <w:rPr>
          <w:rFonts w:ascii="Times New Roman" w:eastAsia="Times New Roman" w:hAnsi="Times New Roman" w:cs="Times New Roman"/>
          <w:color w:val="000000" w:themeColor="text1"/>
        </w:rPr>
        <w:t>Resource Center:</w:t>
      </w:r>
    </w:p>
    <w:p w14:paraId="3026F044" w14:textId="1C19CD85" w:rsidR="00D0375C" w:rsidRPr="00FC3011" w:rsidRDefault="00895F46" w:rsidP="008D7D00">
      <w:pPr>
        <w:pStyle w:val="ListParagraph"/>
        <w:autoSpaceDE w:val="0"/>
        <w:autoSpaceDN w:val="0"/>
        <w:adjustRightInd w:val="0"/>
        <w:ind w:left="1350"/>
        <w:rPr>
          <w:rFonts w:ascii="Times New Roman" w:eastAsia="Times New Roman" w:hAnsi="Times New Roman" w:cs="Times New Roman"/>
          <w:color w:val="000000" w:themeColor="text1"/>
        </w:rPr>
      </w:pPr>
      <w:r w:rsidRPr="00FC3011">
        <w:rPr>
          <w:rFonts w:ascii="Times New Roman" w:eastAsia="Times New Roman" w:hAnsi="Times New Roman" w:cs="Times New Roman"/>
          <w:color w:val="000000" w:themeColor="text1"/>
        </w:rPr>
        <w:t xml:space="preserve">  </w:t>
      </w:r>
      <w:hyperlink r:id="rId44" w:history="1">
        <w:r w:rsidR="002A3802" w:rsidRPr="00FC3011">
          <w:rPr>
            <w:rStyle w:val="Hyperlink"/>
            <w:rFonts w:ascii="Times New Roman" w:eastAsia="Times New Roman" w:hAnsi="Times New Roman" w:cs="Times New Roman"/>
          </w:rPr>
          <w:t>https://www.nsvrc.org/organizations</w:t>
        </w:r>
      </w:hyperlink>
    </w:p>
    <w:p w14:paraId="60DC24E3" w14:textId="77777777" w:rsidR="00D0375C" w:rsidRPr="00FC3011" w:rsidRDefault="00D0375C" w:rsidP="00D0375C">
      <w:pPr>
        <w:autoSpaceDE w:val="0"/>
        <w:autoSpaceDN w:val="0"/>
        <w:adjustRightInd w:val="0"/>
        <w:ind w:firstLine="720"/>
        <w:rPr>
          <w:rFonts w:ascii="Times New Roman" w:eastAsia="Times New Roman" w:hAnsi="Times New Roman" w:cs="Times New Roman"/>
          <w:color w:val="000000"/>
        </w:rPr>
      </w:pPr>
      <w:r w:rsidRPr="00FC3011">
        <w:rPr>
          <w:rFonts w:ascii="Times New Roman" w:eastAsia="Times New Roman" w:hAnsi="Times New Roman" w:cs="Times New Roman"/>
          <w:color w:val="000000" w:themeColor="text1"/>
        </w:rPr>
        <w:t>Culturally specific communities of color organizations:</w:t>
      </w:r>
    </w:p>
    <w:p w14:paraId="162BB09C" w14:textId="2132431F" w:rsidR="00D0375C" w:rsidRPr="00FC3011" w:rsidRDefault="00D0375C" w:rsidP="00B86D98">
      <w:pPr>
        <w:pStyle w:val="ListParagraph"/>
        <w:numPr>
          <w:ilvl w:val="2"/>
          <w:numId w:val="11"/>
        </w:numPr>
        <w:autoSpaceDE w:val="0"/>
        <w:autoSpaceDN w:val="0"/>
        <w:adjustRightInd w:val="0"/>
        <w:spacing w:after="0"/>
        <w:ind w:left="1440" w:hanging="450"/>
        <w:rPr>
          <w:rFonts w:ascii="Times New Roman" w:eastAsia="Times New Roman" w:hAnsi="Times New Roman" w:cs="Times New Roman"/>
          <w:color w:val="000000" w:themeColor="text1"/>
        </w:rPr>
      </w:pPr>
      <w:proofErr w:type="spellStart"/>
      <w:r w:rsidRPr="00FC3011">
        <w:rPr>
          <w:rFonts w:ascii="Times New Roman" w:eastAsia="Times New Roman" w:hAnsi="Times New Roman" w:cs="Times New Roman"/>
          <w:color w:val="000000" w:themeColor="text1"/>
        </w:rPr>
        <w:t>Ujima</w:t>
      </w:r>
      <w:proofErr w:type="spellEnd"/>
      <w:r w:rsidRPr="00FC3011">
        <w:rPr>
          <w:rFonts w:ascii="Times New Roman" w:eastAsia="Times New Roman" w:hAnsi="Times New Roman" w:cs="Times New Roman"/>
          <w:color w:val="000000" w:themeColor="text1"/>
        </w:rPr>
        <w:t xml:space="preserve">, Inc.: National Center on Violence Against Women in the Black Community:  </w:t>
      </w:r>
      <w:hyperlink r:id="rId45" w:history="1">
        <w:r w:rsidR="00CF106E" w:rsidRPr="00FC3011">
          <w:rPr>
            <w:rStyle w:val="Hyperlink"/>
            <w:rFonts w:ascii="Times New Roman" w:eastAsia="Times New Roman" w:hAnsi="Times New Roman" w:cs="Times New Roman"/>
          </w:rPr>
          <w:t>www.ujimacommunity.org</w:t>
        </w:r>
      </w:hyperlink>
    </w:p>
    <w:p w14:paraId="22FF3495" w14:textId="77777777" w:rsidR="00CF106E" w:rsidRPr="00FC3011" w:rsidRDefault="00CF106E" w:rsidP="00CF106E">
      <w:pPr>
        <w:pStyle w:val="ListParagraph"/>
        <w:autoSpaceDE w:val="0"/>
        <w:autoSpaceDN w:val="0"/>
        <w:adjustRightInd w:val="0"/>
        <w:spacing w:after="0"/>
        <w:ind w:left="1440"/>
        <w:rPr>
          <w:rFonts w:ascii="Times New Roman" w:eastAsia="Times New Roman" w:hAnsi="Times New Roman" w:cs="Times New Roman"/>
          <w:color w:val="000000" w:themeColor="text1"/>
        </w:rPr>
      </w:pPr>
    </w:p>
    <w:p w14:paraId="1707F5FC" w14:textId="22779378" w:rsidR="00886E68" w:rsidRDefault="005B6F6A" w:rsidP="00886E68">
      <w:pPr>
        <w:pStyle w:val="Heading1"/>
        <w:rPr>
          <w:rFonts w:ascii="Times New Roman" w:eastAsia="Times New Roman" w:hAnsi="Times New Roman" w:cs="Times New Roman"/>
        </w:rPr>
      </w:pPr>
      <w:bookmarkStart w:id="9" w:name="_Toc74733177"/>
      <w:r w:rsidRPr="59DB65C9">
        <w:rPr>
          <w:rFonts w:ascii="Times New Roman" w:eastAsia="Times New Roman" w:hAnsi="Times New Roman" w:cs="Times New Roman"/>
        </w:rPr>
        <w:t>Voucher Administration</w:t>
      </w:r>
      <w:bookmarkEnd w:id="9"/>
    </w:p>
    <w:p w14:paraId="5FB3DCBC" w14:textId="7B79D68D" w:rsidR="00974DF2" w:rsidRPr="00974DF2" w:rsidRDefault="00974DF2" w:rsidP="00974DF2">
      <w:pPr>
        <w:pStyle w:val="ListParagraph"/>
        <w:numPr>
          <w:ilvl w:val="0"/>
          <w:numId w:val="29"/>
        </w:numPr>
        <w:spacing w:after="0" w:line="240" w:lineRule="auto"/>
        <w:rPr>
          <w:rFonts w:ascii="Times New Roman" w:eastAsia="Calibri" w:hAnsi="Times New Roman" w:cs="Times New Roman"/>
          <w:b/>
          <w:bCs/>
        </w:rPr>
      </w:pPr>
      <w:r w:rsidRPr="00974DF2">
        <w:rPr>
          <w:rFonts w:ascii="Times New Roman" w:eastAsia="Calibri" w:hAnsi="Times New Roman" w:cs="Times New Roman"/>
          <w:b/>
          <w:bCs/>
        </w:rPr>
        <w:t xml:space="preserve">Can EHV funds be used to temporarily house participants in hotels until they are able to locate permanent housing? </w:t>
      </w:r>
      <w:r w:rsidRPr="00974DF2">
        <w:rPr>
          <w:rFonts w:ascii="Times New Roman" w:eastAsia="Calibri" w:hAnsi="Times New Roman" w:cs="Times New Roman"/>
          <w:b/>
          <w:bCs/>
          <w:color w:val="C00000"/>
        </w:rPr>
        <w:t>(NEW)</w:t>
      </w:r>
    </w:p>
    <w:p w14:paraId="054B3819" w14:textId="77777777" w:rsidR="00974DF2" w:rsidRDefault="00974DF2" w:rsidP="00974DF2">
      <w:pPr>
        <w:spacing w:after="0" w:line="240" w:lineRule="auto"/>
        <w:rPr>
          <w:rFonts w:ascii="Times New Roman" w:eastAsia="Calibri" w:hAnsi="Times New Roman" w:cs="Times New Roman"/>
        </w:rPr>
      </w:pPr>
    </w:p>
    <w:p w14:paraId="2827842E" w14:textId="1E1FF396" w:rsidR="00974DF2" w:rsidRDefault="00974DF2" w:rsidP="00974DF2">
      <w:pPr>
        <w:spacing w:after="0" w:line="240" w:lineRule="auto"/>
        <w:ind w:left="720"/>
        <w:rPr>
          <w:rFonts w:ascii="Times New Roman" w:eastAsia="Calibri" w:hAnsi="Times New Roman" w:cs="Times New Roman"/>
        </w:rPr>
      </w:pPr>
      <w:r w:rsidRPr="00974DF2">
        <w:rPr>
          <w:rFonts w:ascii="Times New Roman" w:eastAsia="Calibri" w:hAnsi="Times New Roman" w:cs="Times New Roman"/>
        </w:rPr>
        <w:t xml:space="preserve">No. The use of EHV funding for temporary hotel stays in not an eligible use.  With the exception of the waivers, alternative requirements, and special rules set forth in </w:t>
      </w:r>
      <w:hyperlink r:id="rId46" w:history="1">
        <w:r w:rsidR="00E400BD" w:rsidRPr="00FC3011">
          <w:rPr>
            <w:rStyle w:val="Hyperlink"/>
            <w:rFonts w:ascii="Times New Roman" w:hAnsi="Times New Roman" w:cs="Times New Roman"/>
          </w:rPr>
          <w:t>PIH Notice 2021-15</w:t>
        </w:r>
      </w:hyperlink>
      <w:r w:rsidRPr="00974DF2">
        <w:rPr>
          <w:rFonts w:ascii="Times New Roman" w:eastAsia="Calibri" w:hAnsi="Times New Roman" w:cs="Times New Roman"/>
        </w:rPr>
        <w:t xml:space="preserve">, EHVs are subject to the same rules and requirements as regular vouchers.  </w:t>
      </w:r>
    </w:p>
    <w:p w14:paraId="190309C2" w14:textId="77777777" w:rsidR="00974DF2" w:rsidRPr="00974DF2" w:rsidRDefault="00974DF2" w:rsidP="00974DF2">
      <w:pPr>
        <w:pStyle w:val="ListParagraph"/>
        <w:spacing w:after="0" w:line="240" w:lineRule="auto"/>
        <w:rPr>
          <w:b/>
          <w:bCs/>
          <w:sz w:val="24"/>
          <w:szCs w:val="24"/>
        </w:rPr>
      </w:pPr>
    </w:p>
    <w:p w14:paraId="2285BDD9" w14:textId="268009C1" w:rsidR="00974DF2" w:rsidRPr="00974DF2" w:rsidRDefault="00974DF2" w:rsidP="00974DF2">
      <w:pPr>
        <w:pStyle w:val="ListParagraph"/>
        <w:numPr>
          <w:ilvl w:val="0"/>
          <w:numId w:val="29"/>
        </w:numPr>
        <w:spacing w:after="0" w:line="240" w:lineRule="auto"/>
        <w:rPr>
          <w:b/>
          <w:bCs/>
          <w:sz w:val="24"/>
          <w:szCs w:val="24"/>
        </w:rPr>
      </w:pPr>
      <w:r w:rsidRPr="00974DF2">
        <w:rPr>
          <w:rFonts w:ascii="Times New Roman" w:eastAsia="Calibri" w:hAnsi="Times New Roman" w:cs="Times New Roman"/>
          <w:b/>
          <w:bCs/>
        </w:rPr>
        <w:t>If a PHA has received more referrals than vouchers available, can the PHA pause the receipt of EHV referrals while working through referrals in queue?</w:t>
      </w:r>
      <w:r w:rsidRPr="00974DF2">
        <w:rPr>
          <w:rFonts w:ascii="Times New Roman" w:eastAsia="Times New Roman" w:hAnsi="Times New Roman" w:cs="Times New Roman"/>
          <w:b/>
          <w:bCs/>
          <w:sz w:val="24"/>
          <w:szCs w:val="24"/>
        </w:rPr>
        <w:t xml:space="preserve"> </w:t>
      </w:r>
      <w:r w:rsidRPr="00974DF2">
        <w:rPr>
          <w:rFonts w:ascii="Times New Roman" w:eastAsia="Times New Roman" w:hAnsi="Times New Roman" w:cs="Times New Roman"/>
          <w:b/>
          <w:bCs/>
          <w:color w:val="C00000"/>
          <w:sz w:val="24"/>
          <w:szCs w:val="24"/>
        </w:rPr>
        <w:t>(NEW)</w:t>
      </w:r>
    </w:p>
    <w:p w14:paraId="59F82ABE" w14:textId="77777777" w:rsidR="00974DF2" w:rsidRDefault="00974DF2" w:rsidP="00974DF2">
      <w:pPr>
        <w:pStyle w:val="Default"/>
        <w:rPr>
          <w:rFonts w:eastAsia="Times New Roman"/>
        </w:rPr>
      </w:pPr>
    </w:p>
    <w:p w14:paraId="0E1DC5D2" w14:textId="45333EAC" w:rsidR="00974DF2" w:rsidRDefault="00974DF2" w:rsidP="00974DF2">
      <w:pPr>
        <w:pStyle w:val="Default"/>
        <w:ind w:left="720"/>
        <w:rPr>
          <w:rFonts w:eastAsia="Times New Roman"/>
        </w:rPr>
      </w:pPr>
      <w:r w:rsidRPr="00974DF2">
        <w:rPr>
          <w:rFonts w:ascii="Times New Roman" w:eastAsia="Calibri" w:hAnsi="Times New Roman" w:cs="Times New Roman"/>
          <w:color w:val="auto"/>
          <w:sz w:val="22"/>
          <w:szCs w:val="22"/>
        </w:rPr>
        <w:t xml:space="preserve">Yes.  It is possible that the number of applicants referred by partnering agencies at a given time may exceed the EHVs available for the PHA to issue to families.  For the EHV program, HUD waived 24 CFR 982.206, which requires the PHA to give public notice when opening and closing the waiting list. Under the alternative requirement, the PHA will work directly with the </w:t>
      </w:r>
      <w:proofErr w:type="spellStart"/>
      <w:r w:rsidRPr="00974DF2">
        <w:rPr>
          <w:rFonts w:ascii="Times New Roman" w:eastAsia="Calibri" w:hAnsi="Times New Roman" w:cs="Times New Roman"/>
          <w:color w:val="auto"/>
          <w:sz w:val="22"/>
          <w:szCs w:val="22"/>
        </w:rPr>
        <w:t>CoC</w:t>
      </w:r>
      <w:proofErr w:type="spellEnd"/>
      <w:r w:rsidRPr="00974DF2">
        <w:rPr>
          <w:rFonts w:ascii="Times New Roman" w:eastAsia="Calibri" w:hAnsi="Times New Roman" w:cs="Times New Roman"/>
          <w:color w:val="auto"/>
          <w:sz w:val="22"/>
          <w:szCs w:val="22"/>
        </w:rPr>
        <w:t xml:space="preserve"> and other referral agency partners to manage the number of referrals and the size of the EHV waiting list. This may include pausing receipt of EHV referrals</w:t>
      </w:r>
      <w:r w:rsidRPr="4958F0A2">
        <w:rPr>
          <w:rFonts w:eastAsia="Times New Roman"/>
        </w:rPr>
        <w:t xml:space="preserve">. </w:t>
      </w:r>
    </w:p>
    <w:p w14:paraId="7EDBC741" w14:textId="77777777" w:rsidR="00974DF2" w:rsidRDefault="00974DF2" w:rsidP="00974DF2">
      <w:pPr>
        <w:spacing w:after="0" w:line="240" w:lineRule="auto"/>
        <w:rPr>
          <w:sz w:val="24"/>
          <w:szCs w:val="24"/>
        </w:rPr>
      </w:pPr>
    </w:p>
    <w:p w14:paraId="6BBD2302" w14:textId="657E1836" w:rsidR="00974DF2" w:rsidRPr="00974DF2" w:rsidRDefault="00974DF2" w:rsidP="00974DF2">
      <w:pPr>
        <w:pStyle w:val="ListParagraph"/>
        <w:numPr>
          <w:ilvl w:val="0"/>
          <w:numId w:val="29"/>
        </w:numPr>
        <w:spacing w:after="0" w:line="240" w:lineRule="auto"/>
        <w:rPr>
          <w:b/>
          <w:sz w:val="24"/>
          <w:szCs w:val="24"/>
        </w:rPr>
      </w:pPr>
      <w:r w:rsidRPr="00974DF2">
        <w:rPr>
          <w:rFonts w:ascii="Times New Roman" w:eastAsia="Times New Roman" w:hAnsi="Times New Roman" w:cs="Times New Roman"/>
          <w:b/>
          <w:sz w:val="24"/>
          <w:szCs w:val="24"/>
        </w:rPr>
        <w:t xml:space="preserve">Are PHAs required to revise their </w:t>
      </w:r>
      <w:r w:rsidRPr="00974DF2">
        <w:rPr>
          <w:rFonts w:ascii="Times New Roman" w:eastAsia="Times New Roman" w:hAnsi="Times New Roman" w:cs="Times New Roman"/>
          <w:b/>
          <w:bCs/>
          <w:sz w:val="24"/>
          <w:szCs w:val="24"/>
        </w:rPr>
        <w:t xml:space="preserve">HCV </w:t>
      </w:r>
      <w:r w:rsidRPr="00974DF2">
        <w:rPr>
          <w:rFonts w:ascii="Times New Roman" w:eastAsia="Times New Roman" w:hAnsi="Times New Roman" w:cs="Times New Roman"/>
          <w:b/>
          <w:sz w:val="24"/>
          <w:szCs w:val="24"/>
        </w:rPr>
        <w:t xml:space="preserve">application for EHV? </w:t>
      </w:r>
      <w:r w:rsidRPr="00974DF2">
        <w:rPr>
          <w:rFonts w:ascii="Times New Roman" w:eastAsia="Times New Roman" w:hAnsi="Times New Roman" w:cs="Times New Roman"/>
          <w:b/>
          <w:bCs/>
          <w:color w:val="C00000"/>
          <w:sz w:val="24"/>
          <w:szCs w:val="24"/>
        </w:rPr>
        <w:t>(NEW)</w:t>
      </w:r>
    </w:p>
    <w:p w14:paraId="3173C076" w14:textId="77777777" w:rsidR="00974DF2" w:rsidRPr="00974DF2" w:rsidRDefault="00974DF2" w:rsidP="00974DF2">
      <w:pPr>
        <w:pStyle w:val="ListParagraph"/>
        <w:spacing w:after="0" w:line="240" w:lineRule="auto"/>
        <w:rPr>
          <w:b/>
          <w:sz w:val="24"/>
          <w:szCs w:val="24"/>
        </w:rPr>
      </w:pPr>
    </w:p>
    <w:p w14:paraId="3D5D0D63" w14:textId="4FD8EBE4" w:rsidR="00974DF2" w:rsidRPr="00731FFC" w:rsidRDefault="00974DF2" w:rsidP="00731FFC">
      <w:pPr>
        <w:ind w:left="720"/>
        <w:rPr>
          <w:rFonts w:ascii="Times New Roman" w:eastAsia="Calibri" w:hAnsi="Times New Roman" w:cs="Times New Roman"/>
        </w:rPr>
      </w:pPr>
      <w:r w:rsidRPr="00974DF2">
        <w:rPr>
          <w:rFonts w:ascii="Times New Roman" w:eastAsia="Calibri" w:hAnsi="Times New Roman" w:cs="Times New Roman"/>
        </w:rPr>
        <w:t xml:space="preserve">No.  PHAs are not required to revise their housing application for the EHV program; however, HUD encourages PHAs to update their existing HCV application if waivers were adopted to expedite the lease-up process for EHVs.  For example, the HCV application may need to be </w:t>
      </w:r>
      <w:r w:rsidRPr="00974DF2">
        <w:rPr>
          <w:rFonts w:ascii="Times New Roman" w:eastAsia="Calibri" w:hAnsi="Times New Roman" w:cs="Times New Roman"/>
        </w:rPr>
        <w:lastRenderedPageBreak/>
        <w:t>updated if the PHA adopted a waiver for self-certification for income or vital documents (social security number, citizenship status, date of birth, etc.) for the EHV program, or if the criminal screening for the EHV program differs from the HCV program.  HUD has provided an</w:t>
      </w:r>
      <w:r w:rsidRPr="4958F0A2">
        <w:rPr>
          <w:rFonts w:ascii="Times New Roman" w:eastAsia="Times New Roman" w:hAnsi="Times New Roman" w:cs="Times New Roman"/>
          <w:sz w:val="24"/>
          <w:szCs w:val="24"/>
        </w:rPr>
        <w:t xml:space="preserve"> </w:t>
      </w:r>
      <w:hyperlink r:id="rId47">
        <w:r w:rsidRPr="4958F0A2">
          <w:rPr>
            <w:rStyle w:val="Hyperlink"/>
            <w:rFonts w:ascii="Times New Roman" w:eastAsia="Times New Roman" w:hAnsi="Times New Roman" w:cs="Times New Roman"/>
            <w:sz w:val="24"/>
            <w:szCs w:val="24"/>
          </w:rPr>
          <w:t>EHV Referral Packet Template</w:t>
        </w:r>
      </w:hyperlink>
      <w:r w:rsidRPr="4958F0A2">
        <w:rPr>
          <w:rFonts w:ascii="Times New Roman" w:eastAsia="Times New Roman" w:hAnsi="Times New Roman" w:cs="Times New Roman"/>
          <w:sz w:val="24"/>
          <w:szCs w:val="24"/>
        </w:rPr>
        <w:t xml:space="preserve"> </w:t>
      </w:r>
      <w:r w:rsidRPr="00974DF2">
        <w:rPr>
          <w:rFonts w:ascii="Times New Roman" w:eastAsia="Calibri" w:hAnsi="Times New Roman" w:cs="Times New Roman"/>
        </w:rPr>
        <w:t xml:space="preserve">for PHAs to edit and use to fit their specific needs and program guidelines.  </w:t>
      </w:r>
    </w:p>
    <w:p w14:paraId="35D760F0" w14:textId="77777777" w:rsidR="00974DF2" w:rsidRDefault="00974DF2" w:rsidP="00974DF2">
      <w:pPr>
        <w:pStyle w:val="ListParagraph"/>
        <w:numPr>
          <w:ilvl w:val="0"/>
          <w:numId w:val="29"/>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Does HUD offer technical assistance to support PHAs in their implementation of EHVs? </w:t>
      </w:r>
      <w:r w:rsidRPr="00DC3D44">
        <w:rPr>
          <w:rFonts w:ascii="Times New Roman" w:eastAsia="Times New Roman" w:hAnsi="Times New Roman" w:cs="Times New Roman"/>
          <w:b/>
          <w:bCs/>
          <w:color w:val="C00000"/>
          <w:sz w:val="24"/>
          <w:szCs w:val="24"/>
        </w:rPr>
        <w:t>(NEW)</w:t>
      </w:r>
    </w:p>
    <w:p w14:paraId="22AEA617" w14:textId="77777777" w:rsidR="00974DF2" w:rsidRDefault="00974DF2" w:rsidP="00974DF2">
      <w:pPr>
        <w:pStyle w:val="ListParagraph"/>
        <w:rPr>
          <w:rFonts w:ascii="Times New Roman" w:eastAsia="Times New Roman" w:hAnsi="Times New Roman" w:cs="Times New Roman"/>
          <w:b/>
          <w:sz w:val="24"/>
          <w:szCs w:val="24"/>
        </w:rPr>
      </w:pPr>
    </w:p>
    <w:p w14:paraId="5CC05255" w14:textId="7ED1B4D6" w:rsidR="00974DF2" w:rsidRDefault="00974DF2" w:rsidP="00974DF2">
      <w:pPr>
        <w:pStyle w:val="ListParagraph"/>
        <w:rPr>
          <w:rFonts w:ascii="Times New Roman" w:eastAsia="Calibri" w:hAnsi="Times New Roman" w:cs="Times New Roman"/>
        </w:rPr>
      </w:pPr>
      <w:r w:rsidRPr="00974DF2">
        <w:rPr>
          <w:rFonts w:ascii="Times New Roman" w:eastAsia="Calibri" w:hAnsi="Times New Roman" w:cs="Times New Roman"/>
        </w:rPr>
        <w:t>Yes.  HUD’s On-Call and Direct Technical Assistance (TA) is designed to support PHAs that need “hands-on” assistance in their operation of the EHV program.  PHAs seeking in-depth one-on-one program assistance and/or capacity building may do so by visiting the</w:t>
      </w:r>
      <w:r w:rsidRPr="00AB0C2F">
        <w:rPr>
          <w:rFonts w:ascii="Times New Roman" w:eastAsia="Times New Roman" w:hAnsi="Times New Roman" w:cs="Times New Roman"/>
          <w:sz w:val="24"/>
          <w:szCs w:val="24"/>
        </w:rPr>
        <w:t xml:space="preserve"> </w:t>
      </w:r>
      <w:hyperlink r:id="rId48" w:history="1">
        <w:r w:rsidRPr="00ED7C26">
          <w:rPr>
            <w:rStyle w:val="Hyperlink"/>
            <w:rFonts w:ascii="Times New Roman" w:eastAsia="Times New Roman" w:hAnsi="Times New Roman" w:cs="Times New Roman"/>
            <w:sz w:val="24"/>
            <w:szCs w:val="24"/>
          </w:rPr>
          <w:t>Request Technical Assistance</w:t>
        </w:r>
      </w:hyperlink>
      <w:r>
        <w:t xml:space="preserve"> </w:t>
      </w:r>
      <w:r w:rsidRPr="00974DF2">
        <w:rPr>
          <w:rFonts w:ascii="Times New Roman" w:eastAsia="Calibri" w:hAnsi="Times New Roman" w:cs="Times New Roman"/>
        </w:rPr>
        <w:t xml:space="preserve">page on </w:t>
      </w:r>
      <w:proofErr w:type="spellStart"/>
      <w:r w:rsidRPr="00974DF2">
        <w:rPr>
          <w:rFonts w:ascii="Times New Roman" w:eastAsia="Calibri" w:hAnsi="Times New Roman" w:cs="Times New Roman"/>
        </w:rPr>
        <w:t>HUDExchange</w:t>
      </w:r>
      <w:proofErr w:type="spellEnd"/>
      <w:r w:rsidRPr="00974DF2">
        <w:rPr>
          <w:rFonts w:ascii="Times New Roman" w:eastAsia="Calibri" w:hAnsi="Times New Roman" w:cs="Times New Roman"/>
        </w:rPr>
        <w:t>.</w:t>
      </w:r>
    </w:p>
    <w:p w14:paraId="4E136383" w14:textId="77777777" w:rsidR="00974DF2" w:rsidRPr="00974DF2" w:rsidRDefault="00974DF2" w:rsidP="00974DF2">
      <w:pPr>
        <w:pStyle w:val="ListParagraph"/>
        <w:rPr>
          <w:rFonts w:ascii="Times New Roman" w:eastAsia="Calibri" w:hAnsi="Times New Roman" w:cs="Times New Roman"/>
        </w:rPr>
      </w:pPr>
    </w:p>
    <w:p w14:paraId="1286D426" w14:textId="6C546FC9" w:rsidR="00974DF2" w:rsidRPr="00974DF2" w:rsidRDefault="00974DF2" w:rsidP="00974DF2">
      <w:pPr>
        <w:pStyle w:val="ListParagraph"/>
        <w:rPr>
          <w:rFonts w:ascii="Times New Roman" w:eastAsia="Calibri" w:hAnsi="Times New Roman" w:cs="Times New Roman"/>
        </w:rPr>
      </w:pPr>
      <w:r w:rsidRPr="00974DF2">
        <w:rPr>
          <w:rFonts w:ascii="Times New Roman" w:eastAsia="Calibri" w:hAnsi="Times New Roman" w:cs="Times New Roman"/>
        </w:rPr>
        <w:t xml:space="preserve">Please keep in mind that requesting technical assistance does not increase the chances that your agency will receive additional monitoring.  The focus of EHV technical assistance is to help PHAs and </w:t>
      </w:r>
      <w:proofErr w:type="spellStart"/>
      <w:r w:rsidRPr="00974DF2">
        <w:rPr>
          <w:rFonts w:ascii="Times New Roman" w:eastAsia="Calibri" w:hAnsi="Times New Roman" w:cs="Times New Roman"/>
        </w:rPr>
        <w:t>CoCs</w:t>
      </w:r>
      <w:proofErr w:type="spellEnd"/>
      <w:r w:rsidRPr="00974DF2">
        <w:rPr>
          <w:rFonts w:ascii="Times New Roman" w:eastAsia="Calibri" w:hAnsi="Times New Roman" w:cs="Times New Roman"/>
        </w:rPr>
        <w:t xml:space="preserve"> overcome potential leasing hurdles and house EHV-eligible families.</w:t>
      </w:r>
    </w:p>
    <w:p w14:paraId="59856B61" w14:textId="77777777" w:rsidR="00974DF2" w:rsidRPr="00974DF2" w:rsidRDefault="00974DF2" w:rsidP="00974DF2">
      <w:pPr>
        <w:pStyle w:val="Default"/>
        <w:numPr>
          <w:ilvl w:val="0"/>
          <w:numId w:val="29"/>
        </w:numPr>
        <w:rPr>
          <w:rFonts w:ascii="Times New Roman" w:eastAsia="Times New Roman" w:hAnsi="Times New Roman" w:cs="Times New Roman"/>
          <w:b/>
          <w:color w:val="auto"/>
        </w:rPr>
      </w:pPr>
      <w:r w:rsidRPr="00974DF2">
        <w:rPr>
          <w:rFonts w:ascii="Times New Roman" w:eastAsia="Times New Roman" w:hAnsi="Times New Roman" w:cs="Times New Roman"/>
          <w:b/>
          <w:color w:val="auto"/>
        </w:rPr>
        <w:t xml:space="preserve"> What kind of TA is available to PHAs? </w:t>
      </w:r>
      <w:r w:rsidRPr="00974DF2">
        <w:rPr>
          <w:rFonts w:ascii="Times New Roman" w:eastAsia="Times New Roman" w:hAnsi="Times New Roman" w:cs="Times New Roman"/>
          <w:b/>
          <w:color w:val="C00000"/>
        </w:rPr>
        <w:t>(NEW)</w:t>
      </w:r>
    </w:p>
    <w:p w14:paraId="6E753D34" w14:textId="77777777" w:rsidR="00974DF2" w:rsidRDefault="00974DF2" w:rsidP="00974DF2">
      <w:pPr>
        <w:pStyle w:val="Default"/>
      </w:pPr>
    </w:p>
    <w:p w14:paraId="22B9F359" w14:textId="77777777" w:rsidR="00974DF2" w:rsidRPr="00974DF2" w:rsidRDefault="00974DF2" w:rsidP="00974DF2">
      <w:pPr>
        <w:pStyle w:val="ListParagraph"/>
        <w:rPr>
          <w:rFonts w:ascii="Times New Roman" w:eastAsia="Calibri" w:hAnsi="Times New Roman" w:cs="Times New Roman"/>
        </w:rPr>
      </w:pPr>
      <w:r w:rsidRPr="00974DF2">
        <w:rPr>
          <w:rFonts w:ascii="Times New Roman" w:eastAsia="Calibri" w:hAnsi="Times New Roman" w:cs="Times New Roman"/>
        </w:rPr>
        <w:t xml:space="preserve">On-Call or Direct TA can be requested for, but not limited to, the following assistance requests: </w:t>
      </w:r>
    </w:p>
    <w:p w14:paraId="52B94FC2" w14:textId="77777777" w:rsidR="00974DF2" w:rsidRPr="00974DF2" w:rsidRDefault="00974DF2" w:rsidP="00974DF2">
      <w:pPr>
        <w:numPr>
          <w:ilvl w:val="0"/>
          <w:numId w:val="41"/>
        </w:numPr>
        <w:shd w:val="clear" w:color="auto" w:fill="FFFFFF"/>
        <w:spacing w:before="100" w:beforeAutospacing="1" w:after="100" w:afterAutospacing="1" w:line="240" w:lineRule="auto"/>
        <w:rPr>
          <w:rFonts w:ascii="Times New Roman" w:eastAsia="Calibri" w:hAnsi="Times New Roman" w:cs="Times New Roman"/>
        </w:rPr>
      </w:pPr>
      <w:r w:rsidRPr="00974DF2">
        <w:rPr>
          <w:rFonts w:ascii="Times New Roman" w:eastAsia="Calibri" w:hAnsi="Times New Roman" w:cs="Times New Roman"/>
        </w:rPr>
        <w:t xml:space="preserve">Working with </w:t>
      </w:r>
      <w:proofErr w:type="spellStart"/>
      <w:r w:rsidRPr="00974DF2">
        <w:rPr>
          <w:rFonts w:ascii="Times New Roman" w:eastAsia="Calibri" w:hAnsi="Times New Roman" w:cs="Times New Roman"/>
        </w:rPr>
        <w:t>CoCs</w:t>
      </w:r>
      <w:proofErr w:type="spellEnd"/>
      <w:r w:rsidRPr="00974DF2">
        <w:rPr>
          <w:rFonts w:ascii="Times New Roman" w:eastAsia="Calibri" w:hAnsi="Times New Roman" w:cs="Times New Roman"/>
        </w:rPr>
        <w:t xml:space="preserve"> and/or other Victim Services Providers to establish and update the Memorandum of Understanding </w:t>
      </w:r>
    </w:p>
    <w:p w14:paraId="2A35A8AF" w14:textId="77777777" w:rsidR="00974DF2" w:rsidRPr="00974DF2" w:rsidRDefault="00974DF2" w:rsidP="00974DF2">
      <w:pPr>
        <w:numPr>
          <w:ilvl w:val="0"/>
          <w:numId w:val="41"/>
        </w:numPr>
        <w:shd w:val="clear" w:color="auto" w:fill="FFFFFF"/>
        <w:spacing w:before="100" w:beforeAutospacing="1" w:after="100" w:afterAutospacing="1" w:line="240" w:lineRule="auto"/>
        <w:rPr>
          <w:rFonts w:ascii="Times New Roman" w:eastAsia="Calibri" w:hAnsi="Times New Roman" w:cs="Times New Roman"/>
        </w:rPr>
      </w:pPr>
      <w:r w:rsidRPr="00974DF2">
        <w:rPr>
          <w:rFonts w:ascii="Times New Roman" w:eastAsia="Calibri" w:hAnsi="Times New Roman" w:cs="Times New Roman"/>
        </w:rPr>
        <w:t xml:space="preserve">Increasing voucher utilization </w:t>
      </w:r>
    </w:p>
    <w:p w14:paraId="679507EE" w14:textId="77777777" w:rsidR="00974DF2" w:rsidRPr="00974DF2" w:rsidRDefault="00974DF2" w:rsidP="00974DF2">
      <w:pPr>
        <w:numPr>
          <w:ilvl w:val="0"/>
          <w:numId w:val="41"/>
        </w:numPr>
        <w:shd w:val="clear" w:color="auto" w:fill="FFFFFF"/>
        <w:spacing w:before="100" w:beforeAutospacing="1" w:after="100" w:afterAutospacing="1" w:line="240" w:lineRule="auto"/>
        <w:rPr>
          <w:rFonts w:ascii="Times New Roman" w:eastAsia="Calibri" w:hAnsi="Times New Roman" w:cs="Times New Roman"/>
        </w:rPr>
      </w:pPr>
      <w:r w:rsidRPr="00974DF2">
        <w:rPr>
          <w:rFonts w:ascii="Times New Roman" w:eastAsia="Calibri" w:hAnsi="Times New Roman" w:cs="Times New Roman"/>
        </w:rPr>
        <w:t>Optimizing the use of the Service Fee and other EHV fees</w:t>
      </w:r>
    </w:p>
    <w:p w14:paraId="5B5E24CE" w14:textId="77777777" w:rsidR="00974DF2" w:rsidRPr="00974DF2" w:rsidRDefault="00974DF2" w:rsidP="00974DF2">
      <w:pPr>
        <w:numPr>
          <w:ilvl w:val="0"/>
          <w:numId w:val="41"/>
        </w:numPr>
        <w:shd w:val="clear" w:color="auto" w:fill="FFFFFF"/>
        <w:spacing w:before="100" w:beforeAutospacing="1" w:after="100" w:afterAutospacing="1" w:line="240" w:lineRule="auto"/>
        <w:rPr>
          <w:rFonts w:ascii="Times New Roman" w:eastAsia="Calibri" w:hAnsi="Times New Roman" w:cs="Times New Roman"/>
        </w:rPr>
      </w:pPr>
      <w:r w:rsidRPr="00974DF2">
        <w:rPr>
          <w:rFonts w:ascii="Times New Roman" w:eastAsia="Calibri" w:hAnsi="Times New Roman" w:cs="Times New Roman"/>
        </w:rPr>
        <w:t>Referral or landlord issues</w:t>
      </w:r>
    </w:p>
    <w:p w14:paraId="70A215A3" w14:textId="478F344D" w:rsidR="00974DF2" w:rsidRDefault="00974DF2" w:rsidP="00974DF2">
      <w:pPr>
        <w:numPr>
          <w:ilvl w:val="0"/>
          <w:numId w:val="41"/>
        </w:numPr>
        <w:shd w:val="clear" w:color="auto" w:fill="FFFFFF" w:themeFill="background1"/>
        <w:spacing w:before="100" w:beforeAutospacing="1" w:after="100" w:afterAutospacing="1" w:line="240" w:lineRule="auto"/>
        <w:rPr>
          <w:rFonts w:ascii="Times New Roman" w:eastAsia="Calibri" w:hAnsi="Times New Roman" w:cs="Times New Roman"/>
        </w:rPr>
      </w:pPr>
      <w:r w:rsidRPr="00974DF2">
        <w:rPr>
          <w:rFonts w:ascii="Times New Roman" w:eastAsia="Calibri" w:hAnsi="Times New Roman" w:cs="Times New Roman"/>
        </w:rPr>
        <w:t>Reporting issues (IMS/PIC, VMS, and FDS)</w:t>
      </w:r>
    </w:p>
    <w:p w14:paraId="2FE7A656" w14:textId="243C03CE" w:rsidR="00974DF2" w:rsidRPr="00974DF2" w:rsidRDefault="00974DF2" w:rsidP="00974DF2">
      <w:pPr>
        <w:pStyle w:val="ListParagraph"/>
        <w:numPr>
          <w:ilvl w:val="0"/>
          <w:numId w:val="29"/>
        </w:numPr>
        <w:spacing w:after="0" w:line="240" w:lineRule="auto"/>
        <w:rPr>
          <w:rFonts w:ascii="Times New Roman" w:eastAsia="Times New Roman" w:hAnsi="Times New Roman" w:cs="Times New Roman"/>
          <w:b/>
          <w:sz w:val="24"/>
          <w:szCs w:val="24"/>
        </w:rPr>
      </w:pPr>
      <w:r w:rsidRPr="00974DF2">
        <w:rPr>
          <w:rFonts w:ascii="Times New Roman" w:eastAsia="Times New Roman" w:hAnsi="Times New Roman" w:cs="Times New Roman"/>
          <w:b/>
          <w:sz w:val="24"/>
          <w:szCs w:val="24"/>
        </w:rPr>
        <w:t xml:space="preserve">If a PHA admits an EHV applicant that owes previous debts to the agency, can the PHA enter into a repayment agreement with the family to begin collecting the debt owed? </w:t>
      </w:r>
      <w:r w:rsidRPr="00974DF2">
        <w:rPr>
          <w:rFonts w:ascii="Times New Roman" w:eastAsia="Times New Roman" w:hAnsi="Times New Roman" w:cs="Times New Roman"/>
          <w:b/>
          <w:bCs/>
          <w:color w:val="C00000"/>
          <w:sz w:val="24"/>
          <w:szCs w:val="24"/>
        </w:rPr>
        <w:t>(NEW)</w:t>
      </w:r>
    </w:p>
    <w:p w14:paraId="2D6AC57C" w14:textId="77777777" w:rsidR="00974DF2" w:rsidRPr="00974DF2" w:rsidRDefault="00974DF2" w:rsidP="00974DF2">
      <w:pPr>
        <w:pStyle w:val="ListParagraph"/>
        <w:spacing w:after="0" w:line="240" w:lineRule="auto"/>
        <w:rPr>
          <w:rFonts w:ascii="Times New Roman" w:eastAsia="Times New Roman" w:hAnsi="Times New Roman" w:cs="Times New Roman"/>
          <w:b/>
          <w:sz w:val="24"/>
          <w:szCs w:val="24"/>
        </w:rPr>
      </w:pPr>
    </w:p>
    <w:p w14:paraId="5BD65718" w14:textId="18087385" w:rsidR="00974DF2" w:rsidRDefault="00974DF2" w:rsidP="00974DF2">
      <w:pPr>
        <w:ind w:left="720"/>
        <w:rPr>
          <w:rFonts w:ascii="Times New Roman" w:eastAsia="Calibri" w:hAnsi="Times New Roman" w:cs="Times New Roman"/>
        </w:rPr>
      </w:pPr>
      <w:r w:rsidRPr="00974DF2">
        <w:rPr>
          <w:rFonts w:ascii="Times New Roman" w:eastAsia="Calibri" w:hAnsi="Times New Roman" w:cs="Times New Roman"/>
        </w:rPr>
        <w:t>Yes.  Per</w:t>
      </w:r>
      <w:r w:rsidRPr="002247B1">
        <w:rPr>
          <w:rFonts w:ascii="Times New Roman" w:eastAsia="Times New Roman" w:hAnsi="Times New Roman" w:cs="Times New Roman"/>
          <w:sz w:val="24"/>
          <w:szCs w:val="24"/>
        </w:rPr>
        <w:t xml:space="preserve"> </w:t>
      </w:r>
      <w:hyperlink r:id="rId49">
        <w:r w:rsidRPr="00974DF2">
          <w:rPr>
            <w:rStyle w:val="Hyperlink"/>
            <w:rFonts w:ascii="Times New Roman" w:eastAsia="Times New Roman" w:hAnsi="Times New Roman" w:cs="Times New Roman"/>
          </w:rPr>
          <w:t>PIH Notice 2021-15</w:t>
        </w:r>
      </w:hyperlink>
      <w:r w:rsidRPr="002247B1">
        <w:rPr>
          <w:rFonts w:ascii="Times New Roman" w:eastAsia="Times New Roman" w:hAnsi="Times New Roman" w:cs="Times New Roman"/>
          <w:sz w:val="24"/>
          <w:szCs w:val="24"/>
        </w:rPr>
        <w:t xml:space="preserve">, </w:t>
      </w:r>
      <w:r w:rsidRPr="00974DF2">
        <w:rPr>
          <w:rFonts w:ascii="Times New Roman" w:eastAsia="Calibri" w:hAnsi="Times New Roman" w:cs="Times New Roman"/>
        </w:rPr>
        <w:t xml:space="preserve">HUD has waived parts of  24 CFR 982.552 and established an alternative requirement that includes prohibiting PHAs from denying admission to the EHV program because the applicant currently owes rent or other amounts to the PHA or to another PHA in connection with Section 8 or public housing assistance. But HUD has not waived 982.552 as it relates to grounds for termination of assistance for participant families, and PHAs may terminate EHV assistance on those grounds per 24 CFR 982.552(c)(1)(v). Once a family in such a circumstance has been admitted to the EHV program, the PHA should enter into a repayment agreement with the family. The family’s refusal to enter into a repayment agreement or otherwise pay the amount owed would be grounds for termination from the program, following an opportunity for an informal hearing per 24 CFR 982.555. See Section 16 of </w:t>
      </w:r>
      <w:hyperlink r:id="rId50">
        <w:r w:rsidRPr="00974DF2">
          <w:rPr>
            <w:rStyle w:val="Hyperlink"/>
            <w:rFonts w:ascii="Times New Roman" w:eastAsia="Times New Roman" w:hAnsi="Times New Roman" w:cs="Times New Roman"/>
          </w:rPr>
          <w:t>PIH Notice 2018-18</w:t>
        </w:r>
      </w:hyperlink>
      <w:r w:rsidRPr="00974DF2">
        <w:rPr>
          <w:rFonts w:ascii="Times New Roman" w:eastAsia="Times New Roman" w:hAnsi="Times New Roman" w:cs="Times New Roman"/>
        </w:rPr>
        <w:t xml:space="preserve"> and </w:t>
      </w:r>
      <w:hyperlink r:id="rId51" w:history="1">
        <w:r w:rsidRPr="00974DF2">
          <w:rPr>
            <w:rStyle w:val="Hyperlink"/>
            <w:rFonts w:ascii="Times New Roman" w:eastAsia="Times New Roman" w:hAnsi="Times New Roman" w:cs="Times New Roman"/>
          </w:rPr>
          <w:t>HUD’s Eviction Prevention and Stability Toolkit</w:t>
        </w:r>
      </w:hyperlink>
      <w:r w:rsidRPr="00173441">
        <w:rPr>
          <w:rFonts w:ascii="Times New Roman" w:eastAsia="Times New Roman" w:hAnsi="Times New Roman" w:cs="Times New Roman"/>
          <w:sz w:val="24"/>
          <w:szCs w:val="24"/>
        </w:rPr>
        <w:t xml:space="preserve"> </w:t>
      </w:r>
      <w:r w:rsidRPr="00974DF2">
        <w:rPr>
          <w:rFonts w:ascii="Times New Roman" w:eastAsia="Calibri" w:hAnsi="Times New Roman" w:cs="Times New Roman"/>
        </w:rPr>
        <w:t>for guidance on repayment agreements.</w:t>
      </w:r>
    </w:p>
    <w:p w14:paraId="5235FDBE" w14:textId="02A9218E" w:rsidR="00974DF2" w:rsidRPr="00EE3A3D" w:rsidRDefault="00974DF2" w:rsidP="00974DF2">
      <w:pPr>
        <w:pStyle w:val="NormalWeb"/>
        <w:numPr>
          <w:ilvl w:val="0"/>
          <w:numId w:val="29"/>
        </w:numPr>
      </w:pPr>
      <w:r w:rsidRPr="0086642B">
        <w:rPr>
          <w:b/>
          <w:bCs/>
        </w:rPr>
        <w:lastRenderedPageBreak/>
        <w:t>When does HUD plan to implement the provision in Section 14 of the EHV</w:t>
      </w:r>
      <w:r w:rsidRPr="0086642B">
        <w:rPr>
          <w:rFonts w:eastAsiaTheme="minorEastAsia"/>
          <w:b/>
          <w:bCs/>
        </w:rPr>
        <w:t xml:space="preserve"> Operating Requirements </w:t>
      </w:r>
      <w:hyperlink r:id="rId52">
        <w:r w:rsidRPr="57AE29D1">
          <w:rPr>
            <w:rStyle w:val="Hyperlink"/>
          </w:rPr>
          <w:t>PIH Notice 2021-15</w:t>
        </w:r>
      </w:hyperlink>
      <w:r w:rsidRPr="0086642B">
        <w:rPr>
          <w:rFonts w:eastAsiaTheme="minorEastAsia"/>
          <w:b/>
          <w:bCs/>
        </w:rPr>
        <w:t>, which provides for the revocation and reallocation of vouchers for PHAs for failure to use voucher promptly?</w:t>
      </w:r>
      <w:r>
        <w:rPr>
          <w:rFonts w:eastAsiaTheme="minorEastAsia"/>
          <w:b/>
          <w:bCs/>
        </w:rPr>
        <w:t xml:space="preserve"> </w:t>
      </w:r>
      <w:r w:rsidRPr="00DC3D44">
        <w:rPr>
          <w:b/>
          <w:bCs/>
          <w:color w:val="C00000"/>
        </w:rPr>
        <w:t>(NEW)</w:t>
      </w:r>
    </w:p>
    <w:p w14:paraId="7C5433B1" w14:textId="77777777" w:rsidR="00974DF2" w:rsidRPr="0086642B" w:rsidRDefault="00974DF2" w:rsidP="00974DF2">
      <w:pPr>
        <w:rPr>
          <w:rFonts w:ascii="Times New Roman" w:hAnsi="Times New Roman" w:cs="Times New Roman"/>
          <w:sz w:val="24"/>
          <w:szCs w:val="24"/>
        </w:rPr>
      </w:pPr>
      <w:r w:rsidRPr="0086642B">
        <w:rPr>
          <w:rFonts w:ascii="Times New Roman" w:hAnsi="Times New Roman" w:cs="Times New Roman"/>
          <w:sz w:val="24"/>
          <w:szCs w:val="24"/>
        </w:rPr>
        <w:t xml:space="preserve"> </w:t>
      </w:r>
    </w:p>
    <w:p w14:paraId="45500D0E" w14:textId="1F14BB2B" w:rsidR="00974DF2" w:rsidRDefault="00974DF2" w:rsidP="00974DF2">
      <w:pPr>
        <w:pStyle w:val="Heading2"/>
        <w:numPr>
          <w:ilvl w:val="1"/>
          <w:numId w:val="0"/>
        </w:numPr>
        <w:ind w:left="720"/>
        <w:rPr>
          <w:rFonts w:ascii="Times New Roman" w:eastAsia="Calibri" w:hAnsi="Times New Roman" w:cs="Times New Roman"/>
          <w:color w:val="auto"/>
          <w:sz w:val="22"/>
          <w:szCs w:val="22"/>
        </w:rPr>
      </w:pPr>
      <w:r w:rsidRPr="00974DF2">
        <w:rPr>
          <w:rFonts w:ascii="Times New Roman" w:eastAsia="Calibri" w:hAnsi="Times New Roman" w:cs="Times New Roman"/>
          <w:color w:val="auto"/>
          <w:sz w:val="22"/>
          <w:szCs w:val="22"/>
        </w:rPr>
        <w:t xml:space="preserve">While the EHV program is intended to provide urgent housing support and help communities address the continued impact of the COVID-19 pandemic, HUD understands that it takes time to develop local programs based on the unique requirements of the EHV program.  All initial EHV awards have an effective period of 18 months, which expires on December 31, 2022.  Therefore, the process of HUD revoking and reallocating EHV awards for PHAs that have a substandard leasing performance will take place in 2023.  In the summer of 2022, HUD will issue a notice to provide additional details on the criteria applied for revocation and reallocation of EHVs.  </w:t>
      </w:r>
    </w:p>
    <w:p w14:paraId="795D349D" w14:textId="77777777" w:rsidR="00974DF2" w:rsidRPr="00974DF2" w:rsidRDefault="00974DF2" w:rsidP="00974DF2"/>
    <w:p w14:paraId="4D9FD393" w14:textId="77777777" w:rsidR="00974DF2" w:rsidRPr="00974DF2" w:rsidRDefault="00974DF2" w:rsidP="00974DF2">
      <w:pPr>
        <w:pStyle w:val="Heading2"/>
        <w:ind w:left="720"/>
        <w:rPr>
          <w:rFonts w:ascii="Times New Roman" w:eastAsia="Calibri" w:hAnsi="Times New Roman" w:cs="Times New Roman"/>
          <w:color w:val="auto"/>
          <w:sz w:val="22"/>
          <w:szCs w:val="22"/>
        </w:rPr>
      </w:pPr>
      <w:r w:rsidRPr="00974DF2">
        <w:rPr>
          <w:rFonts w:ascii="Times New Roman" w:eastAsia="Calibri" w:hAnsi="Times New Roman" w:cs="Times New Roman"/>
          <w:color w:val="auto"/>
          <w:sz w:val="22"/>
          <w:szCs w:val="22"/>
        </w:rPr>
        <w:t xml:space="preserve">PHAs that need technical assistance to address EHV utilization barriers are encouraged to submit a TA request through the </w:t>
      </w:r>
      <w:proofErr w:type="spellStart"/>
      <w:r w:rsidRPr="00974DF2">
        <w:rPr>
          <w:rFonts w:ascii="Times New Roman" w:eastAsia="Calibri" w:hAnsi="Times New Roman" w:cs="Times New Roman"/>
          <w:color w:val="auto"/>
          <w:sz w:val="22"/>
          <w:szCs w:val="22"/>
        </w:rPr>
        <w:t>HUDExchange</w:t>
      </w:r>
      <w:proofErr w:type="spellEnd"/>
      <w:r w:rsidRPr="00974DF2">
        <w:rPr>
          <w:rFonts w:ascii="Times New Roman" w:eastAsia="Calibri" w:hAnsi="Times New Roman" w:cs="Times New Roman"/>
          <w:color w:val="auto"/>
          <w:sz w:val="22"/>
          <w:szCs w:val="22"/>
        </w:rPr>
        <w:t xml:space="preserve"> at:</w:t>
      </w:r>
    </w:p>
    <w:p w14:paraId="3B6E1550" w14:textId="0329F586" w:rsidR="00974DF2" w:rsidRDefault="00EE7DB8" w:rsidP="00974DF2">
      <w:pPr>
        <w:pStyle w:val="Heading2"/>
        <w:ind w:left="720"/>
        <w:rPr>
          <w:rFonts w:eastAsiaTheme="minorEastAsia"/>
        </w:rPr>
      </w:pPr>
      <w:hyperlink r:id="rId53" w:history="1">
        <w:r w:rsidR="00974DF2" w:rsidRPr="00974DF2">
          <w:rPr>
            <w:rStyle w:val="Hyperlink"/>
            <w:rFonts w:ascii="Times New Roman" w:eastAsiaTheme="minorEastAsia" w:hAnsi="Times New Roman"/>
            <w:sz w:val="22"/>
            <w:szCs w:val="22"/>
          </w:rPr>
          <w:t>https://www.hudexchange.info/program-support/technical-assistance</w:t>
        </w:r>
      </w:hyperlink>
      <w:hyperlink r:id="rId54">
        <w:r w:rsidR="00974DF2" w:rsidRPr="4958F0A2">
          <w:rPr>
            <w:rFonts w:eastAsiaTheme="minorEastAsia"/>
          </w:rPr>
          <w:t>/</w:t>
        </w:r>
      </w:hyperlink>
      <w:r w:rsidR="00974DF2" w:rsidRPr="4958F0A2">
        <w:rPr>
          <w:rFonts w:eastAsiaTheme="minorEastAsia"/>
        </w:rPr>
        <w:t xml:space="preserve">. </w:t>
      </w:r>
    </w:p>
    <w:p w14:paraId="7BBCB5D2" w14:textId="77777777" w:rsidR="00974DF2" w:rsidRPr="00974DF2" w:rsidRDefault="00974DF2" w:rsidP="00974DF2"/>
    <w:p w14:paraId="174460ED" w14:textId="22ACBF8E" w:rsidR="00974DF2" w:rsidRDefault="00974DF2" w:rsidP="00974DF2">
      <w:pPr>
        <w:tabs>
          <w:tab w:val="left" w:pos="0"/>
          <w:tab w:val="left" w:pos="720"/>
        </w:tabs>
        <w:ind w:left="720"/>
        <w:rPr>
          <w:rFonts w:ascii="Times New Roman" w:eastAsia="Calibri" w:hAnsi="Times New Roman" w:cs="Times New Roman"/>
        </w:rPr>
      </w:pPr>
      <w:r w:rsidRPr="00974DF2">
        <w:rPr>
          <w:rFonts w:ascii="Times New Roman" w:eastAsia="Calibri" w:hAnsi="Times New Roman" w:cs="Times New Roman"/>
        </w:rPr>
        <w:t>PHAs are also encouraged to timely submit leased 50058s in IMS/PIC to ensure HUD has the most up-to-date leasing information.</w:t>
      </w:r>
    </w:p>
    <w:p w14:paraId="68D4D36E" w14:textId="25D9C2DE" w:rsidR="00974DF2" w:rsidRPr="00974DF2" w:rsidRDefault="00974DF2" w:rsidP="00974DF2">
      <w:pPr>
        <w:pStyle w:val="ListParagraph"/>
        <w:numPr>
          <w:ilvl w:val="0"/>
          <w:numId w:val="29"/>
        </w:numPr>
        <w:spacing w:after="0" w:line="240" w:lineRule="auto"/>
        <w:rPr>
          <w:rFonts w:ascii="Times New Roman" w:eastAsia="Times New Roman" w:hAnsi="Times New Roman" w:cs="Times New Roman"/>
          <w:b/>
          <w:bCs/>
          <w:sz w:val="24"/>
          <w:szCs w:val="24"/>
        </w:rPr>
      </w:pPr>
      <w:r w:rsidRPr="00974DF2">
        <w:rPr>
          <w:rFonts w:ascii="Times New Roman" w:eastAsia="Times New Roman" w:hAnsi="Times New Roman" w:cs="Times New Roman"/>
          <w:b/>
          <w:bCs/>
          <w:sz w:val="24"/>
          <w:szCs w:val="24"/>
        </w:rPr>
        <w:t xml:space="preserve">Can PHAs still apply CARES Act waivers to EHV after 12/31/21? </w:t>
      </w:r>
      <w:r w:rsidRPr="00974DF2">
        <w:rPr>
          <w:rFonts w:ascii="Times New Roman" w:eastAsia="Times New Roman" w:hAnsi="Times New Roman" w:cs="Times New Roman"/>
          <w:b/>
          <w:bCs/>
          <w:color w:val="C00000"/>
          <w:sz w:val="24"/>
          <w:szCs w:val="24"/>
        </w:rPr>
        <w:t>(NEW)</w:t>
      </w:r>
    </w:p>
    <w:p w14:paraId="47C02363" w14:textId="77777777" w:rsidR="00974DF2" w:rsidRDefault="00974DF2" w:rsidP="00974DF2">
      <w:pPr>
        <w:rPr>
          <w:rFonts w:ascii="Times New Roman" w:eastAsia="Times New Roman" w:hAnsi="Times New Roman" w:cs="Times New Roman"/>
          <w:sz w:val="24"/>
          <w:szCs w:val="24"/>
        </w:rPr>
      </w:pPr>
    </w:p>
    <w:p w14:paraId="5ECF6885" w14:textId="477E2C34" w:rsidR="00974DF2" w:rsidRPr="00974DF2" w:rsidRDefault="00974DF2" w:rsidP="00731FFC">
      <w:pPr>
        <w:ind w:left="720"/>
        <w:rPr>
          <w:rFonts w:ascii="Times New Roman" w:eastAsia="Calibri" w:hAnsi="Times New Roman" w:cs="Times New Roman"/>
        </w:rPr>
      </w:pPr>
      <w:r w:rsidRPr="00974DF2">
        <w:rPr>
          <w:rFonts w:ascii="Times New Roman" w:eastAsia="Calibri" w:hAnsi="Times New Roman" w:cs="Times New Roman"/>
        </w:rPr>
        <w:t xml:space="preserve">No. CARES Act waivers provided through </w:t>
      </w:r>
      <w:hyperlink r:id="rId55" w:history="1">
        <w:r w:rsidRPr="00731FFC">
          <w:rPr>
            <w:rStyle w:val="Hyperlink"/>
            <w:rFonts w:ascii="Times New Roman" w:hAnsi="Times New Roman" w:cs="Times New Roman"/>
          </w:rPr>
          <w:t>PIH Notice 2020-24</w:t>
        </w:r>
      </w:hyperlink>
      <w:r w:rsidRPr="00974DF2">
        <w:rPr>
          <w:rFonts w:ascii="Times New Roman" w:eastAsia="Calibri" w:hAnsi="Times New Roman" w:cs="Times New Roman"/>
        </w:rPr>
        <w:t xml:space="preserve"> expired on 12/31/21 or dates otherwise specified in the CARES Act waiver notice.  While the CARES Act waivers that could be applied to EHV (See Attachment 1 of </w:t>
      </w:r>
      <w:hyperlink r:id="rId56" w:history="1">
        <w:r w:rsidR="00731FFC" w:rsidRPr="00FC3011">
          <w:rPr>
            <w:rStyle w:val="Hyperlink"/>
            <w:rFonts w:ascii="Times New Roman" w:hAnsi="Times New Roman" w:cs="Times New Roman"/>
          </w:rPr>
          <w:t>PIH Notice 2021-15</w:t>
        </w:r>
      </w:hyperlink>
      <w:r w:rsidRPr="00974DF2">
        <w:rPr>
          <w:rFonts w:ascii="Times New Roman" w:eastAsia="Calibri" w:hAnsi="Times New Roman" w:cs="Times New Roman"/>
        </w:rPr>
        <w:t xml:space="preserve">) have expired, EHV optional waivers and alternative requirements described in Section 9 of </w:t>
      </w:r>
      <w:hyperlink r:id="rId57" w:history="1">
        <w:r w:rsidR="00731FFC" w:rsidRPr="00FC3011">
          <w:rPr>
            <w:rStyle w:val="Hyperlink"/>
            <w:rFonts w:ascii="Times New Roman" w:hAnsi="Times New Roman" w:cs="Times New Roman"/>
          </w:rPr>
          <w:t>PIH Notice 2021-15</w:t>
        </w:r>
      </w:hyperlink>
      <w:r w:rsidR="00731FFC">
        <w:rPr>
          <w:rStyle w:val="Hyperlink"/>
          <w:rFonts w:ascii="Times New Roman" w:hAnsi="Times New Roman" w:cs="Times New Roman"/>
        </w:rPr>
        <w:t xml:space="preserve"> </w:t>
      </w:r>
      <w:r w:rsidRPr="00974DF2">
        <w:rPr>
          <w:rFonts w:ascii="Times New Roman" w:eastAsia="Calibri" w:hAnsi="Times New Roman" w:cs="Times New Roman"/>
        </w:rPr>
        <w:t xml:space="preserve">remain for the duration of the program. </w:t>
      </w:r>
    </w:p>
    <w:p w14:paraId="55E9AC07" w14:textId="77777777" w:rsidR="00974DF2" w:rsidRPr="00974DF2" w:rsidRDefault="00974DF2" w:rsidP="00974DF2">
      <w:pPr>
        <w:ind w:left="720"/>
        <w:rPr>
          <w:rFonts w:ascii="Times New Roman" w:eastAsia="Calibri" w:hAnsi="Times New Roman" w:cs="Times New Roman"/>
        </w:rPr>
      </w:pPr>
      <w:r w:rsidRPr="00974DF2">
        <w:rPr>
          <w:rFonts w:ascii="Times New Roman" w:eastAsia="Calibri" w:hAnsi="Times New Roman" w:cs="Times New Roman"/>
        </w:rPr>
        <w:t>For a summary of EHV waivers and alternative requirements, please visit –</w:t>
      </w:r>
    </w:p>
    <w:p w14:paraId="05B24EEE" w14:textId="0DEC6761" w:rsidR="00974DF2" w:rsidRPr="00974DF2" w:rsidRDefault="00EE7DB8" w:rsidP="00974DF2">
      <w:pPr>
        <w:ind w:left="720"/>
        <w:rPr>
          <w:rFonts w:ascii="Times New Roman" w:eastAsia="Times New Roman" w:hAnsi="Times New Roman" w:cs="Times New Roman"/>
        </w:rPr>
      </w:pPr>
      <w:hyperlink r:id="rId58" w:history="1">
        <w:r w:rsidR="00974DF2" w:rsidRPr="00974DF2">
          <w:rPr>
            <w:rStyle w:val="Hyperlink"/>
            <w:rFonts w:ascii="Times New Roman" w:eastAsia="Times New Roman" w:hAnsi="Times New Roman" w:cs="Times New Roman"/>
          </w:rPr>
          <w:t>https://files.hudexchange.info/resources/documents/COVID-19-EHV-Waiver-and-Alternative-Requirements-Summary-Table</w:t>
        </w:r>
      </w:hyperlink>
      <w:r w:rsidR="00974DF2" w:rsidRPr="00974DF2">
        <w:rPr>
          <w:rFonts w:ascii="Times New Roman" w:eastAsia="Times New Roman" w:hAnsi="Times New Roman" w:cs="Times New Roman"/>
        </w:rPr>
        <w:t>.</w:t>
      </w:r>
    </w:p>
    <w:p w14:paraId="583D7909" w14:textId="3D15B0BD" w:rsidR="00974DF2" w:rsidRDefault="00974DF2" w:rsidP="00974DF2">
      <w:pPr>
        <w:ind w:left="720"/>
        <w:rPr>
          <w:rFonts w:ascii="Times New Roman" w:eastAsia="Times New Roman" w:hAnsi="Times New Roman" w:cs="Times New Roman"/>
        </w:rPr>
      </w:pPr>
      <w:r w:rsidRPr="00974DF2">
        <w:rPr>
          <w:rFonts w:ascii="Times New Roman" w:eastAsia="Calibri" w:hAnsi="Times New Roman" w:cs="Times New Roman"/>
        </w:rPr>
        <w:t>Please review HUD guidance on navigating CARES Act waiver expirations:</w:t>
      </w:r>
      <w:r w:rsidRPr="4406D411">
        <w:rPr>
          <w:rFonts w:ascii="Times New Roman" w:eastAsia="Times New Roman" w:hAnsi="Times New Roman" w:cs="Times New Roman"/>
          <w:sz w:val="24"/>
          <w:szCs w:val="24"/>
        </w:rPr>
        <w:t xml:space="preserve"> </w:t>
      </w:r>
      <w:hyperlink r:id="rId59">
        <w:r w:rsidRPr="00974DF2">
          <w:rPr>
            <w:rStyle w:val="Hyperlink"/>
            <w:rFonts w:ascii="Times New Roman" w:eastAsia="Times New Roman" w:hAnsi="Times New Roman" w:cs="Times New Roman"/>
          </w:rPr>
          <w:t>https://www.hud.gov/program_offices/public_indian_housing/covid_19_resources/navigating_waiver_expiration?utm_medium=email&amp;utm_source=govdelivery</w:t>
        </w:r>
      </w:hyperlink>
      <w:r w:rsidRPr="00974DF2">
        <w:rPr>
          <w:rFonts w:ascii="Times New Roman" w:eastAsia="Times New Roman" w:hAnsi="Times New Roman" w:cs="Times New Roman"/>
        </w:rPr>
        <w:t xml:space="preserve">. </w:t>
      </w:r>
    </w:p>
    <w:p w14:paraId="05711C12" w14:textId="1A0B3DCA" w:rsidR="00974DF2" w:rsidRPr="00974DF2" w:rsidRDefault="00974DF2" w:rsidP="00974DF2">
      <w:pPr>
        <w:pStyle w:val="ListParagraph"/>
        <w:numPr>
          <w:ilvl w:val="0"/>
          <w:numId w:val="29"/>
        </w:numPr>
        <w:spacing w:after="0" w:line="240" w:lineRule="auto"/>
        <w:rPr>
          <w:rFonts w:ascii="Times New Roman" w:eastAsia="Calibri" w:hAnsi="Times New Roman" w:cs="Times New Roman"/>
          <w:b/>
          <w:bCs/>
          <w:color w:val="000000" w:themeColor="text1"/>
          <w:sz w:val="24"/>
          <w:szCs w:val="24"/>
        </w:rPr>
      </w:pPr>
      <w:r w:rsidRPr="00974DF2">
        <w:rPr>
          <w:rFonts w:ascii="Times New Roman" w:eastAsia="Times New Roman" w:hAnsi="Times New Roman" w:cs="Times New Roman"/>
          <w:b/>
          <w:bCs/>
          <w:sz w:val="24"/>
          <w:szCs w:val="24"/>
        </w:rPr>
        <w:t>How should PHAs begin to plan the recertification process for EHVs?</w:t>
      </w:r>
      <w:r w:rsidRPr="00974DF2">
        <w:rPr>
          <w:rFonts w:ascii="Calibri" w:eastAsia="Calibri" w:hAnsi="Calibri" w:cs="Calibri"/>
        </w:rPr>
        <w:t xml:space="preserve">  </w:t>
      </w:r>
      <w:r w:rsidRPr="00974DF2">
        <w:rPr>
          <w:rFonts w:ascii="Times New Roman" w:eastAsia="Times New Roman" w:hAnsi="Times New Roman" w:cs="Times New Roman"/>
          <w:b/>
          <w:bCs/>
          <w:color w:val="C00000"/>
          <w:sz w:val="24"/>
          <w:szCs w:val="24"/>
        </w:rPr>
        <w:t>(NEW)</w:t>
      </w:r>
    </w:p>
    <w:p w14:paraId="5F4E89B2" w14:textId="77777777" w:rsidR="00974DF2" w:rsidRDefault="00974DF2" w:rsidP="00974DF2">
      <w:pPr>
        <w:pStyle w:val="ListParagraph"/>
        <w:rPr>
          <w:rFonts w:ascii="Calibri" w:eastAsia="Calibri" w:hAnsi="Calibri" w:cs="Calibri"/>
        </w:rPr>
      </w:pPr>
    </w:p>
    <w:p w14:paraId="042A0AE5" w14:textId="484C0539" w:rsidR="00974DF2" w:rsidRDefault="00974DF2" w:rsidP="00974DF2">
      <w:pPr>
        <w:pStyle w:val="ListParagraph"/>
        <w:rPr>
          <w:rFonts w:ascii="Times New Roman" w:eastAsia="Times New Roman" w:hAnsi="Times New Roman" w:cs="Times New Roman"/>
        </w:rPr>
      </w:pPr>
      <w:r w:rsidRPr="00974DF2">
        <w:rPr>
          <w:rFonts w:ascii="Times New Roman" w:eastAsia="Times New Roman" w:hAnsi="Times New Roman" w:cs="Times New Roman"/>
        </w:rPr>
        <w:t xml:space="preserve">EHVs are subject to the same rules as Housing Choice Vouchers.  PHAs are responsible for conducting recertifications of EHV tenants and should plan for recertification as outlined in their administrative plan.  While tenants are responsible for supplying information requested to complete the annual recertification or interim recertification (24 CFR 982.551(b)(2)), PHAs may continue to collaborate with their referring partners to assist tenants in obtaining vital documents necessary to complete the recertification process.  </w:t>
      </w:r>
    </w:p>
    <w:p w14:paraId="27713C24" w14:textId="77777777" w:rsidR="00974DF2" w:rsidRPr="00974DF2" w:rsidRDefault="00974DF2" w:rsidP="00974DF2">
      <w:pPr>
        <w:pStyle w:val="ListParagraph"/>
        <w:rPr>
          <w:rFonts w:ascii="Times New Roman" w:eastAsia="Times New Roman" w:hAnsi="Times New Roman" w:cs="Times New Roman"/>
        </w:rPr>
      </w:pPr>
    </w:p>
    <w:p w14:paraId="03548E72" w14:textId="7DB88526" w:rsidR="00886E68" w:rsidRPr="00125A6B" w:rsidRDefault="00886E68" w:rsidP="00CB7838">
      <w:pPr>
        <w:pStyle w:val="ListParagraph"/>
        <w:numPr>
          <w:ilvl w:val="0"/>
          <w:numId w:val="29"/>
        </w:numPr>
        <w:spacing w:line="252" w:lineRule="auto"/>
        <w:rPr>
          <w:rFonts w:ascii="Times New Roman" w:eastAsia="Calibri" w:hAnsi="Times New Roman" w:cs="Times New Roman"/>
          <w:b/>
          <w:bCs/>
        </w:rPr>
      </w:pPr>
      <w:r w:rsidRPr="00125A6B">
        <w:rPr>
          <w:rFonts w:ascii="Times New Roman" w:eastAsia="Calibri" w:hAnsi="Times New Roman" w:cs="Times New Roman"/>
          <w:b/>
          <w:bCs/>
        </w:rPr>
        <w:lastRenderedPageBreak/>
        <w:t xml:space="preserve">Can PHAs choose to establish separate local preferences for EHVs? </w:t>
      </w:r>
    </w:p>
    <w:p w14:paraId="5DE970A5" w14:textId="77777777" w:rsidR="00886E68" w:rsidRPr="00125A6B" w:rsidRDefault="00886E68" w:rsidP="00886E68">
      <w:pPr>
        <w:spacing w:line="252" w:lineRule="auto"/>
        <w:ind w:left="720"/>
        <w:rPr>
          <w:rFonts w:ascii="Times New Roman" w:eastAsia="Calibri" w:hAnsi="Times New Roman" w:cs="Times New Roman"/>
        </w:rPr>
      </w:pPr>
      <w:r w:rsidRPr="00125A6B">
        <w:rPr>
          <w:rFonts w:ascii="Times New Roman" w:eastAsia="Calibri" w:hAnsi="Times New Roman" w:cs="Times New Roman"/>
        </w:rPr>
        <w:t xml:space="preserve">PHAs may utilize their waiver authority established in </w:t>
      </w:r>
      <w:hyperlink r:id="rId60" w:history="1">
        <w:r w:rsidRPr="00125A6B">
          <w:rPr>
            <w:rStyle w:val="Hyperlink"/>
            <w:rFonts w:ascii="Times New Roman" w:eastAsia="Calibri" w:hAnsi="Times New Roman" w:cs="Times New Roman"/>
          </w:rPr>
          <w:t>PIH Notice 2021-15</w:t>
        </w:r>
      </w:hyperlink>
      <w:r w:rsidRPr="00125A6B">
        <w:rPr>
          <w:rFonts w:ascii="Times New Roman" w:eastAsia="Calibri" w:hAnsi="Times New Roman" w:cs="Times New Roman"/>
        </w:rPr>
        <w:t xml:space="preserve"> to establish local preferences for EHV.    </w:t>
      </w:r>
    </w:p>
    <w:p w14:paraId="5F9363DA" w14:textId="77777777" w:rsidR="00886E68" w:rsidRPr="00125A6B" w:rsidRDefault="00886E68" w:rsidP="00886E68">
      <w:pPr>
        <w:spacing w:line="252" w:lineRule="auto"/>
        <w:ind w:left="720"/>
        <w:rPr>
          <w:rFonts w:ascii="Times New Roman" w:eastAsia="Calibri" w:hAnsi="Times New Roman" w:cs="Times New Roman"/>
        </w:rPr>
      </w:pPr>
      <w:r w:rsidRPr="00125A6B">
        <w:rPr>
          <w:rFonts w:ascii="Times New Roman" w:eastAsia="Calibri" w:hAnsi="Times New Roman" w:cs="Times New Roman"/>
        </w:rPr>
        <w:t xml:space="preserve">Per Section 9f of </w:t>
      </w:r>
      <w:hyperlink r:id="rId61" w:history="1">
        <w:r w:rsidRPr="00125A6B">
          <w:rPr>
            <w:rStyle w:val="Hyperlink"/>
            <w:rFonts w:ascii="Times New Roman" w:hAnsi="Times New Roman" w:cs="Times New Roman"/>
          </w:rPr>
          <w:t>PIH Notice 2021-15</w:t>
        </w:r>
      </w:hyperlink>
      <w:r w:rsidRPr="00125A6B">
        <w:rPr>
          <w:rFonts w:ascii="Times New Roman" w:eastAsia="Calibri" w:hAnsi="Times New Roman" w:cs="Times New Roman"/>
        </w:rPr>
        <w:t xml:space="preserve">, HUD has waived 24 CFR § 982.207(a) so that a PHA’s local preferences for HCV admissions do not apply to EHVs. With the exception of residency preferences, a PHA may choose, in coordination with the </w:t>
      </w:r>
      <w:proofErr w:type="spellStart"/>
      <w:r w:rsidRPr="00125A6B">
        <w:rPr>
          <w:rFonts w:ascii="Times New Roman" w:eastAsia="Calibri" w:hAnsi="Times New Roman" w:cs="Times New Roman"/>
        </w:rPr>
        <w:t>CoC</w:t>
      </w:r>
      <w:proofErr w:type="spellEnd"/>
      <w:r w:rsidRPr="00125A6B">
        <w:rPr>
          <w:rFonts w:ascii="Times New Roman" w:eastAsia="Calibri" w:hAnsi="Times New Roman" w:cs="Times New Roman"/>
        </w:rPr>
        <w:t xml:space="preserve"> and other referral partners, to establish separate local preferences for EHVs. Per Section 9f, “The preference system prioritizes the order in which families on the EHV waiting list are assisted but does not allow the PHA to refuse to accept a referred family that meets one of the four EHV eligibility categories, or otherwise delay issuance of an available voucher to that eligible family in order to “hold” the voucher for a future referral of a preference holder.” Therefore, a PHA and </w:t>
      </w:r>
      <w:proofErr w:type="spellStart"/>
      <w:r w:rsidRPr="00125A6B">
        <w:rPr>
          <w:rFonts w:ascii="Times New Roman" w:eastAsia="Calibri" w:hAnsi="Times New Roman" w:cs="Times New Roman"/>
        </w:rPr>
        <w:t>CoC</w:t>
      </w:r>
      <w:proofErr w:type="spellEnd"/>
      <w:r w:rsidRPr="00125A6B">
        <w:rPr>
          <w:rFonts w:ascii="Times New Roman" w:eastAsia="Calibri" w:hAnsi="Times New Roman" w:cs="Times New Roman"/>
        </w:rPr>
        <w:t xml:space="preserve"> may agree to apply preferences for certain groups based on local needs, as long as those preferences comply with fair housing requirements. An EHV cannot be set aside for a future, unknown applicant that belongs to a group being given preference for EHV.</w:t>
      </w:r>
    </w:p>
    <w:p w14:paraId="346A80FB" w14:textId="5B4DEE58" w:rsidR="00886E68" w:rsidRPr="00125A6B" w:rsidRDefault="00886E68" w:rsidP="00CB7838">
      <w:pPr>
        <w:pStyle w:val="ListParagraph"/>
        <w:numPr>
          <w:ilvl w:val="0"/>
          <w:numId w:val="29"/>
        </w:numPr>
        <w:spacing w:line="252" w:lineRule="auto"/>
        <w:rPr>
          <w:rFonts w:ascii="Times New Roman" w:eastAsia="Calibri" w:hAnsi="Times New Roman" w:cs="Times New Roman"/>
          <w:b/>
          <w:bCs/>
        </w:rPr>
      </w:pPr>
      <w:r w:rsidRPr="00125A6B">
        <w:rPr>
          <w:rFonts w:ascii="Times New Roman" w:eastAsia="Calibri" w:hAnsi="Times New Roman" w:cs="Times New Roman"/>
          <w:b/>
          <w:bCs/>
        </w:rPr>
        <w:t xml:space="preserve">What happens if there are more referrals to a PHA than vouchers available? </w:t>
      </w:r>
    </w:p>
    <w:p w14:paraId="74E2EE67" w14:textId="77777777" w:rsidR="00886E68" w:rsidRPr="00125A6B" w:rsidRDefault="00886E68" w:rsidP="00886E68">
      <w:pPr>
        <w:pStyle w:val="ListParagraph"/>
        <w:spacing w:line="252" w:lineRule="auto"/>
        <w:rPr>
          <w:rFonts w:ascii="Times New Roman" w:eastAsia="Calibri" w:hAnsi="Times New Roman" w:cs="Times New Roman"/>
          <w:b/>
          <w:bCs/>
        </w:rPr>
      </w:pPr>
    </w:p>
    <w:p w14:paraId="40E0E1B9" w14:textId="1F427C52" w:rsidR="00886E68" w:rsidRPr="00125A6B" w:rsidRDefault="00886E68" w:rsidP="00886E68">
      <w:pPr>
        <w:pStyle w:val="ListParagraph"/>
        <w:spacing w:line="252" w:lineRule="auto"/>
        <w:rPr>
          <w:rStyle w:val="Hyperlink"/>
          <w:rFonts w:ascii="Times New Roman" w:hAnsi="Times New Roman" w:cs="Times New Roman"/>
        </w:rPr>
      </w:pPr>
      <w:r w:rsidRPr="00125A6B">
        <w:rPr>
          <w:rFonts w:ascii="Times New Roman" w:eastAsia="Calibri" w:hAnsi="Times New Roman" w:cs="Times New Roman"/>
        </w:rPr>
        <w:t xml:space="preserve">In the event that the number of EHV applicants referred by partnering agencies exceeds the EHVs available for issuance to families, PHAs shall maintain a separate waiting list for EHV referrals/applicants to assist in expediting the leasing process, both at initial leasing and for any turnover vouchers that may be issued prior to the September 30, 2023 turnover voucher cut-off date, per Section 9.e of </w:t>
      </w:r>
      <w:hyperlink r:id="rId62" w:history="1">
        <w:r w:rsidRPr="00731FFC">
          <w:rPr>
            <w:rStyle w:val="Hyperlink"/>
            <w:rFonts w:ascii="Times New Roman" w:hAnsi="Times New Roman" w:cs="Times New Roman"/>
            <w:color w:val="0066CC"/>
            <w:shd w:val="clear" w:color="auto" w:fill="FFFFFF" w:themeFill="background1"/>
          </w:rPr>
          <w:t>PIH Notice 2021-15</w:t>
        </w:r>
      </w:hyperlink>
      <w:r w:rsidR="00731FFC" w:rsidRPr="00731FFC">
        <w:rPr>
          <w:rStyle w:val="Hyperlink"/>
          <w:rFonts w:ascii="Times New Roman" w:hAnsi="Times New Roman" w:cs="Times New Roman"/>
          <w:color w:val="000000" w:themeColor="text1"/>
        </w:rPr>
        <w:t>.</w:t>
      </w:r>
    </w:p>
    <w:p w14:paraId="0E405D3D" w14:textId="77777777" w:rsidR="00886E68" w:rsidRPr="00125A6B" w:rsidRDefault="00886E68" w:rsidP="00886E68">
      <w:pPr>
        <w:pStyle w:val="ListParagraph"/>
        <w:spacing w:line="252" w:lineRule="auto"/>
        <w:rPr>
          <w:rFonts w:ascii="Times New Roman" w:eastAsia="Calibri" w:hAnsi="Times New Roman" w:cs="Times New Roman"/>
        </w:rPr>
      </w:pPr>
    </w:p>
    <w:p w14:paraId="56459745" w14:textId="2B766965" w:rsidR="00886E68" w:rsidRPr="00125A6B" w:rsidRDefault="00886E68" w:rsidP="00CB7838">
      <w:pPr>
        <w:pStyle w:val="ListParagraph"/>
        <w:numPr>
          <w:ilvl w:val="0"/>
          <w:numId w:val="29"/>
        </w:numPr>
        <w:spacing w:after="0" w:line="240" w:lineRule="auto"/>
        <w:rPr>
          <w:rFonts w:ascii="Times New Roman" w:eastAsia="Calibri" w:hAnsi="Times New Roman" w:cs="Times New Roman"/>
          <w:b/>
          <w:bCs/>
        </w:rPr>
      </w:pPr>
      <w:r w:rsidRPr="00125A6B">
        <w:rPr>
          <w:rFonts w:ascii="Times New Roman" w:eastAsia="Calibri" w:hAnsi="Times New Roman" w:cs="Times New Roman"/>
          <w:b/>
          <w:bCs/>
        </w:rPr>
        <w:t xml:space="preserve">Can a PHA delay issuance of an available voucher to an eligible family </w:t>
      </w:r>
      <w:proofErr w:type="gramStart"/>
      <w:r w:rsidRPr="00125A6B">
        <w:rPr>
          <w:rFonts w:ascii="Times New Roman" w:eastAsia="Calibri" w:hAnsi="Times New Roman" w:cs="Times New Roman"/>
          <w:b/>
          <w:bCs/>
        </w:rPr>
        <w:t>in order to</w:t>
      </w:r>
      <w:proofErr w:type="gramEnd"/>
      <w:r w:rsidRPr="00125A6B">
        <w:rPr>
          <w:rFonts w:ascii="Times New Roman" w:eastAsia="Calibri" w:hAnsi="Times New Roman" w:cs="Times New Roman"/>
          <w:b/>
          <w:bCs/>
        </w:rPr>
        <w:t xml:space="preserve"> hold the voucher for a future referral? </w:t>
      </w:r>
    </w:p>
    <w:p w14:paraId="46C90F0D" w14:textId="77777777" w:rsidR="00886E68" w:rsidRPr="00125A6B" w:rsidRDefault="00886E68" w:rsidP="00886E68">
      <w:pPr>
        <w:spacing w:after="0" w:line="240" w:lineRule="auto"/>
        <w:ind w:firstLine="360"/>
        <w:rPr>
          <w:rFonts w:ascii="Times New Roman" w:eastAsia="Calibri" w:hAnsi="Times New Roman" w:cs="Times New Roman"/>
          <w:b/>
          <w:bCs/>
        </w:rPr>
      </w:pPr>
    </w:p>
    <w:p w14:paraId="2A534F86" w14:textId="77777777" w:rsidR="00886E68" w:rsidRPr="00125A6B" w:rsidRDefault="00886E68" w:rsidP="00886E68">
      <w:pPr>
        <w:spacing w:line="252" w:lineRule="auto"/>
        <w:ind w:left="720"/>
        <w:rPr>
          <w:rFonts w:ascii="Times New Roman" w:eastAsia="Calibri" w:hAnsi="Times New Roman" w:cs="Times New Roman"/>
        </w:rPr>
      </w:pPr>
      <w:r w:rsidRPr="00125A6B">
        <w:rPr>
          <w:rFonts w:ascii="Times New Roman" w:eastAsia="Calibri" w:hAnsi="Times New Roman" w:cs="Times New Roman"/>
        </w:rPr>
        <w:t xml:space="preserve">No. Per Section 9f of </w:t>
      </w:r>
      <w:hyperlink r:id="rId63" w:history="1">
        <w:r w:rsidRPr="00125A6B">
          <w:rPr>
            <w:rStyle w:val="Hyperlink"/>
            <w:rFonts w:ascii="Times New Roman" w:hAnsi="Times New Roman" w:cs="Times New Roman"/>
          </w:rPr>
          <w:t>PIH Notice 2021-15</w:t>
        </w:r>
      </w:hyperlink>
      <w:r w:rsidRPr="00125A6B">
        <w:rPr>
          <w:rFonts w:ascii="Times New Roman" w:eastAsia="Calibri" w:hAnsi="Times New Roman" w:cs="Times New Roman"/>
        </w:rPr>
        <w:t>, a PHA may not delay issuance of an available voucher to that eligible family in order to “hold” the voucher for a future referral of a preference holder. In cases where the PHA and the referral partners are contemplating local preferences for the EHV waiting list, HUD strongly encourages PHAs and their referral partners to consider designing preferences that take into consideration the comparative health risks that COVID-19 poses to the subgroup of families eligible for EHVs (e.g., individuals or families living in environments where practicing social distancing or taking other preventive measures may be particularly challenging).</w:t>
      </w:r>
      <w:r w:rsidRPr="00125A6B">
        <w:rPr>
          <w:sz w:val="23"/>
          <w:szCs w:val="23"/>
        </w:rPr>
        <w:t xml:space="preserve"> </w:t>
      </w:r>
      <w:r w:rsidRPr="00125A6B">
        <w:rPr>
          <w:rFonts w:ascii="Times New Roman" w:eastAsia="Calibri" w:hAnsi="Times New Roman" w:cs="Times New Roman"/>
        </w:rPr>
        <w:t xml:space="preserve"> </w:t>
      </w:r>
    </w:p>
    <w:p w14:paraId="0424DFA7" w14:textId="2833B23A" w:rsidR="00886E68" w:rsidRPr="00125A6B" w:rsidRDefault="00886E68" w:rsidP="00CB7838">
      <w:pPr>
        <w:pStyle w:val="ListParagraph"/>
        <w:numPr>
          <w:ilvl w:val="0"/>
          <w:numId w:val="29"/>
        </w:numPr>
        <w:rPr>
          <w:rFonts w:ascii="Times New Roman" w:eastAsia="Times New Roman" w:hAnsi="Times New Roman" w:cs="Times New Roman"/>
          <w:b/>
          <w:bCs/>
        </w:rPr>
      </w:pPr>
      <w:r w:rsidRPr="00125A6B">
        <w:rPr>
          <w:rFonts w:ascii="Times New Roman" w:eastAsia="Times New Roman" w:hAnsi="Times New Roman" w:cs="Times New Roman"/>
          <w:b/>
          <w:bCs/>
        </w:rPr>
        <w:t xml:space="preserve">Can a PHA have a standalone Administrative Plan for the EHV program? </w:t>
      </w:r>
    </w:p>
    <w:p w14:paraId="15A4B49B" w14:textId="77777777" w:rsidR="00886E68" w:rsidRPr="00125A6B" w:rsidRDefault="00886E68" w:rsidP="00886E68">
      <w:pPr>
        <w:ind w:left="720"/>
        <w:rPr>
          <w:rFonts w:ascii="Times New Roman" w:eastAsia="Times New Roman" w:hAnsi="Times New Roman" w:cs="Times New Roman"/>
        </w:rPr>
      </w:pPr>
      <w:r w:rsidRPr="00125A6B">
        <w:rPr>
          <w:rFonts w:ascii="Times New Roman" w:eastAsia="Times New Roman" w:hAnsi="Times New Roman" w:cs="Times New Roman"/>
        </w:rPr>
        <w:t xml:space="preserve">No.  Per 24 CFR § 982.54, a PHA is required to have a singular administrative plan for its HCV program as a whole; therefore, the EHV program must be included in a PHA’s HCV administrative plan. A PHA may choose to issue an addendum or appendix to its administrative plan that is specific to EHV policies. All adopted policies incorporated in the PHA’s administrative plan, addendum, or appendix must be tied to the EHV requirements (including waivers) in PIH Notice 2021-15. Any informally adopted revisions specific to EHV that were incorporated via the CARES Act waiver and approved by the board by September 30, 2021, must be formally adopted no later than December 31, 2021. </w:t>
      </w:r>
    </w:p>
    <w:p w14:paraId="181D19A0" w14:textId="198BA8F3" w:rsidR="00076EFA" w:rsidRPr="00125A6B" w:rsidRDefault="00076EFA" w:rsidP="00076EFA">
      <w:pPr>
        <w:pStyle w:val="ListParagraph"/>
        <w:numPr>
          <w:ilvl w:val="0"/>
          <w:numId w:val="36"/>
        </w:numPr>
        <w:spacing w:line="252" w:lineRule="auto"/>
        <w:rPr>
          <w:rFonts w:ascii="Times New Roman" w:eastAsia="Yu Mincho" w:hAnsi="Times New Roman"/>
          <w:b/>
          <w:bCs/>
        </w:rPr>
      </w:pPr>
      <w:r w:rsidRPr="00125A6B">
        <w:rPr>
          <w:rFonts w:ascii="Times New Roman" w:hAnsi="Times New Roman"/>
          <w:b/>
          <w:bCs/>
        </w:rPr>
        <w:t xml:space="preserve">When seeking assistance from HUD due to a lack of referrals from the </w:t>
      </w:r>
      <w:proofErr w:type="spellStart"/>
      <w:r w:rsidRPr="00125A6B">
        <w:rPr>
          <w:rFonts w:ascii="Times New Roman" w:hAnsi="Times New Roman"/>
          <w:b/>
          <w:bCs/>
        </w:rPr>
        <w:t>CoC</w:t>
      </w:r>
      <w:proofErr w:type="spellEnd"/>
      <w:r w:rsidRPr="00125A6B">
        <w:rPr>
          <w:rFonts w:ascii="Times New Roman" w:hAnsi="Times New Roman"/>
          <w:b/>
          <w:bCs/>
        </w:rPr>
        <w:t>, what information should a PHA submit to HUD?</w:t>
      </w:r>
      <w:r w:rsidRPr="00125A6B">
        <w:rPr>
          <w:rFonts w:ascii="Times New Roman" w:hAnsi="Times New Roman"/>
        </w:rPr>
        <w:t xml:space="preserve"> </w:t>
      </w:r>
    </w:p>
    <w:p w14:paraId="5AA1B07B" w14:textId="0E61C96C" w:rsidR="00BE4F98" w:rsidRPr="00362FE0" w:rsidRDefault="00BE4F98" w:rsidP="00362FE0">
      <w:pPr>
        <w:ind w:left="720"/>
        <w:rPr>
          <w:rFonts w:ascii="Times New Roman" w:hAnsi="Times New Roman" w:cs="Times New Roman"/>
        </w:rPr>
      </w:pPr>
      <w:r>
        <w:rPr>
          <w:rFonts w:ascii="Times New Roman" w:hAnsi="Times New Roman" w:cs="Times New Roman"/>
        </w:rPr>
        <w:lastRenderedPageBreak/>
        <w:t xml:space="preserve">Per Section 9.c of </w:t>
      </w:r>
      <w:hyperlink r:id="rId64" w:history="1">
        <w:r w:rsidRPr="00362FE0">
          <w:rPr>
            <w:rFonts w:ascii="Times New Roman" w:hAnsi="Times New Roman" w:cs="Times New Roman"/>
          </w:rPr>
          <w:t>PIH Notice 2021-15</w:t>
        </w:r>
      </w:hyperlink>
      <w:r>
        <w:rPr>
          <w:rFonts w:ascii="Times New Roman" w:hAnsi="Times New Roman" w:cs="Times New Roman"/>
        </w:rPr>
        <w:t xml:space="preserve">, “[t]he PHA must also take direct referrals from outside the </w:t>
      </w:r>
      <w:proofErr w:type="spellStart"/>
      <w:r>
        <w:rPr>
          <w:rFonts w:ascii="Times New Roman" w:hAnsi="Times New Roman" w:cs="Times New Roman"/>
        </w:rPr>
        <w:t>CoC</w:t>
      </w:r>
      <w:proofErr w:type="spellEnd"/>
      <w:r>
        <w:rPr>
          <w:rFonts w:ascii="Times New Roman" w:hAnsi="Times New Roman" w:cs="Times New Roman"/>
        </w:rPr>
        <w:t xml:space="preserve"> CE system if: (1) the CE system does not have a sufficient number of eligible families to refer to the PHA, or (2) the CE system does not identify families that may be eligible for EHV assistance because they are fleeing, or attempting to flee, domestic violence, dating violence, sexual assault, stalking or human trafficking.” </w:t>
      </w:r>
    </w:p>
    <w:p w14:paraId="742AC62A" w14:textId="77B177CF" w:rsidR="00BE4F98" w:rsidRPr="00362FE0" w:rsidRDefault="00BE4F98" w:rsidP="00362FE0">
      <w:pPr>
        <w:ind w:left="720"/>
        <w:rPr>
          <w:rFonts w:ascii="Times New Roman" w:hAnsi="Times New Roman" w:cs="Times New Roman"/>
        </w:rPr>
      </w:pPr>
      <w:r>
        <w:rPr>
          <w:rFonts w:ascii="Times New Roman" w:hAnsi="Times New Roman" w:cs="Times New Roman"/>
        </w:rPr>
        <w:t>In communities where there is no active CE system in the community, the</w:t>
      </w:r>
      <w:r w:rsidRPr="00362FE0">
        <w:rPr>
          <w:rFonts w:ascii="Times New Roman" w:hAnsi="Times New Roman" w:cs="Times New Roman"/>
        </w:rPr>
        <w:t xml:space="preserve"> </w:t>
      </w:r>
      <w:r>
        <w:rPr>
          <w:rFonts w:ascii="Times New Roman" w:hAnsi="Times New Roman" w:cs="Times New Roman"/>
        </w:rPr>
        <w:t xml:space="preserve">PHA must enter into a partnership to receive direct referrals from another homeless services provider, and should consult with the </w:t>
      </w:r>
      <w:proofErr w:type="spellStart"/>
      <w:r>
        <w:rPr>
          <w:rFonts w:ascii="Times New Roman" w:hAnsi="Times New Roman" w:cs="Times New Roman"/>
        </w:rPr>
        <w:t>CoC</w:t>
      </w:r>
      <w:proofErr w:type="spellEnd"/>
      <w:r>
        <w:rPr>
          <w:rFonts w:ascii="Times New Roman" w:hAnsi="Times New Roman" w:cs="Times New Roman"/>
        </w:rPr>
        <w:t xml:space="preserve">  on the alternative referral system/homeless services provider partner.  This referral system should allow for prioritization according to the standards established in the MOU between the referring organization and the PHA and should be easy to transition to the </w:t>
      </w:r>
      <w:proofErr w:type="spellStart"/>
      <w:r>
        <w:rPr>
          <w:rFonts w:ascii="Times New Roman" w:hAnsi="Times New Roman" w:cs="Times New Roman"/>
        </w:rPr>
        <w:t>CoC’s</w:t>
      </w:r>
      <w:proofErr w:type="spellEnd"/>
      <w:r>
        <w:rPr>
          <w:rFonts w:ascii="Times New Roman" w:hAnsi="Times New Roman" w:cs="Times New Roman"/>
        </w:rPr>
        <w:t xml:space="preserve"> CE system when it comes online or increases capacity.  </w:t>
      </w:r>
    </w:p>
    <w:p w14:paraId="51739C22" w14:textId="6E4E31A3" w:rsidR="00BE4F98" w:rsidRPr="00362FE0" w:rsidRDefault="00BE4F98" w:rsidP="00362FE0">
      <w:pPr>
        <w:ind w:left="720"/>
        <w:rPr>
          <w:rFonts w:ascii="Times New Roman" w:hAnsi="Times New Roman" w:cs="Times New Roman"/>
        </w:rPr>
      </w:pPr>
      <w:r w:rsidRPr="00362FE0">
        <w:rPr>
          <w:rFonts w:ascii="Times New Roman" w:hAnsi="Times New Roman" w:cs="Times New Roman"/>
        </w:rPr>
        <w:t xml:space="preserve">There may be some communities with an active CE system that is sending referrals to the PHA; however, the number of referrals is not adequate to fully lease-up the PHA’s EHVs.  In these instances, the PHA should first contact the </w:t>
      </w:r>
      <w:proofErr w:type="spellStart"/>
      <w:r w:rsidRPr="00362FE0">
        <w:rPr>
          <w:rFonts w:ascii="Times New Roman" w:hAnsi="Times New Roman" w:cs="Times New Roman"/>
        </w:rPr>
        <w:t>CoC</w:t>
      </w:r>
      <w:proofErr w:type="spellEnd"/>
      <w:r w:rsidRPr="00362FE0">
        <w:rPr>
          <w:rFonts w:ascii="Times New Roman" w:hAnsi="Times New Roman" w:cs="Times New Roman"/>
        </w:rPr>
        <w:t xml:space="preserve"> to discuss the PHA’s leasing success rate and the number of referrals needed </w:t>
      </w:r>
      <w:proofErr w:type="gramStart"/>
      <w:r w:rsidRPr="00362FE0">
        <w:rPr>
          <w:rFonts w:ascii="Times New Roman" w:hAnsi="Times New Roman" w:cs="Times New Roman"/>
        </w:rPr>
        <w:t>in order to</w:t>
      </w:r>
      <w:proofErr w:type="gramEnd"/>
      <w:r w:rsidRPr="00362FE0">
        <w:rPr>
          <w:rFonts w:ascii="Times New Roman" w:hAnsi="Times New Roman" w:cs="Times New Roman"/>
        </w:rPr>
        <w:t xml:space="preserve"> fully lease the EHVs.  This is also a good opportunity to discuss strategies to increase the PHA’s success rate, including strategies paid for by the EHV Services fee, such as housing search assistance or landlord incentives, and strategies that require partners, such as on-going case management for potential clients.  The discussion may also include broadening the EHV prioritization agreed to by the PHA and </w:t>
      </w:r>
      <w:proofErr w:type="spellStart"/>
      <w:r w:rsidRPr="00362FE0">
        <w:rPr>
          <w:rFonts w:ascii="Times New Roman" w:hAnsi="Times New Roman" w:cs="Times New Roman"/>
        </w:rPr>
        <w:t>CoC</w:t>
      </w:r>
      <w:proofErr w:type="spellEnd"/>
      <w:r w:rsidRPr="00362FE0">
        <w:rPr>
          <w:rFonts w:ascii="Times New Roman" w:hAnsi="Times New Roman" w:cs="Times New Roman"/>
        </w:rPr>
        <w:t>.</w:t>
      </w:r>
    </w:p>
    <w:p w14:paraId="4F259090" w14:textId="57DC9AC7" w:rsidR="00BE4F98" w:rsidRPr="00362FE0" w:rsidRDefault="00BE4F98" w:rsidP="005447C3">
      <w:pPr>
        <w:ind w:left="720"/>
        <w:rPr>
          <w:rFonts w:ascii="Times New Roman" w:hAnsi="Times New Roman" w:cs="Times New Roman"/>
        </w:rPr>
      </w:pPr>
      <w:r w:rsidRPr="00362FE0">
        <w:rPr>
          <w:rFonts w:ascii="Times New Roman" w:hAnsi="Times New Roman" w:cs="Times New Roman"/>
        </w:rPr>
        <w:t xml:space="preserve">If, after this discussion, the </w:t>
      </w:r>
      <w:proofErr w:type="spellStart"/>
      <w:r w:rsidRPr="00362FE0">
        <w:rPr>
          <w:rFonts w:ascii="Times New Roman" w:hAnsi="Times New Roman" w:cs="Times New Roman"/>
        </w:rPr>
        <w:t>CoC’s</w:t>
      </w:r>
      <w:proofErr w:type="spellEnd"/>
      <w:r w:rsidRPr="00362FE0">
        <w:rPr>
          <w:rFonts w:ascii="Times New Roman" w:hAnsi="Times New Roman" w:cs="Times New Roman"/>
        </w:rPr>
        <w:t xml:space="preserve"> CE system is still unable to send a sufficient number of referrals to fully lease the EHVs, the PHA should identify other homeless service providers that may also be able to send referrals.  The </w:t>
      </w:r>
      <w:proofErr w:type="spellStart"/>
      <w:r w:rsidRPr="00362FE0">
        <w:rPr>
          <w:rFonts w:ascii="Times New Roman" w:hAnsi="Times New Roman" w:cs="Times New Roman"/>
        </w:rPr>
        <w:t>CoC</w:t>
      </w:r>
      <w:proofErr w:type="spellEnd"/>
      <w:r w:rsidRPr="00362FE0">
        <w:rPr>
          <w:rFonts w:ascii="Times New Roman" w:hAnsi="Times New Roman" w:cs="Times New Roman"/>
        </w:rPr>
        <w:t xml:space="preserve"> can assist the PHA in identifying these organizations.  Please note that any additional referring agencies must be able to certify that the referred client meets the eligibility categories for EHVs outlined in Notice PIH 2021-15.</w:t>
      </w:r>
    </w:p>
    <w:p w14:paraId="6F27CA36" w14:textId="77777777" w:rsidR="00BE4F98" w:rsidRDefault="00BE4F98" w:rsidP="00BE4F98">
      <w:pPr>
        <w:ind w:left="720"/>
        <w:rPr>
          <w:rFonts w:ascii="Times New Roman" w:hAnsi="Times New Roman" w:cs="Times New Roman"/>
        </w:rPr>
      </w:pPr>
      <w:r>
        <w:rPr>
          <w:rFonts w:ascii="Times New Roman" w:hAnsi="Times New Roman" w:cs="Times New Roman"/>
        </w:rPr>
        <w:t>PHAs may not accept EHV applications directly from applicants without approval from HUD.</w:t>
      </w:r>
    </w:p>
    <w:p w14:paraId="59285507" w14:textId="77777777" w:rsidR="006B48E9" w:rsidRDefault="00BE4F98" w:rsidP="00BE4F98">
      <w:pPr>
        <w:ind w:left="720"/>
        <w:rPr>
          <w:rFonts w:ascii="Times New Roman" w:hAnsi="Times New Roman" w:cs="Times New Roman"/>
        </w:rPr>
      </w:pPr>
      <w:r>
        <w:rPr>
          <w:rFonts w:ascii="Times New Roman" w:hAnsi="Times New Roman" w:cs="Times New Roman"/>
        </w:rPr>
        <w:t xml:space="preserve">PHAs experiencing difficulties implementing the referral process or receiving enough referrals </w:t>
      </w:r>
    </w:p>
    <w:p w14:paraId="64857B04" w14:textId="325A9C3B" w:rsidR="00BE4F98" w:rsidRDefault="00BE4F98" w:rsidP="00BE4F98">
      <w:pPr>
        <w:ind w:left="720"/>
        <w:rPr>
          <w:rFonts w:ascii="Times New Roman" w:hAnsi="Times New Roman" w:cs="Times New Roman"/>
        </w:rPr>
      </w:pPr>
      <w:r>
        <w:rPr>
          <w:rFonts w:ascii="Times New Roman" w:hAnsi="Times New Roman" w:cs="Times New Roman"/>
        </w:rPr>
        <w:t xml:space="preserve">are encouraged to email </w:t>
      </w:r>
      <w:hyperlink r:id="rId65" w:history="1">
        <w:r w:rsidRPr="00362FE0">
          <w:t>EHV@hud.gov</w:t>
        </w:r>
      </w:hyperlink>
      <w:r w:rsidRPr="00362FE0">
        <w:rPr>
          <w:rFonts w:ascii="Times New Roman" w:hAnsi="Times New Roman" w:cs="Times New Roman"/>
        </w:rPr>
        <w:t xml:space="preserve"> </w:t>
      </w:r>
      <w:r>
        <w:rPr>
          <w:rFonts w:ascii="Times New Roman" w:hAnsi="Times New Roman" w:cs="Times New Roman"/>
        </w:rPr>
        <w:t>for assistance. PHAs are asked to provide the following information in their email:</w:t>
      </w:r>
    </w:p>
    <w:p w14:paraId="6FCD3CF7" w14:textId="77777777" w:rsidR="00BE4F98" w:rsidRDefault="00BE4F98" w:rsidP="00BE4F98">
      <w:pPr>
        <w:pStyle w:val="ListParagraph"/>
        <w:numPr>
          <w:ilvl w:val="0"/>
          <w:numId w:val="39"/>
        </w:numPr>
        <w:spacing w:after="0" w:line="252" w:lineRule="auto"/>
        <w:rPr>
          <w:rFonts w:ascii="Times New Roman" w:hAnsi="Times New Roman" w:cs="Times New Roman"/>
        </w:rPr>
      </w:pPr>
      <w:r>
        <w:rPr>
          <w:rFonts w:ascii="Times New Roman" w:hAnsi="Times New Roman"/>
        </w:rPr>
        <w:t>Description of the challenges the PHA is experiencing implementing the referral process</w:t>
      </w:r>
    </w:p>
    <w:p w14:paraId="2FA8BAE1" w14:textId="77777777" w:rsidR="00BE4F98" w:rsidRDefault="00BE4F98" w:rsidP="00BE4F98">
      <w:pPr>
        <w:pStyle w:val="ListParagraph"/>
        <w:numPr>
          <w:ilvl w:val="0"/>
          <w:numId w:val="39"/>
        </w:numPr>
        <w:spacing w:after="0" w:line="252" w:lineRule="auto"/>
        <w:rPr>
          <w:rFonts w:ascii="Times New Roman" w:hAnsi="Times New Roman"/>
        </w:rPr>
      </w:pPr>
      <w:r>
        <w:rPr>
          <w:rFonts w:ascii="Times New Roman" w:hAnsi="Times New Roman"/>
        </w:rPr>
        <w:t xml:space="preserve">Description of the alternative referral system outside of the </w:t>
      </w:r>
      <w:proofErr w:type="spellStart"/>
      <w:r>
        <w:rPr>
          <w:rFonts w:ascii="Times New Roman" w:hAnsi="Times New Roman"/>
        </w:rPr>
        <w:t>CoC</w:t>
      </w:r>
      <w:r>
        <w:rPr>
          <w:rFonts w:hint="eastAsia"/>
        </w:rPr>
        <w:t>’</w:t>
      </w:r>
      <w:r>
        <w:rPr>
          <w:rFonts w:ascii="Times New Roman" w:hAnsi="Times New Roman"/>
        </w:rPr>
        <w:t>s</w:t>
      </w:r>
      <w:proofErr w:type="spellEnd"/>
      <w:r>
        <w:rPr>
          <w:rFonts w:ascii="Times New Roman" w:hAnsi="Times New Roman"/>
        </w:rPr>
        <w:t xml:space="preserve"> CE system (if applicable)</w:t>
      </w:r>
    </w:p>
    <w:p w14:paraId="771619FC" w14:textId="77777777" w:rsidR="00BE4F98" w:rsidRDefault="00BE4F98" w:rsidP="00BE4F98">
      <w:pPr>
        <w:pStyle w:val="ListParagraph"/>
        <w:numPr>
          <w:ilvl w:val="0"/>
          <w:numId w:val="39"/>
        </w:numPr>
        <w:spacing w:after="0" w:line="252" w:lineRule="auto"/>
        <w:rPr>
          <w:rFonts w:ascii="Times New Roman" w:hAnsi="Times New Roman"/>
        </w:rPr>
      </w:pPr>
      <w:proofErr w:type="gramStart"/>
      <w:r>
        <w:rPr>
          <w:rFonts w:ascii="Times New Roman" w:hAnsi="Times New Roman"/>
        </w:rPr>
        <w:t>Brief summary</w:t>
      </w:r>
      <w:proofErr w:type="gramEnd"/>
      <w:r>
        <w:rPr>
          <w:rFonts w:ascii="Times New Roman" w:hAnsi="Times New Roman"/>
        </w:rPr>
        <w:t xml:space="preserve"> to include all partners listed in the MOU and stakeholder involvement, and</w:t>
      </w:r>
    </w:p>
    <w:p w14:paraId="25EFC6FE" w14:textId="77777777" w:rsidR="00BE4F98" w:rsidRDefault="00BE4F98" w:rsidP="00BE4F98">
      <w:pPr>
        <w:pStyle w:val="ListParagraph"/>
        <w:numPr>
          <w:ilvl w:val="0"/>
          <w:numId w:val="39"/>
        </w:numPr>
        <w:spacing w:after="0" w:line="252" w:lineRule="auto"/>
        <w:rPr>
          <w:rFonts w:ascii="Times New Roman" w:hAnsi="Times New Roman"/>
        </w:rPr>
      </w:pPr>
      <w:r>
        <w:rPr>
          <w:rFonts w:ascii="Times New Roman" w:hAnsi="Times New Roman"/>
        </w:rPr>
        <w:t>Any documentation supporting the PHA</w:t>
      </w:r>
      <w:r>
        <w:rPr>
          <w:rFonts w:hint="eastAsia"/>
        </w:rPr>
        <w:t>’</w:t>
      </w:r>
      <w:r>
        <w:rPr>
          <w:rFonts w:ascii="Times New Roman" w:hAnsi="Times New Roman"/>
        </w:rPr>
        <w:t xml:space="preserve">s request to receive referrals directly (if applicable). </w:t>
      </w:r>
    </w:p>
    <w:p w14:paraId="524F4669" w14:textId="77777777" w:rsidR="00886E68" w:rsidRPr="00125A6B" w:rsidRDefault="00886E68" w:rsidP="00886E68">
      <w:pPr>
        <w:pStyle w:val="xmsolistparagraph"/>
        <w:rPr>
          <w:rFonts w:ascii="Times New Roman" w:hAnsi="Times New Roman" w:cs="Times New Roman"/>
          <w:color w:val="000000"/>
          <w:sz w:val="24"/>
          <w:szCs w:val="24"/>
        </w:rPr>
      </w:pPr>
    </w:p>
    <w:p w14:paraId="464CFD3D" w14:textId="39B5DE06" w:rsidR="00886E68" w:rsidRPr="00125A6B" w:rsidRDefault="00886E68" w:rsidP="00076EFA">
      <w:pPr>
        <w:pStyle w:val="xmsolistparagraph"/>
        <w:numPr>
          <w:ilvl w:val="0"/>
          <w:numId w:val="38"/>
        </w:numPr>
        <w:rPr>
          <w:rFonts w:ascii="Times New Roman" w:hAnsi="Times New Roman" w:cs="Times New Roman"/>
          <w:b/>
          <w:bCs/>
          <w:color w:val="000000"/>
          <w:sz w:val="24"/>
          <w:szCs w:val="24"/>
        </w:rPr>
      </w:pPr>
      <w:r w:rsidRPr="00125A6B">
        <w:rPr>
          <w:rFonts w:ascii="Times New Roman" w:hAnsi="Times New Roman" w:cs="Times New Roman"/>
          <w:b/>
          <w:bCs/>
          <w:color w:val="000000"/>
          <w:sz w:val="24"/>
          <w:szCs w:val="24"/>
        </w:rPr>
        <w:t xml:space="preserve">If a PHA is working with several direct referral partners, can the agency limit the amount of assistance it provides and place restrictions on those uses? </w:t>
      </w:r>
    </w:p>
    <w:p w14:paraId="129BF7DC" w14:textId="77777777" w:rsidR="00886E68" w:rsidRPr="00125A6B" w:rsidRDefault="00886E68" w:rsidP="00886E68">
      <w:pPr>
        <w:pStyle w:val="xmsolistparagraph"/>
        <w:rPr>
          <w:rFonts w:ascii="Times New Roman" w:hAnsi="Times New Roman" w:cs="Times New Roman"/>
          <w:color w:val="FF0000"/>
          <w:sz w:val="24"/>
          <w:szCs w:val="24"/>
        </w:rPr>
      </w:pPr>
    </w:p>
    <w:p w14:paraId="606116D1" w14:textId="03CD66C8" w:rsidR="00886E68" w:rsidRPr="00125A6B" w:rsidRDefault="00886E68" w:rsidP="00886E68">
      <w:pPr>
        <w:pStyle w:val="xmsolistparagraph"/>
        <w:ind w:left="720"/>
        <w:rPr>
          <w:rFonts w:ascii="Times New Roman" w:hAnsi="Times New Roman" w:cs="Times New Roman"/>
          <w:sz w:val="24"/>
          <w:szCs w:val="24"/>
        </w:rPr>
      </w:pPr>
      <w:r w:rsidRPr="00125A6B">
        <w:rPr>
          <w:rFonts w:ascii="Times New Roman" w:hAnsi="Times New Roman" w:cs="Times New Roman"/>
          <w:color w:val="000000"/>
          <w:sz w:val="24"/>
          <w:szCs w:val="24"/>
        </w:rPr>
        <w:t xml:space="preserve">Yes. As noted in </w:t>
      </w:r>
      <w:hyperlink r:id="rId66" w:history="1">
        <w:r w:rsidRPr="00125A6B">
          <w:rPr>
            <w:rStyle w:val="Hyperlink"/>
            <w:rFonts w:ascii="Times New Roman" w:hAnsi="Times New Roman" w:cs="Times New Roman"/>
          </w:rPr>
          <w:t>PIH Notice 2021-15</w:t>
        </w:r>
      </w:hyperlink>
      <w:r w:rsidRPr="00125A6B">
        <w:rPr>
          <w:rStyle w:val="Hyperlink"/>
          <w:rFonts w:ascii="Times New Roman" w:hAnsi="Times New Roman" w:cs="Times New Roman"/>
        </w:rPr>
        <w:t>,</w:t>
      </w:r>
      <w:r w:rsidRPr="00125A6B">
        <w:rPr>
          <w:rFonts w:ascii="Times New Roman" w:hAnsi="Times New Roman" w:cs="Times New Roman"/>
          <w:color w:val="000000"/>
          <w:sz w:val="24"/>
          <w:szCs w:val="24"/>
        </w:rPr>
        <w:t xml:space="preserve"> Section 6.d “</w:t>
      </w:r>
      <w:r w:rsidRPr="00125A6B">
        <w:rPr>
          <w:rFonts w:ascii="Times New Roman" w:hAnsi="Times New Roman" w:cs="Times New Roman"/>
          <w:sz w:val="24"/>
          <w:szCs w:val="24"/>
        </w:rPr>
        <w:t>the PHA may limit the amount of assistance</w:t>
      </w:r>
      <w:r w:rsidRPr="00125A6B">
        <w:rPr>
          <w:rFonts w:ascii="Times New Roman" w:hAnsi="Times New Roman" w:cs="Times New Roman"/>
          <w:color w:val="000000"/>
          <w:sz w:val="24"/>
          <w:szCs w:val="24"/>
        </w:rPr>
        <w:t xml:space="preserve"> </w:t>
      </w:r>
      <w:r w:rsidRPr="00125A6B">
        <w:rPr>
          <w:rFonts w:ascii="Times New Roman" w:hAnsi="Times New Roman" w:cs="Times New Roman"/>
          <w:sz w:val="24"/>
          <w:szCs w:val="24"/>
        </w:rPr>
        <w:t>that it provides for</w:t>
      </w:r>
      <w:r w:rsidRPr="00125A6B">
        <w:rPr>
          <w:rFonts w:ascii="Times New Roman" w:hAnsi="Times New Roman" w:cs="Times New Roman"/>
          <w:color w:val="000000"/>
          <w:sz w:val="24"/>
          <w:szCs w:val="24"/>
        </w:rPr>
        <w:t xml:space="preserve"> </w:t>
      </w:r>
      <w:r w:rsidRPr="00125A6B">
        <w:rPr>
          <w:rFonts w:ascii="Times New Roman" w:hAnsi="Times New Roman" w:cs="Times New Roman"/>
          <w:sz w:val="24"/>
          <w:szCs w:val="24"/>
        </w:rPr>
        <w:t xml:space="preserve">any of the eligible uses and place other restrictions on those </w:t>
      </w:r>
      <w:r w:rsidRPr="00125A6B">
        <w:rPr>
          <w:rFonts w:ascii="Times New Roman" w:hAnsi="Times New Roman" w:cs="Times New Roman"/>
          <w:sz w:val="24"/>
          <w:szCs w:val="24"/>
        </w:rPr>
        <w:lastRenderedPageBreak/>
        <w:t>uses.”  For example, if the PHA is working with several direct referral partners and one partner is able to provide security deposit assistance but the other is not, then the PHA may provide security deposit assistance for direct referral families from the latter agency but not for families who are already eligible for and receiving security deposit assistance from the former agency.</w:t>
      </w:r>
    </w:p>
    <w:p w14:paraId="2C191ABB" w14:textId="77777777" w:rsidR="00886E68" w:rsidRPr="00125A6B" w:rsidRDefault="00886E68" w:rsidP="00886E68"/>
    <w:p w14:paraId="601D9951" w14:textId="6A9BEA7A" w:rsidR="00EA5E0E" w:rsidRPr="00125A6B" w:rsidRDefault="00EA5E0E" w:rsidP="00076EFA">
      <w:pPr>
        <w:pStyle w:val="ListParagraph"/>
        <w:numPr>
          <w:ilvl w:val="0"/>
          <w:numId w:val="38"/>
        </w:numPr>
        <w:spacing w:after="0" w:line="240" w:lineRule="auto"/>
        <w:rPr>
          <w:rFonts w:ascii="Times New Roman" w:hAnsi="Times New Roman" w:cs="Times New Roman"/>
          <w:color w:val="000000"/>
        </w:rPr>
      </w:pPr>
      <w:r w:rsidRPr="00125A6B">
        <w:rPr>
          <w:rFonts w:ascii="Times New Roman" w:hAnsi="Times New Roman" w:cs="Times New Roman"/>
          <w:b/>
          <w:bCs/>
          <w:color w:val="000000" w:themeColor="text1"/>
        </w:rPr>
        <w:t>Can individuals and families in Rapid Rehousing (RRH), Transitional Housing (TH) and/or Permanent Supportive Housing (PSH) be prioritized for Emergency Housing Vouchers, as they may need less intensive or no case management, therefore allowing for openings in RRH, TH and/or PSH</w:t>
      </w:r>
      <w:r w:rsidRPr="00125A6B">
        <w:rPr>
          <w:rFonts w:ascii="Times New Roman" w:hAnsi="Times New Roman" w:cs="Times New Roman"/>
          <w:color w:val="000000" w:themeColor="text1"/>
        </w:rPr>
        <w:t xml:space="preserve">? </w:t>
      </w:r>
    </w:p>
    <w:p w14:paraId="6A8FB0FC" w14:textId="77777777" w:rsidR="00EA5E0E" w:rsidRPr="00125A6B" w:rsidRDefault="00EA5E0E" w:rsidP="00EA5E0E">
      <w:pPr>
        <w:spacing w:after="0" w:line="240" w:lineRule="auto"/>
        <w:rPr>
          <w:rFonts w:ascii="Times New Roman" w:hAnsi="Times New Roman" w:cs="Times New Roman"/>
          <w:color w:val="000000" w:themeColor="text1"/>
        </w:rPr>
      </w:pPr>
    </w:p>
    <w:p w14:paraId="2585975A" w14:textId="7ACADB9A" w:rsidR="00EA5E0E" w:rsidRPr="00125A6B" w:rsidRDefault="00EA5E0E" w:rsidP="00EA5E0E">
      <w:pPr>
        <w:ind w:left="720"/>
        <w:rPr>
          <w:rFonts w:ascii="Times New Roman" w:hAnsi="Times New Roman" w:cs="Times New Roman"/>
          <w:color w:val="000000"/>
        </w:rPr>
      </w:pPr>
      <w:r w:rsidRPr="00125A6B">
        <w:rPr>
          <w:rFonts w:ascii="Times New Roman" w:hAnsi="Times New Roman" w:cs="Times New Roman"/>
          <w:color w:val="000000" w:themeColor="text1"/>
        </w:rPr>
        <w:t xml:space="preserve">Per section 9b of </w:t>
      </w:r>
      <w:hyperlink r:id="rId67" w:history="1">
        <w:r w:rsidRPr="00125A6B">
          <w:rPr>
            <w:rStyle w:val="Hyperlink"/>
            <w:rFonts w:ascii="Times New Roman" w:hAnsi="Times New Roman" w:cs="Times New Roman"/>
          </w:rPr>
          <w:t>PIH Notice 2021-25</w:t>
        </w:r>
      </w:hyperlink>
      <w:r w:rsidRPr="00125A6B">
        <w:rPr>
          <w:rFonts w:ascii="Times New Roman" w:hAnsi="Times New Roman" w:cs="Times New Roman"/>
          <w:color w:val="000000" w:themeColor="text1"/>
        </w:rPr>
        <w:t>, PHAs are required to work with community partners to determine the best use and targeting for the vouchers along with other resources available in the community.</w:t>
      </w:r>
      <w:r w:rsidRPr="00125A6B">
        <w:rPr>
          <w:sz w:val="23"/>
          <w:szCs w:val="23"/>
        </w:rPr>
        <w:t xml:space="preserve"> </w:t>
      </w:r>
      <w:r w:rsidRPr="00125A6B">
        <w:rPr>
          <w:rFonts w:ascii="Times New Roman" w:hAnsi="Times New Roman" w:cs="Times New Roman"/>
          <w:color w:val="000000" w:themeColor="text1"/>
        </w:rPr>
        <w:t xml:space="preserve">A </w:t>
      </w:r>
      <w:proofErr w:type="spellStart"/>
      <w:r w:rsidRPr="00125A6B">
        <w:rPr>
          <w:rFonts w:ascii="Times New Roman" w:hAnsi="Times New Roman" w:cs="Times New Roman"/>
          <w:color w:val="000000" w:themeColor="text1"/>
        </w:rPr>
        <w:t>CoC</w:t>
      </w:r>
      <w:proofErr w:type="spellEnd"/>
      <w:r w:rsidRPr="00125A6B">
        <w:rPr>
          <w:rFonts w:ascii="Times New Roman" w:hAnsi="Times New Roman" w:cs="Times New Roman"/>
          <w:color w:val="000000" w:themeColor="text1"/>
        </w:rPr>
        <w:t xml:space="preserve"> and PHA may choose to prioritize those in RRH, TH or PSH as a Moving On strategy.</w:t>
      </w:r>
    </w:p>
    <w:p w14:paraId="373EB570" w14:textId="0A7E1257" w:rsidR="007F63BD" w:rsidRPr="00125A6B" w:rsidRDefault="007F63BD" w:rsidP="00076EFA">
      <w:pPr>
        <w:pStyle w:val="ListParagraph"/>
        <w:numPr>
          <w:ilvl w:val="0"/>
          <w:numId w:val="38"/>
        </w:numPr>
        <w:spacing w:line="252" w:lineRule="auto"/>
        <w:rPr>
          <w:rFonts w:ascii="Times New Roman" w:hAnsi="Times New Roman" w:cs="Times New Roman"/>
          <w:b/>
          <w:bCs/>
          <w:color w:val="000000" w:themeColor="text1"/>
        </w:rPr>
      </w:pPr>
      <w:r w:rsidRPr="00125A6B">
        <w:rPr>
          <w:rFonts w:ascii="Times New Roman" w:eastAsia="Calibri" w:hAnsi="Times New Roman" w:cs="Times New Roman"/>
          <w:b/>
          <w:color w:val="000000" w:themeColor="text1"/>
        </w:rPr>
        <w:t xml:space="preserve">What happens if a participant allows an abuser into their unit? </w:t>
      </w:r>
    </w:p>
    <w:p w14:paraId="4DA2B364" w14:textId="77777777" w:rsidR="00FE2ED2" w:rsidRPr="00125A6B" w:rsidRDefault="00FE2ED2" w:rsidP="00FE2ED2">
      <w:pPr>
        <w:pStyle w:val="ListParagraph"/>
        <w:rPr>
          <w:rFonts w:ascii="Times New Roman" w:eastAsia="Calibri" w:hAnsi="Times New Roman" w:cs="Times New Roman"/>
          <w:color w:val="000000" w:themeColor="text1"/>
        </w:rPr>
      </w:pPr>
    </w:p>
    <w:p w14:paraId="5E8A82E7" w14:textId="59619FC2" w:rsidR="00833DB7" w:rsidRPr="00125A6B" w:rsidRDefault="00FE2ED2" w:rsidP="000E43EE">
      <w:pPr>
        <w:pStyle w:val="ListParagraph"/>
        <w:rPr>
          <w:rFonts w:ascii="Times New Roman" w:eastAsia="Calibri" w:hAnsi="Times New Roman" w:cs="Times New Roman"/>
          <w:color w:val="000000" w:themeColor="text1"/>
        </w:rPr>
      </w:pPr>
      <w:bookmarkStart w:id="10" w:name="_Hlk80258776"/>
      <w:r w:rsidRPr="00125A6B">
        <w:rPr>
          <w:rFonts w:ascii="Times New Roman" w:eastAsia="Calibri" w:hAnsi="Times New Roman" w:cs="Times New Roman"/>
          <w:color w:val="000000" w:themeColor="text1"/>
        </w:rPr>
        <w:t xml:space="preserve">PHAs cannot take adverse action against the participant/victim for maintaining a relationship with an abuser. The VAWA regulation at 24 CFR 5.2005 prohibits denial of admission or assistance, termination from participation, or eviction on the basis or as a direct result of the fact that the applicant or tenant is or has been a victim of domestic violence, dating violence, sexual assault, or stalking.  </w:t>
      </w:r>
      <w:r w:rsidR="00126FD5" w:rsidRPr="00125A6B">
        <w:rPr>
          <w:rFonts w:ascii="Times New Roman" w:eastAsia="Calibri" w:hAnsi="Times New Roman" w:cs="Times New Roman"/>
          <w:color w:val="000000" w:themeColor="text1"/>
        </w:rPr>
        <w:t xml:space="preserve"> </w:t>
      </w:r>
      <w:r w:rsidRPr="00125A6B">
        <w:rPr>
          <w:rFonts w:ascii="Times New Roman" w:eastAsia="Calibri" w:hAnsi="Times New Roman" w:cs="Times New Roman"/>
          <w:color w:val="000000" w:themeColor="text1"/>
        </w:rPr>
        <w:t xml:space="preserve">  </w:t>
      </w:r>
    </w:p>
    <w:bookmarkEnd w:id="10"/>
    <w:p w14:paraId="02B0C44E" w14:textId="77777777" w:rsidR="000E43EE" w:rsidRPr="00125A6B" w:rsidRDefault="000E43EE" w:rsidP="000E43EE">
      <w:pPr>
        <w:pStyle w:val="ListParagraph"/>
        <w:rPr>
          <w:rFonts w:ascii="Times New Roman" w:eastAsia="Calibri" w:hAnsi="Times New Roman" w:cs="Times New Roman"/>
          <w:color w:val="000000" w:themeColor="text1"/>
        </w:rPr>
      </w:pPr>
    </w:p>
    <w:p w14:paraId="166010AF" w14:textId="0AC233B0" w:rsidR="007F63BD" w:rsidRPr="00125A6B" w:rsidRDefault="007F63BD" w:rsidP="00076EFA">
      <w:pPr>
        <w:pStyle w:val="ListParagraph"/>
        <w:numPr>
          <w:ilvl w:val="0"/>
          <w:numId w:val="38"/>
        </w:numPr>
        <w:spacing w:line="252" w:lineRule="auto"/>
        <w:rPr>
          <w:rFonts w:ascii="Times New Roman" w:hAnsi="Times New Roman" w:cs="Times New Roman"/>
          <w:b/>
          <w:bCs/>
          <w:color w:val="000000" w:themeColor="text1"/>
        </w:rPr>
      </w:pPr>
      <w:r w:rsidRPr="00125A6B">
        <w:rPr>
          <w:rFonts w:ascii="Times New Roman" w:eastAsia="Calibri" w:hAnsi="Times New Roman" w:cs="Times New Roman"/>
          <w:b/>
          <w:color w:val="000000" w:themeColor="text1"/>
        </w:rPr>
        <w:t>If a PHA has a policy for victims of domestic violence</w:t>
      </w:r>
      <w:r w:rsidR="3E9AD93C" w:rsidRPr="00125A6B">
        <w:rPr>
          <w:rFonts w:ascii="Times New Roman" w:eastAsia="Calibri" w:hAnsi="Times New Roman" w:cs="Times New Roman"/>
          <w:b/>
          <w:color w:val="000000" w:themeColor="text1"/>
        </w:rPr>
        <w:t xml:space="preserve">, dating violence, sexual assault, </w:t>
      </w:r>
      <w:r w:rsidR="008A4E12" w:rsidRPr="00125A6B">
        <w:rPr>
          <w:rFonts w:ascii="Times New Roman" w:eastAsia="Calibri" w:hAnsi="Times New Roman" w:cs="Times New Roman"/>
          <w:b/>
          <w:color w:val="000000" w:themeColor="text1"/>
        </w:rPr>
        <w:t>s</w:t>
      </w:r>
      <w:r w:rsidR="3E9AD93C" w:rsidRPr="00125A6B">
        <w:rPr>
          <w:rFonts w:ascii="Times New Roman" w:eastAsia="Calibri" w:hAnsi="Times New Roman" w:cs="Times New Roman"/>
          <w:b/>
          <w:color w:val="000000" w:themeColor="text1"/>
        </w:rPr>
        <w:t>talking, and human trafficking</w:t>
      </w:r>
      <w:r w:rsidRPr="00125A6B">
        <w:rPr>
          <w:rFonts w:ascii="Times New Roman" w:eastAsia="Calibri" w:hAnsi="Times New Roman" w:cs="Times New Roman"/>
          <w:b/>
          <w:bCs/>
          <w:color w:val="000000" w:themeColor="text1"/>
        </w:rPr>
        <w:t xml:space="preserve"> that provides protections that are more expansive, but not more restrictive, than that provided by VAWA, may these additional protections be applied to EHV?  </w:t>
      </w:r>
    </w:p>
    <w:p w14:paraId="7E6CC537" w14:textId="708301FB" w:rsidR="007F63BD" w:rsidRPr="00125A6B" w:rsidRDefault="004D58A9" w:rsidP="00B40701">
      <w:pPr>
        <w:ind w:left="720"/>
        <w:rPr>
          <w:rFonts w:ascii="Times New Roman" w:eastAsia="Times New Roman" w:hAnsi="Times New Roman" w:cs="Times New Roman"/>
        </w:rPr>
      </w:pPr>
      <w:bookmarkStart w:id="11" w:name="_Hlk80258818"/>
      <w:r w:rsidRPr="00125A6B">
        <w:rPr>
          <w:rFonts w:ascii="Times New Roman" w:eastAsia="Calibri" w:hAnsi="Times New Roman" w:cs="Times New Roman"/>
          <w:color w:val="000000" w:themeColor="text1"/>
        </w:rPr>
        <w:t xml:space="preserve">Yes. Per the </w:t>
      </w:r>
      <w:hyperlink r:id="rId68" w:history="1">
        <w:r w:rsidRPr="00125A6B">
          <w:rPr>
            <w:rStyle w:val="Hyperlink"/>
            <w:rFonts w:ascii="Times New Roman" w:eastAsia="Calibri" w:hAnsi="Times New Roman" w:cs="Times New Roman"/>
          </w:rPr>
          <w:t>VAWA Final Rule (81 FR 80742)</w:t>
        </w:r>
      </w:hyperlink>
      <w:r w:rsidRPr="00125A6B">
        <w:rPr>
          <w:rFonts w:ascii="Times New Roman" w:eastAsia="Calibri" w:hAnsi="Times New Roman" w:cs="Times New Roman"/>
          <w:color w:val="000000" w:themeColor="text1"/>
        </w:rPr>
        <w:t xml:space="preserve">, </w:t>
      </w:r>
      <w:r w:rsidRPr="00125A6B">
        <w:rPr>
          <w:rFonts w:ascii="Times New Roman" w:hAnsi="Times New Roman" w:cs="Times New Roman"/>
        </w:rPr>
        <w:t>VAWA does not preempt state or local laws related to policies for victims of domesti</w:t>
      </w:r>
      <w:r w:rsidRPr="00125A6B">
        <w:rPr>
          <w:rFonts w:ascii="Times New Roman" w:eastAsia="Times New Roman" w:hAnsi="Times New Roman" w:cs="Times New Roman"/>
        </w:rPr>
        <w:t>c violence, dating violence, sexual assault, stalking, and human trafficking.</w:t>
      </w:r>
      <w:bookmarkEnd w:id="11"/>
    </w:p>
    <w:p w14:paraId="2DD6BF4D" w14:textId="7569DBDD" w:rsidR="007F63BD" w:rsidRPr="00125A6B" w:rsidRDefault="007F63BD" w:rsidP="00076EFA">
      <w:pPr>
        <w:pStyle w:val="ListParagraph"/>
        <w:numPr>
          <w:ilvl w:val="0"/>
          <w:numId w:val="38"/>
        </w:numPr>
        <w:spacing w:line="252" w:lineRule="auto"/>
        <w:rPr>
          <w:rFonts w:ascii="Times New Roman" w:hAnsi="Times New Roman" w:cs="Times New Roman"/>
          <w:b/>
          <w:bCs/>
          <w:color w:val="000000" w:themeColor="text1"/>
        </w:rPr>
      </w:pPr>
      <w:r w:rsidRPr="00125A6B">
        <w:rPr>
          <w:rFonts w:ascii="Times New Roman" w:eastAsia="Calibri" w:hAnsi="Times New Roman" w:cs="Times New Roman"/>
          <w:b/>
          <w:color w:val="000000" w:themeColor="text1"/>
        </w:rPr>
        <w:t>When considering mitigating circumstances for EHV admission under Section 9g of PIH Notice 2021-15, what factors are relevant for victims of domestic violence</w:t>
      </w:r>
      <w:r w:rsidR="06CD4FD4" w:rsidRPr="00125A6B">
        <w:rPr>
          <w:rFonts w:ascii="Times New Roman" w:eastAsia="Calibri" w:hAnsi="Times New Roman" w:cs="Times New Roman"/>
          <w:b/>
          <w:bCs/>
          <w:color w:val="000000" w:themeColor="text1"/>
        </w:rPr>
        <w:t>, dating violence, sexual assault, stalking</w:t>
      </w:r>
      <w:r w:rsidR="006E7787" w:rsidRPr="00125A6B">
        <w:rPr>
          <w:rFonts w:ascii="Times New Roman" w:eastAsia="Calibri" w:hAnsi="Times New Roman" w:cs="Times New Roman"/>
          <w:b/>
          <w:bCs/>
          <w:color w:val="000000" w:themeColor="text1"/>
        </w:rPr>
        <w:t xml:space="preserve"> and human trafficking</w:t>
      </w:r>
      <w:r w:rsidRPr="00125A6B">
        <w:rPr>
          <w:rFonts w:ascii="Times New Roman" w:eastAsia="Calibri" w:hAnsi="Times New Roman" w:cs="Times New Roman"/>
          <w:b/>
          <w:color w:val="000000" w:themeColor="text1"/>
        </w:rPr>
        <w:t xml:space="preserve">? </w:t>
      </w:r>
    </w:p>
    <w:p w14:paraId="5D200B2E" w14:textId="77777777" w:rsidR="006904B9" w:rsidRPr="00125A6B" w:rsidRDefault="006904B9" w:rsidP="00C00B24">
      <w:pPr>
        <w:pStyle w:val="ListParagraph"/>
        <w:rPr>
          <w:rFonts w:ascii="Times New Roman" w:eastAsia="Calibri" w:hAnsi="Times New Roman" w:cs="Times New Roman"/>
          <w:color w:val="000000" w:themeColor="text1"/>
        </w:rPr>
      </w:pPr>
    </w:p>
    <w:p w14:paraId="68F653B8" w14:textId="77777777" w:rsidR="00C22621" w:rsidRPr="00125A6B" w:rsidRDefault="00C22621" w:rsidP="00C22621">
      <w:pPr>
        <w:pStyle w:val="ListParagraph"/>
        <w:rPr>
          <w:rFonts w:ascii="Times New Roman" w:eastAsia="Calibri" w:hAnsi="Times New Roman" w:cs="Times New Roman"/>
        </w:rPr>
      </w:pPr>
      <w:r w:rsidRPr="00125A6B">
        <w:rPr>
          <w:rFonts w:ascii="Times New Roman" w:eastAsia="Calibri" w:hAnsi="Times New Roman" w:cs="Times New Roman"/>
          <w:color w:val="000000" w:themeColor="text1"/>
        </w:rPr>
        <w:t xml:space="preserve">PHAs should consult </w:t>
      </w:r>
      <w:hyperlink r:id="rId69">
        <w:r w:rsidRPr="00125A6B">
          <w:rPr>
            <w:rStyle w:val="Hyperlink"/>
            <w:rFonts w:ascii="Times New Roman" w:eastAsia="Calibri" w:hAnsi="Times New Roman" w:cs="Times New Roman"/>
          </w:rPr>
          <w:t>PIH Notice 2017-08</w:t>
        </w:r>
      </w:hyperlink>
      <w:r w:rsidRPr="00125A6B">
        <w:rPr>
          <w:rFonts w:ascii="Times New Roman" w:eastAsia="Calibri" w:hAnsi="Times New Roman" w:cs="Times New Roman"/>
          <w:color w:val="000000" w:themeColor="text1"/>
        </w:rPr>
        <w:t>, which states that “applicants and tenants may not be denied assistance or have assistance terminated under a covered housing program on the basis of or as a direct result of the fact that the applicant or tenant is or has been a victim of domestic violence, dating violence, sexual assault, or stalking.”</w:t>
      </w:r>
    </w:p>
    <w:p w14:paraId="4CF6A06C" w14:textId="51DDD778" w:rsidR="00C22621" w:rsidRPr="00125A6B" w:rsidRDefault="00C22621" w:rsidP="00C22621">
      <w:pPr>
        <w:ind w:left="720"/>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 xml:space="preserve">Under VAWA, applicants and tenants may not be denied assistance or have assistance terminated under a covered housing program, including EHV, on the basis of or as a direct result of the fact that the applicant or tenant is or has been a victim of domestic violence, dating violence, sexual assault, or stalking. Section 7 of </w:t>
      </w:r>
      <w:hyperlink r:id="rId70" w:history="1">
        <w:r w:rsidRPr="00125A6B">
          <w:rPr>
            <w:rStyle w:val="Hyperlink"/>
            <w:rFonts w:ascii="Times New Roman" w:eastAsia="Calibri" w:hAnsi="Times New Roman" w:cs="Times New Roman"/>
          </w:rPr>
          <w:t>Notice PIH 2017-08</w:t>
        </w:r>
      </w:hyperlink>
      <w:r w:rsidRPr="00125A6B">
        <w:rPr>
          <w:rFonts w:ascii="Times New Roman" w:eastAsia="Calibri" w:hAnsi="Times New Roman" w:cs="Times New Roman"/>
          <w:color w:val="000000" w:themeColor="text1"/>
        </w:rPr>
        <w:t xml:space="preserve"> describes when an adverse factor, such as poor rental history or poor credit history, may be the direct result of the fact that the applicant or tenant is or has been a victim of domestic violence, dating violence, sexual assault, or stalking.  </w:t>
      </w:r>
      <w:r w:rsidRPr="00125A6B">
        <w:rPr>
          <w:rFonts w:ascii="Times New Roman" w:eastAsia="Calibri" w:hAnsi="Times New Roman" w:cs="Times New Roman"/>
          <w:color w:val="000000" w:themeColor="text1"/>
        </w:rPr>
        <w:lastRenderedPageBreak/>
        <w:t xml:space="preserve">Many of these scenarios may also apply to victims of human trafficking. While VAWA does not apply to victims of human trafficking, PHAs may consult Section 7 of </w:t>
      </w:r>
      <w:hyperlink r:id="rId71" w:history="1">
        <w:r w:rsidRPr="00125A6B">
          <w:rPr>
            <w:rStyle w:val="Hyperlink"/>
            <w:rFonts w:ascii="Times New Roman" w:eastAsia="Calibri" w:hAnsi="Times New Roman" w:cs="Times New Roman"/>
          </w:rPr>
          <w:t>Notice PIH 2017-08</w:t>
        </w:r>
      </w:hyperlink>
      <w:r w:rsidRPr="00125A6B">
        <w:rPr>
          <w:rFonts w:ascii="Times New Roman" w:eastAsia="Calibri" w:hAnsi="Times New Roman" w:cs="Times New Roman"/>
          <w:color w:val="000000" w:themeColor="text1"/>
        </w:rPr>
        <w:t xml:space="preserve"> for examples of the types of mitigating circumstances that may be relevant for victims of human trafficking.</w:t>
      </w:r>
    </w:p>
    <w:p w14:paraId="603FE9F8" w14:textId="4A4C8B5A" w:rsidR="009E2FCD" w:rsidRPr="00125A6B" w:rsidRDefault="009E2FCD" w:rsidP="00076EFA">
      <w:pPr>
        <w:pStyle w:val="ListParagraph"/>
        <w:numPr>
          <w:ilvl w:val="0"/>
          <w:numId w:val="38"/>
        </w:numPr>
        <w:spacing w:line="252" w:lineRule="auto"/>
        <w:rPr>
          <w:rFonts w:ascii="Times New Roman" w:hAnsi="Times New Roman" w:cs="Times New Roman"/>
          <w:b/>
          <w:bCs/>
          <w:color w:val="000000" w:themeColor="text1"/>
        </w:rPr>
      </w:pPr>
      <w:r w:rsidRPr="00125A6B">
        <w:rPr>
          <w:rFonts w:ascii="Times New Roman" w:eastAsia="Calibri" w:hAnsi="Times New Roman" w:cs="Times New Roman"/>
          <w:b/>
          <w:bCs/>
          <w:color w:val="000000" w:themeColor="text1"/>
        </w:rPr>
        <w:t xml:space="preserve">If a PHA chooses to use permissive prohibitions for denial of admission into the EHV program, how should they assess mitigating circumstances of an applicant with criminal history who is also a victim of domestic violence, dating violence, sexual assault, stalking, or human trafficking? </w:t>
      </w:r>
    </w:p>
    <w:p w14:paraId="0EFFC2DC" w14:textId="77777777" w:rsidR="009E2FCD" w:rsidRPr="00125A6B" w:rsidRDefault="009E2FCD" w:rsidP="009E2FCD">
      <w:pPr>
        <w:ind w:left="720"/>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 xml:space="preserve">Section 7.2 of </w:t>
      </w:r>
      <w:hyperlink r:id="rId72">
        <w:r w:rsidRPr="00125A6B">
          <w:rPr>
            <w:rStyle w:val="Hyperlink"/>
            <w:rFonts w:ascii="Times New Roman" w:eastAsia="Calibri" w:hAnsi="Times New Roman" w:cs="Times New Roman"/>
          </w:rPr>
          <w:t>PIH Notice 2017-08</w:t>
        </w:r>
      </w:hyperlink>
      <w:r w:rsidRPr="00125A6B">
        <w:rPr>
          <w:rFonts w:ascii="Times New Roman" w:eastAsia="Calibri" w:hAnsi="Times New Roman" w:cs="Times New Roman"/>
          <w:color w:val="000000" w:themeColor="text1"/>
        </w:rPr>
        <w:t xml:space="preserve"> provides examples of when adverse factors might be direct results of domestic violence, dating violence, sexual assault or stalking.  Whether an applicant is a victim of human trafficking could also be considered as part of an individualized assessment of mitigating circumstances.  Mitigating circumstances are addressed in </w:t>
      </w:r>
      <w:hyperlink r:id="rId73">
        <w:r w:rsidRPr="00125A6B">
          <w:rPr>
            <w:rStyle w:val="Hyperlink"/>
            <w:rFonts w:ascii="Times New Roman" w:eastAsia="Calibri" w:hAnsi="Times New Roman" w:cs="Times New Roman"/>
          </w:rPr>
          <w:t>PIH Notice 2015-19</w:t>
        </w:r>
      </w:hyperlink>
      <w:r w:rsidRPr="00125A6B">
        <w:rPr>
          <w:rFonts w:ascii="Times New Roman" w:hAnsi="Times New Roman" w:cs="Times New Roman"/>
        </w:rPr>
        <w:t xml:space="preserve"> </w:t>
      </w:r>
      <w:r w:rsidRPr="00125A6B">
        <w:rPr>
          <w:rFonts w:ascii="Times New Roman" w:eastAsia="Calibri" w:hAnsi="Times New Roman" w:cs="Times New Roman"/>
          <w:color w:val="000000" w:themeColor="text1"/>
        </w:rPr>
        <w:t xml:space="preserve">and the </w:t>
      </w:r>
      <w:hyperlink r:id="rId74">
        <w:r w:rsidRPr="00125A6B">
          <w:rPr>
            <w:rStyle w:val="Hyperlink"/>
            <w:rFonts w:ascii="Times New Roman" w:eastAsia="Calibri" w:hAnsi="Times New Roman" w:cs="Times New Roman"/>
          </w:rPr>
          <w:t>OGC Criminal Records Guidance</w:t>
        </w:r>
      </w:hyperlink>
      <w:r w:rsidRPr="00125A6B">
        <w:rPr>
          <w:rFonts w:ascii="Times New Roman" w:eastAsia="Calibri" w:hAnsi="Times New Roman" w:cs="Times New Roman"/>
          <w:color w:val="000000" w:themeColor="text1"/>
        </w:rPr>
        <w:t>.</w:t>
      </w:r>
    </w:p>
    <w:p w14:paraId="41B0EA8E" w14:textId="5516AB56" w:rsidR="00817609" w:rsidRPr="00125A6B" w:rsidRDefault="00817609" w:rsidP="00076EFA">
      <w:pPr>
        <w:pStyle w:val="ListParagraph"/>
        <w:numPr>
          <w:ilvl w:val="0"/>
          <w:numId w:val="38"/>
        </w:numPr>
        <w:spacing w:line="252" w:lineRule="auto"/>
        <w:rPr>
          <w:rFonts w:ascii="Times New Roman" w:hAnsi="Times New Roman" w:cs="Times New Roman"/>
          <w:b/>
          <w:bCs/>
          <w:color w:val="000000" w:themeColor="text1"/>
        </w:rPr>
      </w:pPr>
      <w:r w:rsidRPr="00125A6B">
        <w:rPr>
          <w:rFonts w:ascii="Times New Roman" w:eastAsia="Calibri" w:hAnsi="Times New Roman" w:cs="Times New Roman"/>
          <w:b/>
          <w:color w:val="000000" w:themeColor="text1"/>
        </w:rPr>
        <w:t xml:space="preserve">Section 9g of PIH Notice 2021-15 states that determinations about admission for EHV based on criminal screening “must be made based on an individualized assessment of relevant mitigating information.” What are the PHA’s responsibilities for communicating the outcome of that assessment to the applicant? </w:t>
      </w:r>
    </w:p>
    <w:p w14:paraId="338F0CC4" w14:textId="2965C592" w:rsidR="00817609" w:rsidRPr="00125A6B" w:rsidRDefault="00817609" w:rsidP="62309BE1">
      <w:pPr>
        <w:ind w:left="720"/>
        <w:rPr>
          <w:rFonts w:ascii="Times New Roman" w:hAnsi="Times New Roman" w:cs="Times New Roman"/>
        </w:rPr>
      </w:pPr>
      <w:r w:rsidRPr="00125A6B">
        <w:rPr>
          <w:rFonts w:ascii="Times New Roman" w:eastAsia="Calibri" w:hAnsi="Times New Roman" w:cs="Times New Roman"/>
          <w:color w:val="000000" w:themeColor="text1"/>
        </w:rPr>
        <w:t>24 CFR 982.201(f) requires the PHA to give an applicant prompt written notice of a decision denying admission to the program and the notice must give a brief statement of the reasons for the decision. The notice must also state that the applicant may request an informal review of the decision</w:t>
      </w:r>
      <w:r w:rsidR="00FF73C4" w:rsidRPr="00125A6B">
        <w:rPr>
          <w:rFonts w:ascii="Times New Roman" w:eastAsia="Calibri" w:hAnsi="Times New Roman" w:cs="Times New Roman"/>
          <w:color w:val="000000" w:themeColor="text1"/>
        </w:rPr>
        <w:t xml:space="preserve"> </w:t>
      </w:r>
      <w:r w:rsidRPr="00125A6B">
        <w:rPr>
          <w:rFonts w:ascii="Times New Roman" w:eastAsia="Calibri" w:hAnsi="Times New Roman" w:cs="Times New Roman"/>
          <w:color w:val="000000" w:themeColor="text1"/>
        </w:rPr>
        <w:t>and state how to arrange for the informal review (24 CFR 982.554).</w:t>
      </w:r>
      <w:r w:rsidRPr="00125A6B">
        <w:rPr>
          <w:rFonts w:ascii="Times New Roman" w:hAnsi="Times New Roman" w:cs="Times New Roman"/>
        </w:rPr>
        <w:t xml:space="preserve">  </w:t>
      </w:r>
    </w:p>
    <w:p w14:paraId="27B1AF3D" w14:textId="1DD8A642" w:rsidR="005B6F6A" w:rsidRPr="00125A6B" w:rsidRDefault="440AE88C" w:rsidP="00076EFA">
      <w:pPr>
        <w:pStyle w:val="ListParagraph"/>
        <w:numPr>
          <w:ilvl w:val="0"/>
          <w:numId w:val="38"/>
        </w:numPr>
        <w:tabs>
          <w:tab w:val="left" w:pos="360"/>
        </w:tabs>
        <w:spacing w:line="251" w:lineRule="auto"/>
        <w:rPr>
          <w:rFonts w:ascii="Times New Roman" w:eastAsia="Times New Roman" w:hAnsi="Times New Roman" w:cs="Times New Roman"/>
          <w:b/>
          <w:bCs/>
        </w:rPr>
      </w:pPr>
      <w:r w:rsidRPr="00125A6B">
        <w:rPr>
          <w:rFonts w:ascii="Times New Roman" w:eastAsia="Times New Roman" w:hAnsi="Times New Roman" w:cs="Times New Roman"/>
          <w:b/>
          <w:bCs/>
        </w:rPr>
        <w:t>Does acceptance of EHV require PHA Board approval? </w:t>
      </w:r>
    </w:p>
    <w:p w14:paraId="669C7E0A" w14:textId="5A66F4D0" w:rsidR="005B6F6A" w:rsidRPr="00125A6B" w:rsidRDefault="005B6F6A" w:rsidP="62309BE1">
      <w:pPr>
        <w:spacing w:line="252" w:lineRule="auto"/>
        <w:ind w:left="720"/>
        <w:rPr>
          <w:rFonts w:ascii="Times New Roman" w:eastAsia="Times New Roman" w:hAnsi="Times New Roman" w:cs="Times New Roman"/>
        </w:rPr>
      </w:pPr>
      <w:r w:rsidRPr="00125A6B">
        <w:rPr>
          <w:rFonts w:ascii="Times New Roman" w:eastAsia="Times New Roman" w:hAnsi="Times New Roman" w:cs="Times New Roman"/>
        </w:rPr>
        <w:t xml:space="preserve">No, not initially. </w:t>
      </w:r>
      <w:hyperlink r:id="rId75" w:history="1">
        <w:r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rPr>
        <w:t xml:space="preserve"> includes waiver HCV-1 that allows PHAs to establish an alternative requirement that policies may be adopted without board approval until September 30, 2021. The waiver is referenced in the notice,</w:t>
      </w:r>
      <w:r w:rsidR="3ABD1699" w:rsidRPr="00125A6B">
        <w:rPr>
          <w:rFonts w:ascii="Times New Roman" w:eastAsia="Times New Roman" w:hAnsi="Times New Roman" w:cs="Times New Roman"/>
        </w:rPr>
        <w:t xml:space="preserve"> </w:t>
      </w:r>
      <w:r w:rsidRPr="00125A6B">
        <w:rPr>
          <w:rFonts w:ascii="Times New Roman" w:eastAsia="Times New Roman" w:hAnsi="Times New Roman" w:cs="Times New Roman"/>
        </w:rPr>
        <w:t xml:space="preserve">including alternative requirement for PHAs adopting the waiver notice.  </w:t>
      </w:r>
    </w:p>
    <w:p w14:paraId="3138BF8A" w14:textId="77777777" w:rsidR="005B6F6A" w:rsidRPr="00125A6B" w:rsidRDefault="440AE88C" w:rsidP="00076EFA">
      <w:pPr>
        <w:pStyle w:val="ListParagraph"/>
        <w:numPr>
          <w:ilvl w:val="0"/>
          <w:numId w:val="38"/>
        </w:numPr>
        <w:tabs>
          <w:tab w:val="left" w:pos="360"/>
        </w:tabs>
        <w:spacing w:line="251" w:lineRule="auto"/>
        <w:rPr>
          <w:rFonts w:ascii="Times New Roman" w:eastAsia="Times New Roman" w:hAnsi="Times New Roman" w:cs="Times New Roman"/>
          <w:b/>
          <w:bCs/>
        </w:rPr>
      </w:pPr>
      <w:r w:rsidRPr="00125A6B">
        <w:rPr>
          <w:rFonts w:ascii="Times New Roman" w:eastAsia="Times New Roman" w:hAnsi="Times New Roman" w:cs="Times New Roman"/>
          <w:b/>
          <w:bCs/>
        </w:rPr>
        <w:t>Can I request an increase for PUC?  If so, to whom should it be submitted?</w:t>
      </w:r>
    </w:p>
    <w:p w14:paraId="6918CD4C" w14:textId="77777777" w:rsidR="005B6F6A" w:rsidRPr="00125A6B" w:rsidRDefault="005B6F6A" w:rsidP="62309BE1">
      <w:pPr>
        <w:spacing w:after="0" w:line="240" w:lineRule="auto"/>
        <w:ind w:left="720" w:hanging="360"/>
        <w:rPr>
          <w:rFonts w:ascii="Times New Roman" w:eastAsia="Times New Roman" w:hAnsi="Times New Roman" w:cs="Times New Roman"/>
        </w:rPr>
      </w:pPr>
      <w:r w:rsidRPr="00125A6B">
        <w:rPr>
          <w:rFonts w:ascii="Times New Roman" w:eastAsia="Times New Roman" w:hAnsi="Times New Roman" w:cs="Times New Roman"/>
        </w:rPr>
        <w:t xml:space="preserve">       Yes. </w:t>
      </w:r>
      <w:hyperlink r:id="rId76" w:history="1">
        <w:r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rPr>
        <w:t>, Section 7a states:</w:t>
      </w:r>
    </w:p>
    <w:p w14:paraId="7788D757" w14:textId="77777777" w:rsidR="005B6F6A" w:rsidRPr="00125A6B" w:rsidRDefault="005B6F6A" w:rsidP="62309BE1">
      <w:pPr>
        <w:spacing w:after="0" w:line="240" w:lineRule="auto"/>
        <w:ind w:firstLine="720"/>
        <w:rPr>
          <w:rFonts w:ascii="Times New Roman" w:eastAsia="Times New Roman" w:hAnsi="Times New Roman" w:cs="Times New Roman"/>
        </w:rPr>
      </w:pPr>
    </w:p>
    <w:p w14:paraId="57BA12AD" w14:textId="77777777" w:rsidR="005B6F6A" w:rsidRPr="00125A6B" w:rsidRDefault="005B6F6A" w:rsidP="62309BE1">
      <w:pPr>
        <w:spacing w:after="0" w:line="240" w:lineRule="auto"/>
        <w:ind w:left="1440"/>
        <w:rPr>
          <w:rFonts w:ascii="Times New Roman" w:eastAsia="Times New Roman" w:hAnsi="Times New Roman" w:cs="Times New Roman"/>
        </w:rPr>
      </w:pPr>
      <w:r w:rsidRPr="00125A6B">
        <w:rPr>
          <w:rFonts w:ascii="Times New Roman" w:eastAsia="Times New Roman" w:hAnsi="Times New Roman" w:cs="Times New Roman"/>
        </w:rPr>
        <w:t>“The initial funding increment for the EHV allocation will be based on the PHA’s per unit cost (PUC) for the PHA’s HCV program, adjusted for inflation and taking into consideration that the initial term is longer than 12 months. However, if during the initial term a PHA can demonstrate based on actual leasing and costs that the HAP funding will be insufficient to cover its actual HAP costs for the EHVs for the initial term, the PHA may request that HUD adjust the initial funding increment amount for the EHVs during the initial funding term. If the PHA has demonstrated the need to do so, HUD will adjust the initial funding amount based on the actual costs incurred upon request by the PHA to ensure the PHA has sufficient funding during the initial funding term to lease all of its EHVs and pay its EHV HAP costs through December 31, 2022. If the PHA believes that it needs an adjustment, it should contact its financial analyst in HUD’s Office of Housing Voucher Programs Financial Management Center (FMC).”</w:t>
      </w:r>
    </w:p>
    <w:p w14:paraId="186B4A3F" w14:textId="77777777" w:rsidR="005B6F6A" w:rsidRPr="00125A6B" w:rsidRDefault="005B6F6A" w:rsidP="62309BE1">
      <w:pPr>
        <w:spacing w:line="251" w:lineRule="auto"/>
        <w:rPr>
          <w:rFonts w:ascii="Times New Roman" w:eastAsia="Times New Roman" w:hAnsi="Times New Roman" w:cs="Times New Roman"/>
        </w:rPr>
      </w:pPr>
    </w:p>
    <w:p w14:paraId="7340120E" w14:textId="1000184F" w:rsidR="00EA72FF" w:rsidRPr="00125A6B" w:rsidRDefault="00EA72FF" w:rsidP="00CB7838">
      <w:pPr>
        <w:pStyle w:val="xmsolistparagraph"/>
        <w:numPr>
          <w:ilvl w:val="0"/>
          <w:numId w:val="16"/>
        </w:numPr>
        <w:spacing w:line="252" w:lineRule="auto"/>
        <w:rPr>
          <w:rFonts w:ascii="Times New Roman" w:eastAsia="Times New Roman" w:hAnsi="Times New Roman" w:cs="Times New Roman"/>
          <w:b/>
          <w:bCs/>
        </w:rPr>
      </w:pPr>
      <w:r w:rsidRPr="00125A6B">
        <w:rPr>
          <w:rFonts w:ascii="Times New Roman" w:eastAsia="Times New Roman" w:hAnsi="Times New Roman" w:cs="Times New Roman"/>
          <w:b/>
        </w:rPr>
        <w:lastRenderedPageBreak/>
        <w:t>Can</w:t>
      </w:r>
      <w:r w:rsidRPr="00125A6B">
        <w:rPr>
          <w:rFonts w:ascii="Times New Roman" w:eastAsia="Times New Roman" w:hAnsi="Times New Roman" w:cs="Times New Roman"/>
          <w:b/>
          <w:color w:val="000000" w:themeColor="text1"/>
        </w:rPr>
        <w:t xml:space="preserve"> a PHA over-issue its allocation of EHVs in recognition that not all families succeed under its </w:t>
      </w:r>
      <w:r w:rsidRPr="00125A6B">
        <w:rPr>
          <w:rFonts w:ascii="Times New Roman" w:eastAsia="Times New Roman" w:hAnsi="Times New Roman" w:cs="Times New Roman"/>
          <w:b/>
          <w:bCs/>
        </w:rPr>
        <w:t xml:space="preserve">program in leasing a unit? </w:t>
      </w:r>
    </w:p>
    <w:p w14:paraId="7C01A8D4" w14:textId="77777777" w:rsidR="00EA72FF" w:rsidRPr="00125A6B" w:rsidRDefault="00EA72FF" w:rsidP="62309BE1">
      <w:pPr>
        <w:pStyle w:val="xmsolistparagraph"/>
        <w:spacing w:after="160" w:line="252" w:lineRule="auto"/>
        <w:ind w:left="720"/>
        <w:rPr>
          <w:rFonts w:ascii="Times New Roman" w:eastAsia="Yu Mincho" w:hAnsi="Times New Roman" w:cs="Times New Roman"/>
        </w:rPr>
      </w:pPr>
      <w:r w:rsidRPr="00125A6B">
        <w:rPr>
          <w:rFonts w:ascii="Times New Roman" w:hAnsi="Times New Roman" w:cs="Times New Roman"/>
        </w:rPr>
        <w:t> </w:t>
      </w:r>
    </w:p>
    <w:p w14:paraId="66B6D60F" w14:textId="1CA2650F" w:rsidR="00EA72FF" w:rsidRPr="00125A6B" w:rsidRDefault="00EA72FF" w:rsidP="62309BE1">
      <w:pPr>
        <w:pStyle w:val="xmsonormal"/>
        <w:ind w:left="720"/>
        <w:rPr>
          <w:rFonts w:ascii="Times New Roman" w:hAnsi="Times New Roman" w:cs="Times New Roman"/>
        </w:rPr>
      </w:pPr>
      <w:r w:rsidRPr="00125A6B">
        <w:rPr>
          <w:rFonts w:ascii="Times New Roman" w:hAnsi="Times New Roman" w:cs="Times New Roman"/>
        </w:rPr>
        <w:t xml:space="preserve">PHAs are not currently restricted from over-issuing EHV vouchers to account for success rates and/or potential attrition in its efforts to fully lease their allocation of EHVs.  As is the case with the regular HCV program, PHAs must exercise care to prevent over-leasing (where EHVs unit months leased (UMLs) will exceed unit months available (UMAs)) at the end of the initial funding term (12/31/22)), as PHAs will not receive additional EHV funding during the initial funding term to cover over-leased units and over-leased units are not taken into account when determining the PHA’s EHV renewal funding eligibility for CY 2023.  (See section 7 of </w:t>
      </w:r>
      <w:hyperlink r:id="rId77" w:history="1">
        <w:r w:rsidRPr="00125A6B">
          <w:rPr>
            <w:rStyle w:val="Hyperlink"/>
            <w:rFonts w:ascii="Times New Roman" w:hAnsi="Times New Roman" w:cs="Times New Roman"/>
          </w:rPr>
          <w:t>PIH Notice 2021-15</w:t>
        </w:r>
      </w:hyperlink>
      <w:r w:rsidRPr="00125A6B">
        <w:rPr>
          <w:rFonts w:ascii="Times New Roman" w:hAnsi="Times New Roman" w:cs="Times New Roman"/>
        </w:rPr>
        <w:t xml:space="preserve"> regarding permissible funding adjustments during the initial funding term.)  Also, given the unique partnerships, programmatic flexibilities, and service fees available with the EHV program, PHAs should account for the potential and realized impacts these advantages may have on EHV success rate in terms of managing the EHV issuance process. </w:t>
      </w:r>
    </w:p>
    <w:p w14:paraId="241BCD7F" w14:textId="77777777" w:rsidR="00797690" w:rsidRPr="00125A6B" w:rsidRDefault="00797690" w:rsidP="62309BE1">
      <w:pPr>
        <w:pStyle w:val="ListParagraph"/>
        <w:spacing w:line="252" w:lineRule="auto"/>
        <w:rPr>
          <w:rFonts w:ascii="Times New Roman" w:eastAsia="Times New Roman" w:hAnsi="Times New Roman" w:cs="Times New Roman"/>
        </w:rPr>
      </w:pPr>
    </w:p>
    <w:p w14:paraId="4CBC5D99" w14:textId="1114CC85" w:rsidR="005B6F6A" w:rsidRPr="00125A6B" w:rsidRDefault="00797690" w:rsidP="62309BE1">
      <w:pPr>
        <w:pStyle w:val="ListParagraph"/>
        <w:spacing w:line="252" w:lineRule="auto"/>
        <w:ind w:left="0"/>
        <w:rPr>
          <w:rFonts w:ascii="Times New Roman" w:eastAsia="Times New Roman" w:hAnsi="Times New Roman" w:cs="Times New Roman"/>
          <w:b/>
          <w:bCs/>
        </w:rPr>
      </w:pPr>
      <w:r w:rsidRPr="00125A6B">
        <w:rPr>
          <w:rFonts w:ascii="Times New Roman" w:eastAsia="Times New Roman" w:hAnsi="Times New Roman" w:cs="Times New Roman"/>
          <w:b/>
          <w:bCs/>
        </w:rPr>
        <w:t xml:space="preserve">     </w:t>
      </w:r>
      <w:r w:rsidR="00CB7838" w:rsidRPr="00125A6B">
        <w:rPr>
          <w:rFonts w:ascii="Times New Roman" w:eastAsia="Times New Roman" w:hAnsi="Times New Roman" w:cs="Times New Roman"/>
          <w:b/>
          <w:bCs/>
        </w:rPr>
        <w:t>5</w:t>
      </w:r>
      <w:r w:rsidR="00346951" w:rsidRPr="00125A6B">
        <w:rPr>
          <w:rFonts w:ascii="Times New Roman" w:eastAsia="Times New Roman" w:hAnsi="Times New Roman" w:cs="Times New Roman"/>
          <w:b/>
          <w:bCs/>
        </w:rPr>
        <w:t>9</w:t>
      </w:r>
      <w:r w:rsidRPr="00125A6B">
        <w:rPr>
          <w:rFonts w:ascii="Times New Roman" w:eastAsia="Times New Roman" w:hAnsi="Times New Roman" w:cs="Times New Roman"/>
          <w:b/>
          <w:bCs/>
        </w:rPr>
        <w:t xml:space="preserve">.  </w:t>
      </w:r>
      <w:r w:rsidR="440AE88C" w:rsidRPr="00125A6B">
        <w:rPr>
          <w:rFonts w:ascii="Times New Roman" w:eastAsia="Times New Roman" w:hAnsi="Times New Roman" w:cs="Times New Roman"/>
          <w:b/>
          <w:bCs/>
        </w:rPr>
        <w:t xml:space="preserve">What is a waiver and alternative requirement? </w:t>
      </w:r>
    </w:p>
    <w:p w14:paraId="715FA4A6" w14:textId="77777777" w:rsidR="005B6F6A" w:rsidRPr="00125A6B" w:rsidRDefault="005B6F6A" w:rsidP="62309BE1">
      <w:pPr>
        <w:spacing w:line="252" w:lineRule="auto"/>
        <w:ind w:left="720"/>
        <w:rPr>
          <w:rFonts w:ascii="Times New Roman" w:eastAsia="Times New Roman" w:hAnsi="Times New Roman" w:cs="Times New Roman"/>
        </w:rPr>
      </w:pPr>
      <w:r w:rsidRPr="00125A6B">
        <w:rPr>
          <w:rFonts w:ascii="Times New Roman" w:eastAsia="Times New Roman" w:hAnsi="Times New Roman" w:cs="Times New Roman"/>
        </w:rPr>
        <w:t xml:space="preserve">Per </w:t>
      </w:r>
      <w:hyperlink r:id="rId78" w:history="1">
        <w:r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rPr>
        <w:t xml:space="preserve">, EHVs are tenant-based vouchers under Section 8(o) of the United States Housing Act of 1937. Therefore, all regulatory requirements and HUD directives regarding the HCV program are applicable to EHVs, including the use of all HUD-required contracts and other forms. </w:t>
      </w:r>
    </w:p>
    <w:p w14:paraId="7D3C6DFC" w14:textId="35750D59" w:rsidR="005B6F6A" w:rsidRPr="00125A6B" w:rsidRDefault="005B6F6A" w:rsidP="62309BE1">
      <w:pPr>
        <w:spacing w:line="252" w:lineRule="auto"/>
        <w:ind w:left="720"/>
        <w:rPr>
          <w:rFonts w:ascii="Times New Roman" w:eastAsia="Times New Roman" w:hAnsi="Times New Roman" w:cs="Times New Roman"/>
        </w:rPr>
      </w:pPr>
      <w:r w:rsidRPr="00125A6B">
        <w:rPr>
          <w:rFonts w:ascii="Times New Roman" w:eastAsia="Times New Roman" w:hAnsi="Times New Roman" w:cs="Times New Roman"/>
        </w:rPr>
        <w:t>Waivers and alternative requirements</w:t>
      </w:r>
      <w:r w:rsidR="00DB106C" w:rsidRPr="00125A6B">
        <w:rPr>
          <w:rFonts w:ascii="Times New Roman" w:eastAsia="Times New Roman" w:hAnsi="Times New Roman" w:cs="Times New Roman"/>
        </w:rPr>
        <w:t xml:space="preserve">, which are detailed in </w:t>
      </w:r>
      <w:hyperlink r:id="rId79" w:history="1">
        <w:r w:rsidR="00DB106C" w:rsidRPr="00125A6B">
          <w:rPr>
            <w:rStyle w:val="Hyperlink"/>
            <w:rFonts w:ascii="Times New Roman" w:eastAsia="Times New Roman" w:hAnsi="Times New Roman" w:cs="Times New Roman"/>
          </w:rPr>
          <w:t>PIH Notice 2021-15</w:t>
        </w:r>
      </w:hyperlink>
      <w:r w:rsidR="00DB106C" w:rsidRPr="00125A6B">
        <w:rPr>
          <w:rFonts w:ascii="Times New Roman" w:eastAsia="Times New Roman" w:hAnsi="Times New Roman" w:cs="Times New Roman"/>
        </w:rPr>
        <w:t>,</w:t>
      </w:r>
      <w:r w:rsidRPr="00125A6B">
        <w:rPr>
          <w:rFonts w:ascii="Times New Roman" w:eastAsia="Times New Roman" w:hAnsi="Times New Roman" w:cs="Times New Roman"/>
        </w:rPr>
        <w:t xml:space="preserve"> have been determined by the HUD Secretary to be needed to expedite and facilitate the use of the EHV funding. In the context of EHV, a “waiver” is where HUD is intentionally eliminating a normally applicable HCV program statutory or regulatory requirement. An “alternative requirement” is where HUD is creating a specific requirement that is not an existing HCV program requirement, such as an alternative requirement to an existing requirement that HUD has waived for the EHV program.</w:t>
      </w:r>
    </w:p>
    <w:p w14:paraId="49600488" w14:textId="01EC255A" w:rsidR="005B6F6A" w:rsidRPr="00125A6B" w:rsidRDefault="440AE88C" w:rsidP="00CB7838">
      <w:pPr>
        <w:pStyle w:val="ListParagraph"/>
        <w:numPr>
          <w:ilvl w:val="0"/>
          <w:numId w:val="30"/>
        </w:numPr>
        <w:tabs>
          <w:tab w:val="left" w:pos="360"/>
        </w:tabs>
        <w:spacing w:line="251" w:lineRule="auto"/>
        <w:rPr>
          <w:rFonts w:ascii="Times New Roman" w:eastAsia="Times New Roman" w:hAnsi="Times New Roman" w:cs="Times New Roman"/>
          <w:b/>
          <w:bCs/>
        </w:rPr>
      </w:pPr>
      <w:r w:rsidRPr="00125A6B">
        <w:rPr>
          <w:rFonts w:ascii="Times New Roman" w:eastAsia="Times New Roman" w:hAnsi="Times New Roman" w:cs="Times New Roman"/>
          <w:b/>
          <w:bCs/>
        </w:rPr>
        <w:t xml:space="preserve">If, after September 30, 2023, a PHA cannot re-issue vouchers when a family leaves the EHV program, but can issue vouchers that were never leased, how should PHAs be tracking the vouchers? </w:t>
      </w:r>
    </w:p>
    <w:p w14:paraId="039AB060" w14:textId="2939E559" w:rsidR="005B6F6A" w:rsidRPr="00125A6B" w:rsidRDefault="440AE88C" w:rsidP="62309BE1">
      <w:pPr>
        <w:spacing w:line="252" w:lineRule="auto"/>
        <w:ind w:left="720"/>
        <w:rPr>
          <w:rFonts w:ascii="Times New Roman" w:eastAsia="Times New Roman" w:hAnsi="Times New Roman" w:cs="Times New Roman"/>
        </w:rPr>
      </w:pPr>
      <w:r w:rsidRPr="00125A6B">
        <w:rPr>
          <w:rFonts w:ascii="Times New Roman" w:eastAsia="Times New Roman" w:hAnsi="Times New Roman" w:cs="Times New Roman"/>
        </w:rPr>
        <w:t>The PHA must track the number of vouchers that have been leased and are not permitted to be re-issued. One way to do that is to number/identify EHV vouchers, but HUD is not requiring that specific approach to tracking. </w:t>
      </w:r>
    </w:p>
    <w:p w14:paraId="4ECADCB3" w14:textId="5A66F4D0" w:rsidR="005B6F6A" w:rsidRPr="00125A6B" w:rsidRDefault="440AE88C" w:rsidP="00CB7838">
      <w:pPr>
        <w:pStyle w:val="ListParagraph"/>
        <w:numPr>
          <w:ilvl w:val="0"/>
          <w:numId w:val="30"/>
        </w:numPr>
        <w:tabs>
          <w:tab w:val="left" w:pos="360"/>
        </w:tabs>
        <w:spacing w:line="251" w:lineRule="auto"/>
        <w:rPr>
          <w:rFonts w:ascii="Times New Roman" w:eastAsia="Times New Roman" w:hAnsi="Times New Roman" w:cs="Times New Roman"/>
          <w:b/>
          <w:bCs/>
        </w:rPr>
      </w:pPr>
      <w:r w:rsidRPr="00125A6B">
        <w:rPr>
          <w:rFonts w:ascii="Times New Roman" w:eastAsia="Times New Roman" w:hAnsi="Times New Roman" w:cs="Times New Roman"/>
          <w:b/>
          <w:bCs/>
        </w:rPr>
        <w:t xml:space="preserve">Can we allow EHV holders to keep the security deposit we paid on behalf of the family when it is returned by the owner?  </w:t>
      </w:r>
    </w:p>
    <w:p w14:paraId="39DDD404" w14:textId="340828F7" w:rsidR="00DF0803" w:rsidRPr="00125A6B" w:rsidRDefault="005B6F6A" w:rsidP="62309BE1">
      <w:pPr>
        <w:spacing w:line="252" w:lineRule="auto"/>
        <w:ind w:left="720"/>
        <w:rPr>
          <w:rFonts w:ascii="Times New Roman" w:eastAsia="Times New Roman" w:hAnsi="Times New Roman" w:cs="Times New Roman"/>
        </w:rPr>
      </w:pPr>
      <w:r w:rsidRPr="00125A6B">
        <w:rPr>
          <w:rFonts w:ascii="Times New Roman" w:eastAsia="Times New Roman" w:hAnsi="Times New Roman" w:cs="Times New Roman"/>
        </w:rPr>
        <w:t>PHAs are encouraged to consult with their counsel to determine whether local and State</w:t>
      </w:r>
      <w:r w:rsidR="06ED5BE6" w:rsidRPr="00125A6B">
        <w:rPr>
          <w:rFonts w:ascii="Times New Roman" w:eastAsia="Times New Roman" w:hAnsi="Times New Roman" w:cs="Times New Roman"/>
        </w:rPr>
        <w:t xml:space="preserve"> statutes regarding</w:t>
      </w:r>
      <w:r w:rsidRPr="00125A6B">
        <w:rPr>
          <w:rFonts w:ascii="Times New Roman" w:eastAsia="Times New Roman" w:hAnsi="Times New Roman" w:cs="Times New Roman"/>
        </w:rPr>
        <w:t xml:space="preserve"> unclaimed property may apply and take precedence over the Notice.  The Notice states that the PHA, “…may place conditions on the security deposit assistance, such as requiring the owner or family to return the security deposit assistance to the PHA at the end of the family’s tenancy (less any amounts retained by the owner in accordance with the lease.”, or it may choose       to not place those restrictions).    </w:t>
      </w:r>
    </w:p>
    <w:p w14:paraId="2A4397B7" w14:textId="273036B8" w:rsidR="005B6F6A" w:rsidRPr="00125A6B" w:rsidRDefault="440AE88C" w:rsidP="00CB7838">
      <w:pPr>
        <w:pStyle w:val="ListParagraph"/>
        <w:numPr>
          <w:ilvl w:val="0"/>
          <w:numId w:val="30"/>
        </w:numPr>
        <w:tabs>
          <w:tab w:val="left" w:pos="360"/>
        </w:tabs>
        <w:spacing w:line="251" w:lineRule="auto"/>
        <w:rPr>
          <w:rFonts w:ascii="Times New Roman" w:eastAsia="Times New Roman" w:hAnsi="Times New Roman" w:cs="Times New Roman"/>
          <w:color w:val="C00000"/>
        </w:rPr>
      </w:pPr>
      <w:r w:rsidRPr="00125A6B">
        <w:rPr>
          <w:rFonts w:ascii="Times New Roman" w:eastAsia="Times New Roman" w:hAnsi="Times New Roman" w:cs="Times New Roman"/>
          <w:b/>
          <w:bCs/>
        </w:rPr>
        <w:t xml:space="preserve">Can EHVs be utilized for individuals and families identified for the “Moving-On” Strategy? </w:t>
      </w:r>
    </w:p>
    <w:p w14:paraId="7E87E77D" w14:textId="77777777" w:rsidR="004F5C56" w:rsidRPr="00125A6B" w:rsidRDefault="004F5C56" w:rsidP="62309BE1">
      <w:pPr>
        <w:pStyle w:val="ListParagraph"/>
        <w:tabs>
          <w:tab w:val="left" w:pos="360"/>
        </w:tabs>
        <w:spacing w:line="251" w:lineRule="auto"/>
        <w:rPr>
          <w:rFonts w:ascii="Times New Roman" w:eastAsia="Times New Roman" w:hAnsi="Times New Roman" w:cs="Times New Roman"/>
        </w:rPr>
      </w:pPr>
    </w:p>
    <w:p w14:paraId="7E20206B" w14:textId="1F579A67" w:rsidR="005B6F6A" w:rsidRPr="00125A6B" w:rsidRDefault="005B6F6A" w:rsidP="62309BE1">
      <w:pPr>
        <w:pStyle w:val="ListParagraph"/>
        <w:spacing w:line="251" w:lineRule="auto"/>
        <w:rPr>
          <w:rStyle w:val="Hyperlink"/>
          <w:rFonts w:ascii="Times New Roman" w:eastAsia="Times New Roman" w:hAnsi="Times New Roman" w:cs="Times New Roman"/>
        </w:rPr>
      </w:pPr>
      <w:r w:rsidRPr="00125A6B">
        <w:rPr>
          <w:rFonts w:ascii="Times New Roman" w:eastAsia="Times New Roman" w:hAnsi="Times New Roman" w:cs="Times New Roman"/>
        </w:rPr>
        <w:lastRenderedPageBreak/>
        <w:t xml:space="preserve">Yes. Individuals and families identified for a Moving On strategy who currently reside in Permanent Supportive Housing (PSH) and were homeless at the time of admission to that program are eligible under Category 4 of the eligible populations for EHV as individuals or families who </w:t>
      </w:r>
      <w:r w:rsidR="000C0249" w:rsidRPr="00125A6B">
        <w:rPr>
          <w:rFonts w:ascii="Times New Roman" w:eastAsia="Times New Roman" w:hAnsi="Times New Roman" w:cs="Times New Roman"/>
        </w:rPr>
        <w:t xml:space="preserve">were </w:t>
      </w:r>
      <w:r w:rsidRPr="00125A6B">
        <w:rPr>
          <w:rFonts w:ascii="Times New Roman" w:eastAsia="Times New Roman" w:hAnsi="Times New Roman" w:cs="Times New Roman"/>
        </w:rPr>
        <w:t xml:space="preserve">recently homeless.  HUD has made available resources to help communities with their Moving On strategies at the following webpage: </w:t>
      </w:r>
      <w:hyperlink r:id="rId80">
        <w:r w:rsidRPr="00125A6B">
          <w:rPr>
            <w:rStyle w:val="Hyperlink"/>
            <w:rFonts w:ascii="Times New Roman" w:eastAsia="Times New Roman" w:hAnsi="Times New Roman" w:cs="Times New Roman"/>
          </w:rPr>
          <w:t>https://www.hudexchange.info/programs/coc/moving-on/</w:t>
        </w:r>
      </w:hyperlink>
    </w:p>
    <w:p w14:paraId="17399778" w14:textId="17749F80" w:rsidR="00621429" w:rsidRPr="00125A6B" w:rsidRDefault="00621429" w:rsidP="62309BE1">
      <w:pPr>
        <w:pStyle w:val="ListParagraph"/>
        <w:spacing w:line="251" w:lineRule="auto"/>
        <w:rPr>
          <w:rStyle w:val="Hyperlink"/>
          <w:rFonts w:ascii="Times New Roman" w:eastAsia="Times New Roman" w:hAnsi="Times New Roman" w:cs="Times New Roman"/>
        </w:rPr>
      </w:pPr>
    </w:p>
    <w:p w14:paraId="4F9FCA5B" w14:textId="6163641B" w:rsidR="00621429" w:rsidRPr="00125A6B" w:rsidRDefault="00621429" w:rsidP="62309BE1">
      <w:pPr>
        <w:pStyle w:val="ListParagraph"/>
        <w:spacing w:line="251" w:lineRule="auto"/>
        <w:rPr>
          <w:rFonts w:ascii="Times New Roman" w:eastAsia="Times New Roman" w:hAnsi="Times New Roman" w:cs="Times New Roman"/>
        </w:rPr>
      </w:pPr>
      <w:r w:rsidRPr="00125A6B">
        <w:rPr>
          <w:rFonts w:ascii="Times New Roman" w:eastAsia="Times New Roman" w:hAnsi="Times New Roman" w:cs="Times New Roman"/>
        </w:rPr>
        <w:t xml:space="preserve">Additional populations identified as recently homeless may qualify for EHVs as well, including but not limited to those exiting Rapid Rehousing and transitional housing programs.  All referrals must be referred through the </w:t>
      </w:r>
      <w:proofErr w:type="spellStart"/>
      <w:r w:rsidRPr="00125A6B">
        <w:rPr>
          <w:rFonts w:ascii="Times New Roman" w:eastAsia="Times New Roman" w:hAnsi="Times New Roman" w:cs="Times New Roman"/>
        </w:rPr>
        <w:t>CoC</w:t>
      </w:r>
      <w:proofErr w:type="spellEnd"/>
      <w:r w:rsidRPr="00125A6B">
        <w:rPr>
          <w:rFonts w:ascii="Times New Roman" w:eastAsia="Times New Roman" w:hAnsi="Times New Roman" w:cs="Times New Roman"/>
        </w:rPr>
        <w:t xml:space="preserve"> or Victim Service </w:t>
      </w:r>
      <w:r w:rsidR="00784D20" w:rsidRPr="00125A6B">
        <w:rPr>
          <w:rFonts w:ascii="Times New Roman" w:eastAsia="Times New Roman" w:hAnsi="Times New Roman" w:cs="Times New Roman"/>
        </w:rPr>
        <w:t>P</w:t>
      </w:r>
      <w:r w:rsidRPr="00125A6B">
        <w:rPr>
          <w:rFonts w:ascii="Times New Roman" w:eastAsia="Times New Roman" w:hAnsi="Times New Roman" w:cs="Times New Roman"/>
        </w:rPr>
        <w:t>rovider and all applicants must meet the statutory requirements under the ARP.</w:t>
      </w:r>
    </w:p>
    <w:p w14:paraId="31889A04" w14:textId="7ECB12DE" w:rsidR="005B6F6A" w:rsidRPr="00125A6B" w:rsidRDefault="00621429" w:rsidP="62309BE1">
      <w:pPr>
        <w:pStyle w:val="ListParagraph"/>
        <w:spacing w:line="251" w:lineRule="auto"/>
        <w:rPr>
          <w:rStyle w:val="Hyperlink"/>
          <w:rFonts w:ascii="Times New Roman" w:eastAsia="Times New Roman" w:hAnsi="Times New Roman" w:cs="Times New Roman"/>
        </w:rPr>
      </w:pPr>
      <w:r w:rsidRPr="00125A6B">
        <w:rPr>
          <w:rStyle w:val="Hyperlink"/>
          <w:rFonts w:ascii="Times New Roman" w:eastAsia="Times New Roman" w:hAnsi="Times New Roman" w:cs="Times New Roman"/>
        </w:rPr>
        <w:t xml:space="preserve">  </w:t>
      </w:r>
    </w:p>
    <w:p w14:paraId="608949B8" w14:textId="50A0A3A2" w:rsidR="005B6F6A" w:rsidRPr="00125A6B" w:rsidRDefault="440AE88C" w:rsidP="00CB7838">
      <w:pPr>
        <w:pStyle w:val="ListParagraph"/>
        <w:numPr>
          <w:ilvl w:val="0"/>
          <w:numId w:val="30"/>
        </w:numPr>
        <w:tabs>
          <w:tab w:val="left" w:pos="360"/>
        </w:tabs>
        <w:spacing w:line="251" w:lineRule="auto"/>
        <w:rPr>
          <w:rFonts w:ascii="Times New Roman" w:eastAsia="Times New Roman" w:hAnsi="Times New Roman" w:cs="Times New Roman"/>
          <w:b/>
          <w:bCs/>
        </w:rPr>
      </w:pPr>
      <w:r w:rsidRPr="00125A6B">
        <w:rPr>
          <w:rFonts w:ascii="Times New Roman" w:eastAsia="Times New Roman" w:hAnsi="Times New Roman" w:cs="Times New Roman"/>
          <w:b/>
          <w:bCs/>
        </w:rPr>
        <w:t xml:space="preserve">Do Emergency Housing Vouchers come with supportive services?  </w:t>
      </w:r>
    </w:p>
    <w:p w14:paraId="0DDDEF83" w14:textId="089C3510" w:rsidR="005B6F6A" w:rsidRPr="00125A6B" w:rsidRDefault="005B6F6A" w:rsidP="62309BE1">
      <w:pPr>
        <w:tabs>
          <w:tab w:val="left" w:pos="810"/>
        </w:tabs>
        <w:spacing w:after="0"/>
        <w:ind w:left="720"/>
        <w:rPr>
          <w:rFonts w:ascii="Times New Roman" w:eastAsia="Times New Roman" w:hAnsi="Times New Roman" w:cs="Times New Roman"/>
        </w:rPr>
      </w:pPr>
      <w:r w:rsidRPr="00125A6B">
        <w:rPr>
          <w:rFonts w:ascii="Times New Roman" w:eastAsia="Times New Roman" w:hAnsi="Times New Roman" w:cs="Times New Roman"/>
        </w:rPr>
        <w:t xml:space="preserve">EHVs do not come with ongoing supportive services.  Communities are encouraged to work </w:t>
      </w:r>
      <w:r w:rsidR="007C4204" w:rsidRPr="00125A6B">
        <w:rPr>
          <w:rFonts w:ascii="Times New Roman" w:eastAsia="Times New Roman" w:hAnsi="Times New Roman" w:cs="Times New Roman"/>
        </w:rPr>
        <w:t>with local</w:t>
      </w:r>
      <w:r w:rsidRPr="00125A6B">
        <w:rPr>
          <w:rFonts w:ascii="Times New Roman" w:eastAsia="Times New Roman" w:hAnsi="Times New Roman" w:cs="Times New Roman"/>
        </w:rPr>
        <w:t xml:space="preserve"> stakeholders that have a vested interest in supporting services for vulnerable populations.  HUD will be providing technical assistance to communities to aide in the design and implementation of EHVs including service delivery resources that may be paired with EHVs to ensure housing stability.</w:t>
      </w:r>
    </w:p>
    <w:p w14:paraId="163A3C00" w14:textId="77777777" w:rsidR="005B6F6A" w:rsidRPr="00125A6B" w:rsidRDefault="005B6F6A" w:rsidP="62309BE1">
      <w:pPr>
        <w:tabs>
          <w:tab w:val="left" w:pos="810"/>
        </w:tabs>
        <w:spacing w:after="0"/>
        <w:ind w:left="360" w:firstLine="360"/>
        <w:rPr>
          <w:rFonts w:ascii="Times New Roman" w:eastAsia="Times New Roman" w:hAnsi="Times New Roman" w:cs="Times New Roman"/>
        </w:rPr>
      </w:pPr>
    </w:p>
    <w:p w14:paraId="531C8372" w14:textId="2A3A5152" w:rsidR="005B6F6A" w:rsidRPr="00125A6B" w:rsidRDefault="005B6F6A" w:rsidP="62309BE1">
      <w:pPr>
        <w:tabs>
          <w:tab w:val="left" w:pos="810"/>
        </w:tabs>
        <w:spacing w:after="0"/>
        <w:ind w:left="720"/>
        <w:rPr>
          <w:rFonts w:ascii="Times New Roman" w:eastAsia="Times New Roman" w:hAnsi="Times New Roman" w:cs="Times New Roman"/>
        </w:rPr>
      </w:pPr>
      <w:r w:rsidRPr="00125A6B">
        <w:rPr>
          <w:rFonts w:ascii="Times New Roman" w:eastAsia="Times New Roman" w:hAnsi="Times New Roman" w:cs="Times New Roman"/>
        </w:rPr>
        <w:t xml:space="preserve">As HUD-VASH has shown, some people are more successful with wrap-around services. While EHVs do not come with the “automatic” services that HUD-VASH provides, HUD encourages communities to </w:t>
      </w:r>
      <w:r w:rsidR="001E54EF" w:rsidRPr="00125A6B">
        <w:rPr>
          <w:rFonts w:ascii="Times New Roman" w:eastAsia="Times New Roman" w:hAnsi="Times New Roman" w:cs="Times New Roman"/>
        </w:rPr>
        <w:t xml:space="preserve"> leverage existing relationships with </w:t>
      </w:r>
      <w:r w:rsidRPr="00125A6B">
        <w:rPr>
          <w:rFonts w:ascii="Times New Roman" w:eastAsia="Times New Roman" w:hAnsi="Times New Roman" w:cs="Times New Roman"/>
        </w:rPr>
        <w:t>partner</w:t>
      </w:r>
      <w:r w:rsidR="001E54EF" w:rsidRPr="00125A6B">
        <w:rPr>
          <w:rFonts w:ascii="Times New Roman" w:eastAsia="Times New Roman" w:hAnsi="Times New Roman" w:cs="Times New Roman"/>
        </w:rPr>
        <w:t>ing</w:t>
      </w:r>
      <w:r w:rsidRPr="00125A6B">
        <w:rPr>
          <w:rFonts w:ascii="Times New Roman" w:eastAsia="Times New Roman" w:hAnsi="Times New Roman" w:cs="Times New Roman"/>
        </w:rPr>
        <w:t xml:space="preserve"> health and behavioral health agencies like community health centers,</w:t>
      </w:r>
      <w:r w:rsidR="10B83129" w:rsidRPr="00125A6B">
        <w:rPr>
          <w:rFonts w:ascii="Times New Roman" w:eastAsia="Times New Roman" w:hAnsi="Times New Roman" w:cs="Times New Roman"/>
        </w:rPr>
        <w:t xml:space="preserve"> </w:t>
      </w:r>
      <w:r w:rsidRPr="00125A6B">
        <w:rPr>
          <w:rFonts w:ascii="Times New Roman" w:eastAsia="Times New Roman" w:hAnsi="Times New Roman" w:cs="Times New Roman"/>
        </w:rPr>
        <w:t>state and county behavioral health agencies, and state Medicaid agencies and managed care to explore funding opportunities and provide housing search/navigation and also ongoing tenancy and wrap-around supportive services for those that may benefit from such services to maintain housing stability. </w:t>
      </w:r>
    </w:p>
    <w:p w14:paraId="07EB9624" w14:textId="77777777" w:rsidR="005B6F6A" w:rsidRPr="00125A6B" w:rsidRDefault="005B6F6A" w:rsidP="62309BE1">
      <w:pPr>
        <w:tabs>
          <w:tab w:val="left" w:pos="810"/>
        </w:tabs>
        <w:spacing w:after="0"/>
        <w:ind w:left="720"/>
        <w:rPr>
          <w:rFonts w:ascii="Times New Roman" w:eastAsia="Times New Roman" w:hAnsi="Times New Roman" w:cs="Times New Roman"/>
        </w:rPr>
      </w:pPr>
    </w:p>
    <w:p w14:paraId="73EBA1DD" w14:textId="77777777"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 xml:space="preserve">Who is responsible for helping EHV recipients locate housing? </w:t>
      </w:r>
    </w:p>
    <w:p w14:paraId="31ADA3BB" w14:textId="77777777" w:rsidR="005B6F6A" w:rsidRPr="00125A6B" w:rsidRDefault="005B6F6A" w:rsidP="62309BE1">
      <w:pPr>
        <w:pStyle w:val="ListParagraph"/>
        <w:tabs>
          <w:tab w:val="left" w:pos="810"/>
        </w:tabs>
        <w:spacing w:after="0"/>
        <w:rPr>
          <w:rFonts w:ascii="Times New Roman" w:eastAsia="Times New Roman" w:hAnsi="Times New Roman" w:cs="Times New Roman"/>
        </w:rPr>
      </w:pPr>
    </w:p>
    <w:p w14:paraId="6D6F0DEE" w14:textId="77777777" w:rsidR="005B6F6A" w:rsidRPr="00125A6B" w:rsidRDefault="005B6F6A" w:rsidP="62309BE1">
      <w:pPr>
        <w:tabs>
          <w:tab w:val="left" w:pos="810"/>
        </w:tabs>
        <w:spacing w:after="0"/>
        <w:ind w:left="720"/>
        <w:rPr>
          <w:rFonts w:ascii="Times New Roman" w:eastAsia="Times New Roman" w:hAnsi="Times New Roman" w:cs="Times New Roman"/>
        </w:rPr>
      </w:pPr>
      <w:r w:rsidRPr="00125A6B">
        <w:rPr>
          <w:rFonts w:ascii="Times New Roman" w:eastAsia="Times New Roman" w:hAnsi="Times New Roman" w:cs="Times New Roman"/>
        </w:rPr>
        <w:t xml:space="preserve">PHAs are required to ensure housing search assistance is made available to EHV families during their initial housing search.  The PHA may use the services fee funding to provide this required housing search assistance to eligible EHV households.   Housing search assistance can be provided by the PHA, the </w:t>
      </w:r>
      <w:proofErr w:type="spellStart"/>
      <w:r w:rsidRPr="00125A6B">
        <w:rPr>
          <w:rFonts w:ascii="Times New Roman" w:eastAsia="Times New Roman" w:hAnsi="Times New Roman" w:cs="Times New Roman"/>
        </w:rPr>
        <w:t>CoC</w:t>
      </w:r>
      <w:proofErr w:type="spellEnd"/>
      <w:r w:rsidRPr="00125A6B">
        <w:rPr>
          <w:rFonts w:ascii="Times New Roman" w:eastAsia="Times New Roman" w:hAnsi="Times New Roman" w:cs="Times New Roman"/>
        </w:rPr>
        <w:t xml:space="preserve"> or other entities, with these responsibilities outlined in the MOU.</w:t>
      </w:r>
    </w:p>
    <w:p w14:paraId="58764ADC" w14:textId="77777777" w:rsidR="005B6F6A" w:rsidRPr="00125A6B" w:rsidRDefault="005B6F6A" w:rsidP="62309BE1">
      <w:pPr>
        <w:tabs>
          <w:tab w:val="left" w:pos="810"/>
        </w:tabs>
        <w:spacing w:after="0"/>
        <w:ind w:left="720"/>
        <w:rPr>
          <w:rFonts w:ascii="Times New Roman" w:eastAsia="Times New Roman" w:hAnsi="Times New Roman" w:cs="Times New Roman"/>
        </w:rPr>
      </w:pPr>
      <w:r w:rsidRPr="00125A6B">
        <w:rPr>
          <w:rFonts w:ascii="Times New Roman" w:eastAsia="Times New Roman" w:hAnsi="Times New Roman" w:cs="Times New Roman"/>
        </w:rPr>
        <w:t xml:space="preserve">PHAs are encouraged to leverage housing location services offered by the </w:t>
      </w:r>
      <w:proofErr w:type="spellStart"/>
      <w:r w:rsidRPr="00125A6B">
        <w:rPr>
          <w:rFonts w:ascii="Times New Roman" w:eastAsia="Times New Roman" w:hAnsi="Times New Roman" w:cs="Times New Roman"/>
        </w:rPr>
        <w:t>CoC</w:t>
      </w:r>
      <w:proofErr w:type="spellEnd"/>
      <w:r w:rsidRPr="00125A6B">
        <w:rPr>
          <w:rFonts w:ascii="Times New Roman" w:eastAsia="Times New Roman" w:hAnsi="Times New Roman" w:cs="Times New Roman"/>
        </w:rPr>
        <w:t xml:space="preserve"> and VSPs. Housing Locators affiliated with </w:t>
      </w:r>
      <w:proofErr w:type="spellStart"/>
      <w:r w:rsidRPr="00125A6B">
        <w:rPr>
          <w:rFonts w:ascii="Times New Roman" w:eastAsia="Times New Roman" w:hAnsi="Times New Roman" w:cs="Times New Roman"/>
        </w:rPr>
        <w:t>CoCs</w:t>
      </w:r>
      <w:proofErr w:type="spellEnd"/>
      <w:r w:rsidRPr="00125A6B">
        <w:rPr>
          <w:rFonts w:ascii="Times New Roman" w:eastAsia="Times New Roman" w:hAnsi="Times New Roman" w:cs="Times New Roman"/>
        </w:rPr>
        <w:t xml:space="preserve"> and VSPs are often skilled negotiators and have existing relationships with landlords, which can provide opportunities for households with higher barriers to housing. </w:t>
      </w:r>
    </w:p>
    <w:p w14:paraId="4D22CD3C" w14:textId="5A66F4D0" w:rsidR="005B6F6A" w:rsidRPr="00125A6B" w:rsidRDefault="005B6F6A" w:rsidP="62309BE1">
      <w:pPr>
        <w:tabs>
          <w:tab w:val="left" w:pos="360"/>
        </w:tabs>
        <w:spacing w:after="0"/>
        <w:ind w:left="360"/>
        <w:rPr>
          <w:rFonts w:ascii="Times New Roman" w:eastAsia="Times New Roman" w:hAnsi="Times New Roman" w:cs="Times New Roman"/>
        </w:rPr>
      </w:pPr>
    </w:p>
    <w:p w14:paraId="4B28658A" w14:textId="77777777"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 xml:space="preserve">Can EHVs be utilized for project-based voucher (PBV) units? </w:t>
      </w:r>
    </w:p>
    <w:p w14:paraId="67CC4ACD" w14:textId="77777777" w:rsidR="005B6F6A" w:rsidRPr="00125A6B" w:rsidRDefault="005B6F6A" w:rsidP="62309BE1">
      <w:pPr>
        <w:pStyle w:val="ListParagraph"/>
        <w:tabs>
          <w:tab w:val="left" w:pos="810"/>
        </w:tabs>
        <w:spacing w:after="0"/>
        <w:rPr>
          <w:rFonts w:ascii="Times New Roman" w:eastAsia="Times New Roman" w:hAnsi="Times New Roman" w:cs="Times New Roman"/>
          <w:b/>
          <w:bCs/>
        </w:rPr>
      </w:pPr>
    </w:p>
    <w:p w14:paraId="235E9B5A" w14:textId="4F71ABCD" w:rsidR="005B6F6A" w:rsidRPr="00125A6B" w:rsidRDefault="005B6F6A" w:rsidP="62309BE1">
      <w:pPr>
        <w:tabs>
          <w:tab w:val="left" w:pos="810"/>
        </w:tabs>
        <w:spacing w:after="0"/>
        <w:ind w:left="720"/>
        <w:rPr>
          <w:rFonts w:ascii="Times New Roman" w:eastAsia="Times New Roman" w:hAnsi="Times New Roman" w:cs="Times New Roman"/>
        </w:rPr>
      </w:pPr>
      <w:r w:rsidRPr="00125A6B">
        <w:rPr>
          <w:rFonts w:ascii="Times New Roman" w:eastAsia="Times New Roman" w:hAnsi="Times New Roman" w:cs="Times New Roman"/>
        </w:rPr>
        <w:t xml:space="preserve">No. PHAs may not project-base EHV but must administer these vouchers exclusively as tenant-based assistance. Section 4102(b)(1) of the American Rescue Plan Act provides that the EHVs "shall be tenant-based assistance under Section 8(o) of the United States Housing Act of 1937."  In addition to the requirement that EHVs must be tenant-based voucher assistance, several provisions of Section 4102 are not compatible with project-based voucher assistance.  In particular, the requirement with respect to the termination of vouchers upon turnover is clearly </w:t>
      </w:r>
      <w:r w:rsidRPr="00125A6B">
        <w:rPr>
          <w:rFonts w:ascii="Times New Roman" w:eastAsia="Times New Roman" w:hAnsi="Times New Roman" w:cs="Times New Roman"/>
        </w:rPr>
        <w:lastRenderedPageBreak/>
        <w:t xml:space="preserve">compatible with tenant-based voucher assistance, but it is not compatible with multi-year PBV contracts where assistance is tied to the project.  </w:t>
      </w:r>
    </w:p>
    <w:p w14:paraId="7F7A8F5A" w14:textId="77777777" w:rsidR="005B6F6A" w:rsidRPr="00125A6B" w:rsidRDefault="005B6F6A" w:rsidP="62309BE1">
      <w:pPr>
        <w:spacing w:after="0" w:line="240" w:lineRule="auto"/>
        <w:ind w:firstLine="720"/>
        <w:rPr>
          <w:rFonts w:ascii="Times New Roman" w:eastAsia="Times New Roman" w:hAnsi="Times New Roman" w:cs="Times New Roman"/>
        </w:rPr>
      </w:pPr>
    </w:p>
    <w:p w14:paraId="1BDA70B9" w14:textId="211EA85A"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 xml:space="preserve">If a PHA has not obtained eligibility documentation from the </w:t>
      </w:r>
      <w:proofErr w:type="spellStart"/>
      <w:r w:rsidRPr="00125A6B">
        <w:rPr>
          <w:rFonts w:ascii="Times New Roman" w:eastAsia="Times New Roman" w:hAnsi="Times New Roman" w:cs="Times New Roman"/>
          <w:b/>
          <w:bCs/>
        </w:rPr>
        <w:t>CoC</w:t>
      </w:r>
      <w:proofErr w:type="spellEnd"/>
      <w:r w:rsidRPr="00125A6B">
        <w:rPr>
          <w:rFonts w:ascii="Times New Roman" w:eastAsia="Times New Roman" w:hAnsi="Times New Roman" w:cs="Times New Roman"/>
          <w:b/>
          <w:bCs/>
        </w:rPr>
        <w:t xml:space="preserve">, can the PHA issue a voucher? </w:t>
      </w:r>
    </w:p>
    <w:p w14:paraId="26233AF5" w14:textId="77777777" w:rsidR="005B6F6A" w:rsidRPr="00125A6B" w:rsidRDefault="005B6F6A" w:rsidP="62309BE1">
      <w:pPr>
        <w:pStyle w:val="ListParagraph"/>
        <w:spacing w:after="0" w:line="240" w:lineRule="auto"/>
        <w:rPr>
          <w:rFonts w:ascii="Times New Roman" w:eastAsia="Times New Roman" w:hAnsi="Times New Roman" w:cs="Times New Roman"/>
          <w:b/>
          <w:bCs/>
        </w:rPr>
      </w:pPr>
    </w:p>
    <w:p w14:paraId="30998300" w14:textId="77777777" w:rsidR="005B6F6A" w:rsidRPr="00125A6B" w:rsidRDefault="005B6F6A" w:rsidP="62309BE1">
      <w:pPr>
        <w:pStyle w:val="ListParagraph"/>
        <w:spacing w:line="251" w:lineRule="auto"/>
        <w:rPr>
          <w:rFonts w:ascii="Times New Roman" w:eastAsia="Times New Roman" w:hAnsi="Times New Roman" w:cs="Times New Roman"/>
        </w:rPr>
      </w:pPr>
      <w:r w:rsidRPr="00125A6B">
        <w:rPr>
          <w:rFonts w:ascii="Times New Roman" w:eastAsia="Times New Roman" w:hAnsi="Times New Roman" w:cs="Times New Roman"/>
        </w:rPr>
        <w:t xml:space="preserve">Yes. If the </w:t>
      </w:r>
      <w:proofErr w:type="spellStart"/>
      <w:r w:rsidRPr="00125A6B">
        <w:rPr>
          <w:rFonts w:ascii="Times New Roman" w:eastAsia="Times New Roman" w:hAnsi="Times New Roman" w:cs="Times New Roman"/>
        </w:rPr>
        <w:t>CoC</w:t>
      </w:r>
      <w:proofErr w:type="spellEnd"/>
      <w:r w:rsidRPr="00125A6B">
        <w:rPr>
          <w:rFonts w:ascii="Times New Roman" w:eastAsia="Times New Roman" w:hAnsi="Times New Roman" w:cs="Times New Roman"/>
        </w:rPr>
        <w:t xml:space="preserve"> determines that a family qualifies for an EHV, then the PHA may accept self       -certifications in accordance with the waiver described in Sections 9.h, 9.i of </w:t>
      </w:r>
      <w:hyperlink r:id="rId81" w:history="1">
        <w:r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rPr>
        <w:t xml:space="preserve">. </w:t>
      </w:r>
    </w:p>
    <w:p w14:paraId="22989BDD" w14:textId="53A038AA" w:rsidR="00D8735B" w:rsidRPr="00125A6B" w:rsidRDefault="00D8735B" w:rsidP="62309BE1">
      <w:pPr>
        <w:pStyle w:val="ListParagraph"/>
        <w:rPr>
          <w:rFonts w:ascii="Times New Roman" w:eastAsia="Times New Roman" w:hAnsi="Times New Roman" w:cs="Times New Roman"/>
          <w:b/>
          <w:bCs/>
        </w:rPr>
      </w:pPr>
    </w:p>
    <w:p w14:paraId="44AAA142" w14:textId="77777777" w:rsidR="00D8735B" w:rsidRPr="00125A6B" w:rsidRDefault="00D8735B" w:rsidP="62309BE1">
      <w:pPr>
        <w:pStyle w:val="ListParagraph"/>
        <w:rPr>
          <w:rFonts w:ascii="Times New Roman" w:eastAsia="Times New Roman" w:hAnsi="Times New Roman" w:cs="Times New Roman"/>
          <w:b/>
          <w:bCs/>
        </w:rPr>
      </w:pPr>
    </w:p>
    <w:p w14:paraId="0FF114F0" w14:textId="77777777"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Can a PHA contract with another PHA to administer their EHV allocation?</w:t>
      </w:r>
    </w:p>
    <w:p w14:paraId="167EE121" w14:textId="1051D634" w:rsidR="0131650B" w:rsidRPr="00125A6B" w:rsidRDefault="0131650B" w:rsidP="62309BE1">
      <w:pPr>
        <w:pStyle w:val="ListParagraph"/>
        <w:spacing w:after="0" w:line="251" w:lineRule="auto"/>
        <w:rPr>
          <w:rFonts w:ascii="Times New Roman" w:eastAsia="Times New Roman" w:hAnsi="Times New Roman" w:cs="Times New Roman"/>
        </w:rPr>
      </w:pPr>
    </w:p>
    <w:p w14:paraId="043943BD" w14:textId="328D463C" w:rsidR="005B6F6A" w:rsidRPr="00125A6B" w:rsidRDefault="005B6F6A" w:rsidP="62309BE1">
      <w:pPr>
        <w:pStyle w:val="ListParagraph"/>
        <w:spacing w:after="0" w:line="251" w:lineRule="auto"/>
        <w:rPr>
          <w:rFonts w:ascii="Times New Roman" w:eastAsia="Times New Roman" w:hAnsi="Times New Roman" w:cs="Times New Roman"/>
        </w:rPr>
      </w:pPr>
      <w:r w:rsidRPr="00125A6B">
        <w:rPr>
          <w:rFonts w:ascii="Times New Roman" w:eastAsia="Times New Roman" w:hAnsi="Times New Roman" w:cs="Times New Roman"/>
        </w:rPr>
        <w:t xml:space="preserve">In general, yes. A </w:t>
      </w:r>
      <w:bookmarkStart w:id="12" w:name="_Hlk80273464"/>
      <w:r w:rsidRPr="00125A6B">
        <w:rPr>
          <w:rFonts w:ascii="Times New Roman" w:eastAsia="Times New Roman" w:hAnsi="Times New Roman" w:cs="Times New Roman"/>
        </w:rPr>
        <w:t xml:space="preserve">PHA may enter into an arrangement with another entity (including another PHA) to perform specific PHA administrative responsibilities with respect </w:t>
      </w:r>
      <w:r w:rsidR="00DA321E" w:rsidRPr="00125A6B">
        <w:rPr>
          <w:rFonts w:ascii="Times New Roman" w:eastAsia="Times New Roman" w:hAnsi="Times New Roman" w:cs="Times New Roman"/>
        </w:rPr>
        <w:t>to</w:t>
      </w:r>
      <w:r w:rsidRPr="00125A6B">
        <w:rPr>
          <w:rFonts w:ascii="Times New Roman" w:eastAsia="Times New Roman" w:hAnsi="Times New Roman" w:cs="Times New Roman"/>
        </w:rPr>
        <w:t xml:space="preserve"> EHVs on behalf of the PHA. However, in such a circumstance</w:t>
      </w:r>
      <w:r w:rsidR="00DA321E" w:rsidRPr="00125A6B">
        <w:rPr>
          <w:rFonts w:ascii="Times New Roman" w:eastAsia="Times New Roman" w:hAnsi="Times New Roman" w:cs="Times New Roman"/>
        </w:rPr>
        <w:t>,</w:t>
      </w:r>
      <w:r w:rsidRPr="00125A6B">
        <w:rPr>
          <w:rFonts w:ascii="Times New Roman" w:eastAsia="Times New Roman" w:hAnsi="Times New Roman" w:cs="Times New Roman"/>
        </w:rPr>
        <w:t xml:space="preserve"> the entity is acting on behalf of the PHA, not as another independent PHA. The PHA to which HUD allocated the EHVs and executed the ACC remains the PHA and is ultimately responsible for ensuring that its EHV program complies with all EHV and HCV requirements and all applicable PHA discretionary policies in accordance with its PHA administrative plan, regardless of whether some of the PHA functions are conducted on behalf of the PHA by a third party. If the third-party entity to which the PHA contracted some of its EHV administrative responsibilities is a PHA that also administers its own EHV allocation, that entity must maintain a clear separation between the administration of its own EHV allocation and any administrative functions it is performing on behalf of another PHA.</w:t>
      </w:r>
      <w:bookmarkEnd w:id="12"/>
    </w:p>
    <w:p w14:paraId="23E86DB2" w14:textId="2CD755A2" w:rsidR="005B6F6A" w:rsidRPr="00125A6B" w:rsidRDefault="005B6F6A" w:rsidP="62309BE1">
      <w:pPr>
        <w:spacing w:after="0" w:line="251" w:lineRule="auto"/>
        <w:rPr>
          <w:rFonts w:ascii="Times New Roman" w:eastAsia="Yu Mincho" w:hAnsi="Times New Roman" w:cs="Times New Roman"/>
        </w:rPr>
      </w:pPr>
    </w:p>
    <w:p w14:paraId="26C51CCF" w14:textId="77777777"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Are EHVs time-limited for the family?</w:t>
      </w:r>
    </w:p>
    <w:p w14:paraId="72EEEE30" w14:textId="77777777" w:rsidR="005B6F6A" w:rsidRPr="00125A6B" w:rsidRDefault="005B6F6A" w:rsidP="62309BE1">
      <w:pPr>
        <w:pStyle w:val="ListParagraph"/>
        <w:tabs>
          <w:tab w:val="left" w:pos="810"/>
        </w:tabs>
        <w:spacing w:after="0"/>
        <w:rPr>
          <w:rFonts w:ascii="Times New Roman" w:eastAsia="Times New Roman" w:hAnsi="Times New Roman" w:cs="Times New Roman"/>
          <w:b/>
          <w:bCs/>
        </w:rPr>
      </w:pPr>
    </w:p>
    <w:p w14:paraId="5334A218" w14:textId="36623037" w:rsidR="005B6F6A" w:rsidRPr="00125A6B" w:rsidRDefault="005B6F6A" w:rsidP="62309BE1">
      <w:pPr>
        <w:spacing w:line="257" w:lineRule="auto"/>
        <w:ind w:left="720" w:hanging="360"/>
        <w:rPr>
          <w:rFonts w:ascii="Times New Roman" w:hAnsi="Times New Roman" w:cs="Times New Roman"/>
        </w:rPr>
      </w:pPr>
      <w:r w:rsidRPr="00125A6B">
        <w:rPr>
          <w:rFonts w:ascii="Times New Roman" w:eastAsia="Times New Roman" w:hAnsi="Times New Roman" w:cs="Times New Roman"/>
        </w:rPr>
        <w:t xml:space="preserve">      No. However, EHVs cannot be reissued after September </w:t>
      </w:r>
      <w:r w:rsidR="0074119D">
        <w:rPr>
          <w:rFonts w:ascii="Times New Roman" w:eastAsia="Times New Roman" w:hAnsi="Times New Roman" w:cs="Times New Roman"/>
        </w:rPr>
        <w:t>30</w:t>
      </w:r>
      <w:r w:rsidRPr="00125A6B">
        <w:rPr>
          <w:rFonts w:ascii="Times New Roman" w:eastAsia="Times New Roman" w:hAnsi="Times New Roman" w:cs="Times New Roman"/>
        </w:rPr>
        <w:t>, 2023. After this date, PHAs cannot reissue vouchers that have turned over. This provision does not impact existing families and their continued assistance. The funds appropriated for the EHV program are available for obligation by HUD until September 30, 2030</w:t>
      </w:r>
      <w:r w:rsidRPr="00125A6B">
        <w:rPr>
          <w:rFonts w:ascii="Times New Roman" w:hAnsi="Times New Roman" w:cs="Times New Roman"/>
        </w:rPr>
        <w:t xml:space="preserve">. </w:t>
      </w:r>
    </w:p>
    <w:p w14:paraId="253B59E6" w14:textId="77777777"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Are the waivers HUD has made available for EHV automatically applied or does each PHA need to request the specific ones they want to utilize?</w:t>
      </w:r>
    </w:p>
    <w:p w14:paraId="6996BC03" w14:textId="11749233" w:rsidR="005B6F6A" w:rsidRPr="00125A6B" w:rsidRDefault="005B6F6A" w:rsidP="62309BE1">
      <w:pPr>
        <w:spacing w:after="0" w:line="257" w:lineRule="auto"/>
        <w:ind w:left="720" w:hanging="450"/>
        <w:rPr>
          <w:rFonts w:ascii="Times New Roman" w:eastAsia="Times New Roman" w:hAnsi="Times New Roman" w:cs="Times New Roman"/>
        </w:rPr>
      </w:pPr>
      <w:r w:rsidRPr="00125A6B">
        <w:rPr>
          <w:rFonts w:ascii="Times New Roman" w:eastAsia="Times New Roman" w:hAnsi="Times New Roman" w:cs="Times New Roman"/>
        </w:rPr>
        <w:t xml:space="preserve">       </w:t>
      </w:r>
    </w:p>
    <w:p w14:paraId="70F48499" w14:textId="70CC385F" w:rsidR="005B6F6A" w:rsidRPr="00125A6B" w:rsidRDefault="00EE7DB8" w:rsidP="62309BE1">
      <w:pPr>
        <w:spacing w:after="0" w:line="257" w:lineRule="auto"/>
        <w:ind w:left="720"/>
        <w:rPr>
          <w:rFonts w:ascii="Times New Roman" w:eastAsia="Times New Roman" w:hAnsi="Times New Roman" w:cs="Times New Roman"/>
        </w:rPr>
      </w:pPr>
      <w:hyperlink r:id="rId82" w:history="1">
        <w:r w:rsidR="005B6F6A" w:rsidRPr="00125A6B">
          <w:rPr>
            <w:rStyle w:val="Hyperlink"/>
            <w:rFonts w:ascii="Times New Roman" w:eastAsia="Times New Roman" w:hAnsi="Times New Roman" w:cs="Times New Roman"/>
          </w:rPr>
          <w:t>PIH Notice 2021-15</w:t>
        </w:r>
      </w:hyperlink>
      <w:r w:rsidR="005B6F6A" w:rsidRPr="00125A6B">
        <w:rPr>
          <w:rFonts w:ascii="Times New Roman" w:eastAsia="Times New Roman" w:hAnsi="Times New Roman" w:cs="Times New Roman"/>
        </w:rPr>
        <w:t xml:space="preserve"> provides waiver authority and alternative requirements to administer EHVs to all participating PHAs and communities. PHAs do not need to request HUD approval for these waivers. However, while some waivers and alternative requirements are at the discretion of the PHA, others are mandatory and required for EHV administration. With respect to those waivers that are discretionary, PHAs are highly encouraged to work with partners to select from a menu of waivers to aid eligible households to eliminate barriers to housing and ensure expedited leasing.</w:t>
      </w:r>
    </w:p>
    <w:p w14:paraId="382E908B" w14:textId="64CAE6FB" w:rsidR="0131650B" w:rsidRPr="00125A6B" w:rsidRDefault="0131650B" w:rsidP="62309BE1">
      <w:pPr>
        <w:spacing w:after="0" w:line="257" w:lineRule="auto"/>
        <w:ind w:left="720"/>
        <w:rPr>
          <w:rFonts w:ascii="Times New Roman" w:eastAsia="Yu Mincho" w:hAnsi="Times New Roman" w:cs="Times New Roman"/>
        </w:rPr>
      </w:pPr>
    </w:p>
    <w:p w14:paraId="6F8FDCB0" w14:textId="77777777"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 xml:space="preserve">Are there any restrictions on families who may owe debts to a PHA? </w:t>
      </w:r>
    </w:p>
    <w:p w14:paraId="7D12368F" w14:textId="77777777" w:rsidR="005B6F6A" w:rsidRPr="00125A6B" w:rsidRDefault="005B6F6A" w:rsidP="62309BE1">
      <w:pPr>
        <w:pStyle w:val="ListParagraph"/>
        <w:tabs>
          <w:tab w:val="left" w:pos="810"/>
        </w:tabs>
        <w:spacing w:after="0"/>
        <w:rPr>
          <w:rFonts w:ascii="Times New Roman" w:eastAsia="Times New Roman" w:hAnsi="Times New Roman" w:cs="Times New Roman"/>
          <w:b/>
          <w:bCs/>
        </w:rPr>
      </w:pPr>
    </w:p>
    <w:p w14:paraId="3EC3F812" w14:textId="77777777" w:rsidR="005B6F6A" w:rsidRPr="00125A6B" w:rsidRDefault="005B6F6A" w:rsidP="62309BE1">
      <w:pPr>
        <w:spacing w:line="251" w:lineRule="auto"/>
        <w:ind w:left="720"/>
        <w:rPr>
          <w:rFonts w:ascii="Times New Roman" w:eastAsia="Times New Roman" w:hAnsi="Times New Roman" w:cs="Times New Roman"/>
        </w:rPr>
      </w:pPr>
      <w:r w:rsidRPr="00125A6B">
        <w:rPr>
          <w:rFonts w:ascii="Times New Roman" w:eastAsia="Times New Roman" w:hAnsi="Times New Roman" w:cs="Times New Roman"/>
        </w:rPr>
        <w:t xml:space="preserve">No. As outlined in </w:t>
      </w:r>
      <w:hyperlink r:id="rId83" w:history="1">
        <w:r w:rsidRPr="00125A6B">
          <w:rPr>
            <w:rStyle w:val="Hyperlink"/>
            <w:rFonts w:ascii="Times New Roman" w:eastAsia="Times New Roman" w:hAnsi="Times New Roman" w:cs="Times New Roman"/>
          </w:rPr>
          <w:t>PIH Notice 2021-1</w:t>
        </w:r>
      </w:hyperlink>
      <w:r w:rsidRPr="00125A6B">
        <w:rPr>
          <w:rFonts w:ascii="Times New Roman" w:eastAsia="Times New Roman" w:hAnsi="Times New Roman" w:cs="Times New Roman"/>
        </w:rPr>
        <w:t xml:space="preserve">5, Section 9g., unlike regular HCV admissions, PHAs may not deny an EHV applicant admission regardless of whether: </w:t>
      </w:r>
    </w:p>
    <w:p w14:paraId="7F10A892" w14:textId="77777777" w:rsidR="005B6F6A" w:rsidRPr="00125A6B" w:rsidRDefault="005B6F6A" w:rsidP="00B86D98">
      <w:pPr>
        <w:pStyle w:val="ListParagraph"/>
        <w:numPr>
          <w:ilvl w:val="0"/>
          <w:numId w:val="2"/>
        </w:numPr>
        <w:spacing w:line="251" w:lineRule="auto"/>
        <w:ind w:left="1800"/>
        <w:rPr>
          <w:rFonts w:ascii="Times New Roman" w:eastAsia="Calibri" w:hAnsi="Times New Roman" w:cs="Times New Roman"/>
        </w:rPr>
      </w:pPr>
      <w:r w:rsidRPr="00125A6B">
        <w:rPr>
          <w:rFonts w:ascii="Times New Roman" w:eastAsia="Calibri" w:hAnsi="Times New Roman" w:cs="Times New Roman"/>
        </w:rPr>
        <w:lastRenderedPageBreak/>
        <w:t>Any member of the family has been evicted from federally assisted housing in the last five years or a PHA has ever terminated assistance under the program for any member of the family.</w:t>
      </w:r>
    </w:p>
    <w:p w14:paraId="3D1FE7AB" w14:textId="77777777" w:rsidR="005B6F6A" w:rsidRPr="00125A6B" w:rsidRDefault="005B6F6A" w:rsidP="00B86D98">
      <w:pPr>
        <w:pStyle w:val="ListParagraph"/>
        <w:numPr>
          <w:ilvl w:val="0"/>
          <w:numId w:val="2"/>
        </w:numPr>
        <w:spacing w:line="251" w:lineRule="auto"/>
        <w:ind w:left="1800"/>
        <w:rPr>
          <w:rFonts w:ascii="Times New Roman" w:eastAsia="Calibri" w:hAnsi="Times New Roman" w:cs="Times New Roman"/>
        </w:rPr>
      </w:pPr>
      <w:r w:rsidRPr="00125A6B">
        <w:rPr>
          <w:rFonts w:ascii="Times New Roman" w:eastAsia="Calibri" w:hAnsi="Times New Roman" w:cs="Times New Roman"/>
        </w:rPr>
        <w:t>The family currently owes rent or other amounts to the PHA or to another PHA in connection with Section 8 or public housing assistance under the 1937 Act.</w:t>
      </w:r>
    </w:p>
    <w:p w14:paraId="0C076411" w14:textId="77777777" w:rsidR="005B6F6A" w:rsidRPr="00125A6B" w:rsidRDefault="005B6F6A" w:rsidP="00B86D98">
      <w:pPr>
        <w:pStyle w:val="ListParagraph"/>
        <w:numPr>
          <w:ilvl w:val="0"/>
          <w:numId w:val="2"/>
        </w:numPr>
        <w:spacing w:line="251" w:lineRule="auto"/>
        <w:ind w:left="1800"/>
        <w:rPr>
          <w:rFonts w:ascii="Times New Roman" w:eastAsia="Calibri" w:hAnsi="Times New Roman" w:cs="Times New Roman"/>
        </w:rPr>
      </w:pPr>
      <w:r w:rsidRPr="00125A6B">
        <w:rPr>
          <w:rFonts w:ascii="Times New Roman" w:eastAsia="Calibri" w:hAnsi="Times New Roman" w:cs="Times New Roman"/>
        </w:rPr>
        <w:t>The family has not reimbursed any PHA for amounts paid to an owner under a HAP contract for rent, damages to the unit, or other amounts owed by the family under the lease.</w:t>
      </w:r>
    </w:p>
    <w:p w14:paraId="12968498" w14:textId="77777777" w:rsidR="005B6F6A" w:rsidRPr="00125A6B" w:rsidRDefault="005B6F6A" w:rsidP="00B86D98">
      <w:pPr>
        <w:pStyle w:val="ListParagraph"/>
        <w:numPr>
          <w:ilvl w:val="0"/>
          <w:numId w:val="2"/>
        </w:numPr>
        <w:spacing w:line="251" w:lineRule="auto"/>
        <w:ind w:left="1800"/>
        <w:rPr>
          <w:rFonts w:ascii="Times New Roman" w:eastAsia="Calibri" w:hAnsi="Times New Roman" w:cs="Times New Roman"/>
        </w:rPr>
      </w:pPr>
      <w:r w:rsidRPr="00125A6B">
        <w:rPr>
          <w:rFonts w:ascii="Times New Roman" w:eastAsia="Calibri" w:hAnsi="Times New Roman" w:cs="Times New Roman"/>
        </w:rPr>
        <w:t xml:space="preserve">The family breached an agreement with the PHA to pay amounts owed to a PHA or amounts paid to an owner by a PHA. </w:t>
      </w:r>
    </w:p>
    <w:p w14:paraId="7060A1F8" w14:textId="3D4CE995" w:rsidR="005B6F6A" w:rsidRPr="00125A6B" w:rsidRDefault="005B6F6A" w:rsidP="62309BE1">
      <w:pPr>
        <w:spacing w:after="0" w:line="251" w:lineRule="auto"/>
        <w:ind w:left="720"/>
        <w:rPr>
          <w:rFonts w:ascii="Times New Roman" w:eastAsia="Times New Roman" w:hAnsi="Times New Roman" w:cs="Times New Roman"/>
        </w:rPr>
      </w:pPr>
      <w:r w:rsidRPr="00125A6B">
        <w:rPr>
          <w:rFonts w:ascii="Times New Roman" w:eastAsia="Times New Roman" w:hAnsi="Times New Roman" w:cs="Times New Roman"/>
        </w:rPr>
        <w:t xml:space="preserve">EHV funding may not be used for the repayment of debts or any amounts owed to HUD by HUD program participants including, but not limited to, those resulting from Office of Inspector General (OIG), Quality Assurance Division (QAD) or other monitoring review findings. </w:t>
      </w:r>
    </w:p>
    <w:p w14:paraId="08EF4203" w14:textId="5A6CDB72" w:rsidR="00664747" w:rsidRPr="00125A6B" w:rsidRDefault="00664747" w:rsidP="62309BE1">
      <w:pPr>
        <w:spacing w:after="0" w:line="251" w:lineRule="auto"/>
        <w:ind w:left="720"/>
        <w:rPr>
          <w:rFonts w:ascii="Times New Roman" w:eastAsia="Yu Mincho" w:hAnsi="Times New Roman" w:cs="Times New Roman"/>
        </w:rPr>
      </w:pPr>
    </w:p>
    <w:p w14:paraId="46329D1B" w14:textId="77777777"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 xml:space="preserve">What is the difference in end dates: September 30, 2030 vs September 30, 2035 under item 16 of the PIH notice? </w:t>
      </w:r>
    </w:p>
    <w:p w14:paraId="1EC1F1F2" w14:textId="5A66F4D0" w:rsidR="005B6F6A" w:rsidRPr="00125A6B" w:rsidRDefault="005B6F6A" w:rsidP="62309BE1">
      <w:pPr>
        <w:pStyle w:val="ListParagraph"/>
        <w:tabs>
          <w:tab w:val="left" w:pos="810"/>
        </w:tabs>
        <w:spacing w:after="0"/>
        <w:rPr>
          <w:rFonts w:ascii="Times New Roman" w:eastAsia="Times New Roman" w:hAnsi="Times New Roman" w:cs="Times New Roman"/>
          <w:b/>
          <w:bCs/>
        </w:rPr>
      </w:pPr>
    </w:p>
    <w:p w14:paraId="693DAE66" w14:textId="499D5A8A" w:rsidR="005B6F6A" w:rsidRPr="00125A6B" w:rsidRDefault="005B6F6A" w:rsidP="62309BE1">
      <w:pPr>
        <w:tabs>
          <w:tab w:val="left" w:pos="810"/>
        </w:tabs>
        <w:ind w:left="720"/>
        <w:rPr>
          <w:rFonts w:ascii="Times New Roman" w:eastAsia="Times New Roman" w:hAnsi="Times New Roman" w:cs="Times New Roman"/>
        </w:rPr>
      </w:pPr>
      <w:r w:rsidRPr="00125A6B">
        <w:rPr>
          <w:rFonts w:ascii="Times New Roman" w:eastAsia="Times New Roman" w:hAnsi="Times New Roman" w:cs="Times New Roman"/>
        </w:rPr>
        <w:t>The ARP provides that the $5 billion appropriated for the EHV program remains available until September 30, 2030. This means HUD must obligate the funding by September 30, 2030. With respect to the September 30, 2035 date by which any remaining unexpended EHV obligations must then be cancelled as a matter of law, 31 U.S.C 1552 provides that on September 30th of the 5th fiscal year after the period of availability for obligation of a fixed appropriation account ends, the account shall be closed and any remaining balance (whether obligated or unobligated) in the account shall be canceled and thereafter shall not be available for obligation or expenditure for any purpose. </w:t>
      </w:r>
    </w:p>
    <w:p w14:paraId="7E585DC3" w14:textId="16295D99"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 xml:space="preserve">Can Emergency Solutions Grants (including ESG-CV) or </w:t>
      </w:r>
      <w:proofErr w:type="spellStart"/>
      <w:r w:rsidRPr="00125A6B">
        <w:rPr>
          <w:rFonts w:ascii="Times New Roman" w:eastAsia="Times New Roman" w:hAnsi="Times New Roman" w:cs="Times New Roman"/>
          <w:b/>
          <w:bCs/>
        </w:rPr>
        <w:t>CoC</w:t>
      </w:r>
      <w:proofErr w:type="spellEnd"/>
      <w:r w:rsidRPr="00125A6B">
        <w:rPr>
          <w:rFonts w:ascii="Times New Roman" w:eastAsia="Times New Roman" w:hAnsi="Times New Roman" w:cs="Times New Roman"/>
          <w:b/>
          <w:bCs/>
        </w:rPr>
        <w:t xml:space="preserve"> funding be used to pair support services/case management with EHV? </w:t>
      </w:r>
    </w:p>
    <w:p w14:paraId="04C77CA1" w14:textId="77777777" w:rsidR="00E34B5C" w:rsidRPr="00125A6B" w:rsidRDefault="00E34B5C" w:rsidP="62309BE1">
      <w:pPr>
        <w:pStyle w:val="ListParagraph"/>
        <w:spacing w:after="0" w:line="240" w:lineRule="auto"/>
        <w:textAlignment w:val="baseline"/>
        <w:rPr>
          <w:rFonts w:ascii="Times New Roman" w:eastAsia="Times New Roman" w:hAnsi="Times New Roman" w:cs="Times New Roman"/>
        </w:rPr>
      </w:pPr>
    </w:p>
    <w:p w14:paraId="1437910E" w14:textId="5D865068" w:rsidR="00E34B5C" w:rsidRPr="00125A6B" w:rsidRDefault="00E34B5C" w:rsidP="62309BE1">
      <w:pPr>
        <w:pStyle w:val="ListParagraph"/>
        <w:spacing w:after="0" w:line="240" w:lineRule="auto"/>
        <w:textAlignment w:val="baseline"/>
        <w:rPr>
          <w:rFonts w:ascii="Times New Roman" w:eastAsia="Times New Roman" w:hAnsi="Times New Roman" w:cs="Times New Roman"/>
        </w:rPr>
      </w:pPr>
      <w:r w:rsidRPr="00125A6B">
        <w:rPr>
          <w:rFonts w:ascii="Times New Roman" w:eastAsia="Times New Roman" w:hAnsi="Times New Roman" w:cs="Times New Roman"/>
        </w:rPr>
        <w:t xml:space="preserve">In general, yes. A community could braid ESG or </w:t>
      </w:r>
      <w:proofErr w:type="spellStart"/>
      <w:r w:rsidRPr="00125A6B">
        <w:rPr>
          <w:rFonts w:ascii="Times New Roman" w:eastAsia="Times New Roman" w:hAnsi="Times New Roman" w:cs="Times New Roman"/>
        </w:rPr>
        <w:t>CoC</w:t>
      </w:r>
      <w:proofErr w:type="spellEnd"/>
      <w:r w:rsidRPr="00125A6B">
        <w:rPr>
          <w:rFonts w:ascii="Times New Roman" w:eastAsia="Times New Roman" w:hAnsi="Times New Roman" w:cs="Times New Roman"/>
        </w:rPr>
        <w:t xml:space="preserve"> funding with EHV. Recipients must ensure an individual is eligible and prioritized for both EHV and the program providing services.  Additionally, recipients must ensure that all program requirements are met and that the services or case management are eligible under the ESG or </w:t>
      </w:r>
      <w:proofErr w:type="spellStart"/>
      <w:r w:rsidRPr="00125A6B">
        <w:rPr>
          <w:rFonts w:ascii="Times New Roman" w:eastAsia="Times New Roman" w:hAnsi="Times New Roman" w:cs="Times New Roman"/>
        </w:rPr>
        <w:t>CoC</w:t>
      </w:r>
      <w:proofErr w:type="spellEnd"/>
      <w:r w:rsidRPr="00125A6B">
        <w:rPr>
          <w:rFonts w:ascii="Times New Roman" w:eastAsia="Times New Roman" w:hAnsi="Times New Roman" w:cs="Times New Roman"/>
        </w:rPr>
        <w:t xml:space="preserve"> program rules.  If a community can meet those requirements, it may provide supportive services from either ESG or </w:t>
      </w:r>
      <w:proofErr w:type="spellStart"/>
      <w:r w:rsidRPr="00125A6B">
        <w:rPr>
          <w:rFonts w:ascii="Times New Roman" w:eastAsia="Times New Roman" w:hAnsi="Times New Roman" w:cs="Times New Roman"/>
        </w:rPr>
        <w:t>CoC</w:t>
      </w:r>
      <w:proofErr w:type="spellEnd"/>
      <w:r w:rsidRPr="00125A6B">
        <w:rPr>
          <w:rFonts w:ascii="Times New Roman" w:eastAsia="Times New Roman" w:hAnsi="Times New Roman" w:cs="Times New Roman"/>
        </w:rPr>
        <w:t xml:space="preserve"> with the voucher from EHV. </w:t>
      </w:r>
    </w:p>
    <w:p w14:paraId="4BF86B42" w14:textId="77777777" w:rsidR="00E34B5C" w:rsidRPr="00125A6B" w:rsidRDefault="00E34B5C" w:rsidP="62309BE1">
      <w:pPr>
        <w:pStyle w:val="ListParagraph"/>
        <w:tabs>
          <w:tab w:val="left" w:pos="810"/>
        </w:tabs>
        <w:spacing w:after="0"/>
        <w:rPr>
          <w:rFonts w:ascii="Times New Roman" w:eastAsia="Times New Roman" w:hAnsi="Times New Roman" w:cs="Times New Roman"/>
          <w:b/>
          <w:bCs/>
        </w:rPr>
      </w:pPr>
    </w:p>
    <w:p w14:paraId="46A1D187" w14:textId="708ACC59" w:rsidR="00E34B5C" w:rsidRPr="00125A6B" w:rsidRDefault="00E34B5C" w:rsidP="00CB7838">
      <w:pPr>
        <w:pStyle w:val="ListParagraph"/>
        <w:numPr>
          <w:ilvl w:val="0"/>
          <w:numId w:val="30"/>
        </w:numPr>
        <w:spacing w:after="0" w:line="240" w:lineRule="auto"/>
        <w:textAlignment w:val="baseline"/>
        <w:rPr>
          <w:rFonts w:ascii="Times New Roman" w:eastAsia="Times New Roman" w:hAnsi="Times New Roman" w:cs="Times New Roman"/>
          <w:b/>
          <w:bCs/>
        </w:rPr>
      </w:pPr>
      <w:r w:rsidRPr="00125A6B">
        <w:rPr>
          <w:rFonts w:ascii="Times New Roman" w:eastAsia="Times New Roman" w:hAnsi="Times New Roman" w:cs="Times New Roman"/>
          <w:b/>
          <w:bCs/>
        </w:rPr>
        <w:t>Will funding for EHVs be available on a continuous basis? </w:t>
      </w:r>
    </w:p>
    <w:p w14:paraId="737E91A0" w14:textId="708ACC59" w:rsidR="57FBCD50" w:rsidRPr="00125A6B" w:rsidRDefault="57FBCD50" w:rsidP="62309BE1">
      <w:pPr>
        <w:pStyle w:val="ListParagraph"/>
        <w:spacing w:after="0" w:line="240" w:lineRule="auto"/>
        <w:rPr>
          <w:rFonts w:ascii="Times New Roman" w:eastAsia="Times New Roman" w:hAnsi="Times New Roman" w:cs="Times New Roman"/>
        </w:rPr>
      </w:pPr>
    </w:p>
    <w:p w14:paraId="17B20EF5" w14:textId="77777777" w:rsidR="00E34B5C" w:rsidRPr="00125A6B" w:rsidRDefault="00E34B5C" w:rsidP="62309BE1">
      <w:pPr>
        <w:pStyle w:val="ListParagraph"/>
        <w:spacing w:after="0" w:line="240" w:lineRule="auto"/>
        <w:textAlignment w:val="baseline"/>
        <w:rPr>
          <w:rFonts w:ascii="Times New Roman" w:eastAsia="Times New Roman" w:hAnsi="Times New Roman" w:cs="Times New Roman"/>
        </w:rPr>
      </w:pPr>
      <w:r w:rsidRPr="00125A6B">
        <w:rPr>
          <w:rFonts w:ascii="Times New Roman" w:eastAsia="Times New Roman" w:hAnsi="Times New Roman" w:cs="Times New Roman"/>
        </w:rPr>
        <w:t xml:space="preserve">The initial funding term expires on December 31, 2022, and HUD will provide renewal funding for EHVs on a calendar basis moving forward after that, beginning in calendar year 2023. As stated in </w:t>
      </w:r>
      <w:hyperlink r:id="rId84" w:history="1">
        <w:r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rPr>
        <w:t>, Section 16, the $5 billion in funds appropriated for EHV are available until September 30, 2030. </w:t>
      </w:r>
    </w:p>
    <w:p w14:paraId="3BE3FD75" w14:textId="143FEEBB" w:rsidR="005B6F6A" w:rsidRPr="00125A6B" w:rsidRDefault="005B6F6A" w:rsidP="62309BE1">
      <w:pPr>
        <w:spacing w:after="0" w:line="240" w:lineRule="auto"/>
        <w:ind w:firstLine="720"/>
        <w:textAlignment w:val="baseline"/>
        <w:rPr>
          <w:rFonts w:ascii="Times New Roman" w:eastAsia="Times New Roman" w:hAnsi="Times New Roman" w:cs="Times New Roman"/>
          <w:b/>
          <w:bCs/>
          <w:color w:val="92D050"/>
        </w:rPr>
      </w:pPr>
      <w:r w:rsidRPr="00125A6B">
        <w:rPr>
          <w:rFonts w:ascii="Times New Roman" w:eastAsia="Times New Roman" w:hAnsi="Times New Roman" w:cs="Times New Roman"/>
        </w:rPr>
        <w:t> </w:t>
      </w:r>
    </w:p>
    <w:p w14:paraId="347F4C65" w14:textId="7C87D3D3"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Will EHV clients be able to sign a 6-month lease, or will it follow the HAP contract of 12 months? </w:t>
      </w:r>
    </w:p>
    <w:p w14:paraId="12A27ED5" w14:textId="77777777" w:rsidR="005B6F6A" w:rsidRPr="00125A6B" w:rsidRDefault="005B6F6A" w:rsidP="62309BE1">
      <w:pPr>
        <w:spacing w:after="0" w:line="240" w:lineRule="auto"/>
        <w:ind w:firstLine="720"/>
        <w:textAlignment w:val="baseline"/>
        <w:rPr>
          <w:rFonts w:ascii="Times New Roman" w:eastAsia="Times New Roman" w:hAnsi="Times New Roman" w:cs="Times New Roman"/>
        </w:rPr>
      </w:pPr>
    </w:p>
    <w:p w14:paraId="7EE8776F" w14:textId="0EE8FB7E" w:rsidR="005B6F6A" w:rsidRPr="00125A6B" w:rsidRDefault="005B6F6A" w:rsidP="62309BE1">
      <w:pPr>
        <w:spacing w:after="0" w:line="240" w:lineRule="auto"/>
        <w:ind w:left="720"/>
        <w:textAlignment w:val="baseline"/>
        <w:rPr>
          <w:rFonts w:ascii="Times New Roman" w:eastAsia="Times New Roman" w:hAnsi="Times New Roman" w:cs="Times New Roman"/>
        </w:rPr>
      </w:pPr>
      <w:r w:rsidRPr="00125A6B">
        <w:rPr>
          <w:rFonts w:ascii="Times New Roman" w:eastAsia="Times New Roman" w:hAnsi="Times New Roman" w:cs="Times New Roman"/>
        </w:rPr>
        <w:lastRenderedPageBreak/>
        <w:t xml:space="preserve">Per </w:t>
      </w:r>
      <w:hyperlink r:id="rId85" w:history="1">
        <w:r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rPr>
        <w:t>, Section 9n, HUD is waiving Section 8(o)(7)(A) of the United States Housing Act of 1937 and § 982.309(a)(2)(ii) so that the initial lease term for an EHV family may be less than 12 months regardless of whether the shorter term is a prevailing market practice. </w:t>
      </w:r>
    </w:p>
    <w:p w14:paraId="1B04D0C4" w14:textId="22C9A754" w:rsidR="005B6F6A" w:rsidRPr="00125A6B" w:rsidRDefault="005B6F6A" w:rsidP="62309BE1">
      <w:pPr>
        <w:spacing w:after="0" w:line="240" w:lineRule="auto"/>
        <w:textAlignment w:val="baseline"/>
        <w:rPr>
          <w:rFonts w:ascii="Times New Roman" w:eastAsia="Times New Roman" w:hAnsi="Times New Roman" w:cs="Times New Roman"/>
        </w:rPr>
      </w:pPr>
    </w:p>
    <w:p w14:paraId="0B15BDBD" w14:textId="7EFA5443"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For how long may a PHA extend the initial search term for a</w:t>
      </w:r>
      <w:r w:rsidR="070084DE" w:rsidRPr="00125A6B">
        <w:rPr>
          <w:rFonts w:ascii="Times New Roman" w:eastAsia="Times New Roman" w:hAnsi="Times New Roman" w:cs="Times New Roman"/>
          <w:b/>
          <w:bCs/>
        </w:rPr>
        <w:t>n</w:t>
      </w:r>
      <w:r w:rsidRPr="00125A6B">
        <w:rPr>
          <w:rFonts w:ascii="Times New Roman" w:eastAsia="Times New Roman" w:hAnsi="Times New Roman" w:cs="Times New Roman"/>
          <w:b/>
          <w:bCs/>
        </w:rPr>
        <w:t xml:space="preserve"> E</w:t>
      </w:r>
      <w:r w:rsidR="6ABD1E82" w:rsidRPr="00125A6B">
        <w:rPr>
          <w:rFonts w:ascii="Times New Roman" w:eastAsia="Times New Roman" w:hAnsi="Times New Roman" w:cs="Times New Roman"/>
          <w:b/>
          <w:bCs/>
        </w:rPr>
        <w:t>HV</w:t>
      </w:r>
      <w:r w:rsidRPr="00125A6B">
        <w:rPr>
          <w:rFonts w:ascii="Times New Roman" w:eastAsia="Times New Roman" w:hAnsi="Times New Roman" w:cs="Times New Roman"/>
          <w:b/>
          <w:bCs/>
        </w:rPr>
        <w:t xml:space="preserve">? </w:t>
      </w:r>
    </w:p>
    <w:p w14:paraId="317E54B9" w14:textId="77777777" w:rsidR="005B6F6A" w:rsidRPr="00125A6B" w:rsidRDefault="005B6F6A" w:rsidP="62309BE1">
      <w:pPr>
        <w:pStyle w:val="ListParagraph"/>
        <w:rPr>
          <w:rFonts w:ascii="Times New Roman" w:eastAsia="Calibri Light" w:hAnsi="Times New Roman" w:cs="Times New Roman"/>
          <w:color w:val="000000" w:themeColor="text1"/>
        </w:rPr>
      </w:pPr>
    </w:p>
    <w:p w14:paraId="5C1CB667" w14:textId="6D8B62BB" w:rsidR="005B6F6A" w:rsidRPr="00125A6B" w:rsidRDefault="005B6F6A" w:rsidP="62309BE1">
      <w:pPr>
        <w:pStyle w:val="ListParagraph"/>
        <w:rPr>
          <w:rFonts w:ascii="Times New Roman" w:eastAsia="Times New Roman" w:hAnsi="Times New Roman" w:cs="Times New Roman"/>
        </w:rPr>
      </w:pPr>
      <w:r w:rsidRPr="00125A6B">
        <w:rPr>
          <w:rFonts w:ascii="Times New Roman" w:eastAsia="Times New Roman" w:hAnsi="Times New Roman" w:cs="Times New Roman"/>
        </w:rPr>
        <w:t>HUD determined that an initial search term of 60 days may be inadequate.  Consequently, HUD is waiving 24 CFR § 982.303(a), which provides that the initial search term must be at least 60 days and is establishing an alternative requirement that the initial term for an Emergency Housing Voucher must be at least 120 days per Section 9.m of Notice PIH 2021-15.  After 120 days, the PHA’s regular policies regarding extensions as established the in PHA’s HCV Administrative Plan would apply.  PHAs are encouraged to be reasonable in extending voucher search times</w:t>
      </w:r>
      <w:r w:rsidR="00592CEF" w:rsidRPr="00125A6B">
        <w:rPr>
          <w:rFonts w:ascii="Times New Roman" w:eastAsia="Times New Roman" w:hAnsi="Times New Roman" w:cs="Times New Roman"/>
        </w:rPr>
        <w:t>;</w:t>
      </w:r>
      <w:r w:rsidRPr="00125A6B">
        <w:rPr>
          <w:rFonts w:ascii="Times New Roman" w:eastAsia="Times New Roman" w:hAnsi="Times New Roman" w:cs="Times New Roman"/>
        </w:rPr>
        <w:t xml:space="preserve"> work closely with the family</w:t>
      </w:r>
      <w:r w:rsidR="00592CEF" w:rsidRPr="00125A6B">
        <w:rPr>
          <w:rFonts w:ascii="Times New Roman" w:eastAsia="Times New Roman" w:hAnsi="Times New Roman" w:cs="Times New Roman"/>
        </w:rPr>
        <w:t xml:space="preserve"> and</w:t>
      </w:r>
      <w:r w:rsidRPr="00125A6B">
        <w:rPr>
          <w:rFonts w:ascii="Times New Roman" w:eastAsia="Times New Roman" w:hAnsi="Times New Roman" w:cs="Times New Roman"/>
        </w:rPr>
        <w:t xml:space="preserve"> partnering service providers</w:t>
      </w:r>
      <w:r w:rsidR="00592CEF" w:rsidRPr="00125A6B">
        <w:rPr>
          <w:rFonts w:ascii="Times New Roman" w:eastAsia="Times New Roman" w:hAnsi="Times New Roman" w:cs="Times New Roman"/>
        </w:rPr>
        <w:t>;</w:t>
      </w:r>
      <w:r w:rsidRPr="00125A6B">
        <w:rPr>
          <w:rFonts w:ascii="Times New Roman" w:eastAsia="Times New Roman" w:hAnsi="Times New Roman" w:cs="Times New Roman"/>
        </w:rPr>
        <w:t xml:space="preserve"> and provide the appropriate, required housing search assistance.</w:t>
      </w:r>
    </w:p>
    <w:p w14:paraId="7DC17446" w14:textId="13971B14" w:rsidR="005B6F6A" w:rsidRPr="00125A6B" w:rsidRDefault="005B6F6A" w:rsidP="62309BE1">
      <w:pPr>
        <w:pStyle w:val="ListParagraph"/>
        <w:rPr>
          <w:rFonts w:ascii="Times New Roman" w:eastAsia="Yu Mincho" w:hAnsi="Times New Roman" w:cs="Times New Roman"/>
        </w:rPr>
      </w:pPr>
    </w:p>
    <w:p w14:paraId="5DED7E90" w14:textId="6007E3E5" w:rsidR="005B6F6A" w:rsidRPr="00125A6B" w:rsidRDefault="440AE88C" w:rsidP="00CB7838">
      <w:pPr>
        <w:pStyle w:val="ListParagraph"/>
        <w:numPr>
          <w:ilvl w:val="0"/>
          <w:numId w:val="30"/>
        </w:numPr>
        <w:rPr>
          <w:rFonts w:ascii="Times New Roman" w:hAnsi="Times New Roman" w:cs="Times New Roman"/>
          <w:b/>
          <w:bCs/>
        </w:rPr>
      </w:pPr>
      <w:r w:rsidRPr="00125A6B">
        <w:rPr>
          <w:rFonts w:ascii="Times New Roman" w:eastAsia="Times New Roman" w:hAnsi="Times New Roman" w:cs="Times New Roman"/>
          <w:b/>
          <w:bCs/>
        </w:rPr>
        <w:t>May PHAs establish a higher EHV payment standard for furnished units?</w:t>
      </w:r>
      <w:r w:rsidRPr="00125A6B">
        <w:rPr>
          <w:rFonts w:ascii="Times New Roman" w:eastAsia="Calibri" w:hAnsi="Times New Roman" w:cs="Times New Roman"/>
          <w:b/>
          <w:bCs/>
        </w:rPr>
        <w:t xml:space="preserve"> </w:t>
      </w:r>
    </w:p>
    <w:p w14:paraId="08DA72CB" w14:textId="094AF148" w:rsidR="005B6F6A" w:rsidRPr="00125A6B" w:rsidRDefault="1F9FDAE9" w:rsidP="62309BE1">
      <w:pPr>
        <w:ind w:left="720"/>
        <w:rPr>
          <w:rFonts w:ascii="Times New Roman" w:eastAsia="Times New Roman" w:hAnsi="Times New Roman" w:cs="Times New Roman"/>
        </w:rPr>
      </w:pPr>
      <w:r w:rsidRPr="00125A6B">
        <w:rPr>
          <w:rFonts w:ascii="Times New Roman" w:eastAsia="Times New Roman" w:hAnsi="Times New Roman" w:cs="Times New Roman"/>
        </w:rPr>
        <w:t>No</w:t>
      </w:r>
      <w:r w:rsidR="35F39BAF" w:rsidRPr="00125A6B">
        <w:rPr>
          <w:rFonts w:ascii="Times New Roman" w:eastAsia="Times New Roman" w:hAnsi="Times New Roman" w:cs="Times New Roman"/>
        </w:rPr>
        <w:t xml:space="preserve">. </w:t>
      </w:r>
      <w:r w:rsidRPr="00125A6B">
        <w:rPr>
          <w:rFonts w:ascii="Times New Roman" w:eastAsia="Times New Roman" w:hAnsi="Times New Roman" w:cs="Times New Roman"/>
        </w:rPr>
        <w:t xml:space="preserve"> </w:t>
      </w:r>
      <w:r w:rsidR="440AE88C" w:rsidRPr="00125A6B">
        <w:rPr>
          <w:rFonts w:ascii="Times New Roman" w:eastAsia="Times New Roman" w:hAnsi="Times New Roman" w:cs="Times New Roman"/>
        </w:rPr>
        <w:t xml:space="preserve">PHAs may not establish a higher payment standard for furnished units. HUD </w:t>
      </w:r>
      <w:r w:rsidR="1A84175B" w:rsidRPr="00125A6B">
        <w:rPr>
          <w:rFonts w:ascii="Times New Roman" w:eastAsia="Times New Roman" w:hAnsi="Times New Roman" w:cs="Times New Roman"/>
        </w:rPr>
        <w:t>has</w:t>
      </w:r>
      <w:r w:rsidR="183BB7F2" w:rsidRPr="00125A6B">
        <w:rPr>
          <w:rFonts w:ascii="Times New Roman" w:eastAsia="Times New Roman" w:hAnsi="Times New Roman" w:cs="Times New Roman"/>
        </w:rPr>
        <w:t xml:space="preserve"> </w:t>
      </w:r>
      <w:r w:rsidR="440AE88C" w:rsidRPr="00125A6B">
        <w:rPr>
          <w:rFonts w:ascii="Times New Roman" w:eastAsia="Times New Roman" w:hAnsi="Times New Roman" w:cs="Times New Roman"/>
        </w:rPr>
        <w:t>waiv</w:t>
      </w:r>
      <w:r w:rsidR="1A84175B" w:rsidRPr="00125A6B">
        <w:rPr>
          <w:rFonts w:ascii="Times New Roman" w:eastAsia="Times New Roman" w:hAnsi="Times New Roman" w:cs="Times New Roman"/>
        </w:rPr>
        <w:t>ed</w:t>
      </w:r>
      <w:r w:rsidR="440AE88C" w:rsidRPr="00125A6B">
        <w:rPr>
          <w:rFonts w:ascii="Times New Roman" w:eastAsia="Times New Roman" w:hAnsi="Times New Roman" w:cs="Times New Roman"/>
        </w:rPr>
        <w:t xml:space="preserve"> 24 CFR § 982.502(a)(3) and establish</w:t>
      </w:r>
      <w:r w:rsidR="1A84175B" w:rsidRPr="00125A6B">
        <w:rPr>
          <w:rFonts w:ascii="Times New Roman" w:eastAsia="Times New Roman" w:hAnsi="Times New Roman" w:cs="Times New Roman"/>
        </w:rPr>
        <w:t>ed</w:t>
      </w:r>
      <w:r w:rsidR="183BB7F2" w:rsidRPr="00125A6B">
        <w:rPr>
          <w:rFonts w:ascii="Times New Roman" w:eastAsia="Times New Roman" w:hAnsi="Times New Roman" w:cs="Times New Roman"/>
        </w:rPr>
        <w:t xml:space="preserve"> </w:t>
      </w:r>
      <w:r w:rsidR="440AE88C" w:rsidRPr="00125A6B">
        <w:rPr>
          <w:rFonts w:ascii="Times New Roman" w:eastAsia="Times New Roman" w:hAnsi="Times New Roman" w:cs="Times New Roman"/>
        </w:rPr>
        <w:t xml:space="preserve">an alternative requirement permitting PHAs to establish separate higher payment standards for EHVs to increase the potential pool of available units for families as explained in Section 9.p of </w:t>
      </w:r>
      <w:hyperlink r:id="rId86" w:history="1">
        <w:r w:rsidR="440AE88C" w:rsidRPr="00125A6B">
          <w:rPr>
            <w:rStyle w:val="Hyperlink"/>
            <w:rFonts w:ascii="Times New Roman" w:eastAsia="Times New Roman" w:hAnsi="Times New Roman" w:cs="Times New Roman"/>
          </w:rPr>
          <w:t>Notice PIH 2021-15</w:t>
        </w:r>
      </w:hyperlink>
      <w:r w:rsidR="440AE88C" w:rsidRPr="00125A6B">
        <w:rPr>
          <w:rFonts w:ascii="Times New Roman" w:eastAsia="Times New Roman" w:hAnsi="Times New Roman" w:cs="Times New Roman"/>
        </w:rPr>
        <w:t>.  Th</w:t>
      </w:r>
      <w:r w:rsidR="3A1D9D9D" w:rsidRPr="00125A6B">
        <w:rPr>
          <w:rFonts w:ascii="Times New Roman" w:eastAsia="Times New Roman" w:hAnsi="Times New Roman" w:cs="Times New Roman"/>
        </w:rPr>
        <w:t>r</w:t>
      </w:r>
      <w:r w:rsidR="440AE88C" w:rsidRPr="00125A6B">
        <w:rPr>
          <w:rFonts w:ascii="Times New Roman" w:eastAsia="Times New Roman" w:hAnsi="Times New Roman" w:cs="Times New Roman"/>
        </w:rPr>
        <w:t>ough the alternative requirement, PHA</w:t>
      </w:r>
      <w:r w:rsidR="3A1D9D9D" w:rsidRPr="00125A6B">
        <w:rPr>
          <w:rFonts w:ascii="Times New Roman" w:eastAsia="Times New Roman" w:hAnsi="Times New Roman" w:cs="Times New Roman"/>
        </w:rPr>
        <w:t>s</w:t>
      </w:r>
      <w:r w:rsidR="440AE88C" w:rsidRPr="00125A6B">
        <w:rPr>
          <w:rFonts w:ascii="Times New Roman" w:eastAsia="Times New Roman" w:hAnsi="Times New Roman" w:cs="Times New Roman"/>
        </w:rPr>
        <w:t xml:space="preserve"> may establish a payment standard for the EHV program up to 120% of the applicable FMR/SAFMR.  PHAs are reminded that EHV </w:t>
      </w:r>
      <w:r w:rsidR="70D6DD9B" w:rsidRPr="00125A6B">
        <w:rPr>
          <w:rFonts w:ascii="Times New Roman" w:eastAsia="Times New Roman" w:hAnsi="Times New Roman" w:cs="Times New Roman"/>
        </w:rPr>
        <w:t>s</w:t>
      </w:r>
      <w:r w:rsidR="440AE88C" w:rsidRPr="00125A6B">
        <w:rPr>
          <w:rFonts w:ascii="Times New Roman" w:eastAsia="Times New Roman" w:hAnsi="Times New Roman" w:cs="Times New Roman"/>
        </w:rPr>
        <w:t>ervice</w:t>
      </w:r>
      <w:r w:rsidR="2BFF3B1C" w:rsidRPr="00125A6B">
        <w:rPr>
          <w:rFonts w:ascii="Times New Roman" w:eastAsia="Times New Roman" w:hAnsi="Times New Roman" w:cs="Times New Roman"/>
        </w:rPr>
        <w:t>s</w:t>
      </w:r>
      <w:r w:rsidR="440AE88C" w:rsidRPr="00125A6B">
        <w:rPr>
          <w:rFonts w:ascii="Times New Roman" w:eastAsia="Times New Roman" w:hAnsi="Times New Roman" w:cs="Times New Roman"/>
        </w:rPr>
        <w:t xml:space="preserve"> </w:t>
      </w:r>
      <w:r w:rsidR="6A2E00B9" w:rsidRPr="00125A6B">
        <w:rPr>
          <w:rFonts w:ascii="Times New Roman" w:eastAsia="Times New Roman" w:hAnsi="Times New Roman" w:cs="Times New Roman"/>
        </w:rPr>
        <w:t>f</w:t>
      </w:r>
      <w:r w:rsidR="440AE88C" w:rsidRPr="00125A6B">
        <w:rPr>
          <w:rFonts w:ascii="Times New Roman" w:eastAsia="Times New Roman" w:hAnsi="Times New Roman" w:cs="Times New Roman"/>
        </w:rPr>
        <w:t xml:space="preserve">ees may be used to purchase essential household items as determined by the PHA’s policies.  Further, PHAs are reminded that units selected by EHV participants must meet the rent reasonableness requirements at 24 CFR § 982.507, which requires PHAs to consider any amenities as part of its comparability analysis.  PHAs may also negotiate the rent to </w:t>
      </w:r>
      <w:r w:rsidR="3A1D9D9D" w:rsidRPr="00125A6B">
        <w:rPr>
          <w:rFonts w:ascii="Times New Roman" w:eastAsia="Times New Roman" w:hAnsi="Times New Roman" w:cs="Times New Roman"/>
        </w:rPr>
        <w:t xml:space="preserve">the </w:t>
      </w:r>
      <w:r w:rsidR="440AE88C" w:rsidRPr="00125A6B">
        <w:rPr>
          <w:rFonts w:ascii="Times New Roman" w:eastAsia="Times New Roman" w:hAnsi="Times New Roman" w:cs="Times New Roman"/>
        </w:rPr>
        <w:t>owner on behalf of the family as part of its required housing search assistance and in accordance with the regulations at 24 CFR § 982.506.</w:t>
      </w:r>
    </w:p>
    <w:p w14:paraId="39AA9F35" w14:textId="096E5A51" w:rsidR="00CD4ABE" w:rsidRPr="00125A6B" w:rsidRDefault="7B3EC3A1" w:rsidP="00CB7838">
      <w:pPr>
        <w:pStyle w:val="ListParagraph"/>
        <w:numPr>
          <w:ilvl w:val="0"/>
          <w:numId w:val="30"/>
        </w:numPr>
        <w:rPr>
          <w:rFonts w:ascii="Times New Roman" w:eastAsia="Times New Roman" w:hAnsi="Times New Roman" w:cs="Times New Roman"/>
          <w:b/>
          <w:bCs/>
          <w:color w:val="70AD47" w:themeColor="accent6"/>
        </w:rPr>
      </w:pPr>
      <w:r w:rsidRPr="00125A6B">
        <w:rPr>
          <w:rFonts w:ascii="Times New Roman" w:eastAsia="Times New Roman" w:hAnsi="Times New Roman" w:cs="Times New Roman"/>
          <w:b/>
          <w:bCs/>
        </w:rPr>
        <w:t xml:space="preserve">How are units approved for EHV tenancy? </w:t>
      </w:r>
    </w:p>
    <w:p w14:paraId="61AA8C85" w14:textId="03301631" w:rsidR="00CD4ABE" w:rsidRPr="00125A6B" w:rsidRDefault="00CD4ABE" w:rsidP="62309BE1">
      <w:pPr>
        <w:ind w:left="720"/>
        <w:rPr>
          <w:rFonts w:ascii="Times New Roman" w:eastAsia="Times New Roman" w:hAnsi="Times New Roman" w:cs="Times New Roman"/>
        </w:rPr>
      </w:pPr>
      <w:r w:rsidRPr="00125A6B">
        <w:rPr>
          <w:rFonts w:ascii="Times New Roman" w:eastAsia="Times New Roman" w:hAnsi="Times New Roman" w:cs="Times New Roman"/>
          <w:lang w:val="ja"/>
        </w:rPr>
        <w:t xml:space="preserve">EHVs follow the same procedures for tenancy as the regular </w:t>
      </w:r>
      <w:r w:rsidR="009D27D5" w:rsidRPr="00125A6B">
        <w:rPr>
          <w:rFonts w:ascii="Times New Roman" w:eastAsia="Times New Roman" w:hAnsi="Times New Roman" w:cs="Times New Roman"/>
        </w:rPr>
        <w:t xml:space="preserve">HCV </w:t>
      </w:r>
      <w:r w:rsidRPr="00125A6B">
        <w:rPr>
          <w:rFonts w:ascii="Times New Roman" w:eastAsia="Times New Roman" w:hAnsi="Times New Roman" w:cs="Times New Roman"/>
          <w:lang w:val="ja"/>
        </w:rPr>
        <w:t>program.  After an EHV family has submitted a Request for Tenancy Approval (R</w:t>
      </w:r>
      <w:r w:rsidR="68CCD915" w:rsidRPr="00125A6B">
        <w:rPr>
          <w:rFonts w:ascii="Times New Roman" w:eastAsia="Times New Roman" w:hAnsi="Times New Roman" w:cs="Times New Roman"/>
          <w:lang w:val="ja"/>
        </w:rPr>
        <w:t>F</w:t>
      </w:r>
      <w:r w:rsidRPr="00125A6B">
        <w:rPr>
          <w:rFonts w:ascii="Times New Roman" w:eastAsia="Times New Roman" w:hAnsi="Times New Roman" w:cs="Times New Roman"/>
          <w:lang w:val="ja"/>
        </w:rPr>
        <w:t>TA), the PHA will contact the landlord to schedule an inspection.</w:t>
      </w:r>
      <w:r w:rsidR="0098048D" w:rsidRPr="00125A6B">
        <w:rPr>
          <w:rFonts w:ascii="Times New Roman" w:eastAsia="Times New Roman" w:hAnsi="Times New Roman" w:cs="Times New Roman"/>
        </w:rPr>
        <w:t xml:space="preserve"> Please refer to </w:t>
      </w:r>
      <w:r w:rsidR="008A7E93" w:rsidRPr="00125A6B">
        <w:rPr>
          <w:rFonts w:ascii="Times New Roman" w:eastAsia="Times New Roman" w:hAnsi="Times New Roman" w:cs="Times New Roman"/>
        </w:rPr>
        <w:t xml:space="preserve">the </w:t>
      </w:r>
      <w:r w:rsidR="004E24F2" w:rsidRPr="00125A6B">
        <w:rPr>
          <w:rFonts w:ascii="Times New Roman" w:eastAsia="Times New Roman" w:hAnsi="Times New Roman" w:cs="Times New Roman"/>
        </w:rPr>
        <w:t>COVID-19 related waivers that the PHA may apply to EHV</w:t>
      </w:r>
      <w:r w:rsidR="0093275A" w:rsidRPr="00125A6B">
        <w:rPr>
          <w:rFonts w:ascii="Times New Roman" w:eastAsia="Times New Roman" w:hAnsi="Times New Roman" w:cs="Times New Roman"/>
        </w:rPr>
        <w:t xml:space="preserve"> in Attachment 1</w:t>
      </w:r>
      <w:r w:rsidR="003500EA" w:rsidRPr="00125A6B">
        <w:rPr>
          <w:rFonts w:ascii="Times New Roman" w:eastAsia="Times New Roman" w:hAnsi="Times New Roman" w:cs="Times New Roman"/>
        </w:rPr>
        <w:t xml:space="preserve"> of </w:t>
      </w:r>
      <w:hyperlink r:id="rId87" w:history="1">
        <w:r w:rsidR="003500EA" w:rsidRPr="00125A6B">
          <w:rPr>
            <w:rStyle w:val="Hyperlink"/>
            <w:rFonts w:ascii="Times New Roman" w:eastAsia="Times New Roman" w:hAnsi="Times New Roman" w:cs="Times New Roman"/>
          </w:rPr>
          <w:t>PIH Notice 2021-15</w:t>
        </w:r>
      </w:hyperlink>
      <w:r w:rsidR="00590A71" w:rsidRPr="00125A6B">
        <w:rPr>
          <w:rFonts w:ascii="Times New Roman" w:eastAsia="Times New Roman" w:hAnsi="Times New Roman" w:cs="Times New Roman"/>
        </w:rPr>
        <w:t xml:space="preserve"> with respect to inspections. </w:t>
      </w:r>
    </w:p>
    <w:p w14:paraId="66DDA31B" w14:textId="059DBC15" w:rsidR="00CD4ABE" w:rsidRPr="00125A6B" w:rsidRDefault="00CD4ABE" w:rsidP="62309BE1">
      <w:pPr>
        <w:ind w:firstLine="720"/>
        <w:rPr>
          <w:rFonts w:ascii="Times New Roman" w:eastAsia="Times New Roman" w:hAnsi="Times New Roman" w:cs="Times New Roman"/>
          <w:lang w:val="ja"/>
        </w:rPr>
      </w:pPr>
      <w:r w:rsidRPr="00125A6B">
        <w:rPr>
          <w:rFonts w:ascii="Times New Roman" w:eastAsia="Times New Roman" w:hAnsi="Times New Roman" w:cs="Times New Roman"/>
          <w:lang w:val="ja"/>
        </w:rPr>
        <w:t xml:space="preserve">The procedure may differ </w:t>
      </w:r>
      <w:r w:rsidR="00664747" w:rsidRPr="00125A6B">
        <w:rPr>
          <w:rFonts w:ascii="Times New Roman" w:eastAsia="Times New Roman" w:hAnsi="Times New Roman" w:cs="Times New Roman"/>
        </w:rPr>
        <w:t>for</w:t>
      </w:r>
      <w:r w:rsidR="00664747" w:rsidRPr="00125A6B">
        <w:rPr>
          <w:rFonts w:ascii="Times New Roman" w:eastAsia="Times New Roman" w:hAnsi="Times New Roman" w:cs="Times New Roman"/>
          <w:lang w:val="ja"/>
        </w:rPr>
        <w:t xml:space="preserve"> </w:t>
      </w:r>
      <w:r w:rsidRPr="00125A6B">
        <w:rPr>
          <w:rFonts w:ascii="Times New Roman" w:eastAsia="Times New Roman" w:hAnsi="Times New Roman" w:cs="Times New Roman"/>
          <w:lang w:val="ja"/>
        </w:rPr>
        <w:t>individual PHAs, but in general, an issuing PHA must:</w:t>
      </w:r>
    </w:p>
    <w:p w14:paraId="5FC72603" w14:textId="21280C93" w:rsidR="00CD4ABE" w:rsidRPr="00125A6B" w:rsidRDefault="7B3EC3A1" w:rsidP="00B86D98">
      <w:pPr>
        <w:pStyle w:val="ListParagraph"/>
        <w:numPr>
          <w:ilvl w:val="0"/>
          <w:numId w:val="7"/>
        </w:numPr>
        <w:rPr>
          <w:rFonts w:ascii="Times New Roman" w:eastAsia="Times New Roman" w:hAnsi="Times New Roman" w:cs="Times New Roman"/>
          <w:lang w:val="ja"/>
        </w:rPr>
      </w:pPr>
      <w:r w:rsidRPr="00125A6B">
        <w:rPr>
          <w:rFonts w:ascii="Times New Roman" w:eastAsia="Times New Roman" w:hAnsi="Times New Roman" w:cs="Times New Roman"/>
          <w:lang w:val="ja"/>
        </w:rPr>
        <w:t>Confirm the unit is eligible</w:t>
      </w:r>
      <w:r w:rsidR="19BD76A7" w:rsidRPr="00125A6B">
        <w:rPr>
          <w:rFonts w:ascii="Times New Roman" w:eastAsia="Yu Mincho" w:hAnsi="Times New Roman" w:cs="Times New Roman"/>
          <w:lang w:val="ja" w:eastAsia="ja-JP"/>
        </w:rPr>
        <w:t>.</w:t>
      </w:r>
    </w:p>
    <w:p w14:paraId="760A2DCF" w14:textId="2251A668" w:rsidR="00CD4ABE" w:rsidRPr="00125A6B" w:rsidRDefault="7B3EC3A1" w:rsidP="00B86D98">
      <w:pPr>
        <w:pStyle w:val="ListParagraph"/>
        <w:numPr>
          <w:ilvl w:val="0"/>
          <w:numId w:val="7"/>
        </w:numPr>
        <w:rPr>
          <w:rFonts w:ascii="Times New Roman" w:eastAsia="Times New Roman" w:hAnsi="Times New Roman" w:cs="Times New Roman"/>
          <w:lang w:val="ja"/>
        </w:rPr>
      </w:pPr>
      <w:r w:rsidRPr="00125A6B">
        <w:rPr>
          <w:rFonts w:ascii="Times New Roman" w:eastAsia="Times New Roman" w:hAnsi="Times New Roman" w:cs="Times New Roman"/>
          <w:lang w:val="ja"/>
        </w:rPr>
        <w:t xml:space="preserve">Determine the unit </w:t>
      </w:r>
      <w:r w:rsidR="0B59E0F5" w:rsidRPr="00125A6B">
        <w:rPr>
          <w:rFonts w:ascii="Times New Roman" w:eastAsia="Times New Roman" w:hAnsi="Times New Roman" w:cs="Times New Roman"/>
        </w:rPr>
        <w:t xml:space="preserve">meets </w:t>
      </w:r>
      <w:r w:rsidRPr="00125A6B">
        <w:rPr>
          <w:rFonts w:ascii="Times New Roman" w:eastAsia="Times New Roman" w:hAnsi="Times New Roman" w:cs="Times New Roman"/>
          <w:lang w:val="ja"/>
        </w:rPr>
        <w:t>the Housing Quality Standards (HQS) set by HUD</w:t>
      </w:r>
      <w:r w:rsidR="723F76ED" w:rsidRPr="00125A6B">
        <w:rPr>
          <w:rFonts w:ascii="Times New Roman" w:eastAsia="Times New Roman" w:hAnsi="Times New Roman" w:cs="Times New Roman"/>
        </w:rPr>
        <w:t>.</w:t>
      </w:r>
    </w:p>
    <w:p w14:paraId="7F8C4D8A" w14:textId="51183713" w:rsidR="00CD4ABE" w:rsidRPr="00125A6B" w:rsidRDefault="00CD4ABE" w:rsidP="00B86D98">
      <w:pPr>
        <w:pStyle w:val="ListParagraph"/>
        <w:numPr>
          <w:ilvl w:val="0"/>
          <w:numId w:val="7"/>
        </w:numPr>
        <w:rPr>
          <w:rFonts w:ascii="Times New Roman" w:eastAsia="Times New Roman" w:hAnsi="Times New Roman" w:cs="Times New Roman"/>
          <w:lang w:val="ja"/>
        </w:rPr>
      </w:pPr>
      <w:r w:rsidRPr="00125A6B">
        <w:rPr>
          <w:rFonts w:ascii="Times New Roman" w:eastAsia="Times New Roman" w:hAnsi="Times New Roman" w:cs="Times New Roman"/>
          <w:lang w:val="ja"/>
        </w:rPr>
        <w:t>Determine that the rent being charged is reasonable in accordance with the standards established for that area by the PHA</w:t>
      </w:r>
      <w:r w:rsidR="00F95359" w:rsidRPr="00125A6B">
        <w:rPr>
          <w:rFonts w:ascii="Times New Roman" w:eastAsia="Times New Roman" w:hAnsi="Times New Roman" w:cs="Times New Roman"/>
        </w:rPr>
        <w:t>.</w:t>
      </w:r>
    </w:p>
    <w:p w14:paraId="2905BC34" w14:textId="77777777" w:rsidR="009B23BD" w:rsidRPr="00125A6B" w:rsidRDefault="009B23BD" w:rsidP="62309BE1">
      <w:pPr>
        <w:pStyle w:val="ListParagraph"/>
        <w:ind w:left="1440"/>
        <w:rPr>
          <w:rFonts w:ascii="Times New Roman" w:eastAsia="Times New Roman" w:hAnsi="Times New Roman" w:cs="Times New Roman"/>
          <w:lang w:val="ja"/>
        </w:rPr>
      </w:pPr>
    </w:p>
    <w:p w14:paraId="42A36A46" w14:textId="2DFCDDBC" w:rsidR="00FC2FD1" w:rsidRPr="00125A6B" w:rsidRDefault="51A6F3B4" w:rsidP="00CB7838">
      <w:pPr>
        <w:pStyle w:val="ListParagraph"/>
        <w:numPr>
          <w:ilvl w:val="0"/>
          <w:numId w:val="30"/>
        </w:numPr>
        <w:rPr>
          <w:rFonts w:ascii="Times New Roman" w:eastAsia="Yu Mincho" w:hAnsi="Times New Roman" w:cs="Times New Roman"/>
          <w:b/>
          <w:bCs/>
          <w:lang w:val="ja" w:eastAsia="ja-JP"/>
        </w:rPr>
      </w:pPr>
      <w:r w:rsidRPr="00125A6B">
        <w:rPr>
          <w:rFonts w:ascii="Times New Roman" w:hAnsi="Times New Roman" w:cs="Times New Roman"/>
          <w:b/>
          <w:bCs/>
        </w:rPr>
        <w:t xml:space="preserve">If a household is already housed with a subsidy (ex. ESG-CV or </w:t>
      </w:r>
      <w:proofErr w:type="spellStart"/>
      <w:r w:rsidRPr="00125A6B">
        <w:rPr>
          <w:rFonts w:ascii="Times New Roman" w:hAnsi="Times New Roman" w:cs="Times New Roman"/>
          <w:b/>
          <w:bCs/>
        </w:rPr>
        <w:t>CoC</w:t>
      </w:r>
      <w:proofErr w:type="spellEnd"/>
      <w:r w:rsidRPr="00125A6B">
        <w:rPr>
          <w:rFonts w:ascii="Times New Roman" w:hAnsi="Times New Roman" w:cs="Times New Roman"/>
          <w:b/>
          <w:bCs/>
        </w:rPr>
        <w:t xml:space="preserve"> PSH) and is referred for an EHV through </w:t>
      </w:r>
      <w:r w:rsidR="3A1D9D9D" w:rsidRPr="00125A6B">
        <w:rPr>
          <w:rFonts w:ascii="Times New Roman" w:hAnsi="Times New Roman" w:cs="Times New Roman"/>
          <w:b/>
          <w:bCs/>
        </w:rPr>
        <w:t>C</w:t>
      </w:r>
      <w:r w:rsidRPr="00125A6B">
        <w:rPr>
          <w:rFonts w:ascii="Times New Roman" w:hAnsi="Times New Roman" w:cs="Times New Roman"/>
          <w:b/>
          <w:bCs/>
        </w:rPr>
        <w:t xml:space="preserve">oordinated </w:t>
      </w:r>
      <w:r w:rsidR="3A1D9D9D" w:rsidRPr="00125A6B">
        <w:rPr>
          <w:rFonts w:ascii="Times New Roman" w:hAnsi="Times New Roman" w:cs="Times New Roman"/>
          <w:b/>
          <w:bCs/>
        </w:rPr>
        <w:t>E</w:t>
      </w:r>
      <w:r w:rsidRPr="00125A6B">
        <w:rPr>
          <w:rFonts w:ascii="Times New Roman" w:hAnsi="Times New Roman" w:cs="Times New Roman"/>
          <w:b/>
          <w:bCs/>
        </w:rPr>
        <w:t>ntry</w:t>
      </w:r>
      <w:r w:rsidR="0046698A" w:rsidRPr="00125A6B">
        <w:rPr>
          <w:rFonts w:ascii="Times New Roman" w:hAnsi="Times New Roman" w:cs="Times New Roman"/>
          <w:b/>
          <w:bCs/>
        </w:rPr>
        <w:t>,</w:t>
      </w:r>
      <w:r w:rsidRPr="00125A6B">
        <w:rPr>
          <w:rFonts w:ascii="Times New Roman" w:hAnsi="Times New Roman" w:cs="Times New Roman"/>
          <w:b/>
          <w:bCs/>
        </w:rPr>
        <w:t xml:space="preserve"> how is their lease situation handled? Will their current lease need to be terminated so a new lease can be started with the EHV or can the </w:t>
      </w:r>
      <w:r w:rsidR="3A1D9D9D" w:rsidRPr="00125A6B">
        <w:rPr>
          <w:rFonts w:ascii="Times New Roman" w:hAnsi="Times New Roman" w:cs="Times New Roman"/>
          <w:b/>
          <w:bCs/>
        </w:rPr>
        <w:t xml:space="preserve">EHV </w:t>
      </w:r>
      <w:r w:rsidRPr="00125A6B">
        <w:rPr>
          <w:rFonts w:ascii="Times New Roman" w:hAnsi="Times New Roman" w:cs="Times New Roman"/>
          <w:b/>
          <w:bCs/>
        </w:rPr>
        <w:t>be placed on the unit using the existing lease?</w:t>
      </w:r>
      <w:r w:rsidR="070084DE" w:rsidRPr="00125A6B">
        <w:rPr>
          <w:rFonts w:ascii="Times New Roman" w:hAnsi="Times New Roman" w:cs="Times New Roman"/>
          <w:b/>
          <w:bCs/>
        </w:rPr>
        <w:t xml:space="preserve"> </w:t>
      </w:r>
    </w:p>
    <w:p w14:paraId="49B2A538" w14:textId="6D1E3917" w:rsidR="004F5C56" w:rsidRPr="00125A6B" w:rsidRDefault="5F9903CC" w:rsidP="62309BE1">
      <w:pPr>
        <w:spacing w:line="257" w:lineRule="auto"/>
        <w:ind w:firstLine="720"/>
        <w:rPr>
          <w:rFonts w:ascii="Times New Roman" w:hAnsi="Times New Roman" w:cs="Times New Roman"/>
        </w:rPr>
      </w:pPr>
      <w:r w:rsidRPr="00125A6B">
        <w:rPr>
          <w:rFonts w:ascii="Times New Roman" w:hAnsi="Times New Roman" w:cs="Times New Roman"/>
        </w:rPr>
        <w:t xml:space="preserve">A new HCV compliant lease should be executed for eligible EHV families.  </w:t>
      </w:r>
    </w:p>
    <w:p w14:paraId="1C4929E0" w14:textId="03569C79" w:rsidR="004F5C56" w:rsidRPr="00125A6B" w:rsidRDefault="1BEF4BAD" w:rsidP="00CB7838">
      <w:pPr>
        <w:pStyle w:val="ListParagraph"/>
        <w:numPr>
          <w:ilvl w:val="0"/>
          <w:numId w:val="30"/>
        </w:numPr>
        <w:spacing w:line="257" w:lineRule="auto"/>
        <w:rPr>
          <w:rFonts w:ascii="Times New Roman" w:hAnsi="Times New Roman" w:cs="Times New Roman"/>
          <w:b/>
          <w:bCs/>
        </w:rPr>
      </w:pPr>
      <w:r w:rsidRPr="00125A6B">
        <w:rPr>
          <w:rFonts w:ascii="Times New Roman" w:eastAsia="Calibri" w:hAnsi="Times New Roman" w:cs="Times New Roman"/>
          <w:b/>
          <w:bCs/>
        </w:rPr>
        <w:lastRenderedPageBreak/>
        <w:t xml:space="preserve"> </w:t>
      </w:r>
      <w:r w:rsidR="070084DE" w:rsidRPr="00125A6B">
        <w:rPr>
          <w:rFonts w:ascii="Times New Roman" w:eastAsia="Calibri" w:hAnsi="Times New Roman" w:cs="Times New Roman"/>
          <w:b/>
          <w:bCs/>
        </w:rPr>
        <w:t>When can communities begin leasing using EHVs?</w:t>
      </w:r>
      <w:r w:rsidR="46629544" w:rsidRPr="00125A6B">
        <w:rPr>
          <w:rFonts w:ascii="Times New Roman" w:eastAsia="Calibri" w:hAnsi="Times New Roman" w:cs="Times New Roman"/>
          <w:b/>
          <w:bCs/>
        </w:rPr>
        <w:t xml:space="preserve"> </w:t>
      </w:r>
    </w:p>
    <w:p w14:paraId="4E62F0F9" w14:textId="77777777" w:rsidR="00007A2B" w:rsidRPr="00125A6B" w:rsidRDefault="00007A2B" w:rsidP="62309BE1">
      <w:pPr>
        <w:pStyle w:val="ListParagraph"/>
        <w:rPr>
          <w:rFonts w:ascii="Times New Roman" w:eastAsia="Calibri" w:hAnsi="Times New Roman" w:cs="Times New Roman"/>
          <w:b/>
          <w:bCs/>
        </w:rPr>
      </w:pPr>
    </w:p>
    <w:p w14:paraId="01673AA2" w14:textId="1FA657D5" w:rsidR="00DF0803" w:rsidRPr="00125A6B" w:rsidRDefault="004F5C56" w:rsidP="62309BE1">
      <w:pPr>
        <w:pStyle w:val="ListParagraph"/>
        <w:rPr>
          <w:rFonts w:ascii="Times New Roman" w:eastAsia="Calibri" w:hAnsi="Times New Roman" w:cs="Times New Roman"/>
        </w:rPr>
      </w:pPr>
      <w:r w:rsidRPr="00125A6B">
        <w:rPr>
          <w:rFonts w:ascii="Times New Roman" w:eastAsia="Calibri" w:hAnsi="Times New Roman" w:cs="Times New Roman"/>
        </w:rPr>
        <w:t>PHAs cannot enter into a HAP contract</w:t>
      </w:r>
      <w:r w:rsidR="00664747" w:rsidRPr="00125A6B">
        <w:rPr>
          <w:rFonts w:ascii="Times New Roman" w:eastAsia="Calibri" w:hAnsi="Times New Roman" w:cs="Times New Roman"/>
        </w:rPr>
        <w:t xml:space="preserve"> (i.e., begin leasing)</w:t>
      </w:r>
      <w:r w:rsidRPr="00125A6B">
        <w:rPr>
          <w:rFonts w:ascii="Times New Roman" w:eastAsia="Calibri" w:hAnsi="Times New Roman" w:cs="Times New Roman"/>
        </w:rPr>
        <w:t xml:space="preserve"> </w:t>
      </w:r>
      <w:r w:rsidR="00664747" w:rsidRPr="00125A6B">
        <w:rPr>
          <w:rFonts w:ascii="Times New Roman" w:eastAsia="Calibri" w:hAnsi="Times New Roman" w:cs="Times New Roman"/>
        </w:rPr>
        <w:t>before</w:t>
      </w:r>
      <w:r w:rsidRPr="00125A6B">
        <w:rPr>
          <w:rFonts w:ascii="Times New Roman" w:eastAsia="Calibri" w:hAnsi="Times New Roman" w:cs="Times New Roman"/>
        </w:rPr>
        <w:t xml:space="preserve"> the </w:t>
      </w:r>
      <w:r w:rsidR="0095296B" w:rsidRPr="00125A6B">
        <w:rPr>
          <w:rFonts w:ascii="Times New Roman" w:eastAsia="Calibri" w:hAnsi="Times New Roman" w:cs="Times New Roman"/>
        </w:rPr>
        <w:t xml:space="preserve">HAP </w:t>
      </w:r>
      <w:r w:rsidRPr="00125A6B">
        <w:rPr>
          <w:rFonts w:ascii="Times New Roman" w:eastAsia="Calibri" w:hAnsi="Times New Roman" w:cs="Times New Roman"/>
        </w:rPr>
        <w:t xml:space="preserve">effective date of the EHV </w:t>
      </w:r>
      <w:r w:rsidR="00902ECB" w:rsidRPr="00125A6B">
        <w:rPr>
          <w:rFonts w:ascii="Times New Roman" w:eastAsia="Calibri" w:hAnsi="Times New Roman" w:cs="Times New Roman"/>
        </w:rPr>
        <w:t>ACC funding increment</w:t>
      </w:r>
      <w:r w:rsidR="00E14E92" w:rsidRPr="00125A6B">
        <w:rPr>
          <w:rFonts w:ascii="Times New Roman" w:eastAsia="Calibri" w:hAnsi="Times New Roman" w:cs="Times New Roman"/>
        </w:rPr>
        <w:t>, which is July 1, 2021</w:t>
      </w:r>
      <w:r w:rsidRPr="00125A6B">
        <w:rPr>
          <w:rFonts w:ascii="Times New Roman" w:eastAsia="Calibri" w:hAnsi="Times New Roman" w:cs="Times New Roman"/>
        </w:rPr>
        <w:t xml:space="preserve">. </w:t>
      </w:r>
    </w:p>
    <w:p w14:paraId="096B96EC" w14:textId="77777777" w:rsidR="00102BAD" w:rsidRPr="00125A6B" w:rsidRDefault="00102BAD" w:rsidP="62309BE1">
      <w:pPr>
        <w:pStyle w:val="ListParagraph"/>
        <w:rPr>
          <w:rFonts w:ascii="Times New Roman" w:eastAsia="Calibri" w:hAnsi="Times New Roman" w:cs="Times New Roman"/>
        </w:rPr>
      </w:pPr>
    </w:p>
    <w:p w14:paraId="5A6D661E" w14:textId="6BA70D30" w:rsidR="00102BAD" w:rsidRPr="00125A6B" w:rsidRDefault="3D89BB52" w:rsidP="00CB7838">
      <w:pPr>
        <w:pStyle w:val="ListParagraph"/>
        <w:numPr>
          <w:ilvl w:val="0"/>
          <w:numId w:val="30"/>
        </w:numPr>
        <w:rPr>
          <w:rFonts w:ascii="Times New Roman" w:hAnsi="Times New Roman" w:cs="Times New Roman"/>
          <w:b/>
          <w:bCs/>
          <w:color w:val="70AD47" w:themeColor="accent6"/>
        </w:rPr>
      </w:pPr>
      <w:r w:rsidRPr="00125A6B">
        <w:rPr>
          <w:rFonts w:ascii="Times New Roman" w:eastAsia="Calibri" w:hAnsi="Times New Roman" w:cs="Times New Roman"/>
          <w:b/>
          <w:bCs/>
        </w:rPr>
        <w:t xml:space="preserve"> Are PHAs required to offer orientation for families referred for EHVs? </w:t>
      </w:r>
    </w:p>
    <w:p w14:paraId="31F36CBC" w14:textId="4AAD0312" w:rsidR="00102BAD" w:rsidRPr="00125A6B" w:rsidRDefault="00102BAD" w:rsidP="62309BE1">
      <w:pPr>
        <w:ind w:left="720"/>
        <w:rPr>
          <w:rFonts w:ascii="Times New Roman" w:hAnsi="Times New Roman" w:cs="Times New Roman"/>
        </w:rPr>
      </w:pPr>
      <w:r w:rsidRPr="00125A6B">
        <w:rPr>
          <w:rFonts w:ascii="Times New Roman" w:eastAsia="Calibri" w:hAnsi="Times New Roman" w:cs="Times New Roman"/>
        </w:rPr>
        <w:t xml:space="preserve">PHAs are responsible for all the administrative responsibilities outlined in </w:t>
      </w:r>
      <w:hyperlink r:id="rId88" w:history="1">
        <w:r w:rsidRPr="00125A6B">
          <w:rPr>
            <w:rStyle w:val="Hyperlink"/>
            <w:rFonts w:ascii="Times New Roman" w:eastAsia="Calibri" w:hAnsi="Times New Roman" w:cs="Times New Roman"/>
          </w:rPr>
          <w:t>PIH Notice 2021-15</w:t>
        </w:r>
      </w:hyperlink>
      <w:r w:rsidRPr="00125A6B">
        <w:rPr>
          <w:rFonts w:ascii="Times New Roman" w:eastAsia="Calibri" w:hAnsi="Times New Roman" w:cs="Times New Roman"/>
        </w:rPr>
        <w:t xml:space="preserve"> and the applicable HCV program regulations.  When the PHA selects a </w:t>
      </w:r>
      <w:r w:rsidR="0055281E" w:rsidRPr="00125A6B">
        <w:rPr>
          <w:rFonts w:ascii="Times New Roman" w:eastAsia="Calibri" w:hAnsi="Times New Roman" w:cs="Times New Roman"/>
        </w:rPr>
        <w:t xml:space="preserve">referred </w:t>
      </w:r>
      <w:r w:rsidRPr="00125A6B">
        <w:rPr>
          <w:rFonts w:ascii="Times New Roman" w:eastAsia="Calibri" w:hAnsi="Times New Roman" w:cs="Times New Roman"/>
        </w:rPr>
        <w:t xml:space="preserve">family to participate in the </w:t>
      </w:r>
      <w:r w:rsidR="0055281E" w:rsidRPr="00125A6B">
        <w:rPr>
          <w:rFonts w:ascii="Times New Roman" w:eastAsia="Calibri" w:hAnsi="Times New Roman" w:cs="Times New Roman"/>
        </w:rPr>
        <w:t xml:space="preserve">EHV </w:t>
      </w:r>
      <w:r w:rsidRPr="00125A6B">
        <w:rPr>
          <w:rFonts w:ascii="Times New Roman" w:eastAsia="Calibri" w:hAnsi="Times New Roman" w:cs="Times New Roman"/>
        </w:rPr>
        <w:t xml:space="preserve">program, the PHA must </w:t>
      </w:r>
      <w:r w:rsidR="0055281E" w:rsidRPr="00125A6B">
        <w:rPr>
          <w:rFonts w:ascii="Times New Roman" w:eastAsia="Calibri" w:hAnsi="Times New Roman" w:cs="Times New Roman"/>
        </w:rPr>
        <w:t>provide</w:t>
      </w:r>
      <w:r w:rsidRPr="00125A6B">
        <w:rPr>
          <w:rFonts w:ascii="Times New Roman" w:eastAsia="Calibri" w:hAnsi="Times New Roman" w:cs="Times New Roman"/>
        </w:rPr>
        <w:t xml:space="preserve"> the family</w:t>
      </w:r>
      <w:r w:rsidR="0055281E" w:rsidRPr="00125A6B">
        <w:rPr>
          <w:rFonts w:ascii="Times New Roman" w:eastAsia="Calibri" w:hAnsi="Times New Roman" w:cs="Times New Roman"/>
        </w:rPr>
        <w:t xml:space="preserve"> with</w:t>
      </w:r>
      <w:r w:rsidRPr="00125A6B">
        <w:rPr>
          <w:rFonts w:ascii="Times New Roman" w:eastAsia="Calibri" w:hAnsi="Times New Roman" w:cs="Times New Roman"/>
        </w:rPr>
        <w:t xml:space="preserve"> an oral briefing</w:t>
      </w:r>
      <w:r w:rsidR="00C45437" w:rsidRPr="00125A6B">
        <w:rPr>
          <w:rFonts w:ascii="Times New Roman" w:eastAsia="Calibri" w:hAnsi="Times New Roman" w:cs="Times New Roman"/>
        </w:rPr>
        <w:t>.</w:t>
      </w:r>
      <w:r w:rsidRPr="00125A6B">
        <w:rPr>
          <w:rFonts w:ascii="Times New Roman" w:eastAsia="Calibri" w:hAnsi="Times New Roman" w:cs="Times New Roman"/>
        </w:rPr>
        <w:t xml:space="preserve"> These requirements are found at 24 CFR 982.301. </w:t>
      </w:r>
      <w:hyperlink r:id="rId89" w:history="1">
        <w:r w:rsidR="00731FFC" w:rsidRPr="00125A6B">
          <w:rPr>
            <w:rStyle w:val="Hyperlink"/>
            <w:rFonts w:ascii="Times New Roman" w:eastAsia="Calibri" w:hAnsi="Times New Roman" w:cs="Times New Roman"/>
          </w:rPr>
          <w:t>PIH Notice 2021-15</w:t>
        </w:r>
      </w:hyperlink>
      <w:r w:rsidR="00731FFC" w:rsidRPr="00125A6B">
        <w:rPr>
          <w:rFonts w:ascii="Times New Roman" w:eastAsia="Calibri" w:hAnsi="Times New Roman" w:cs="Times New Roman"/>
        </w:rPr>
        <w:t xml:space="preserve"> </w:t>
      </w:r>
      <w:r w:rsidRPr="00125A6B">
        <w:rPr>
          <w:rFonts w:ascii="Times New Roman" w:eastAsia="Calibri" w:hAnsi="Times New Roman" w:cs="Times New Roman"/>
        </w:rPr>
        <w:t>provide</w:t>
      </w:r>
      <w:r w:rsidR="432FE238" w:rsidRPr="00125A6B">
        <w:rPr>
          <w:rFonts w:ascii="Times New Roman" w:eastAsia="Calibri" w:hAnsi="Times New Roman" w:cs="Times New Roman"/>
        </w:rPr>
        <w:t>s</w:t>
      </w:r>
      <w:r w:rsidRPr="00125A6B">
        <w:rPr>
          <w:rFonts w:ascii="Times New Roman" w:eastAsia="Calibri" w:hAnsi="Times New Roman" w:cs="Times New Roman"/>
        </w:rPr>
        <w:t xml:space="preserve"> guidance for PHAs on the allowability of remote briefings.  </w:t>
      </w:r>
      <w:proofErr w:type="spellStart"/>
      <w:r w:rsidRPr="00125A6B">
        <w:rPr>
          <w:rFonts w:ascii="Times New Roman" w:eastAsia="Calibri" w:hAnsi="Times New Roman" w:cs="Times New Roman"/>
        </w:rPr>
        <w:t>CoC</w:t>
      </w:r>
      <w:proofErr w:type="spellEnd"/>
      <w:r w:rsidRPr="00125A6B">
        <w:rPr>
          <w:rFonts w:ascii="Times New Roman" w:eastAsia="Calibri" w:hAnsi="Times New Roman" w:cs="Times New Roman"/>
        </w:rPr>
        <w:t xml:space="preserve"> and VSP partners may attend orientations with EHV families to assist families in keeping appointments and understanding program requirements.</w:t>
      </w:r>
    </w:p>
    <w:p w14:paraId="629F27FC" w14:textId="4A596EC4" w:rsidR="00102BAD" w:rsidRPr="00125A6B" w:rsidRDefault="3D89BB52" w:rsidP="00CB7838">
      <w:pPr>
        <w:pStyle w:val="ListParagraph"/>
        <w:numPr>
          <w:ilvl w:val="0"/>
          <w:numId w:val="30"/>
        </w:numPr>
        <w:rPr>
          <w:rFonts w:ascii="Times New Roman" w:hAnsi="Times New Roman" w:cs="Times New Roman"/>
        </w:rPr>
      </w:pPr>
      <w:r w:rsidRPr="00125A6B">
        <w:rPr>
          <w:rFonts w:ascii="Times New Roman" w:eastAsia="Calibri" w:hAnsi="Times New Roman" w:cs="Times New Roman"/>
          <w:b/>
          <w:bCs/>
        </w:rPr>
        <w:t xml:space="preserve"> If the </w:t>
      </w:r>
      <w:proofErr w:type="spellStart"/>
      <w:r w:rsidRPr="00125A6B">
        <w:rPr>
          <w:rFonts w:ascii="Times New Roman" w:eastAsia="Calibri" w:hAnsi="Times New Roman" w:cs="Times New Roman"/>
          <w:b/>
          <w:bCs/>
        </w:rPr>
        <w:t>CoC</w:t>
      </w:r>
      <w:proofErr w:type="spellEnd"/>
      <w:r w:rsidRPr="00125A6B">
        <w:rPr>
          <w:rFonts w:ascii="Times New Roman" w:eastAsia="Calibri" w:hAnsi="Times New Roman" w:cs="Times New Roman"/>
          <w:b/>
          <w:bCs/>
        </w:rPr>
        <w:t xml:space="preserve"> is certifying homeless status, will the PHA be held responsible for obtaining additional documentation other than a certification document to certify homelessness? </w:t>
      </w:r>
    </w:p>
    <w:p w14:paraId="0ECDD786" w14:textId="79600D0B" w:rsidR="00102BAD" w:rsidRPr="00125A6B" w:rsidRDefault="00102BAD" w:rsidP="62309BE1">
      <w:pPr>
        <w:spacing w:after="0"/>
        <w:ind w:left="720"/>
        <w:rPr>
          <w:rFonts w:ascii="Times New Roman" w:eastAsia="Calibri" w:hAnsi="Times New Roman" w:cs="Times New Roman"/>
        </w:rPr>
      </w:pPr>
      <w:r w:rsidRPr="00125A6B">
        <w:rPr>
          <w:rFonts w:ascii="Times New Roman" w:eastAsia="Calibri" w:hAnsi="Times New Roman" w:cs="Times New Roman"/>
        </w:rPr>
        <w:t xml:space="preserve">No.  PHAs are not required to collect additional documentation to prove a family’s homelessness.  The referring agency must provide documentation to the PHA of the referring agency’s verification that the family meets one of the four eligible categories for EHV assistance.  The </w:t>
      </w:r>
      <w:r w:rsidR="00330CAE" w:rsidRPr="00125A6B">
        <w:rPr>
          <w:rFonts w:ascii="Times New Roman" w:eastAsia="Calibri" w:hAnsi="Times New Roman" w:cs="Times New Roman"/>
        </w:rPr>
        <w:t xml:space="preserve">PHA must retain the </w:t>
      </w:r>
      <w:r w:rsidRPr="00125A6B">
        <w:rPr>
          <w:rFonts w:ascii="Times New Roman" w:eastAsia="Calibri" w:hAnsi="Times New Roman" w:cs="Times New Roman"/>
        </w:rPr>
        <w:t xml:space="preserve">certification as part of the family’s file.  </w:t>
      </w:r>
    </w:p>
    <w:p w14:paraId="244BD4D2" w14:textId="77777777" w:rsidR="00330CAE" w:rsidRPr="00125A6B" w:rsidRDefault="00330CAE" w:rsidP="62309BE1">
      <w:pPr>
        <w:spacing w:after="0"/>
        <w:ind w:left="720"/>
        <w:rPr>
          <w:rFonts w:ascii="Times New Roman" w:hAnsi="Times New Roman" w:cs="Times New Roman"/>
        </w:rPr>
      </w:pPr>
    </w:p>
    <w:p w14:paraId="09D1F584" w14:textId="5F28EB56" w:rsidR="00102BAD" w:rsidRPr="00125A6B" w:rsidRDefault="3D89BB52" w:rsidP="00CB7838">
      <w:pPr>
        <w:pStyle w:val="ListParagraph"/>
        <w:numPr>
          <w:ilvl w:val="0"/>
          <w:numId w:val="30"/>
        </w:numPr>
        <w:spacing w:line="257" w:lineRule="auto"/>
        <w:rPr>
          <w:rFonts w:ascii="Times New Roman" w:hAnsi="Times New Roman" w:cs="Times New Roman"/>
          <w:b/>
          <w:bCs/>
        </w:rPr>
      </w:pPr>
      <w:r w:rsidRPr="00125A6B">
        <w:rPr>
          <w:rFonts w:ascii="Times New Roman" w:eastAsia="Calibri" w:hAnsi="Times New Roman" w:cs="Times New Roman"/>
          <w:b/>
          <w:bCs/>
        </w:rPr>
        <w:t xml:space="preserve">Can you over-lease EHVs as long as the CY allocation is not exceeded? </w:t>
      </w:r>
    </w:p>
    <w:p w14:paraId="41596B6D" w14:textId="35D40D1C" w:rsidR="00102BAD" w:rsidRPr="00125A6B" w:rsidRDefault="00102BAD" w:rsidP="62309BE1">
      <w:pPr>
        <w:spacing w:after="0" w:line="257" w:lineRule="auto"/>
        <w:ind w:firstLine="720"/>
        <w:rPr>
          <w:rFonts w:ascii="Times New Roman" w:eastAsia="Calibri" w:hAnsi="Times New Roman" w:cs="Times New Roman"/>
        </w:rPr>
      </w:pPr>
      <w:r w:rsidRPr="00125A6B">
        <w:rPr>
          <w:rFonts w:ascii="Times New Roman" w:eastAsia="Calibri" w:hAnsi="Times New Roman" w:cs="Times New Roman"/>
        </w:rPr>
        <w:t>No</w:t>
      </w:r>
      <w:r w:rsidR="00330CAE" w:rsidRPr="00125A6B">
        <w:rPr>
          <w:rFonts w:ascii="Times New Roman" w:eastAsia="Calibri" w:hAnsi="Times New Roman" w:cs="Times New Roman"/>
        </w:rPr>
        <w:t>.</w:t>
      </w:r>
      <w:r w:rsidRPr="00125A6B">
        <w:rPr>
          <w:rFonts w:ascii="Times New Roman" w:eastAsia="Calibri" w:hAnsi="Times New Roman" w:cs="Times New Roman"/>
        </w:rPr>
        <w:t xml:space="preserve"> </w:t>
      </w:r>
      <w:r w:rsidR="00330CAE" w:rsidRPr="00125A6B">
        <w:rPr>
          <w:rFonts w:ascii="Times New Roman" w:eastAsia="Calibri" w:hAnsi="Times New Roman" w:cs="Times New Roman"/>
        </w:rPr>
        <w:t xml:space="preserve"> O</w:t>
      </w:r>
      <w:r w:rsidRPr="00125A6B">
        <w:rPr>
          <w:rFonts w:ascii="Times New Roman" w:eastAsia="Calibri" w:hAnsi="Times New Roman" w:cs="Times New Roman"/>
        </w:rPr>
        <w:t>ver-leasing is not permitted.</w:t>
      </w:r>
    </w:p>
    <w:p w14:paraId="031DE792" w14:textId="77777777" w:rsidR="00330CAE" w:rsidRPr="00125A6B" w:rsidRDefault="00330CAE" w:rsidP="62309BE1">
      <w:pPr>
        <w:spacing w:after="0" w:line="257" w:lineRule="auto"/>
        <w:ind w:firstLine="720"/>
        <w:rPr>
          <w:rFonts w:ascii="Times New Roman" w:eastAsia="Calibri" w:hAnsi="Times New Roman" w:cs="Times New Roman"/>
        </w:rPr>
      </w:pPr>
    </w:p>
    <w:p w14:paraId="56CDC409" w14:textId="7D7F65DA" w:rsidR="008811C9" w:rsidRPr="00125A6B" w:rsidRDefault="3B0E5433" w:rsidP="00CB7838">
      <w:pPr>
        <w:pStyle w:val="ListParagraph"/>
        <w:numPr>
          <w:ilvl w:val="0"/>
          <w:numId w:val="30"/>
        </w:numPr>
        <w:spacing w:line="257" w:lineRule="auto"/>
        <w:rPr>
          <w:rFonts w:ascii="Times New Roman" w:eastAsia="Calibri" w:hAnsi="Times New Roman" w:cs="Times New Roman"/>
          <w:b/>
          <w:bCs/>
        </w:rPr>
      </w:pPr>
      <w:r w:rsidRPr="00125A6B">
        <w:rPr>
          <w:rFonts w:ascii="Times New Roman" w:eastAsia="Calibri" w:hAnsi="Times New Roman" w:cs="Times New Roman"/>
          <w:b/>
          <w:bCs/>
        </w:rPr>
        <w:t xml:space="preserve"> If an applicant owes money to a Section 8 project-based property for nonpayment of rent due to COVID-19, can EHV </w:t>
      </w:r>
      <w:r w:rsidR="7CB0C223" w:rsidRPr="00125A6B">
        <w:rPr>
          <w:rFonts w:ascii="Times New Roman" w:eastAsia="Calibri" w:hAnsi="Times New Roman" w:cs="Times New Roman"/>
          <w:b/>
          <w:bCs/>
        </w:rPr>
        <w:t>s</w:t>
      </w:r>
      <w:r w:rsidRPr="00125A6B">
        <w:rPr>
          <w:rFonts w:ascii="Times New Roman" w:eastAsia="Calibri" w:hAnsi="Times New Roman" w:cs="Times New Roman"/>
          <w:b/>
          <w:bCs/>
        </w:rPr>
        <w:t>ervice</w:t>
      </w:r>
      <w:r w:rsidR="79652116" w:rsidRPr="00125A6B">
        <w:rPr>
          <w:rFonts w:ascii="Times New Roman" w:eastAsia="Calibri" w:hAnsi="Times New Roman" w:cs="Times New Roman"/>
          <w:b/>
          <w:bCs/>
        </w:rPr>
        <w:t>s</w:t>
      </w:r>
      <w:r w:rsidRPr="00125A6B">
        <w:rPr>
          <w:rFonts w:ascii="Times New Roman" w:eastAsia="Calibri" w:hAnsi="Times New Roman" w:cs="Times New Roman"/>
          <w:b/>
          <w:bCs/>
        </w:rPr>
        <w:t xml:space="preserve"> </w:t>
      </w:r>
      <w:r w:rsidR="446D4EFA" w:rsidRPr="00125A6B">
        <w:rPr>
          <w:rFonts w:ascii="Times New Roman" w:eastAsia="Calibri" w:hAnsi="Times New Roman" w:cs="Times New Roman"/>
          <w:b/>
          <w:bCs/>
        </w:rPr>
        <w:t>f</w:t>
      </w:r>
      <w:r w:rsidRPr="00125A6B">
        <w:rPr>
          <w:rFonts w:ascii="Times New Roman" w:eastAsia="Calibri" w:hAnsi="Times New Roman" w:cs="Times New Roman"/>
          <w:b/>
          <w:bCs/>
        </w:rPr>
        <w:t>ees be used to pay that debt to receive the EHV and go to another property?</w:t>
      </w:r>
    </w:p>
    <w:p w14:paraId="2EE679EB" w14:textId="6607546E" w:rsidR="008811C9" w:rsidRPr="00125A6B" w:rsidRDefault="008811C9" w:rsidP="62309BE1">
      <w:pPr>
        <w:spacing w:line="257" w:lineRule="auto"/>
        <w:ind w:firstLine="720"/>
        <w:rPr>
          <w:rFonts w:ascii="Times New Roman" w:eastAsia="Calibri" w:hAnsi="Times New Roman" w:cs="Times New Roman"/>
        </w:rPr>
      </w:pPr>
      <w:r w:rsidRPr="00125A6B">
        <w:rPr>
          <w:rFonts w:ascii="Times New Roman" w:eastAsia="Calibri" w:hAnsi="Times New Roman" w:cs="Times New Roman"/>
        </w:rPr>
        <w:t>No</w:t>
      </w:r>
      <w:r w:rsidR="004D490A" w:rsidRPr="00125A6B">
        <w:rPr>
          <w:rFonts w:ascii="Times New Roman" w:eastAsia="Calibri" w:hAnsi="Times New Roman" w:cs="Times New Roman"/>
        </w:rPr>
        <w:t>.</w:t>
      </w:r>
      <w:r w:rsidRPr="00125A6B">
        <w:rPr>
          <w:rFonts w:ascii="Times New Roman" w:eastAsia="Calibri" w:hAnsi="Times New Roman" w:cs="Times New Roman"/>
        </w:rPr>
        <w:t xml:space="preserve"> EHV fees cannot be used </w:t>
      </w:r>
      <w:r w:rsidR="009076B4" w:rsidRPr="00125A6B">
        <w:rPr>
          <w:rFonts w:ascii="Times New Roman" w:eastAsia="Calibri" w:hAnsi="Times New Roman" w:cs="Times New Roman"/>
        </w:rPr>
        <w:t>to</w:t>
      </w:r>
      <w:r w:rsidRPr="00125A6B">
        <w:rPr>
          <w:rFonts w:ascii="Times New Roman" w:eastAsia="Calibri" w:hAnsi="Times New Roman" w:cs="Times New Roman"/>
        </w:rPr>
        <w:t xml:space="preserve"> pay HCV debts.</w:t>
      </w:r>
    </w:p>
    <w:p w14:paraId="675D00DB" w14:textId="73352CCD" w:rsidR="005B6F6A" w:rsidRPr="00125A6B" w:rsidRDefault="005B6F6A" w:rsidP="00BD39AE">
      <w:pPr>
        <w:pStyle w:val="Heading1"/>
        <w:tabs>
          <w:tab w:val="center" w:pos="4680"/>
        </w:tabs>
      </w:pPr>
      <w:bookmarkStart w:id="13" w:name="_Toc74733178"/>
      <w:r w:rsidRPr="00125A6B">
        <w:t>Administrative &amp; Service Fees</w:t>
      </w:r>
      <w:bookmarkEnd w:id="13"/>
      <w:r w:rsidR="00BD39AE" w:rsidRPr="00125A6B">
        <w:tab/>
      </w:r>
    </w:p>
    <w:p w14:paraId="5A04A829" w14:textId="7FB4181D" w:rsidR="00BD39AE" w:rsidRPr="00125A6B" w:rsidRDefault="00BD39AE" w:rsidP="00BD39AE"/>
    <w:p w14:paraId="306F2894" w14:textId="5CB6EF18" w:rsidR="00974DF2" w:rsidRPr="00974DF2" w:rsidRDefault="00974DF2" w:rsidP="00974DF2">
      <w:pPr>
        <w:pStyle w:val="ListParagraph"/>
        <w:numPr>
          <w:ilvl w:val="0"/>
          <w:numId w:val="30"/>
        </w:numPr>
        <w:spacing w:after="0" w:line="240" w:lineRule="auto"/>
        <w:rPr>
          <w:rFonts w:ascii="Times New Roman" w:eastAsia="Times New Roman" w:hAnsi="Times New Roman" w:cs="Times New Roman"/>
          <w:b/>
          <w:sz w:val="24"/>
          <w:szCs w:val="24"/>
        </w:rPr>
      </w:pPr>
      <w:r w:rsidRPr="00974DF2">
        <w:rPr>
          <w:rFonts w:ascii="Times New Roman" w:eastAsia="Times New Roman" w:hAnsi="Times New Roman" w:cs="Times New Roman"/>
          <w:b/>
          <w:sz w:val="24"/>
          <w:szCs w:val="24"/>
        </w:rPr>
        <w:t xml:space="preserve">Can PHAs use service fees to provide families with gift cards for them to purchase essential household items? </w:t>
      </w:r>
      <w:r w:rsidRPr="00974DF2">
        <w:rPr>
          <w:rFonts w:ascii="Times New Roman" w:eastAsia="Times New Roman" w:hAnsi="Times New Roman" w:cs="Times New Roman"/>
          <w:b/>
          <w:bCs/>
          <w:color w:val="C00000"/>
          <w:sz w:val="24"/>
          <w:szCs w:val="24"/>
        </w:rPr>
        <w:t>(NEW)</w:t>
      </w:r>
    </w:p>
    <w:p w14:paraId="33747DC6" w14:textId="77777777" w:rsidR="00974DF2" w:rsidRDefault="00974DF2" w:rsidP="00974DF2">
      <w:pPr>
        <w:pStyle w:val="NormalWeb"/>
        <w:ind w:left="720"/>
      </w:pPr>
      <w:r w:rsidRPr="00974DF2">
        <w:rPr>
          <w:rFonts w:eastAsia="Calibri"/>
          <w:sz w:val="22"/>
          <w:szCs w:val="22"/>
        </w:rPr>
        <w:t>Yes.  The regulations at 2 CFR, Part 200 regarding necessity and reasonableness apply to all expenditures of federal funds</w:t>
      </w:r>
      <w:r w:rsidRPr="4406D411">
        <w:t xml:space="preserve">. </w:t>
      </w:r>
      <w:r>
        <w:t xml:space="preserve"> </w:t>
      </w:r>
      <w:r w:rsidRPr="2A6BB28A">
        <w:t xml:space="preserve">Per </w:t>
      </w:r>
      <w:hyperlink r:id="rId90">
        <w:r w:rsidRPr="2A6BB28A">
          <w:rPr>
            <w:rStyle w:val="Hyperlink"/>
          </w:rPr>
          <w:t>PIH Notice 2021-25</w:t>
        </w:r>
      </w:hyperlink>
      <w:r w:rsidRPr="2A6BB28A">
        <w:t xml:space="preserve">, </w:t>
      </w:r>
      <w:r w:rsidRPr="00974DF2">
        <w:rPr>
          <w:rFonts w:eastAsia="Calibri"/>
          <w:sz w:val="22"/>
          <w:szCs w:val="22"/>
        </w:rPr>
        <w:t xml:space="preserve">PHAs may use Service Fees to provide families with gift cards to purchase essential items.  PHAs must track and report what specific eligible activities are paid for using service fees.  PHAs should specify eligible essential household items in its administrative plan and provide a listing of all eligible uses to families receiving a gift card.  The PHA should inform families that they must provide receipts documenting that any amount used from the gift card or other prepaid card was used only on eligible items as outlined in the PHA’s administrative plan.  These receipts must be maintained as part of the file documentation to show that service fees were spent in accordance with programmatic requirements. If families are unable or unwilling to produce receipts to document their use of a gift card or other prepaid card for essential household items, the family must repay </w:t>
      </w:r>
      <w:r w:rsidRPr="00974DF2">
        <w:rPr>
          <w:rFonts w:eastAsia="Calibri"/>
          <w:sz w:val="22"/>
          <w:szCs w:val="22"/>
        </w:rPr>
        <w:lastRenderedPageBreak/>
        <w:t>the funds in accordance with the repayment agreement requirements found in Section 16 of</w:t>
      </w:r>
      <w:r w:rsidRPr="4406D411">
        <w:t xml:space="preserve"> </w:t>
      </w:r>
      <w:hyperlink r:id="rId91">
        <w:r w:rsidRPr="20B15A82">
          <w:rPr>
            <w:rStyle w:val="Hyperlink"/>
          </w:rPr>
          <w:t>PIH Notice 2018-18</w:t>
        </w:r>
      </w:hyperlink>
      <w:r w:rsidRPr="4406D411">
        <w:t>.</w:t>
      </w:r>
      <w:r w:rsidRPr="74CD194C">
        <w:t xml:space="preserve"> </w:t>
      </w:r>
      <w:r w:rsidRPr="00974DF2">
        <w:rPr>
          <w:rFonts w:eastAsia="Calibri"/>
          <w:sz w:val="22"/>
          <w:szCs w:val="22"/>
        </w:rPr>
        <w:t xml:space="preserve">If funding for essential household items is given to a </w:t>
      </w:r>
      <w:proofErr w:type="spellStart"/>
      <w:r w:rsidRPr="00974DF2">
        <w:rPr>
          <w:rFonts w:eastAsia="Calibri"/>
          <w:sz w:val="22"/>
          <w:szCs w:val="22"/>
        </w:rPr>
        <w:t>CoC</w:t>
      </w:r>
      <w:proofErr w:type="spellEnd"/>
      <w:r w:rsidRPr="00974DF2">
        <w:rPr>
          <w:rFonts w:eastAsia="Calibri"/>
          <w:sz w:val="22"/>
          <w:szCs w:val="22"/>
        </w:rPr>
        <w:t xml:space="preserve"> or other service provider that is providing services to EHV participants, the PHA should inform and document the requirement for the </w:t>
      </w:r>
      <w:proofErr w:type="spellStart"/>
      <w:r w:rsidRPr="00974DF2">
        <w:rPr>
          <w:rFonts w:eastAsia="Calibri"/>
          <w:sz w:val="22"/>
          <w:szCs w:val="22"/>
        </w:rPr>
        <w:t>CoC</w:t>
      </w:r>
      <w:proofErr w:type="spellEnd"/>
      <w:r w:rsidRPr="00974DF2">
        <w:rPr>
          <w:rFonts w:eastAsia="Calibri"/>
          <w:sz w:val="22"/>
          <w:szCs w:val="22"/>
        </w:rPr>
        <w:t xml:space="preserve"> to obtain all receipts provided in accordance with eligible uses.  All documentation and receipts must be collected by the PHA.</w:t>
      </w:r>
      <w:r>
        <w:t xml:space="preserve"> </w:t>
      </w:r>
      <w:r w:rsidRPr="4406D411">
        <w:t xml:space="preserve"> </w:t>
      </w:r>
      <w:r>
        <w:t xml:space="preserve"> </w:t>
      </w:r>
      <w:r w:rsidRPr="4406D411">
        <w:t xml:space="preserve"> </w:t>
      </w:r>
    </w:p>
    <w:p w14:paraId="253A9945" w14:textId="04EE50F9" w:rsidR="00BD39AE" w:rsidRPr="00125A6B" w:rsidRDefault="00BD39AE" w:rsidP="00CB7838">
      <w:pPr>
        <w:pStyle w:val="ListParagraph"/>
        <w:numPr>
          <w:ilvl w:val="0"/>
          <w:numId w:val="30"/>
        </w:numPr>
        <w:spacing w:line="256" w:lineRule="auto"/>
        <w:rPr>
          <w:rFonts w:ascii="Times New Roman" w:eastAsia="Calibri" w:hAnsi="Times New Roman" w:cs="Times New Roman"/>
          <w:b/>
          <w:bCs/>
        </w:rPr>
      </w:pPr>
      <w:r w:rsidRPr="00125A6B">
        <w:rPr>
          <w:rFonts w:ascii="Times New Roman" w:eastAsia="Calibri" w:hAnsi="Times New Roman" w:cs="Times New Roman"/>
          <w:b/>
          <w:bCs/>
        </w:rPr>
        <w:t xml:space="preserve">May an initial PHA porting an EHV family pay service fees to a receiving PHA that will absorb the EHV family into its HCV program upon admission? </w:t>
      </w:r>
    </w:p>
    <w:p w14:paraId="06B2A5D7" w14:textId="3B2F3922" w:rsidR="007F63BD" w:rsidRPr="00125A6B" w:rsidRDefault="00BD39AE" w:rsidP="00BD39AE">
      <w:pPr>
        <w:ind w:left="720"/>
        <w:rPr>
          <w:rFonts w:ascii="Times New Roman" w:eastAsia="Times New Roman" w:hAnsi="Times New Roman" w:cs="Times New Roman"/>
          <w:color w:val="000000" w:themeColor="text1"/>
        </w:rPr>
      </w:pPr>
      <w:r w:rsidRPr="00125A6B">
        <w:rPr>
          <w:rFonts w:ascii="Times New Roman" w:eastAsia="Times New Roman" w:hAnsi="Times New Roman" w:cs="Times New Roman"/>
          <w:color w:val="000000" w:themeColor="text1"/>
        </w:rPr>
        <w:t xml:space="preserve">Yes. Per Section 9(o)(iv)(B) of </w:t>
      </w:r>
      <w:hyperlink r:id="rId92" w:history="1">
        <w:r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color w:val="000000" w:themeColor="text1"/>
        </w:rPr>
        <w:t xml:space="preserve">, if the receiving PHA, in consultation and coordination with the initial PHA, will provide eligible services or assistance to the incoming EHV family, then the receiving PHA may be compensated for those costs by the initial PHA. Families are absorbed when the receiving PHA executes a HAP contract on behalf of the family, and until that time, the family remains an EHV program participant. Accordingly, the initial PHA may pay service fees to the receiving PHA in accordance with the requirements found in </w:t>
      </w:r>
      <w:hyperlink r:id="rId93" w:history="1">
        <w:r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color w:val="000000" w:themeColor="text1"/>
        </w:rPr>
        <w:t>. The initial PHA will still need</w:t>
      </w:r>
      <w:r w:rsidRPr="00125A6B">
        <w:rPr>
          <w:rFonts w:ascii="Times New Roman" w:hAnsi="Times New Roman" w:cs="Times New Roman"/>
        </w:rPr>
        <w:t xml:space="preserve"> </w:t>
      </w:r>
      <w:r w:rsidRPr="00125A6B">
        <w:rPr>
          <w:rFonts w:ascii="Times New Roman" w:eastAsia="Times New Roman" w:hAnsi="Times New Roman" w:cs="Times New Roman"/>
          <w:color w:val="000000" w:themeColor="text1"/>
        </w:rPr>
        <w:t>to provide documentation regarding the eligible services provided to the family via an invoice or similar documentation denoting funds expended.</w:t>
      </w:r>
    </w:p>
    <w:p w14:paraId="1DAF9429" w14:textId="77777777" w:rsidR="00BD39AE" w:rsidRPr="00125A6B" w:rsidRDefault="00BD39AE" w:rsidP="00BD39AE">
      <w:pPr>
        <w:ind w:left="720"/>
        <w:rPr>
          <w:rFonts w:ascii="Times New Roman" w:eastAsia="Times New Roman" w:hAnsi="Times New Roman" w:cs="Times New Roman"/>
          <w:color w:val="000000" w:themeColor="text1"/>
        </w:rPr>
      </w:pPr>
    </w:p>
    <w:p w14:paraId="6CDD867B" w14:textId="5945A4AB" w:rsidR="00145A08" w:rsidRPr="00125A6B" w:rsidRDefault="00145A08" w:rsidP="00CB7838">
      <w:pPr>
        <w:pStyle w:val="ListParagraph"/>
        <w:numPr>
          <w:ilvl w:val="0"/>
          <w:numId w:val="30"/>
        </w:numPr>
        <w:spacing w:after="0" w:line="240" w:lineRule="auto"/>
        <w:rPr>
          <w:rFonts w:ascii="Times New Roman" w:eastAsia="Calibri" w:hAnsi="Times New Roman" w:cs="Times New Roman"/>
          <w:b/>
          <w:bCs/>
        </w:rPr>
      </w:pPr>
      <w:r w:rsidRPr="00125A6B">
        <w:rPr>
          <w:rFonts w:ascii="Times New Roman" w:eastAsia="Calibri" w:hAnsi="Times New Roman" w:cs="Times New Roman"/>
          <w:b/>
          <w:bCs/>
        </w:rPr>
        <w:t xml:space="preserve">May a PHA use a portion of the EHV service fee for groceries and toiletries? </w:t>
      </w:r>
    </w:p>
    <w:p w14:paraId="097D1C97" w14:textId="77777777" w:rsidR="00145A08" w:rsidRPr="00125A6B" w:rsidRDefault="00145A08" w:rsidP="00145A08">
      <w:pPr>
        <w:spacing w:after="0" w:line="240" w:lineRule="auto"/>
        <w:rPr>
          <w:rFonts w:ascii="Times New Roman" w:eastAsia="Calibri" w:hAnsi="Times New Roman" w:cs="Times New Roman"/>
          <w:b/>
          <w:bCs/>
        </w:rPr>
      </w:pPr>
    </w:p>
    <w:p w14:paraId="76CE8BFE" w14:textId="365AF6DD" w:rsidR="00145A08" w:rsidRDefault="00EE7DB8" w:rsidP="006B48E9">
      <w:pPr>
        <w:spacing w:after="0" w:line="240" w:lineRule="auto"/>
        <w:ind w:left="720"/>
        <w:rPr>
          <w:rFonts w:ascii="Times New Roman" w:hAnsi="Times New Roman" w:cs="Times New Roman"/>
        </w:rPr>
      </w:pPr>
      <w:hyperlink r:id="rId94" w:tgtFrame="_blank" w:history="1">
        <w:r w:rsidR="00145A08" w:rsidRPr="00125A6B">
          <w:rPr>
            <w:rStyle w:val="normaltextrun"/>
            <w:rFonts w:ascii="Times New Roman" w:hAnsi="Times New Roman" w:cs="Times New Roman"/>
            <w:color w:val="0563C1"/>
            <w:u w:val="single"/>
            <w:shd w:val="clear" w:color="auto" w:fill="FFFFFF"/>
          </w:rPr>
          <w:t>PIH Notice 2021-15</w:t>
        </w:r>
      </w:hyperlink>
      <w:r w:rsidR="00145A08" w:rsidRPr="00125A6B">
        <w:rPr>
          <w:rStyle w:val="normaltextrun"/>
          <w:color w:val="000000"/>
          <w:shd w:val="clear" w:color="auto" w:fill="FFFFFF"/>
        </w:rPr>
        <w:t xml:space="preserve"> </w:t>
      </w:r>
      <w:r w:rsidR="00145A08" w:rsidRPr="00125A6B">
        <w:rPr>
          <w:rFonts w:ascii="Times New Roman" w:eastAsia="Calibri" w:hAnsi="Times New Roman" w:cs="Times New Roman"/>
        </w:rPr>
        <w:t xml:space="preserve">states that PHAs may use the service fee funding to assist the family with some or all of the costs of acquiring essential household items as define by the PHA.  The examples of tableware and bedding provided in the notice are not exhaustive.  HUD provided PHAs with flexibility in defining essential household items.  HUD recommends that PHAs work with local food banks, federal lifeline assistance, Salvation Army, and other organizations that may assist in providing families assistance with securing groceries and toiletries.  HUD expects the use of the service fee for groceries and toiletries will be limited.  PHAs are encouraged to keep records of its determination that service fees for such uses helped facilitate the leasing of EHVs.   </w:t>
      </w:r>
    </w:p>
    <w:p w14:paraId="5ABD47BD" w14:textId="77777777" w:rsidR="006B48E9" w:rsidRPr="006B48E9" w:rsidRDefault="006B48E9" w:rsidP="006B48E9">
      <w:pPr>
        <w:spacing w:after="0" w:line="240" w:lineRule="auto"/>
        <w:ind w:left="720"/>
        <w:rPr>
          <w:rFonts w:ascii="Times New Roman" w:hAnsi="Times New Roman" w:cs="Times New Roman"/>
        </w:rPr>
      </w:pPr>
    </w:p>
    <w:p w14:paraId="76596BBB" w14:textId="7619C853" w:rsidR="007F63BD" w:rsidRPr="00125A6B" w:rsidRDefault="007F63BD" w:rsidP="00CB7838">
      <w:pPr>
        <w:pStyle w:val="ListParagraph"/>
        <w:numPr>
          <w:ilvl w:val="0"/>
          <w:numId w:val="30"/>
        </w:numPr>
        <w:spacing w:line="252" w:lineRule="auto"/>
        <w:rPr>
          <w:rFonts w:ascii="Times New Roman" w:hAnsi="Times New Roman" w:cs="Times New Roman"/>
          <w:b/>
          <w:bCs/>
          <w:color w:val="000000" w:themeColor="text1"/>
        </w:rPr>
      </w:pPr>
      <w:r w:rsidRPr="00125A6B">
        <w:rPr>
          <w:rFonts w:ascii="Times New Roman" w:eastAsia="Calibri" w:hAnsi="Times New Roman" w:cs="Times New Roman"/>
          <w:b/>
          <w:color w:val="000000" w:themeColor="text1"/>
        </w:rPr>
        <w:t>Can CARES Act administrative fees be used to support EHVs?  </w:t>
      </w:r>
    </w:p>
    <w:p w14:paraId="6B97F590" w14:textId="77777777" w:rsidR="007F4FAF" w:rsidRPr="00125A6B" w:rsidRDefault="007F4FAF" w:rsidP="007F4FAF">
      <w:pPr>
        <w:pStyle w:val="ListParagraph"/>
        <w:spacing w:line="252" w:lineRule="auto"/>
        <w:rPr>
          <w:rFonts w:ascii="Times New Roman" w:hAnsi="Times New Roman" w:cs="Times New Roman"/>
          <w:b/>
          <w:bCs/>
          <w:color w:val="000000" w:themeColor="text1"/>
        </w:rPr>
      </w:pPr>
    </w:p>
    <w:p w14:paraId="5F86E1FD" w14:textId="0497D487" w:rsidR="007F63BD" w:rsidRPr="00125A6B" w:rsidRDefault="007F4FAF" w:rsidP="007F4FAF">
      <w:pPr>
        <w:pStyle w:val="ListParagraph"/>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 xml:space="preserve">CARES Act Administrative fees may be used for EHVs, with the caveat that all of the CARES Act requirements and restrictions on the CARES Act administrative fees apply regardless of whether the fees are used in support of Housing Choice Vouchers (HCVs) or EHVs.  This includes reporting requirements, the period of availability during which CARES Act administrative fees must be expended (ends 12/31/21 per </w:t>
      </w:r>
      <w:hyperlink r:id="rId95" w:history="1">
        <w:r w:rsidRPr="00125A6B">
          <w:rPr>
            <w:rStyle w:val="Hyperlink"/>
            <w:rFonts w:ascii="Times New Roman" w:eastAsia="Calibri" w:hAnsi="Times New Roman" w:cs="Times New Roman"/>
          </w:rPr>
          <w:t>PIH Notice 2020-24</w:t>
        </w:r>
      </w:hyperlink>
      <w:r w:rsidRPr="00125A6B">
        <w:rPr>
          <w:rFonts w:ascii="Times New Roman" w:eastAsia="Calibri" w:hAnsi="Times New Roman" w:cs="Times New Roman"/>
          <w:color w:val="000000" w:themeColor="text1"/>
        </w:rPr>
        <w:t>), and the CARES Act eligible</w:t>
      </w:r>
      <w:r w:rsidR="00A54ABE" w:rsidRPr="00125A6B">
        <w:rPr>
          <w:rFonts w:ascii="Times New Roman" w:eastAsia="Calibri" w:hAnsi="Times New Roman" w:cs="Times New Roman"/>
          <w:color w:val="000000" w:themeColor="text1"/>
        </w:rPr>
        <w:t xml:space="preserve"> uses</w:t>
      </w:r>
      <w:r w:rsidRPr="00125A6B">
        <w:rPr>
          <w:rFonts w:ascii="Times New Roman" w:eastAsia="Calibri" w:hAnsi="Times New Roman" w:cs="Times New Roman"/>
          <w:color w:val="000000" w:themeColor="text1"/>
        </w:rPr>
        <w:t xml:space="preserve"> which include: (1) any currently eligible administrative costs during the period that the program remains impacted by COVID-19; and (2) new HUD</w:t>
      </w:r>
      <w:r w:rsidR="00A54ABE" w:rsidRPr="00125A6B">
        <w:rPr>
          <w:rFonts w:ascii="Times New Roman" w:eastAsia="Calibri" w:hAnsi="Times New Roman" w:cs="Times New Roman"/>
          <w:color w:val="000000" w:themeColor="text1"/>
        </w:rPr>
        <w:t>-</w:t>
      </w:r>
      <w:r w:rsidRPr="00125A6B">
        <w:rPr>
          <w:rFonts w:ascii="Times New Roman" w:eastAsia="Calibri" w:hAnsi="Times New Roman" w:cs="Times New Roman"/>
          <w:color w:val="000000" w:themeColor="text1"/>
        </w:rPr>
        <w:t>defined COVID-19 related activities, including activities to support or maintain the health and safety of assisted individuals and families, and costs related to the retention and support of participating owners.</w:t>
      </w:r>
    </w:p>
    <w:p w14:paraId="38AEDAEA" w14:textId="77777777" w:rsidR="007F4FAF" w:rsidRPr="00125A6B" w:rsidRDefault="007F4FAF" w:rsidP="007F4FAF">
      <w:pPr>
        <w:pStyle w:val="ListParagraph"/>
        <w:rPr>
          <w:rFonts w:ascii="Times New Roman" w:eastAsia="Calibri" w:hAnsi="Times New Roman" w:cs="Times New Roman"/>
          <w:color w:val="000000" w:themeColor="text1"/>
        </w:rPr>
      </w:pPr>
    </w:p>
    <w:p w14:paraId="549886E4" w14:textId="7A39BCF9" w:rsidR="007F63BD" w:rsidRPr="00125A6B" w:rsidRDefault="007F63BD" w:rsidP="00CB7838">
      <w:pPr>
        <w:pStyle w:val="ListParagraph"/>
        <w:numPr>
          <w:ilvl w:val="0"/>
          <w:numId w:val="30"/>
        </w:numPr>
        <w:spacing w:line="252" w:lineRule="auto"/>
        <w:rPr>
          <w:rFonts w:ascii="Times New Roman" w:hAnsi="Times New Roman" w:cs="Times New Roman"/>
          <w:b/>
          <w:bCs/>
          <w:color w:val="000000" w:themeColor="text1"/>
        </w:rPr>
      </w:pPr>
      <w:r w:rsidRPr="00125A6B">
        <w:rPr>
          <w:rFonts w:ascii="Times New Roman" w:eastAsia="Calibri" w:hAnsi="Times New Roman" w:cs="Times New Roman"/>
          <w:b/>
          <w:color w:val="000000" w:themeColor="text1"/>
        </w:rPr>
        <w:t xml:space="preserve"> Can Service Fees be used for expenses such as storage expenses and lock changes to </w:t>
      </w:r>
      <w:r w:rsidR="00D238AA" w:rsidRPr="00125A6B">
        <w:rPr>
          <w:rFonts w:ascii="Times New Roman" w:eastAsia="Calibri" w:hAnsi="Times New Roman" w:cs="Times New Roman"/>
          <w:b/>
          <w:color w:val="000000" w:themeColor="text1"/>
        </w:rPr>
        <w:t xml:space="preserve">support </w:t>
      </w:r>
      <w:r w:rsidRPr="00125A6B">
        <w:rPr>
          <w:rFonts w:ascii="Times New Roman" w:eastAsia="Calibri" w:hAnsi="Times New Roman" w:cs="Times New Roman"/>
          <w:b/>
          <w:color w:val="000000" w:themeColor="text1"/>
        </w:rPr>
        <w:t xml:space="preserve">the needs of EHV families? </w:t>
      </w:r>
    </w:p>
    <w:p w14:paraId="7C13159D" w14:textId="77777777" w:rsidR="00B666E1" w:rsidRPr="00125A6B" w:rsidRDefault="00B666E1" w:rsidP="00B666E1">
      <w:pPr>
        <w:pStyle w:val="ListParagraph"/>
        <w:rPr>
          <w:rFonts w:ascii="Times New Roman" w:hAnsi="Times New Roman" w:cs="Times New Roman"/>
          <w:color w:val="000000"/>
        </w:rPr>
      </w:pPr>
    </w:p>
    <w:p w14:paraId="6725E964" w14:textId="16B3E7A3" w:rsidR="007F63BD" w:rsidRPr="00125A6B" w:rsidRDefault="00AB14CE" w:rsidP="00AB14CE">
      <w:pPr>
        <w:pStyle w:val="ListParagraph"/>
        <w:rPr>
          <w:rFonts w:ascii="Times New Roman" w:hAnsi="Times New Roman" w:cs="Times New Roman"/>
          <w:color w:val="000000"/>
        </w:rPr>
      </w:pPr>
      <w:r w:rsidRPr="00125A6B">
        <w:rPr>
          <w:rFonts w:ascii="Times New Roman" w:hAnsi="Times New Roman" w:cs="Times New Roman"/>
          <w:color w:val="000000"/>
        </w:rPr>
        <w:t xml:space="preserve">Yes. Moving expenses are an eligible use for the services fees when the family initially leases a unit with the EHV, and the PHA could choose to include storage expenses and lock changes as </w:t>
      </w:r>
      <w:r w:rsidRPr="00125A6B">
        <w:rPr>
          <w:rFonts w:ascii="Times New Roman" w:hAnsi="Times New Roman" w:cs="Times New Roman"/>
          <w:color w:val="000000"/>
        </w:rPr>
        <w:lastRenderedPageBreak/>
        <w:t xml:space="preserve">part of the moving expenses. However, there are limitations on eligible moving expenses for a family’s subsequent moves.  Per Section 6(d)(iv)(A) of </w:t>
      </w:r>
      <w:hyperlink r:id="rId96" w:history="1">
        <w:r w:rsidRPr="00125A6B">
          <w:rPr>
            <w:rStyle w:val="Hyperlink"/>
            <w:rFonts w:ascii="Times New Roman" w:hAnsi="Times New Roman" w:cs="Times New Roman"/>
          </w:rPr>
          <w:t>PIH Notice 2021-15</w:t>
        </w:r>
      </w:hyperlink>
      <w:r w:rsidRPr="00125A6B">
        <w:rPr>
          <w:rFonts w:ascii="Times New Roman" w:hAnsi="Times New Roman" w:cs="Times New Roman"/>
          <w:color w:val="000000"/>
        </w:rPr>
        <w:t>, “the PHA may not provide moving expenses assistance for subsequent moves unless the family is required to move for reasons other than something the family did or failed to do (e.g., the PHA is terminating the HAP contract because the owner did not fulfill the owner responsibilities under the HAP contract or the owner is refusing to offer the family the opportunity to enter a new lease after the initial lease term, as opposed to the family choosing to terminate the tenancy in order to move to another unit), or a family has to move due to domestic violence, dating violence, sexual assault, stalking or human trafficking for example.”</w:t>
      </w:r>
    </w:p>
    <w:p w14:paraId="0ECA1AE8" w14:textId="77777777" w:rsidR="00AB14CE" w:rsidRPr="00125A6B" w:rsidRDefault="00AB14CE" w:rsidP="00AB14CE">
      <w:pPr>
        <w:pStyle w:val="ListParagraph"/>
        <w:rPr>
          <w:rFonts w:ascii="Times New Roman" w:hAnsi="Times New Roman" w:cs="Times New Roman"/>
          <w:color w:val="000000"/>
        </w:rPr>
      </w:pPr>
    </w:p>
    <w:p w14:paraId="6D494E40" w14:textId="1175C432" w:rsidR="00EE3B42" w:rsidRPr="00125A6B" w:rsidRDefault="007F63BD" w:rsidP="00CB7838">
      <w:pPr>
        <w:pStyle w:val="ListParagraph"/>
        <w:numPr>
          <w:ilvl w:val="0"/>
          <w:numId w:val="30"/>
        </w:numPr>
        <w:spacing w:line="252" w:lineRule="auto"/>
        <w:rPr>
          <w:rFonts w:ascii="Times New Roman" w:hAnsi="Times New Roman" w:cs="Times New Roman"/>
          <w:b/>
          <w:bCs/>
          <w:color w:val="000000" w:themeColor="text1"/>
        </w:rPr>
      </w:pPr>
      <w:r w:rsidRPr="00125A6B">
        <w:rPr>
          <w:rFonts w:ascii="Times New Roman" w:eastAsia="Calibri" w:hAnsi="Times New Roman" w:cs="Times New Roman"/>
          <w:b/>
          <w:bCs/>
          <w:color w:val="000000" w:themeColor="text1"/>
        </w:rPr>
        <w:t xml:space="preserve"> </w:t>
      </w:r>
      <w:r w:rsidR="00EE3B42" w:rsidRPr="00125A6B">
        <w:rPr>
          <w:rFonts w:ascii="Times New Roman" w:eastAsia="Calibri" w:hAnsi="Times New Roman" w:cs="Times New Roman"/>
          <w:b/>
          <w:bCs/>
          <w:color w:val="000000" w:themeColor="text1"/>
        </w:rPr>
        <w:t>Must PHAs remit interest earned on of EHV funds?</w:t>
      </w:r>
      <w:r w:rsidR="00833DB7" w:rsidRPr="00125A6B">
        <w:rPr>
          <w:rFonts w:ascii="Times New Roman" w:eastAsia="Calibri" w:hAnsi="Times New Roman" w:cs="Times New Roman"/>
          <w:b/>
          <w:bCs/>
          <w:color w:val="000000" w:themeColor="text1"/>
        </w:rPr>
        <w:t xml:space="preserve"> </w:t>
      </w:r>
    </w:p>
    <w:p w14:paraId="73DA4667" w14:textId="148466E7" w:rsidR="00F43D7F" w:rsidRPr="00125A6B" w:rsidRDefault="00F43D7F" w:rsidP="00F43D7F">
      <w:pPr>
        <w:ind w:left="720"/>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 xml:space="preserve">Yes. Interest earned amounts up to $500 per year may be retained by the non-Federal entity for administrative expense. Any additional interest earned on Federal advance payments deposited in interest-bearing accounts must be remitted annually to the Department of Health and Human Services Payment Management System (PMS) through an electronic medium using either </w:t>
      </w:r>
      <w:r w:rsidR="007D022B" w:rsidRPr="00125A6B">
        <w:rPr>
          <w:rFonts w:ascii="Times New Roman" w:eastAsia="Calibri" w:hAnsi="Times New Roman" w:cs="Times New Roman"/>
          <w:color w:val="000000" w:themeColor="text1"/>
        </w:rPr>
        <w:t xml:space="preserve">the </w:t>
      </w:r>
      <w:r w:rsidRPr="00125A6B">
        <w:rPr>
          <w:rFonts w:ascii="Times New Roman" w:eastAsia="Calibri" w:hAnsi="Times New Roman" w:cs="Times New Roman"/>
          <w:color w:val="000000" w:themeColor="text1"/>
        </w:rPr>
        <w:t>Automated Clearing House (ACH) network or a Fedwire Funds Service payment.  PHAs must retain appropriate documentation demonstrating the remittance of interest and substantiating the calculation of interest earned by the program.</w:t>
      </w:r>
    </w:p>
    <w:p w14:paraId="17CBE557" w14:textId="28C23506" w:rsidR="00F43D7F" w:rsidRPr="00125A6B" w:rsidRDefault="00F43D7F" w:rsidP="00F43D7F">
      <w:pPr>
        <w:ind w:left="720"/>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 xml:space="preserve">Accordingly, PHAs must remit interest earned </w:t>
      </w:r>
      <w:r w:rsidR="007D022B" w:rsidRPr="00125A6B">
        <w:rPr>
          <w:rFonts w:ascii="Times New Roman" w:eastAsia="Calibri" w:hAnsi="Times New Roman" w:cs="Times New Roman"/>
          <w:color w:val="000000" w:themeColor="text1"/>
        </w:rPr>
        <w:t xml:space="preserve">on </w:t>
      </w:r>
      <w:r w:rsidRPr="00125A6B">
        <w:rPr>
          <w:rFonts w:ascii="Times New Roman" w:eastAsia="Calibri" w:hAnsi="Times New Roman" w:cs="Times New Roman"/>
          <w:color w:val="000000" w:themeColor="text1"/>
        </w:rPr>
        <w:t>all advanced EHV balances consistent with 2 CFR § 200.305(b)(7) and (8) which state:</w:t>
      </w:r>
    </w:p>
    <w:p w14:paraId="042A0144" w14:textId="77777777" w:rsidR="00F43D7F" w:rsidRPr="00125A6B" w:rsidRDefault="00F43D7F" w:rsidP="00F43D7F">
      <w:pPr>
        <w:pStyle w:val="NormalWeb"/>
        <w:shd w:val="clear" w:color="auto" w:fill="FFFFFF"/>
        <w:ind w:left="720"/>
        <w:rPr>
          <w:rFonts w:eastAsia="Calibri"/>
          <w:color w:val="000000" w:themeColor="text1"/>
          <w:sz w:val="22"/>
          <w:szCs w:val="22"/>
        </w:rPr>
      </w:pPr>
      <w:r w:rsidRPr="00125A6B">
        <w:rPr>
          <w:rFonts w:eastAsia="Calibri"/>
          <w:color w:val="000000" w:themeColor="text1"/>
          <w:sz w:val="22"/>
          <w:szCs w:val="22"/>
        </w:rPr>
        <w:t>(7) Standards governing the use of banks and other institutions as depositories of advance payments under Federal awards are as follows.</w:t>
      </w:r>
    </w:p>
    <w:p w14:paraId="5A7F4C31" w14:textId="77777777" w:rsidR="00F43D7F" w:rsidRPr="00125A6B" w:rsidRDefault="00F43D7F" w:rsidP="00F43D7F">
      <w:pPr>
        <w:pStyle w:val="NormalWeb"/>
        <w:shd w:val="clear" w:color="auto" w:fill="FFFFFF"/>
        <w:ind w:left="1440"/>
        <w:rPr>
          <w:rFonts w:eastAsia="Calibri"/>
          <w:color w:val="000000" w:themeColor="text1"/>
          <w:sz w:val="22"/>
          <w:szCs w:val="22"/>
        </w:rPr>
      </w:pPr>
      <w:r w:rsidRPr="00125A6B">
        <w:rPr>
          <w:rFonts w:eastAsia="Calibri"/>
          <w:color w:val="000000" w:themeColor="text1"/>
          <w:sz w:val="22"/>
          <w:szCs w:val="22"/>
        </w:rPr>
        <w:t>(i) The Federal awarding agency and pass-through entity must not require separate depository accounts for funds provided to a non-Federal entity or establish any eligibility requirements for depositories for funds provided to the non-Federal entity. However, the non-Federal entity must be able to account for funds received, obligated, and expended.</w:t>
      </w:r>
    </w:p>
    <w:p w14:paraId="609AE05F" w14:textId="77777777" w:rsidR="00F43D7F" w:rsidRPr="00125A6B" w:rsidRDefault="00F43D7F" w:rsidP="00F43D7F">
      <w:pPr>
        <w:pStyle w:val="NormalWeb"/>
        <w:shd w:val="clear" w:color="auto" w:fill="FFFFFF"/>
        <w:ind w:left="1440"/>
        <w:rPr>
          <w:rFonts w:eastAsia="Calibri"/>
          <w:color w:val="000000" w:themeColor="text1"/>
          <w:sz w:val="22"/>
          <w:szCs w:val="22"/>
        </w:rPr>
      </w:pPr>
      <w:r w:rsidRPr="00125A6B">
        <w:rPr>
          <w:rFonts w:eastAsia="Calibri"/>
          <w:color w:val="000000" w:themeColor="text1"/>
          <w:sz w:val="22"/>
          <w:szCs w:val="22"/>
        </w:rPr>
        <w:t>(ii) Advance payments of Federal funds must be deposited and maintained in insured accounts whenever possible.</w:t>
      </w:r>
    </w:p>
    <w:p w14:paraId="309E7DEB" w14:textId="77777777" w:rsidR="00F43D7F" w:rsidRPr="00125A6B" w:rsidRDefault="00F43D7F" w:rsidP="00F43D7F">
      <w:pPr>
        <w:pStyle w:val="NormalWeb"/>
        <w:shd w:val="clear" w:color="auto" w:fill="FFFFFF"/>
        <w:ind w:left="720"/>
        <w:rPr>
          <w:rFonts w:eastAsia="Calibri"/>
          <w:color w:val="000000" w:themeColor="text1"/>
          <w:sz w:val="22"/>
          <w:szCs w:val="22"/>
        </w:rPr>
      </w:pPr>
      <w:r w:rsidRPr="00125A6B">
        <w:rPr>
          <w:rFonts w:eastAsia="Calibri"/>
          <w:color w:val="000000" w:themeColor="text1"/>
          <w:sz w:val="22"/>
          <w:szCs w:val="22"/>
        </w:rPr>
        <w:t xml:space="preserve">(8) The </w:t>
      </w:r>
      <w:proofErr w:type="gramStart"/>
      <w:r w:rsidRPr="00125A6B">
        <w:rPr>
          <w:rFonts w:eastAsia="Calibri"/>
          <w:color w:val="000000" w:themeColor="text1"/>
          <w:sz w:val="22"/>
          <w:szCs w:val="22"/>
        </w:rPr>
        <w:t>non-Federal</w:t>
      </w:r>
      <w:proofErr w:type="gramEnd"/>
      <w:r w:rsidRPr="00125A6B">
        <w:rPr>
          <w:rFonts w:eastAsia="Calibri"/>
          <w:color w:val="000000" w:themeColor="text1"/>
          <w:sz w:val="22"/>
          <w:szCs w:val="22"/>
        </w:rPr>
        <w:t xml:space="preserve"> entity must maintain advance payments of Federal awards in interest-bearing accounts, unless the following apply:</w:t>
      </w:r>
    </w:p>
    <w:p w14:paraId="4B517F4E" w14:textId="77777777" w:rsidR="00F43D7F" w:rsidRPr="00125A6B" w:rsidRDefault="00F43D7F" w:rsidP="00F43D7F">
      <w:pPr>
        <w:pStyle w:val="NormalWeb"/>
        <w:shd w:val="clear" w:color="auto" w:fill="FFFFFF"/>
        <w:ind w:left="720" w:firstLine="720"/>
        <w:rPr>
          <w:rFonts w:eastAsia="Calibri"/>
          <w:color w:val="000000" w:themeColor="text1"/>
          <w:sz w:val="22"/>
          <w:szCs w:val="22"/>
        </w:rPr>
      </w:pPr>
      <w:r w:rsidRPr="00125A6B">
        <w:rPr>
          <w:rFonts w:eastAsia="Calibri"/>
          <w:color w:val="000000" w:themeColor="text1"/>
          <w:sz w:val="22"/>
          <w:szCs w:val="22"/>
        </w:rPr>
        <w:t xml:space="preserve">(i) The </w:t>
      </w:r>
      <w:proofErr w:type="gramStart"/>
      <w:r w:rsidRPr="00125A6B">
        <w:rPr>
          <w:rFonts w:eastAsia="Calibri"/>
          <w:color w:val="000000" w:themeColor="text1"/>
          <w:sz w:val="22"/>
          <w:szCs w:val="22"/>
        </w:rPr>
        <w:t>non-Federal</w:t>
      </w:r>
      <w:proofErr w:type="gramEnd"/>
      <w:r w:rsidRPr="00125A6B">
        <w:rPr>
          <w:rFonts w:eastAsia="Calibri"/>
          <w:color w:val="000000" w:themeColor="text1"/>
          <w:sz w:val="22"/>
          <w:szCs w:val="22"/>
        </w:rPr>
        <w:t xml:space="preserve"> entity receives less than $250,000 in Federal awards per year.</w:t>
      </w:r>
    </w:p>
    <w:p w14:paraId="108DB280" w14:textId="77777777" w:rsidR="00F43D7F" w:rsidRPr="00125A6B" w:rsidRDefault="00F43D7F" w:rsidP="00F43D7F">
      <w:pPr>
        <w:pStyle w:val="NormalWeb"/>
        <w:shd w:val="clear" w:color="auto" w:fill="FFFFFF"/>
        <w:ind w:left="1440"/>
        <w:rPr>
          <w:rFonts w:eastAsia="Calibri"/>
          <w:color w:val="000000" w:themeColor="text1"/>
          <w:sz w:val="22"/>
          <w:szCs w:val="22"/>
        </w:rPr>
      </w:pPr>
      <w:r w:rsidRPr="00125A6B">
        <w:rPr>
          <w:rFonts w:eastAsia="Calibri"/>
          <w:color w:val="000000" w:themeColor="text1"/>
          <w:sz w:val="22"/>
          <w:szCs w:val="22"/>
        </w:rPr>
        <w:t>(ii) The best reasonably available interest-bearing account would not be expected to earn interest in excess of $500 per year on Federal cash balances.</w:t>
      </w:r>
    </w:p>
    <w:p w14:paraId="27057FD7" w14:textId="77777777" w:rsidR="00F43D7F" w:rsidRPr="00125A6B" w:rsidRDefault="00F43D7F" w:rsidP="00F43D7F">
      <w:pPr>
        <w:pStyle w:val="NormalWeb"/>
        <w:shd w:val="clear" w:color="auto" w:fill="FFFFFF"/>
        <w:ind w:left="1440"/>
        <w:rPr>
          <w:rFonts w:eastAsia="Calibri"/>
          <w:color w:val="000000" w:themeColor="text1"/>
          <w:sz w:val="22"/>
          <w:szCs w:val="22"/>
        </w:rPr>
      </w:pPr>
      <w:r w:rsidRPr="00125A6B">
        <w:rPr>
          <w:rFonts w:eastAsia="Calibri"/>
          <w:color w:val="000000" w:themeColor="text1"/>
          <w:sz w:val="22"/>
          <w:szCs w:val="22"/>
        </w:rPr>
        <w:t>(iii) The depository would require an average or minimum balance so high that it would not be feasible within the expected Federal and non-Federal cash resources.</w:t>
      </w:r>
    </w:p>
    <w:p w14:paraId="1C4A6675" w14:textId="2228D006" w:rsidR="00EE3B42" w:rsidRPr="00125A6B" w:rsidRDefault="00F43D7F" w:rsidP="00F43D7F">
      <w:pPr>
        <w:pStyle w:val="NormalWeb"/>
        <w:shd w:val="clear" w:color="auto" w:fill="FFFFFF"/>
        <w:ind w:left="1440"/>
        <w:rPr>
          <w:rFonts w:eastAsia="Calibri"/>
          <w:color w:val="000000" w:themeColor="text1"/>
          <w:sz w:val="22"/>
          <w:szCs w:val="22"/>
        </w:rPr>
      </w:pPr>
      <w:r w:rsidRPr="00125A6B">
        <w:rPr>
          <w:rFonts w:eastAsia="Calibri"/>
          <w:color w:val="000000" w:themeColor="text1"/>
          <w:sz w:val="22"/>
          <w:szCs w:val="22"/>
        </w:rPr>
        <w:t>(iv) A foreign government or banking system prohibits or precludes interest-bearing     accounts.</w:t>
      </w:r>
    </w:p>
    <w:p w14:paraId="4639F8DF" w14:textId="2541E45F" w:rsidR="00307418" w:rsidRPr="00125A6B" w:rsidRDefault="00307418" w:rsidP="00CB7838">
      <w:pPr>
        <w:pStyle w:val="ListParagraph"/>
        <w:numPr>
          <w:ilvl w:val="0"/>
          <w:numId w:val="30"/>
        </w:numPr>
        <w:spacing w:line="252" w:lineRule="auto"/>
        <w:rPr>
          <w:rFonts w:ascii="Times New Roman" w:hAnsi="Times New Roman" w:cs="Times New Roman"/>
          <w:b/>
          <w:bCs/>
          <w:color w:val="000000" w:themeColor="text1"/>
        </w:rPr>
      </w:pPr>
      <w:r w:rsidRPr="00125A6B">
        <w:rPr>
          <w:rFonts w:ascii="Times New Roman" w:eastAsia="Calibri" w:hAnsi="Times New Roman" w:cs="Times New Roman"/>
          <w:b/>
          <w:bCs/>
          <w:color w:val="000000" w:themeColor="text1"/>
        </w:rPr>
        <w:lastRenderedPageBreak/>
        <w:t xml:space="preserve">What EHV-related fees may a PHA use to expand/improve office space or purchase capital items/other equipment (e.g. computers, desks, vehicles, etc.)? </w:t>
      </w:r>
    </w:p>
    <w:p w14:paraId="51B800BF" w14:textId="77777777" w:rsidR="00307418" w:rsidRPr="00125A6B" w:rsidRDefault="00307418" w:rsidP="00307418">
      <w:pPr>
        <w:pStyle w:val="ListParagraph"/>
        <w:rPr>
          <w:rFonts w:ascii="Times New Roman" w:eastAsia="Calibri" w:hAnsi="Times New Roman" w:cs="Times New Roman"/>
          <w:color w:val="000000" w:themeColor="text1"/>
        </w:rPr>
      </w:pPr>
    </w:p>
    <w:p w14:paraId="325606EC" w14:textId="77777777" w:rsidR="00F75156" w:rsidRPr="00125A6B" w:rsidRDefault="00F75156" w:rsidP="00F75156">
      <w:pPr>
        <w:pStyle w:val="ListParagraph"/>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A PHA may use EHV preliminary fees, placement fees/expedited issuance reporting fees, and on-going administrative fees to pay for these items.  PHAs are reminded that if these EHV funds are utilized to purchase additional space (e.g., a building), improve existing office space, or purchase other capital items/equipment, those items must be used exclusively for the EHV program unless the PHA allocates the costs to all of the programs that will benefit from those expenditures using a reasonable allocation methodology.  PHAs are reminded that the requirements of 2 CFR, Part 200 apply to the EHV program.  The PHA’s procurement policies apply to EHV purchases/expenditures of this nature.  Upon close-out of the EHV program, any remaining capital assets purchased exclusively for the use of the EHV program will become property of the PHA’s HCV program.  PHAs must retain appropriate supporting documentation to support all purchases of this nature and must provide that documentation to HUD when requested.</w:t>
      </w:r>
    </w:p>
    <w:p w14:paraId="295467BF" w14:textId="77777777" w:rsidR="00F75156" w:rsidRPr="00125A6B" w:rsidRDefault="00F75156" w:rsidP="00F75156">
      <w:pPr>
        <w:pStyle w:val="ListParagraph"/>
        <w:rPr>
          <w:rFonts w:ascii="Times New Roman" w:eastAsia="Calibri" w:hAnsi="Times New Roman" w:cs="Times New Roman"/>
          <w:color w:val="000000" w:themeColor="text1"/>
        </w:rPr>
      </w:pPr>
    </w:p>
    <w:p w14:paraId="261CE653" w14:textId="77777777" w:rsidR="00F75156" w:rsidRPr="00125A6B" w:rsidRDefault="00F75156" w:rsidP="00F75156">
      <w:pPr>
        <w:pStyle w:val="ListParagraph"/>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Below are a few examples:</w:t>
      </w:r>
    </w:p>
    <w:p w14:paraId="3DBCD31F" w14:textId="77777777" w:rsidR="00F75156" w:rsidRPr="00125A6B" w:rsidRDefault="00F75156" w:rsidP="00F75156">
      <w:pPr>
        <w:pStyle w:val="ListParagraph"/>
        <w:rPr>
          <w:rFonts w:ascii="Times New Roman" w:eastAsia="Calibri" w:hAnsi="Times New Roman" w:cs="Times New Roman"/>
          <w:color w:val="000000" w:themeColor="text1"/>
        </w:rPr>
      </w:pPr>
    </w:p>
    <w:p w14:paraId="0FFC255B" w14:textId="77777777" w:rsidR="00F75156" w:rsidRPr="00125A6B" w:rsidRDefault="00F75156" w:rsidP="00B86D98">
      <w:pPr>
        <w:pStyle w:val="ListParagraph"/>
        <w:numPr>
          <w:ilvl w:val="0"/>
          <w:numId w:val="17"/>
        </w:numPr>
        <w:rPr>
          <w:rFonts w:ascii="Times New Roman" w:eastAsia="Calibri" w:hAnsi="Times New Roman" w:cs="Times New Roman"/>
        </w:rPr>
      </w:pPr>
      <w:r w:rsidRPr="00125A6B">
        <w:rPr>
          <w:rFonts w:ascii="Times New Roman" w:eastAsia="Calibri" w:hAnsi="Times New Roman" w:cs="Times New Roman"/>
          <w:color w:val="000000" w:themeColor="text1"/>
          <w:u w:val="single"/>
        </w:rPr>
        <w:t>Example #1</w:t>
      </w:r>
      <w:r w:rsidRPr="00125A6B">
        <w:rPr>
          <w:rFonts w:ascii="Times New Roman" w:eastAsia="Calibri" w:hAnsi="Times New Roman" w:cs="Times New Roman"/>
          <w:color w:val="000000" w:themeColor="text1"/>
        </w:rPr>
        <w:t xml:space="preserve">: In order to expedite lease-up of EHVs, a PHA purchases an additional module for its software system that would allow for paperless inspections.  This module would benefit both the EHV and the HCV program and would be available for both programs.  The PHA would allocate the costs to both programs using a reasonable methodology.  In this example, the PHA received 100 EHVs and has 1,000 HCVs.  Nine percent of the costs could reasonably be charged to the EHV program (100/1,100 = 9%) and ninety-one percent of the costs would be charged to the HCV program (1,000/1,100 = 91%).  </w:t>
      </w:r>
    </w:p>
    <w:p w14:paraId="5731C669" w14:textId="77777777" w:rsidR="00F75156" w:rsidRPr="00125A6B" w:rsidRDefault="00F75156" w:rsidP="00F75156">
      <w:pPr>
        <w:pStyle w:val="ListParagraph"/>
        <w:ind w:hanging="360"/>
        <w:rPr>
          <w:rFonts w:ascii="Times New Roman" w:eastAsia="Calibri" w:hAnsi="Times New Roman" w:cs="Times New Roman"/>
        </w:rPr>
      </w:pPr>
    </w:p>
    <w:p w14:paraId="2B958662" w14:textId="77777777" w:rsidR="00F75156" w:rsidRPr="00125A6B" w:rsidRDefault="00F75156" w:rsidP="00B86D98">
      <w:pPr>
        <w:pStyle w:val="ListParagraph"/>
        <w:numPr>
          <w:ilvl w:val="0"/>
          <w:numId w:val="17"/>
        </w:numPr>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u w:val="single"/>
        </w:rPr>
        <w:t>Example #2</w:t>
      </w:r>
      <w:r w:rsidRPr="00125A6B">
        <w:rPr>
          <w:rFonts w:ascii="Times New Roman" w:eastAsia="Calibri" w:hAnsi="Times New Roman" w:cs="Times New Roman"/>
          <w:color w:val="000000" w:themeColor="text1"/>
        </w:rPr>
        <w:t xml:space="preserve">: As part of its mix of housing search assistance, a PHA elects to purchase a passenger van to drive families to see units and to send staff with the family to complete rental applications as reliable taxi/public transportation is not available in the PHA’s jurisdiction. The PHA purchases the vehicle using service fees and the vehicle is used for those purposes exclusively.  When the EHV program sunsets, the passenger van becomes the property of the HCV program.  </w:t>
      </w:r>
    </w:p>
    <w:p w14:paraId="22512815" w14:textId="77777777" w:rsidR="00F75156" w:rsidRPr="00125A6B" w:rsidRDefault="00F75156" w:rsidP="00F75156">
      <w:pPr>
        <w:pStyle w:val="ListParagraph"/>
        <w:ind w:hanging="360"/>
        <w:rPr>
          <w:rFonts w:ascii="Times New Roman" w:eastAsia="Calibri" w:hAnsi="Times New Roman" w:cs="Times New Roman"/>
          <w:color w:val="000000" w:themeColor="text1"/>
        </w:rPr>
      </w:pPr>
    </w:p>
    <w:p w14:paraId="66AEABD6" w14:textId="06215244" w:rsidR="009B275A" w:rsidRPr="00125A6B" w:rsidRDefault="00F75156" w:rsidP="00B86D98">
      <w:pPr>
        <w:pStyle w:val="ListParagraph"/>
        <w:numPr>
          <w:ilvl w:val="0"/>
          <w:numId w:val="17"/>
        </w:numPr>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u w:val="single"/>
        </w:rPr>
        <w:t>Example #3</w:t>
      </w:r>
      <w:r w:rsidRPr="00125A6B">
        <w:rPr>
          <w:rFonts w:ascii="Times New Roman" w:eastAsia="Calibri" w:hAnsi="Times New Roman" w:cs="Times New Roman"/>
          <w:color w:val="000000" w:themeColor="text1"/>
        </w:rPr>
        <w:t>: The PHA wants to build out two additional office spaces for staff administering the EHV program. One staff person will exclusively coordinate EHV housing search assistance and landlord outreach. The other will oversee the administration of the EHV program. In this case, the PHA may use service fees</w:t>
      </w:r>
      <w:r w:rsidR="00A54ABE" w:rsidRPr="00125A6B">
        <w:rPr>
          <w:rFonts w:ascii="Times New Roman" w:eastAsia="Calibri" w:hAnsi="Times New Roman" w:cs="Times New Roman"/>
          <w:color w:val="000000" w:themeColor="text1"/>
        </w:rPr>
        <w:t xml:space="preserve"> (or the other types of EHV fees)</w:t>
      </w:r>
      <w:r w:rsidRPr="00125A6B">
        <w:rPr>
          <w:rFonts w:ascii="Times New Roman" w:eastAsia="Calibri" w:hAnsi="Times New Roman" w:cs="Times New Roman"/>
          <w:color w:val="000000" w:themeColor="text1"/>
        </w:rPr>
        <w:t xml:space="preserve"> to pay for the build out of the office space for the staff that will coordinate EHV housing search assistance and landlord outreach if such costs are reasonable and justifiable given the shorter-term nature of the EHV program. </w:t>
      </w:r>
    </w:p>
    <w:p w14:paraId="283C0E1B" w14:textId="77777777" w:rsidR="009B275A" w:rsidRPr="00125A6B" w:rsidRDefault="009B275A" w:rsidP="009B275A">
      <w:pPr>
        <w:pStyle w:val="ListParagraph"/>
        <w:ind w:left="1440"/>
        <w:rPr>
          <w:rFonts w:ascii="Times New Roman" w:eastAsia="Calibri" w:hAnsi="Times New Roman" w:cs="Times New Roman"/>
          <w:color w:val="000000" w:themeColor="text1"/>
        </w:rPr>
      </w:pPr>
    </w:p>
    <w:p w14:paraId="46134EBE" w14:textId="6E055454" w:rsidR="0096739E" w:rsidRPr="00125A6B" w:rsidRDefault="0096739E" w:rsidP="0096739E">
      <w:pPr>
        <w:pStyle w:val="ListParagraph"/>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 xml:space="preserve">If a PHA elects to use EHV service fees to cover any portion of these sorts of costs, such costs must be reasonably and justifiably related to the provision of required housing search assistance, owner/landlord outreach, or expediting the leasing/inspection process.  </w:t>
      </w:r>
      <w:r w:rsidR="009B275A" w:rsidRPr="00125A6B">
        <w:rPr>
          <w:rFonts w:ascii="Times New Roman" w:eastAsia="Calibri" w:hAnsi="Times New Roman" w:cs="Times New Roman"/>
          <w:color w:val="000000" w:themeColor="text1"/>
        </w:rPr>
        <w:t xml:space="preserve"> </w:t>
      </w:r>
    </w:p>
    <w:p w14:paraId="167024DD" w14:textId="77777777" w:rsidR="00307418" w:rsidRPr="00125A6B" w:rsidRDefault="00307418" w:rsidP="00307418">
      <w:pPr>
        <w:pStyle w:val="ListParagraph"/>
        <w:rPr>
          <w:rFonts w:ascii="Times New Roman" w:eastAsia="Calibri" w:hAnsi="Times New Roman" w:cs="Times New Roman"/>
          <w:color w:val="000000" w:themeColor="text1"/>
        </w:rPr>
      </w:pPr>
    </w:p>
    <w:p w14:paraId="44681C2A" w14:textId="24C09131" w:rsidR="00EE3B42" w:rsidRPr="00125A6B" w:rsidRDefault="00EE3B42" w:rsidP="00CB7838">
      <w:pPr>
        <w:pStyle w:val="ListParagraph"/>
        <w:numPr>
          <w:ilvl w:val="0"/>
          <w:numId w:val="30"/>
        </w:numPr>
        <w:spacing w:line="252" w:lineRule="auto"/>
        <w:rPr>
          <w:rFonts w:ascii="Times New Roman" w:hAnsi="Times New Roman" w:cs="Times New Roman"/>
          <w:b/>
          <w:bCs/>
          <w:color w:val="000000" w:themeColor="text1"/>
        </w:rPr>
      </w:pPr>
      <w:r w:rsidRPr="00125A6B">
        <w:rPr>
          <w:rFonts w:ascii="Times New Roman" w:eastAsia="Calibri" w:hAnsi="Times New Roman" w:cs="Times New Roman"/>
          <w:b/>
          <w:bCs/>
          <w:color w:val="000000" w:themeColor="text1"/>
        </w:rPr>
        <w:t xml:space="preserve">Can PHAs use EHV services fees to hire staff? </w:t>
      </w:r>
    </w:p>
    <w:p w14:paraId="52CE6FA7" w14:textId="77777777" w:rsidR="002848FC" w:rsidRPr="00125A6B" w:rsidRDefault="00EE3B42" w:rsidP="00EE3B42">
      <w:pPr>
        <w:ind w:left="720"/>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lastRenderedPageBreak/>
        <w:t>Yes</w:t>
      </w:r>
      <w:r w:rsidR="004D490A" w:rsidRPr="00125A6B">
        <w:rPr>
          <w:rFonts w:ascii="Times New Roman" w:eastAsia="Calibri" w:hAnsi="Times New Roman" w:cs="Times New Roman"/>
          <w:color w:val="000000" w:themeColor="text1"/>
        </w:rPr>
        <w:t xml:space="preserve">. </w:t>
      </w:r>
      <w:r w:rsidRPr="00125A6B">
        <w:rPr>
          <w:rFonts w:ascii="Times New Roman" w:eastAsia="Calibri" w:hAnsi="Times New Roman" w:cs="Times New Roman"/>
          <w:color w:val="000000" w:themeColor="text1"/>
        </w:rPr>
        <w:t xml:space="preserve"> PHAs may use the EHV services fees to hire staff to carry out required housing search assistance as described in Section 9d of </w:t>
      </w:r>
      <w:hyperlink r:id="rId97" w:history="1">
        <w:r w:rsidRPr="00125A6B">
          <w:rPr>
            <w:rStyle w:val="Hyperlink"/>
            <w:rFonts w:ascii="Times New Roman" w:eastAsia="Calibri" w:hAnsi="Times New Roman" w:cs="Times New Roman"/>
          </w:rPr>
          <w:t>PIH Notice 2021-15</w:t>
        </w:r>
      </w:hyperlink>
      <w:r w:rsidRPr="00125A6B">
        <w:rPr>
          <w:rFonts w:ascii="Times New Roman" w:eastAsia="Calibri" w:hAnsi="Times New Roman" w:cs="Times New Roman"/>
          <w:color w:val="000000" w:themeColor="text1"/>
        </w:rPr>
        <w:t xml:space="preserve">. PHAs utilizing staff to conduct these activities must ensure that financial records are maintained in such a way as to fully support the time that staff have spent on EHV related services. This would include position descriptions, allocations, and actual timecards in cases where staff are allocated less than 100% to EHV related matters. </w:t>
      </w:r>
    </w:p>
    <w:p w14:paraId="708266AA" w14:textId="37F1D03C" w:rsidR="00307418" w:rsidRPr="00125A6B" w:rsidRDefault="00EE3B42" w:rsidP="00EE3B42">
      <w:pPr>
        <w:ind w:left="720"/>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 xml:space="preserve">PHAs are also reminded that EHV funds may not be used for any other program, including the regular HCV or Mainstream programs. As such, HUD recommends that PHAs create a separate subledger to record all transactions for </w:t>
      </w:r>
      <w:r w:rsidR="00871B6E" w:rsidRPr="00125A6B">
        <w:rPr>
          <w:rFonts w:ascii="Times New Roman" w:eastAsia="Calibri" w:hAnsi="Times New Roman" w:cs="Times New Roman"/>
          <w:color w:val="000000" w:themeColor="text1"/>
        </w:rPr>
        <w:t xml:space="preserve">the EHV </w:t>
      </w:r>
      <w:r w:rsidRPr="00125A6B">
        <w:rPr>
          <w:rFonts w:ascii="Times New Roman" w:eastAsia="Calibri" w:hAnsi="Times New Roman" w:cs="Times New Roman"/>
          <w:color w:val="000000" w:themeColor="text1"/>
        </w:rPr>
        <w:t>program.</w:t>
      </w:r>
    </w:p>
    <w:p w14:paraId="75F6BDE7" w14:textId="46DA7C76"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What additional fees will PHAs qualify for under EHVs?</w:t>
      </w:r>
      <w:r w:rsidR="004A56A6" w:rsidRPr="00125A6B">
        <w:rPr>
          <w:rFonts w:ascii="Times New Roman" w:eastAsia="Times New Roman" w:hAnsi="Times New Roman" w:cs="Times New Roman"/>
          <w:b/>
          <w:bCs/>
        </w:rPr>
        <w:t xml:space="preserve"> </w:t>
      </w:r>
    </w:p>
    <w:p w14:paraId="15E039C9" w14:textId="77777777" w:rsidR="005B6F6A" w:rsidRPr="00125A6B" w:rsidRDefault="005B6F6A" w:rsidP="005B6F6A">
      <w:pPr>
        <w:pStyle w:val="ListParagraph"/>
        <w:tabs>
          <w:tab w:val="left" w:pos="810"/>
        </w:tabs>
        <w:spacing w:after="0"/>
        <w:rPr>
          <w:rFonts w:ascii="Times New Roman" w:eastAsia="Times New Roman" w:hAnsi="Times New Roman" w:cs="Times New Roman"/>
          <w:b/>
          <w:bCs/>
        </w:rPr>
      </w:pPr>
    </w:p>
    <w:p w14:paraId="56159907" w14:textId="77777777" w:rsidR="005B6F6A" w:rsidRPr="00125A6B" w:rsidRDefault="005B6F6A" w:rsidP="00F811F7">
      <w:pPr>
        <w:spacing w:after="0" w:line="240" w:lineRule="auto"/>
        <w:ind w:firstLine="720"/>
        <w:rPr>
          <w:rFonts w:ascii="Times New Roman" w:eastAsia="Times New Roman" w:hAnsi="Times New Roman" w:cs="Times New Roman"/>
        </w:rPr>
      </w:pPr>
      <w:r w:rsidRPr="00125A6B">
        <w:rPr>
          <w:rFonts w:ascii="Times New Roman" w:eastAsia="Times New Roman" w:hAnsi="Times New Roman" w:cs="Times New Roman"/>
        </w:rPr>
        <w:t xml:space="preserve">PHAs that accept an allocation of EHVs will receive fees in addition to ongoing administrative </w:t>
      </w:r>
      <w:r w:rsidRPr="00125A6B">
        <w:rPr>
          <w:rFonts w:ascii="Times New Roman" w:hAnsi="Times New Roman" w:cs="Times New Roman"/>
        </w:rPr>
        <w:tab/>
      </w:r>
      <w:r w:rsidRPr="00125A6B">
        <w:rPr>
          <w:rFonts w:ascii="Times New Roman" w:eastAsia="Times New Roman" w:hAnsi="Times New Roman" w:cs="Times New Roman"/>
        </w:rPr>
        <w:t>fees to assist in the facilitation and leasing of EHVs.  Additional fees include:</w:t>
      </w:r>
    </w:p>
    <w:p w14:paraId="6200735F" w14:textId="77777777" w:rsidR="00F811F7" w:rsidRPr="00125A6B" w:rsidRDefault="00F811F7" w:rsidP="00F811F7">
      <w:pPr>
        <w:spacing w:after="0" w:line="240" w:lineRule="auto"/>
        <w:ind w:firstLine="720"/>
        <w:rPr>
          <w:rFonts w:ascii="Times New Roman" w:eastAsia="Times New Roman" w:hAnsi="Times New Roman" w:cs="Times New Roman"/>
        </w:rPr>
      </w:pPr>
    </w:p>
    <w:p w14:paraId="159C868D" w14:textId="64FD4429" w:rsidR="005B6F6A" w:rsidRPr="00125A6B" w:rsidRDefault="005B6F6A" w:rsidP="00B86D98">
      <w:pPr>
        <w:pStyle w:val="ListParagraph"/>
        <w:numPr>
          <w:ilvl w:val="1"/>
          <w:numId w:val="6"/>
        </w:numPr>
        <w:spacing w:after="0" w:line="240" w:lineRule="auto"/>
        <w:rPr>
          <w:rFonts w:ascii="Times New Roman" w:eastAsia="Times New Roman" w:hAnsi="Times New Roman" w:cs="Times New Roman"/>
        </w:rPr>
      </w:pPr>
      <w:r w:rsidRPr="00125A6B">
        <w:rPr>
          <w:rFonts w:ascii="Times New Roman" w:eastAsia="Times New Roman" w:hAnsi="Times New Roman" w:cs="Times New Roman"/>
        </w:rPr>
        <w:t>Preliminary Fees – $</w:t>
      </w:r>
      <w:r w:rsidR="009076B4" w:rsidRPr="00125A6B">
        <w:rPr>
          <w:rFonts w:ascii="Times New Roman" w:eastAsia="Times New Roman" w:hAnsi="Times New Roman" w:cs="Times New Roman"/>
        </w:rPr>
        <w:t>4</w:t>
      </w:r>
      <w:r w:rsidRPr="00125A6B">
        <w:rPr>
          <w:rFonts w:ascii="Times New Roman" w:eastAsia="Times New Roman" w:hAnsi="Times New Roman" w:cs="Times New Roman"/>
        </w:rPr>
        <w:t>00 will be awarded per allocated EHV.</w:t>
      </w:r>
    </w:p>
    <w:p w14:paraId="55CFF8F2" w14:textId="659B86C7" w:rsidR="00E93ED1" w:rsidRPr="00125A6B" w:rsidRDefault="005B6F6A" w:rsidP="00B86D98">
      <w:pPr>
        <w:pStyle w:val="ListParagraph"/>
        <w:numPr>
          <w:ilvl w:val="1"/>
          <w:numId w:val="6"/>
        </w:numPr>
        <w:spacing w:after="0" w:line="240" w:lineRule="auto"/>
        <w:rPr>
          <w:rFonts w:ascii="Times New Roman" w:eastAsia="Times New Roman" w:hAnsi="Times New Roman" w:cs="Times New Roman"/>
        </w:rPr>
      </w:pPr>
      <w:r w:rsidRPr="00125A6B">
        <w:rPr>
          <w:rFonts w:ascii="Times New Roman" w:eastAsia="Times New Roman" w:hAnsi="Times New Roman" w:cs="Times New Roman"/>
        </w:rPr>
        <w:t>Issuing Fees – Participating PHAs will earn $100 once the voucher is initially leased, provided the PHA report</w:t>
      </w:r>
      <w:r w:rsidR="004E7483" w:rsidRPr="00125A6B">
        <w:rPr>
          <w:rFonts w:ascii="Times New Roman" w:eastAsia="Times New Roman" w:hAnsi="Times New Roman" w:cs="Times New Roman"/>
        </w:rPr>
        <w:t>s</w:t>
      </w:r>
      <w:r w:rsidRPr="00125A6B">
        <w:rPr>
          <w:rFonts w:ascii="Times New Roman" w:eastAsia="Times New Roman" w:hAnsi="Times New Roman" w:cs="Times New Roman"/>
        </w:rPr>
        <w:t xml:space="preserve"> the issuance of the EHV in </w:t>
      </w:r>
      <w:r w:rsidR="00E93ED1" w:rsidRPr="00125A6B">
        <w:rPr>
          <w:rFonts w:ascii="Times New Roman" w:eastAsia="Times New Roman" w:hAnsi="Times New Roman" w:cs="Times New Roman"/>
        </w:rPr>
        <w:t>the</w:t>
      </w:r>
    </w:p>
    <w:p w14:paraId="1F6AFC7A" w14:textId="77777777" w:rsidR="00E93ED1" w:rsidRPr="00125A6B" w:rsidRDefault="00E93ED1" w:rsidP="00EA72FF">
      <w:pPr>
        <w:spacing w:after="0" w:line="240" w:lineRule="auto"/>
        <w:ind w:left="720" w:firstLine="720"/>
        <w:rPr>
          <w:rFonts w:ascii="Times New Roman" w:eastAsia="MS Mincho" w:hAnsi="Times New Roman" w:cs="Times New Roman"/>
        </w:rPr>
      </w:pPr>
      <w:r w:rsidRPr="00125A6B">
        <w:rPr>
          <w:rFonts w:ascii="Times New Roman" w:eastAsia="Times New Roman" w:hAnsi="Times New Roman" w:cs="Times New Roman"/>
        </w:rPr>
        <w:t xml:space="preserve">IMS/PIC </w:t>
      </w:r>
      <w:r w:rsidRPr="00125A6B">
        <w:rPr>
          <w:rFonts w:ascii="Times New Roman" w:eastAsia="MS Mincho" w:hAnsi="Times New Roman" w:cs="Times New Roman"/>
        </w:rPr>
        <w:t xml:space="preserve"> </w:t>
      </w:r>
    </w:p>
    <w:p w14:paraId="30E27D01" w14:textId="622A5BC3" w:rsidR="005B6F6A" w:rsidRPr="00125A6B" w:rsidRDefault="005B6F6A" w:rsidP="00B86D98">
      <w:pPr>
        <w:pStyle w:val="ListParagraph"/>
        <w:numPr>
          <w:ilvl w:val="1"/>
          <w:numId w:val="6"/>
        </w:numPr>
        <w:spacing w:after="420" w:line="240" w:lineRule="auto"/>
        <w:rPr>
          <w:rFonts w:ascii="Times New Roman" w:eastAsia="Times New Roman" w:hAnsi="Times New Roman" w:cs="Times New Roman"/>
        </w:rPr>
      </w:pPr>
      <w:r w:rsidRPr="00125A6B">
        <w:rPr>
          <w:rFonts w:ascii="Times New Roman" w:eastAsia="Times New Roman" w:hAnsi="Times New Roman" w:cs="Times New Roman"/>
        </w:rPr>
        <w:t xml:space="preserve">system within 14 days of the later of the effective date of the family’s voucher or when the system becomes available for reporting. </w:t>
      </w:r>
    </w:p>
    <w:p w14:paraId="7BE26886" w14:textId="0E0F3F5B" w:rsidR="005B6F6A" w:rsidRPr="00125A6B" w:rsidRDefault="005B6F6A" w:rsidP="00B86D98">
      <w:pPr>
        <w:pStyle w:val="ListParagraph"/>
        <w:numPr>
          <w:ilvl w:val="1"/>
          <w:numId w:val="6"/>
        </w:numPr>
        <w:spacing w:after="420" w:line="240" w:lineRule="auto"/>
        <w:rPr>
          <w:rFonts w:ascii="Times New Roman" w:eastAsia="Times New Roman" w:hAnsi="Times New Roman" w:cs="Times New Roman"/>
        </w:rPr>
      </w:pPr>
      <w:r w:rsidRPr="00125A6B">
        <w:rPr>
          <w:rFonts w:ascii="Times New Roman" w:eastAsia="Times New Roman" w:hAnsi="Times New Roman" w:cs="Times New Roman"/>
        </w:rPr>
        <w:t>Placement Fees</w:t>
      </w:r>
      <w:r w:rsidRPr="00125A6B">
        <w:rPr>
          <w:rFonts w:ascii="Times New Roman" w:eastAsia="Times New Roman" w:hAnsi="Times New Roman" w:cs="Times New Roman"/>
          <w:b/>
          <w:bCs/>
        </w:rPr>
        <w:t xml:space="preserve"> </w:t>
      </w:r>
      <w:r w:rsidRPr="00125A6B">
        <w:rPr>
          <w:rFonts w:ascii="Times New Roman" w:eastAsia="Times New Roman" w:hAnsi="Times New Roman" w:cs="Times New Roman"/>
        </w:rPr>
        <w:t>–</w:t>
      </w:r>
      <w:r w:rsidRPr="00125A6B">
        <w:rPr>
          <w:rFonts w:ascii="Times New Roman" w:eastAsia="Times New Roman" w:hAnsi="Times New Roman" w:cs="Times New Roman"/>
          <w:b/>
          <w:bCs/>
        </w:rPr>
        <w:t xml:space="preserve"> </w:t>
      </w:r>
      <w:r w:rsidRPr="00125A6B">
        <w:rPr>
          <w:rFonts w:ascii="Times New Roman" w:eastAsia="Times New Roman" w:hAnsi="Times New Roman" w:cs="Times New Roman"/>
        </w:rPr>
        <w:t>PHAs will be awarded $500</w:t>
      </w:r>
      <w:r w:rsidRPr="00125A6B">
        <w:rPr>
          <w:rFonts w:ascii="Times New Roman" w:eastAsia="Times New Roman" w:hAnsi="Times New Roman" w:cs="Times New Roman"/>
          <w:b/>
          <w:bCs/>
        </w:rPr>
        <w:t xml:space="preserve"> </w:t>
      </w:r>
      <w:r w:rsidRPr="00125A6B">
        <w:rPr>
          <w:rFonts w:ascii="Times New Roman" w:eastAsia="Times New Roman" w:hAnsi="Times New Roman" w:cs="Times New Roman"/>
        </w:rPr>
        <w:t xml:space="preserve">for each EHV family placed under a HAP contract no later than 4 months </w:t>
      </w:r>
      <w:r w:rsidR="004E7483" w:rsidRPr="00125A6B">
        <w:rPr>
          <w:rFonts w:ascii="Times New Roman" w:eastAsia="Times New Roman" w:hAnsi="Times New Roman" w:cs="Times New Roman"/>
        </w:rPr>
        <w:t>after the</w:t>
      </w:r>
      <w:r w:rsidRPr="00125A6B">
        <w:rPr>
          <w:rFonts w:ascii="Times New Roman" w:eastAsia="Times New Roman" w:hAnsi="Times New Roman" w:cs="Times New Roman"/>
        </w:rPr>
        <w:t xml:space="preserve"> effective date of the ACC funding increment.  For each EHV family placed under a HAP no later than 6 months after the effective date of the ACC funding increment, PHAs will receive $250.</w:t>
      </w:r>
    </w:p>
    <w:p w14:paraId="37D0E2BA" w14:textId="77777777" w:rsidR="005B6F6A" w:rsidRPr="00125A6B" w:rsidRDefault="005B6F6A" w:rsidP="00B86D98">
      <w:pPr>
        <w:pStyle w:val="ListParagraph"/>
        <w:numPr>
          <w:ilvl w:val="1"/>
          <w:numId w:val="6"/>
        </w:numPr>
        <w:spacing w:after="420" w:line="240" w:lineRule="auto"/>
        <w:rPr>
          <w:rFonts w:ascii="Times New Roman" w:eastAsia="Times New Roman" w:hAnsi="Times New Roman" w:cs="Times New Roman"/>
        </w:rPr>
      </w:pPr>
      <w:r w:rsidRPr="00125A6B">
        <w:rPr>
          <w:rFonts w:ascii="Times New Roman" w:eastAsia="Times New Roman" w:hAnsi="Times New Roman" w:cs="Times New Roman"/>
        </w:rPr>
        <w:t>Ongoing Admin Fees – PHAs will receive the full column A admin fee amount.</w:t>
      </w:r>
    </w:p>
    <w:p w14:paraId="6396D1C2" w14:textId="4A3809FA" w:rsidR="005B6F6A" w:rsidRPr="00125A6B" w:rsidRDefault="005B6F6A" w:rsidP="00B86D98">
      <w:pPr>
        <w:pStyle w:val="ListParagraph"/>
        <w:numPr>
          <w:ilvl w:val="1"/>
          <w:numId w:val="6"/>
        </w:numPr>
        <w:spacing w:after="420" w:line="240" w:lineRule="auto"/>
        <w:rPr>
          <w:rFonts w:ascii="Times New Roman" w:eastAsia="Times New Roman" w:hAnsi="Times New Roman" w:cs="Times New Roman"/>
        </w:rPr>
      </w:pPr>
      <w:r w:rsidRPr="00125A6B">
        <w:rPr>
          <w:rFonts w:ascii="Times New Roman" w:eastAsia="Times New Roman" w:hAnsi="Times New Roman" w:cs="Times New Roman"/>
        </w:rPr>
        <w:t>Service</w:t>
      </w:r>
      <w:r w:rsidR="335C48B5" w:rsidRPr="00125A6B">
        <w:rPr>
          <w:rFonts w:ascii="Times New Roman" w:eastAsia="Times New Roman" w:hAnsi="Times New Roman" w:cs="Times New Roman"/>
        </w:rPr>
        <w:t>s</w:t>
      </w:r>
      <w:r w:rsidRPr="00125A6B">
        <w:rPr>
          <w:rFonts w:ascii="Times New Roman" w:eastAsia="Times New Roman" w:hAnsi="Times New Roman" w:cs="Times New Roman"/>
        </w:rPr>
        <w:t xml:space="preserve"> Fee – For each allocated EHV, PHAs will receive $3,500 that must initially be used for the services fee.  Eligible uses are defined in PIH Notice 2021-15.  The services fee can be used for:</w:t>
      </w:r>
    </w:p>
    <w:p w14:paraId="2BF9F7AA" w14:textId="58E65002" w:rsidR="005B6F6A" w:rsidRPr="00125A6B" w:rsidRDefault="005B6F6A" w:rsidP="00B86D98">
      <w:pPr>
        <w:pStyle w:val="ListParagraph"/>
        <w:numPr>
          <w:ilvl w:val="0"/>
          <w:numId w:val="5"/>
        </w:numPr>
        <w:spacing w:after="420" w:line="240" w:lineRule="auto"/>
        <w:rPr>
          <w:rFonts w:ascii="Times New Roman" w:eastAsia="Times New Roman" w:hAnsi="Times New Roman" w:cs="Times New Roman"/>
        </w:rPr>
      </w:pPr>
      <w:r w:rsidRPr="00125A6B">
        <w:rPr>
          <w:rFonts w:ascii="Times New Roman" w:eastAsia="Times New Roman" w:hAnsi="Times New Roman" w:cs="Times New Roman"/>
        </w:rPr>
        <w:t>Housing search assistance</w:t>
      </w:r>
      <w:r w:rsidR="00D82508" w:rsidRPr="00125A6B">
        <w:rPr>
          <w:rFonts w:ascii="Times New Roman" w:eastAsia="Times New Roman" w:hAnsi="Times New Roman" w:cs="Times New Roman"/>
        </w:rPr>
        <w:t>;</w:t>
      </w:r>
    </w:p>
    <w:p w14:paraId="2F9EF5B9" w14:textId="16983D16" w:rsidR="005B6F6A" w:rsidRPr="00125A6B" w:rsidRDefault="005B6F6A" w:rsidP="00B86D98">
      <w:pPr>
        <w:pStyle w:val="ListParagraph"/>
        <w:numPr>
          <w:ilvl w:val="0"/>
          <w:numId w:val="5"/>
        </w:numPr>
        <w:spacing w:after="420" w:line="240" w:lineRule="auto"/>
        <w:rPr>
          <w:rFonts w:ascii="Times New Roman" w:eastAsia="Times New Roman" w:hAnsi="Times New Roman" w:cs="Times New Roman"/>
        </w:rPr>
      </w:pPr>
      <w:r w:rsidRPr="00125A6B">
        <w:rPr>
          <w:rFonts w:ascii="Times New Roman" w:eastAsia="Times New Roman" w:hAnsi="Times New Roman" w:cs="Times New Roman"/>
        </w:rPr>
        <w:t>Tenant fees including security and utility deposit assistance, rental application fees, and holding fees</w:t>
      </w:r>
      <w:r w:rsidR="00D82508" w:rsidRPr="00125A6B">
        <w:rPr>
          <w:rFonts w:ascii="Times New Roman" w:eastAsia="Times New Roman" w:hAnsi="Times New Roman" w:cs="Times New Roman"/>
        </w:rPr>
        <w:t>;</w:t>
      </w:r>
    </w:p>
    <w:p w14:paraId="00458032" w14:textId="4063BBDB" w:rsidR="005B6F6A" w:rsidRPr="00125A6B" w:rsidRDefault="005B6F6A" w:rsidP="00B86D98">
      <w:pPr>
        <w:pStyle w:val="ListParagraph"/>
        <w:numPr>
          <w:ilvl w:val="0"/>
          <w:numId w:val="5"/>
        </w:numPr>
        <w:spacing w:after="420" w:line="240" w:lineRule="auto"/>
        <w:rPr>
          <w:rFonts w:ascii="Times New Roman" w:eastAsia="Times New Roman" w:hAnsi="Times New Roman" w:cs="Times New Roman"/>
        </w:rPr>
      </w:pPr>
      <w:r w:rsidRPr="00125A6B">
        <w:rPr>
          <w:rFonts w:ascii="Times New Roman" w:eastAsia="Times New Roman" w:hAnsi="Times New Roman" w:cs="Times New Roman"/>
        </w:rPr>
        <w:t>Owner recruitment and outreach as well as incentive and retention payments</w:t>
      </w:r>
      <w:r w:rsidR="00E01ACF" w:rsidRPr="00125A6B">
        <w:rPr>
          <w:rFonts w:ascii="Times New Roman" w:eastAsia="Times New Roman" w:hAnsi="Times New Roman" w:cs="Times New Roman"/>
        </w:rPr>
        <w:t>;</w:t>
      </w:r>
      <w:r w:rsidRPr="00125A6B">
        <w:rPr>
          <w:rFonts w:ascii="Times New Roman" w:eastAsia="Times New Roman" w:hAnsi="Times New Roman" w:cs="Times New Roman"/>
        </w:rPr>
        <w:t xml:space="preserve"> and </w:t>
      </w:r>
    </w:p>
    <w:p w14:paraId="0553A44E" w14:textId="77777777" w:rsidR="005B6F6A" w:rsidRPr="00125A6B" w:rsidRDefault="005B6F6A" w:rsidP="00B86D98">
      <w:pPr>
        <w:pStyle w:val="ListParagraph"/>
        <w:numPr>
          <w:ilvl w:val="0"/>
          <w:numId w:val="5"/>
        </w:numPr>
        <w:spacing w:after="420" w:line="240" w:lineRule="auto"/>
        <w:rPr>
          <w:rFonts w:ascii="Times New Roman" w:eastAsia="Times New Roman" w:hAnsi="Times New Roman" w:cs="Times New Roman"/>
        </w:rPr>
      </w:pPr>
      <w:r w:rsidRPr="00125A6B">
        <w:rPr>
          <w:rFonts w:ascii="Times New Roman" w:eastAsia="Times New Roman" w:hAnsi="Times New Roman" w:cs="Times New Roman"/>
        </w:rPr>
        <w:t>Other eligible uses to help families successfully lease up, including moving expenses, tenant readiness services, essential household items, and renter’s insurance if required by the family’s lease.</w:t>
      </w:r>
    </w:p>
    <w:p w14:paraId="74D30945" w14:textId="77777777" w:rsidR="005B6F6A" w:rsidRPr="00125A6B" w:rsidRDefault="005B6F6A" w:rsidP="005B6F6A">
      <w:pPr>
        <w:pStyle w:val="ListParagraph"/>
        <w:spacing w:after="420" w:line="240" w:lineRule="auto"/>
        <w:ind w:left="1440"/>
        <w:rPr>
          <w:rFonts w:ascii="Times New Roman" w:eastAsia="Times New Roman" w:hAnsi="Times New Roman" w:cs="Times New Roman"/>
        </w:rPr>
      </w:pPr>
    </w:p>
    <w:p w14:paraId="5F178879" w14:textId="77777777"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In terms of expensing Administrative expenses to EHV, if our PHA has a Central Office Cost Center (COCC), do we charge the same fees to EHV that we do to HCV? </w:t>
      </w:r>
    </w:p>
    <w:p w14:paraId="24DB6CF0" w14:textId="77777777" w:rsidR="005B6F6A" w:rsidRPr="00125A6B" w:rsidRDefault="005B6F6A" w:rsidP="005B6F6A">
      <w:pPr>
        <w:pStyle w:val="ListParagraph"/>
        <w:spacing w:after="0" w:line="240" w:lineRule="auto"/>
        <w:rPr>
          <w:rFonts w:ascii="Times New Roman" w:eastAsia="Times New Roman" w:hAnsi="Times New Roman" w:cs="Times New Roman"/>
        </w:rPr>
      </w:pPr>
    </w:p>
    <w:p w14:paraId="10EF0B02" w14:textId="63A1EA8E" w:rsidR="005B6F6A" w:rsidRPr="00125A6B" w:rsidRDefault="005B6F6A" w:rsidP="005B6F6A">
      <w:pPr>
        <w:spacing w:after="0" w:line="251" w:lineRule="auto"/>
        <w:ind w:firstLine="720"/>
        <w:rPr>
          <w:rFonts w:ascii="Times New Roman" w:eastAsia="Times New Roman" w:hAnsi="Times New Roman" w:cs="Times New Roman"/>
        </w:rPr>
      </w:pPr>
      <w:r w:rsidRPr="00125A6B">
        <w:rPr>
          <w:rFonts w:ascii="Times New Roman" w:eastAsia="Times New Roman" w:hAnsi="Times New Roman" w:cs="Times New Roman"/>
        </w:rPr>
        <w:t>Yes</w:t>
      </w:r>
      <w:r w:rsidR="00A441D6" w:rsidRPr="00125A6B">
        <w:rPr>
          <w:rFonts w:ascii="Times New Roman" w:eastAsia="Times New Roman" w:hAnsi="Times New Roman" w:cs="Times New Roman"/>
        </w:rPr>
        <w:t>.</w:t>
      </w:r>
      <w:r w:rsidRPr="00125A6B">
        <w:rPr>
          <w:rFonts w:ascii="Times New Roman" w:eastAsia="Times New Roman" w:hAnsi="Times New Roman" w:cs="Times New Roman"/>
        </w:rPr>
        <w:t xml:space="preserve"> </w:t>
      </w:r>
      <w:r w:rsidR="00A441D6" w:rsidRPr="00125A6B">
        <w:rPr>
          <w:rFonts w:ascii="Times New Roman" w:eastAsia="Times New Roman" w:hAnsi="Times New Roman" w:cs="Times New Roman"/>
        </w:rPr>
        <w:t>T</w:t>
      </w:r>
      <w:r w:rsidRPr="00125A6B">
        <w:rPr>
          <w:rFonts w:ascii="Times New Roman" w:eastAsia="Times New Roman" w:hAnsi="Times New Roman" w:cs="Times New Roman"/>
        </w:rPr>
        <w:t>he COCC may charge the same fees to EHV as HCV.</w:t>
      </w:r>
    </w:p>
    <w:p w14:paraId="6BDF5A89" w14:textId="7A1E95DA" w:rsidR="0131650B" w:rsidRPr="00125A6B" w:rsidRDefault="0131650B" w:rsidP="0131650B">
      <w:pPr>
        <w:spacing w:after="0" w:line="251" w:lineRule="auto"/>
        <w:ind w:firstLine="720"/>
        <w:rPr>
          <w:rFonts w:ascii="Times New Roman" w:eastAsia="Yu Mincho" w:hAnsi="Times New Roman" w:cs="Times New Roman"/>
        </w:rPr>
      </w:pPr>
    </w:p>
    <w:p w14:paraId="57EFC752" w14:textId="77777777" w:rsidR="005B6F6A" w:rsidRPr="00125A6B" w:rsidRDefault="440AE88C" w:rsidP="00CB7838">
      <w:pPr>
        <w:pStyle w:val="ListParagraph"/>
        <w:numPr>
          <w:ilvl w:val="0"/>
          <w:numId w:val="30"/>
        </w:numPr>
        <w:tabs>
          <w:tab w:val="left" w:pos="810"/>
        </w:tabs>
        <w:spacing w:after="0"/>
        <w:rPr>
          <w:rFonts w:ascii="Times New Roman" w:eastAsia="Times New Roman" w:hAnsi="Times New Roman" w:cs="Times New Roman"/>
          <w:b/>
          <w:bCs/>
        </w:rPr>
      </w:pPr>
      <w:r w:rsidRPr="00125A6B">
        <w:rPr>
          <w:rFonts w:ascii="Times New Roman" w:eastAsia="Times New Roman" w:hAnsi="Times New Roman" w:cs="Times New Roman"/>
          <w:b/>
          <w:bCs/>
        </w:rPr>
        <w:t xml:space="preserve"> Can </w:t>
      </w:r>
      <w:proofErr w:type="spellStart"/>
      <w:r w:rsidRPr="00125A6B">
        <w:rPr>
          <w:rFonts w:ascii="Times New Roman" w:eastAsia="Times New Roman" w:hAnsi="Times New Roman" w:cs="Times New Roman"/>
          <w:b/>
          <w:bCs/>
        </w:rPr>
        <w:t>CoC</w:t>
      </w:r>
      <w:proofErr w:type="spellEnd"/>
      <w:r w:rsidRPr="00125A6B">
        <w:rPr>
          <w:rFonts w:ascii="Times New Roman" w:eastAsia="Times New Roman" w:hAnsi="Times New Roman" w:cs="Times New Roman"/>
          <w:b/>
          <w:bCs/>
        </w:rPr>
        <w:t xml:space="preserve"> staff do the HQS inspection and be paid from our PHA administrative fees?  </w:t>
      </w:r>
    </w:p>
    <w:p w14:paraId="24BE7F44" w14:textId="77777777" w:rsidR="005B6F6A" w:rsidRPr="00125A6B" w:rsidRDefault="005B6F6A" w:rsidP="005B6F6A">
      <w:pPr>
        <w:spacing w:after="0" w:line="240" w:lineRule="auto"/>
        <w:ind w:firstLine="720"/>
        <w:rPr>
          <w:rFonts w:ascii="Times New Roman" w:eastAsia="Times New Roman" w:hAnsi="Times New Roman" w:cs="Times New Roman"/>
        </w:rPr>
      </w:pPr>
    </w:p>
    <w:p w14:paraId="3B250B73" w14:textId="22F247EE" w:rsidR="005B6F6A" w:rsidRPr="00125A6B" w:rsidRDefault="005B6F6A" w:rsidP="005B6F6A">
      <w:pPr>
        <w:pStyle w:val="ListParagraph"/>
        <w:spacing w:after="0" w:line="240" w:lineRule="auto"/>
        <w:rPr>
          <w:rFonts w:ascii="Times New Roman" w:hAnsi="Times New Roman" w:cs="Times New Roman"/>
        </w:rPr>
      </w:pPr>
      <w:r w:rsidRPr="00125A6B">
        <w:rPr>
          <w:rStyle w:val="normaltextrun"/>
          <w:rFonts w:ascii="Times New Roman" w:hAnsi="Times New Roman" w:cs="Times New Roman"/>
          <w:color w:val="000000"/>
          <w:shd w:val="clear" w:color="auto" w:fill="FFFFFF"/>
        </w:rPr>
        <w:t>Yes</w:t>
      </w:r>
      <w:r w:rsidR="00A441D6" w:rsidRPr="00125A6B">
        <w:rPr>
          <w:rStyle w:val="normaltextrun"/>
          <w:rFonts w:ascii="Times New Roman" w:hAnsi="Times New Roman" w:cs="Times New Roman"/>
          <w:color w:val="000000"/>
          <w:shd w:val="clear" w:color="auto" w:fill="FFFFFF"/>
        </w:rPr>
        <w:t>.</w:t>
      </w:r>
      <w:r w:rsidRPr="00125A6B">
        <w:rPr>
          <w:rStyle w:val="normaltextrun"/>
          <w:rFonts w:ascii="Times New Roman" w:hAnsi="Times New Roman" w:cs="Times New Roman"/>
          <w:color w:val="000000"/>
          <w:shd w:val="clear" w:color="auto" w:fill="FFFFFF"/>
        </w:rPr>
        <w:t xml:space="preserve"> </w:t>
      </w:r>
      <w:r w:rsidR="00A441D6" w:rsidRPr="00125A6B">
        <w:rPr>
          <w:rStyle w:val="normaltextrun"/>
          <w:rFonts w:ascii="Times New Roman" w:hAnsi="Times New Roman" w:cs="Times New Roman"/>
          <w:color w:val="000000"/>
          <w:shd w:val="clear" w:color="auto" w:fill="FFFFFF"/>
        </w:rPr>
        <w:t>T</w:t>
      </w:r>
      <w:r w:rsidRPr="00125A6B">
        <w:rPr>
          <w:rStyle w:val="normaltextrun"/>
          <w:rFonts w:ascii="Times New Roman" w:hAnsi="Times New Roman" w:cs="Times New Roman"/>
          <w:color w:val="000000"/>
          <w:shd w:val="clear" w:color="auto" w:fill="FFFFFF"/>
        </w:rPr>
        <w:t xml:space="preserve">he </w:t>
      </w:r>
      <w:bookmarkStart w:id="14" w:name="_Hlk80273533"/>
      <w:r w:rsidRPr="00125A6B">
        <w:rPr>
          <w:rStyle w:val="normaltextrun"/>
          <w:rFonts w:ascii="Times New Roman" w:hAnsi="Times New Roman" w:cs="Times New Roman"/>
          <w:color w:val="000000"/>
          <w:shd w:val="clear" w:color="auto" w:fill="FFFFFF"/>
        </w:rPr>
        <w:t xml:space="preserve">PHA may contract with other qualified entities to perform HQS inspections, which may include the </w:t>
      </w:r>
      <w:proofErr w:type="spellStart"/>
      <w:r w:rsidRPr="00125A6B">
        <w:rPr>
          <w:rStyle w:val="normaltextrun"/>
          <w:rFonts w:ascii="Times New Roman" w:hAnsi="Times New Roman" w:cs="Times New Roman"/>
          <w:color w:val="000000"/>
          <w:shd w:val="clear" w:color="auto" w:fill="FFFFFF"/>
        </w:rPr>
        <w:t>CoC</w:t>
      </w:r>
      <w:proofErr w:type="spellEnd"/>
      <w:r w:rsidRPr="00125A6B">
        <w:rPr>
          <w:rStyle w:val="normaltextrun"/>
          <w:rFonts w:ascii="Times New Roman" w:hAnsi="Times New Roman" w:cs="Times New Roman"/>
          <w:color w:val="000000"/>
          <w:shd w:val="clear" w:color="auto" w:fill="FFFFFF"/>
        </w:rPr>
        <w:t>. However, HQS inspections are ultimately the responsibility of the PHA, and the PHA is responsible for ensuring that the HQS</w:t>
      </w:r>
      <w:r w:rsidR="004E7483" w:rsidRPr="00125A6B">
        <w:rPr>
          <w:rStyle w:val="normaltextrun"/>
          <w:rFonts w:ascii="Times New Roman" w:hAnsi="Times New Roman" w:cs="Times New Roman"/>
          <w:color w:val="000000"/>
          <w:shd w:val="clear" w:color="auto" w:fill="FFFFFF"/>
        </w:rPr>
        <w:t xml:space="preserve"> inspection</w:t>
      </w:r>
      <w:r w:rsidRPr="00125A6B">
        <w:rPr>
          <w:rStyle w:val="normaltextrun"/>
          <w:rFonts w:ascii="Times New Roman" w:hAnsi="Times New Roman" w:cs="Times New Roman"/>
          <w:color w:val="000000"/>
          <w:shd w:val="clear" w:color="auto" w:fill="FFFFFF"/>
        </w:rPr>
        <w:t xml:space="preserve"> is performed accurately regardless of whether the </w:t>
      </w:r>
      <w:r w:rsidR="00471A1F" w:rsidRPr="00125A6B">
        <w:rPr>
          <w:rStyle w:val="normaltextrun"/>
          <w:rFonts w:ascii="Times New Roman" w:hAnsi="Times New Roman" w:cs="Times New Roman"/>
          <w:color w:val="000000"/>
          <w:shd w:val="clear" w:color="auto" w:fill="FFFFFF"/>
        </w:rPr>
        <w:t>P</w:t>
      </w:r>
      <w:r w:rsidRPr="00125A6B">
        <w:rPr>
          <w:rStyle w:val="normaltextrun"/>
          <w:rFonts w:ascii="Times New Roman" w:hAnsi="Times New Roman" w:cs="Times New Roman"/>
          <w:color w:val="000000"/>
          <w:shd w:val="clear" w:color="auto" w:fill="FFFFFF"/>
        </w:rPr>
        <w:t>HA conducts the inspection or contracts the administrative function out to a third party</w:t>
      </w:r>
      <w:r w:rsidRPr="00125A6B">
        <w:rPr>
          <w:rFonts w:ascii="Times New Roman" w:hAnsi="Times New Roman" w:cs="Times New Roman"/>
        </w:rPr>
        <w:t>.</w:t>
      </w:r>
    </w:p>
    <w:bookmarkEnd w:id="14"/>
    <w:p w14:paraId="3A6A2B0F" w14:textId="77777777" w:rsidR="005B6F6A" w:rsidRPr="00125A6B" w:rsidRDefault="005B6F6A" w:rsidP="00B40701">
      <w:pPr>
        <w:spacing w:after="0" w:line="240" w:lineRule="auto"/>
        <w:rPr>
          <w:rStyle w:val="eop"/>
          <w:rFonts w:ascii="Times New Roman" w:eastAsia="Times New Roman" w:hAnsi="Times New Roman" w:cs="Times New Roman"/>
          <w:b/>
          <w:color w:val="4472C4" w:themeColor="accent1"/>
        </w:rPr>
      </w:pPr>
    </w:p>
    <w:p w14:paraId="1602A15D" w14:textId="51A3D0AE" w:rsidR="005B6F6A" w:rsidRPr="00125A6B" w:rsidRDefault="440AE88C" w:rsidP="00CB7838">
      <w:pPr>
        <w:pStyle w:val="ListParagraph"/>
        <w:numPr>
          <w:ilvl w:val="0"/>
          <w:numId w:val="30"/>
        </w:numPr>
        <w:spacing w:after="0" w:line="240" w:lineRule="auto"/>
        <w:textAlignment w:val="baseline"/>
        <w:rPr>
          <w:rFonts w:ascii="Times New Roman" w:eastAsia="Times New Roman" w:hAnsi="Times New Roman" w:cs="Times New Roman"/>
          <w:b/>
          <w:bCs/>
        </w:rPr>
      </w:pPr>
      <w:r w:rsidRPr="00125A6B">
        <w:rPr>
          <w:rFonts w:ascii="Times New Roman" w:eastAsia="Times New Roman" w:hAnsi="Times New Roman" w:cs="Times New Roman"/>
          <w:b/>
          <w:bCs/>
        </w:rPr>
        <w:t>Are we required to spend $3,500 services administrative fee for each voucher tenant or is it a pool of funds and we can spend more or less on each voucher tenant, depending on the need? </w:t>
      </w:r>
    </w:p>
    <w:p w14:paraId="7DF52820" w14:textId="77777777" w:rsidR="005B6F6A" w:rsidRPr="00125A6B" w:rsidRDefault="005B6F6A" w:rsidP="005B6F6A">
      <w:pPr>
        <w:spacing w:after="0" w:line="240" w:lineRule="auto"/>
        <w:textAlignment w:val="baseline"/>
        <w:rPr>
          <w:rFonts w:ascii="Times New Roman" w:eastAsia="Times New Roman" w:hAnsi="Times New Roman" w:cs="Times New Roman"/>
        </w:rPr>
      </w:pPr>
      <w:r w:rsidRPr="00125A6B">
        <w:rPr>
          <w:rFonts w:ascii="Times New Roman" w:eastAsia="Times New Roman" w:hAnsi="Times New Roman" w:cs="Times New Roman"/>
        </w:rPr>
        <w:t> </w:t>
      </w:r>
    </w:p>
    <w:p w14:paraId="4FFAC713" w14:textId="79FE2EAB" w:rsidR="005B6F6A" w:rsidRPr="00125A6B" w:rsidRDefault="00A462FC" w:rsidP="00B50668">
      <w:pPr>
        <w:spacing w:after="0" w:line="240" w:lineRule="auto"/>
        <w:ind w:left="720"/>
        <w:textAlignment w:val="baseline"/>
        <w:rPr>
          <w:rFonts w:ascii="Times New Roman" w:eastAsia="Times New Roman" w:hAnsi="Times New Roman" w:cs="Times New Roman"/>
          <w:color w:val="000000"/>
        </w:rPr>
      </w:pPr>
      <w:r w:rsidRPr="00125A6B">
        <w:rPr>
          <w:rFonts w:ascii="Times New Roman" w:eastAsia="Times New Roman" w:hAnsi="Times New Roman" w:cs="Times New Roman"/>
          <w:color w:val="000000" w:themeColor="text1"/>
        </w:rPr>
        <w:t>The latter</w:t>
      </w:r>
      <w:r w:rsidR="00EA4A5D" w:rsidRPr="00125A6B">
        <w:rPr>
          <w:rFonts w:ascii="Times New Roman" w:eastAsia="Times New Roman" w:hAnsi="Times New Roman" w:cs="Times New Roman"/>
          <w:color w:val="000000" w:themeColor="text1"/>
        </w:rPr>
        <w:t>.</w:t>
      </w:r>
      <w:r w:rsidR="002B516F" w:rsidRPr="00125A6B">
        <w:rPr>
          <w:rFonts w:ascii="Times New Roman" w:eastAsia="Times New Roman" w:hAnsi="Times New Roman" w:cs="Times New Roman"/>
          <w:color w:val="000000" w:themeColor="text1"/>
        </w:rPr>
        <w:t xml:space="preserve"> </w:t>
      </w:r>
      <w:r w:rsidR="00EA4A5D" w:rsidRPr="00125A6B">
        <w:rPr>
          <w:rFonts w:ascii="Times New Roman" w:eastAsia="Times New Roman" w:hAnsi="Times New Roman" w:cs="Times New Roman"/>
          <w:color w:val="000000" w:themeColor="text1"/>
        </w:rPr>
        <w:t>T</w:t>
      </w:r>
      <w:r w:rsidR="00F35848" w:rsidRPr="00125A6B">
        <w:rPr>
          <w:rFonts w:ascii="Times New Roman" w:eastAsia="Times New Roman" w:hAnsi="Times New Roman" w:cs="Times New Roman"/>
          <w:color w:val="000000" w:themeColor="text1"/>
        </w:rPr>
        <w:t>he services fee amount is not tied to each voucher, but instead is the combined total of the services fees are available to the PHA to design a menu of services that will best address the leasing challenges faced by the EHV eligible families in the PHA’s community.</w:t>
      </w:r>
      <w:r w:rsidR="00F35848" w:rsidRPr="00125A6B">
        <w:rPr>
          <w:rFonts w:ascii="Times New Roman" w:hAnsi="Times New Roman" w:cs="Times New Roman"/>
        </w:rPr>
        <w:t xml:space="preserve"> </w:t>
      </w:r>
      <w:r w:rsidR="005B6F6A" w:rsidRPr="00125A6B">
        <w:rPr>
          <w:rFonts w:ascii="Times New Roman" w:eastAsia="Times New Roman" w:hAnsi="Times New Roman" w:cs="Times New Roman"/>
          <w:color w:val="000000" w:themeColor="text1"/>
        </w:rPr>
        <w:t>The $3,500 service</w:t>
      </w:r>
      <w:r w:rsidR="03732C84" w:rsidRPr="00125A6B">
        <w:rPr>
          <w:rFonts w:ascii="Times New Roman" w:eastAsia="Times New Roman" w:hAnsi="Times New Roman" w:cs="Times New Roman"/>
          <w:color w:val="000000" w:themeColor="text1"/>
        </w:rPr>
        <w:t>s</w:t>
      </w:r>
      <w:r w:rsidR="005B6F6A" w:rsidRPr="00125A6B">
        <w:rPr>
          <w:rFonts w:ascii="Times New Roman" w:eastAsia="Times New Roman" w:hAnsi="Times New Roman" w:cs="Times New Roman"/>
          <w:color w:val="000000" w:themeColor="text1"/>
        </w:rPr>
        <w:t xml:space="preserve"> fee is a one-time amount provided per EHV</w:t>
      </w:r>
      <w:r w:rsidR="00B50668" w:rsidRPr="00125A6B">
        <w:rPr>
          <w:rFonts w:ascii="Times New Roman" w:eastAsia="Times New Roman" w:hAnsi="Times New Roman" w:cs="Times New Roman"/>
          <w:color w:val="000000" w:themeColor="text1"/>
        </w:rPr>
        <w:t xml:space="preserve"> allocated</w:t>
      </w:r>
      <w:r w:rsidR="0046653D" w:rsidRPr="00125A6B">
        <w:rPr>
          <w:rFonts w:ascii="Times New Roman" w:eastAsia="Times New Roman" w:hAnsi="Times New Roman" w:cs="Times New Roman"/>
          <w:color w:val="000000" w:themeColor="text1"/>
        </w:rPr>
        <w:t xml:space="preserve"> and</w:t>
      </w:r>
      <w:r w:rsidR="005B6F6A" w:rsidRPr="00125A6B">
        <w:rPr>
          <w:rFonts w:ascii="Times New Roman" w:eastAsia="Times New Roman" w:hAnsi="Times New Roman" w:cs="Times New Roman"/>
          <w:color w:val="000000" w:themeColor="text1"/>
        </w:rPr>
        <w:t xml:space="preserve"> </w:t>
      </w:r>
      <w:r w:rsidR="0046653D" w:rsidRPr="00125A6B">
        <w:rPr>
          <w:rFonts w:ascii="Times New Roman" w:eastAsia="Times New Roman" w:hAnsi="Times New Roman" w:cs="Times New Roman"/>
          <w:color w:val="000000" w:themeColor="text1"/>
        </w:rPr>
        <w:t>t</w:t>
      </w:r>
      <w:r w:rsidR="005B6F6A" w:rsidRPr="00125A6B">
        <w:rPr>
          <w:rFonts w:ascii="Times New Roman" w:eastAsia="Times New Roman" w:hAnsi="Times New Roman" w:cs="Times New Roman"/>
          <w:color w:val="000000" w:themeColor="text1"/>
        </w:rPr>
        <w:t xml:space="preserve">he </w:t>
      </w:r>
      <w:bookmarkStart w:id="15" w:name="_Hlk80273778"/>
      <w:r w:rsidR="005B6F6A" w:rsidRPr="00125A6B">
        <w:rPr>
          <w:rFonts w:ascii="Times New Roman" w:eastAsia="Times New Roman" w:hAnsi="Times New Roman" w:cs="Times New Roman"/>
          <w:color w:val="000000" w:themeColor="text1"/>
        </w:rPr>
        <w:t xml:space="preserve">use of the funds will depend on the supportive services identified for participants, including consideration of services to be </w:t>
      </w:r>
      <w:r w:rsidR="005B6F6A" w:rsidRPr="00125A6B">
        <w:rPr>
          <w:rFonts w:ascii="Times New Roman" w:eastAsia="Times New Roman" w:hAnsi="Times New Roman" w:cs="Times New Roman"/>
          <w:color w:val="000000"/>
        </w:rPr>
        <w:t xml:space="preserve">provided by partners. </w:t>
      </w:r>
      <w:bookmarkEnd w:id="15"/>
      <w:r w:rsidR="005B6F6A" w:rsidRPr="00125A6B">
        <w:rPr>
          <w:rFonts w:ascii="Times New Roman" w:eastAsia="Times New Roman" w:hAnsi="Times New Roman" w:cs="Times New Roman"/>
          <w:color w:val="000000"/>
        </w:rPr>
        <w:t>Because this is a one-time fee, communities will want to ensure that they are able to assist additional families with EHV should the voucher turn over within the allowed window.</w:t>
      </w:r>
    </w:p>
    <w:p w14:paraId="62B3FA11" w14:textId="77777777" w:rsidR="005B6F6A" w:rsidRPr="00125A6B" w:rsidRDefault="005B6F6A" w:rsidP="005B6F6A">
      <w:pPr>
        <w:spacing w:after="0" w:line="240" w:lineRule="auto"/>
        <w:textAlignment w:val="baseline"/>
        <w:rPr>
          <w:rFonts w:ascii="Times New Roman" w:eastAsia="Times New Roman" w:hAnsi="Times New Roman" w:cs="Times New Roman"/>
        </w:rPr>
      </w:pPr>
      <w:r w:rsidRPr="00125A6B">
        <w:rPr>
          <w:rFonts w:ascii="Times New Roman" w:eastAsia="Times New Roman" w:hAnsi="Times New Roman" w:cs="Times New Roman"/>
        </w:rPr>
        <w:t> </w:t>
      </w:r>
    </w:p>
    <w:p w14:paraId="1DD64356" w14:textId="312E20C2" w:rsidR="62309BE1" w:rsidRPr="00125A6B" w:rsidRDefault="440AE88C" w:rsidP="00CB7838">
      <w:pPr>
        <w:pStyle w:val="ListParagraph"/>
        <w:numPr>
          <w:ilvl w:val="0"/>
          <w:numId w:val="30"/>
        </w:numPr>
        <w:spacing w:after="0" w:line="240" w:lineRule="auto"/>
        <w:textAlignment w:val="baseline"/>
        <w:rPr>
          <w:rFonts w:ascii="Times New Roman" w:eastAsia="Times New Roman" w:hAnsi="Times New Roman" w:cs="Times New Roman"/>
        </w:rPr>
      </w:pPr>
      <w:r w:rsidRPr="00125A6B">
        <w:rPr>
          <w:rFonts w:ascii="Times New Roman" w:eastAsia="Times New Roman" w:hAnsi="Times New Roman" w:cs="Times New Roman"/>
          <w:b/>
          <w:bCs/>
        </w:rPr>
        <w:t xml:space="preserve">Would an FMR rent study be categorized as an eligible expense under Section 6.d.iii.A. of </w:t>
      </w:r>
      <w:hyperlink r:id="rId98" w:history="1">
        <w:r w:rsidRPr="00125A6B">
          <w:rPr>
            <w:rStyle w:val="Hyperlink"/>
            <w:rFonts w:ascii="Times New Roman" w:eastAsia="Times New Roman" w:hAnsi="Times New Roman" w:cs="Times New Roman"/>
            <w:b/>
            <w:bCs/>
          </w:rPr>
          <w:t>PIH Notice 2021-15</w:t>
        </w:r>
      </w:hyperlink>
      <w:r w:rsidRPr="00125A6B">
        <w:rPr>
          <w:rFonts w:ascii="Times New Roman" w:eastAsia="Times New Roman" w:hAnsi="Times New Roman" w:cs="Times New Roman"/>
          <w:b/>
          <w:bCs/>
        </w:rPr>
        <w:t>? </w:t>
      </w:r>
    </w:p>
    <w:p w14:paraId="2F9FBD7F" w14:textId="3E9AA8AC" w:rsidR="62309BE1" w:rsidRPr="00125A6B" w:rsidRDefault="005B6F6A" w:rsidP="00EC7765">
      <w:pPr>
        <w:pStyle w:val="xparagraph"/>
        <w:ind w:left="720"/>
        <w:textAlignment w:val="baseline"/>
        <w:rPr>
          <w:rFonts w:ascii="Times New Roman" w:hAnsi="Times New Roman" w:cs="Times New Roman"/>
        </w:rPr>
      </w:pPr>
      <w:r w:rsidRPr="00125A6B">
        <w:rPr>
          <w:rStyle w:val="xnormaltextrun"/>
          <w:rFonts w:ascii="Times New Roman" w:hAnsi="Times New Roman" w:cs="Times New Roman"/>
        </w:rPr>
        <w:t>As in the HCV program, an FMR rent study would be an eligible EHV administrative expense if that FMR rent study is going to be used for EHV purposes (such as determining an appropriate EHV payment standard, for example).  However, an FMR rent study has applicability beyond the EHV program to the PHA’s regular HCV program.  Since EHV funds may not be used for regular HCV administrative expenses, a PHA could not use EHV administrative fees to pay the entire cost of the FMR rent study.  In such an instance, the PHA would need to allocate the cost of the FMR study proportionally between the EHV program and the regular HCV program.  For example, if the PHA has 180 HCV authorized units and 20 EHVs, the PHA could not use EHV administrative funds to pay for more than 10 percent of the cost of the FMR rent study, since the EHVs represent 10 percent of the PHA’s combined HCV and EHV units.  (20 EHV units divided by 200 (180+20) total HCV and EHV units = 10 percent.)</w:t>
      </w:r>
    </w:p>
    <w:p w14:paraId="4254AFBC" w14:textId="3B1E6CB4" w:rsidR="005B6F6A" w:rsidRPr="00125A6B" w:rsidRDefault="440AE88C" w:rsidP="00CB7838">
      <w:pPr>
        <w:pStyle w:val="ListParagraph"/>
        <w:numPr>
          <w:ilvl w:val="0"/>
          <w:numId w:val="30"/>
        </w:numPr>
        <w:spacing w:after="0" w:line="240" w:lineRule="auto"/>
        <w:textAlignment w:val="baseline"/>
        <w:rPr>
          <w:rFonts w:ascii="Times New Roman" w:eastAsia="Times New Roman" w:hAnsi="Times New Roman" w:cs="Times New Roman"/>
          <w:b/>
          <w:bCs/>
        </w:rPr>
      </w:pPr>
      <w:r w:rsidRPr="00125A6B">
        <w:rPr>
          <w:rFonts w:ascii="Times New Roman" w:eastAsia="Times New Roman" w:hAnsi="Times New Roman" w:cs="Times New Roman"/>
          <w:b/>
          <w:bCs/>
        </w:rPr>
        <w:t>Can service</w:t>
      </w:r>
      <w:r w:rsidR="2FC19216" w:rsidRPr="00125A6B">
        <w:rPr>
          <w:rFonts w:ascii="Times New Roman" w:eastAsia="Times New Roman" w:hAnsi="Times New Roman" w:cs="Times New Roman"/>
          <w:b/>
          <w:bCs/>
        </w:rPr>
        <w:t>s</w:t>
      </w:r>
      <w:r w:rsidRPr="00125A6B">
        <w:rPr>
          <w:rFonts w:ascii="Times New Roman" w:eastAsia="Times New Roman" w:hAnsi="Times New Roman" w:cs="Times New Roman"/>
          <w:b/>
          <w:bCs/>
        </w:rPr>
        <w:t xml:space="preserve"> fees be used for landlord incentives? </w:t>
      </w:r>
    </w:p>
    <w:p w14:paraId="45E6977D" w14:textId="77777777" w:rsidR="005B6F6A" w:rsidRPr="00125A6B" w:rsidRDefault="005B6F6A" w:rsidP="005B6F6A">
      <w:pPr>
        <w:pStyle w:val="ListParagraph"/>
        <w:spacing w:after="0" w:line="240" w:lineRule="auto"/>
        <w:textAlignment w:val="baseline"/>
        <w:rPr>
          <w:rFonts w:ascii="Times New Roman" w:eastAsia="Times New Roman" w:hAnsi="Times New Roman" w:cs="Times New Roman"/>
        </w:rPr>
      </w:pPr>
    </w:p>
    <w:p w14:paraId="3A4E683C" w14:textId="06430A0E" w:rsidR="005B6F6A" w:rsidRPr="00125A6B" w:rsidRDefault="005B6F6A" w:rsidP="005156BD">
      <w:pPr>
        <w:spacing w:after="0" w:line="240" w:lineRule="auto"/>
        <w:ind w:left="720"/>
        <w:textAlignment w:val="baseline"/>
        <w:rPr>
          <w:rFonts w:ascii="Times New Roman" w:eastAsia="Times New Roman" w:hAnsi="Times New Roman" w:cs="Times New Roman"/>
        </w:rPr>
      </w:pPr>
      <w:r w:rsidRPr="00125A6B">
        <w:rPr>
          <w:rFonts w:ascii="Times New Roman" w:eastAsia="Times New Roman" w:hAnsi="Times New Roman" w:cs="Times New Roman"/>
        </w:rPr>
        <w:t>Yes.</w:t>
      </w:r>
      <w:r w:rsidR="00330CAE" w:rsidRPr="00125A6B">
        <w:rPr>
          <w:rFonts w:ascii="Times New Roman" w:eastAsia="Times New Roman" w:hAnsi="Times New Roman" w:cs="Times New Roman"/>
        </w:rPr>
        <w:t xml:space="preserve">  </w:t>
      </w:r>
      <w:r w:rsidR="2BD08DE5" w:rsidRPr="00125A6B">
        <w:rPr>
          <w:rFonts w:ascii="Times New Roman" w:eastAsia="Times New Roman" w:hAnsi="Times New Roman" w:cs="Times New Roman"/>
        </w:rPr>
        <w:t>Landlord incentives are an eligible use of the services fee</w:t>
      </w:r>
      <w:r w:rsidR="311B79EE" w:rsidRPr="00125A6B">
        <w:rPr>
          <w:rFonts w:ascii="Times New Roman" w:eastAsia="Times New Roman" w:hAnsi="Times New Roman" w:cs="Times New Roman"/>
        </w:rPr>
        <w:t xml:space="preserve"> per Section 6.d(3) of </w:t>
      </w:r>
      <w:hyperlink r:id="rId99" w:history="1">
        <w:r w:rsidR="311B79EE" w:rsidRPr="00125A6B">
          <w:rPr>
            <w:rStyle w:val="Hyperlink"/>
            <w:rFonts w:ascii="Times New Roman" w:eastAsia="Times New Roman" w:hAnsi="Times New Roman" w:cs="Times New Roman"/>
          </w:rPr>
          <w:t>PIH Notice 2021-15</w:t>
        </w:r>
      </w:hyperlink>
      <w:r w:rsidR="311B79EE" w:rsidRPr="00125A6B">
        <w:rPr>
          <w:rFonts w:ascii="Times New Roman" w:eastAsia="Times New Roman" w:hAnsi="Times New Roman" w:cs="Times New Roman"/>
        </w:rPr>
        <w:t xml:space="preserve">. </w:t>
      </w:r>
      <w:r w:rsidRPr="00125A6B">
        <w:rPr>
          <w:rFonts w:ascii="Times New Roman" w:hAnsi="Times New Roman" w:cs="Times New Roman"/>
        </w:rPr>
        <w:tab/>
      </w:r>
      <w:r w:rsidR="2BD08DE5" w:rsidRPr="00125A6B">
        <w:rPr>
          <w:rFonts w:ascii="Times New Roman" w:eastAsia="Times New Roman" w:hAnsi="Times New Roman" w:cs="Times New Roman"/>
        </w:rPr>
        <w:t xml:space="preserve"> </w:t>
      </w:r>
    </w:p>
    <w:p w14:paraId="6D0186C2" w14:textId="77777777" w:rsidR="005B6F6A" w:rsidRPr="00125A6B" w:rsidRDefault="005B6F6A" w:rsidP="005B6F6A">
      <w:pPr>
        <w:pStyle w:val="ListParagraph"/>
        <w:spacing w:after="0" w:line="240" w:lineRule="auto"/>
        <w:textAlignment w:val="baseline"/>
        <w:rPr>
          <w:rFonts w:ascii="Times New Roman" w:eastAsia="Times New Roman" w:hAnsi="Times New Roman" w:cs="Times New Roman"/>
        </w:rPr>
      </w:pPr>
    </w:p>
    <w:p w14:paraId="6E9BACD2" w14:textId="316BAB7A" w:rsidR="005B6F6A" w:rsidRPr="00125A6B" w:rsidRDefault="440AE88C" w:rsidP="00CB7838">
      <w:pPr>
        <w:pStyle w:val="ListParagraph"/>
        <w:numPr>
          <w:ilvl w:val="0"/>
          <w:numId w:val="30"/>
        </w:numPr>
        <w:spacing w:after="0" w:line="240" w:lineRule="auto"/>
        <w:textAlignment w:val="baseline"/>
        <w:rPr>
          <w:rFonts w:ascii="Times New Roman" w:eastAsia="Times New Roman" w:hAnsi="Times New Roman" w:cs="Times New Roman"/>
          <w:b/>
          <w:bCs/>
        </w:rPr>
      </w:pPr>
      <w:r w:rsidRPr="00125A6B">
        <w:rPr>
          <w:rFonts w:ascii="Times New Roman" w:eastAsia="Times New Roman" w:hAnsi="Times New Roman" w:cs="Times New Roman"/>
          <w:b/>
          <w:bCs/>
        </w:rPr>
        <w:t>Is there a cap on the amount that can be given as security deposit? For example, could a PHA do triple deposits as the landlord incentive? Or will it be up to each community? </w:t>
      </w:r>
    </w:p>
    <w:p w14:paraId="6541E74D" w14:textId="77777777" w:rsidR="005B6F6A" w:rsidRPr="00125A6B" w:rsidRDefault="005B6F6A" w:rsidP="005B6F6A">
      <w:pPr>
        <w:pStyle w:val="ListParagraph"/>
        <w:spacing w:after="0" w:line="240" w:lineRule="auto"/>
        <w:textAlignment w:val="baseline"/>
        <w:rPr>
          <w:rFonts w:ascii="Times New Roman" w:eastAsia="Times New Roman" w:hAnsi="Times New Roman" w:cs="Times New Roman"/>
        </w:rPr>
      </w:pPr>
    </w:p>
    <w:p w14:paraId="2C536E48" w14:textId="65344153" w:rsidR="005B6F6A" w:rsidRPr="00125A6B" w:rsidRDefault="005B6F6A" w:rsidP="005B6F6A">
      <w:pPr>
        <w:pStyle w:val="ListParagraph"/>
        <w:spacing w:after="0" w:line="240" w:lineRule="auto"/>
        <w:textAlignment w:val="baseline"/>
        <w:rPr>
          <w:rFonts w:ascii="Times New Roman" w:eastAsia="Times New Roman" w:hAnsi="Times New Roman" w:cs="Times New Roman"/>
        </w:rPr>
      </w:pPr>
      <w:r w:rsidRPr="00125A6B">
        <w:rPr>
          <w:rFonts w:ascii="Times New Roman" w:eastAsia="Times New Roman" w:hAnsi="Times New Roman" w:cs="Times New Roman"/>
        </w:rPr>
        <w:t>Per Section 6</w:t>
      </w:r>
      <w:r w:rsidR="33C37671" w:rsidRPr="00125A6B">
        <w:rPr>
          <w:rFonts w:ascii="Times New Roman" w:eastAsia="Times New Roman" w:hAnsi="Times New Roman" w:cs="Times New Roman"/>
        </w:rPr>
        <w:t>.d(3)</w:t>
      </w:r>
      <w:r w:rsidRPr="00125A6B">
        <w:rPr>
          <w:rFonts w:ascii="Times New Roman" w:eastAsia="Times New Roman" w:hAnsi="Times New Roman" w:cs="Times New Roman"/>
        </w:rPr>
        <w:t xml:space="preserve"> of </w:t>
      </w:r>
      <w:hyperlink r:id="rId100" w:history="1">
        <w:r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rPr>
        <w:t>, "The amount of the security deposit assistance may not exceed the lesser of two months’ rent to owner, the maximum security deposit allowed under applicable state and/or local law, or the actual security deposit required by the owner." </w:t>
      </w:r>
    </w:p>
    <w:p w14:paraId="17BA9CEC" w14:textId="77777777" w:rsidR="005B6F6A" w:rsidRPr="00125A6B" w:rsidRDefault="005B6F6A" w:rsidP="005B6F6A">
      <w:pPr>
        <w:pStyle w:val="ListParagraph"/>
        <w:spacing w:after="0" w:line="240" w:lineRule="auto"/>
        <w:ind w:left="0"/>
        <w:rPr>
          <w:rFonts w:ascii="Times New Roman" w:eastAsia="Times New Roman" w:hAnsi="Times New Roman" w:cs="Times New Roman"/>
        </w:rPr>
      </w:pPr>
    </w:p>
    <w:p w14:paraId="6D22B843" w14:textId="32775865" w:rsidR="005B6F6A" w:rsidRPr="00125A6B" w:rsidRDefault="440AE88C" w:rsidP="00CB7838">
      <w:pPr>
        <w:pStyle w:val="ListParagraph"/>
        <w:numPr>
          <w:ilvl w:val="0"/>
          <w:numId w:val="30"/>
        </w:numPr>
        <w:spacing w:after="0"/>
        <w:rPr>
          <w:rFonts w:ascii="Times New Roman" w:eastAsia="Times New Roman" w:hAnsi="Times New Roman" w:cs="Times New Roman"/>
          <w:b/>
          <w:bCs/>
        </w:rPr>
      </w:pPr>
      <w:r w:rsidRPr="00125A6B">
        <w:rPr>
          <w:rFonts w:ascii="Times New Roman" w:eastAsia="Times New Roman" w:hAnsi="Times New Roman" w:cs="Times New Roman"/>
          <w:b/>
          <w:bCs/>
        </w:rPr>
        <w:t xml:space="preserve">Is there an upper limit on the amount of incentive/retention payments or restrictions on </w:t>
      </w:r>
      <w:r w:rsidR="758EAA95" w:rsidRPr="00125A6B">
        <w:rPr>
          <w:rFonts w:ascii="Times New Roman" w:eastAsia="Times New Roman" w:hAnsi="Times New Roman" w:cs="Times New Roman"/>
          <w:b/>
          <w:bCs/>
        </w:rPr>
        <w:t>the number</w:t>
      </w:r>
      <w:r w:rsidRPr="00125A6B">
        <w:rPr>
          <w:rFonts w:ascii="Times New Roman" w:eastAsia="Times New Roman" w:hAnsi="Times New Roman" w:cs="Times New Roman"/>
          <w:b/>
          <w:bCs/>
        </w:rPr>
        <w:t xml:space="preserve"> or frequency of such payments? </w:t>
      </w:r>
      <w:r w:rsidRPr="00125A6B">
        <w:rPr>
          <w:rFonts w:ascii="Times New Roman" w:eastAsia="Times New Roman" w:hAnsi="Times New Roman" w:cs="Times New Roman"/>
          <w:b/>
          <w:bCs/>
          <w:color w:val="FF0000"/>
        </w:rPr>
        <w:t xml:space="preserve"> </w:t>
      </w:r>
    </w:p>
    <w:p w14:paraId="6803DAD3" w14:textId="77777777" w:rsidR="005B6F6A" w:rsidRPr="00125A6B" w:rsidRDefault="005B6F6A" w:rsidP="005B6F6A">
      <w:pPr>
        <w:spacing w:after="0"/>
        <w:rPr>
          <w:rFonts w:ascii="Times New Roman" w:eastAsia="Times New Roman" w:hAnsi="Times New Roman" w:cs="Times New Roman"/>
          <w:b/>
          <w:bCs/>
        </w:rPr>
      </w:pPr>
    </w:p>
    <w:p w14:paraId="56F463BF" w14:textId="79C257EC" w:rsidR="00330CAE" w:rsidRPr="00125A6B" w:rsidRDefault="27C48D35" w:rsidP="005B6F6A">
      <w:pPr>
        <w:spacing w:after="0"/>
        <w:ind w:left="720"/>
        <w:rPr>
          <w:rFonts w:ascii="Times New Roman" w:eastAsia="Yu Mincho" w:hAnsi="Times New Roman" w:cs="Times New Roman"/>
          <w:lang w:val="ja" w:eastAsia="ja-JP"/>
        </w:rPr>
      </w:pPr>
      <w:r w:rsidRPr="00125A6B">
        <w:rPr>
          <w:rFonts w:ascii="Times New Roman" w:eastAsia="Times New Roman" w:hAnsi="Times New Roman" w:cs="Times New Roman"/>
        </w:rPr>
        <w:t xml:space="preserve">Section 6.d(3) </w:t>
      </w:r>
      <w:r w:rsidR="00330CAE" w:rsidRPr="00125A6B">
        <w:rPr>
          <w:rFonts w:ascii="Times New Roman" w:eastAsia="Times New Roman" w:hAnsi="Times New Roman" w:cs="Times New Roman"/>
        </w:rPr>
        <w:t xml:space="preserve">PIH Notice 2021-15 </w:t>
      </w:r>
      <w:r w:rsidR="005B6F6A" w:rsidRPr="00125A6B">
        <w:rPr>
          <w:rFonts w:ascii="Times New Roman" w:eastAsia="Times New Roman" w:hAnsi="Times New Roman" w:cs="Times New Roman"/>
          <w:lang w:val="ja"/>
        </w:rPr>
        <w:t xml:space="preserve">gives latitude to the PHA to design an </w:t>
      </w:r>
      <w:r w:rsidR="11305E02" w:rsidRPr="00125A6B">
        <w:rPr>
          <w:rFonts w:ascii="Times New Roman" w:eastAsia="Times New Roman" w:hAnsi="Times New Roman" w:cs="Times New Roman"/>
          <w:lang w:val="ja"/>
        </w:rPr>
        <w:t>o</w:t>
      </w:r>
      <w:r w:rsidR="005B6F6A" w:rsidRPr="00125A6B">
        <w:rPr>
          <w:rFonts w:ascii="Times New Roman" w:eastAsia="Times New Roman" w:hAnsi="Times New Roman" w:cs="Times New Roman"/>
          <w:lang w:val="ja"/>
        </w:rPr>
        <w:t xml:space="preserve">wner </w:t>
      </w:r>
      <w:r w:rsidR="4822A19D" w:rsidRPr="00125A6B">
        <w:rPr>
          <w:rFonts w:ascii="Times New Roman" w:eastAsia="Times New Roman" w:hAnsi="Times New Roman" w:cs="Times New Roman"/>
          <w:lang w:val="ja"/>
        </w:rPr>
        <w:t>i</w:t>
      </w:r>
      <w:r w:rsidR="005B6F6A" w:rsidRPr="00125A6B">
        <w:rPr>
          <w:rFonts w:ascii="Times New Roman" w:eastAsia="Times New Roman" w:hAnsi="Times New Roman" w:cs="Times New Roman"/>
          <w:lang w:val="ja"/>
        </w:rPr>
        <w:t>ncentive</w:t>
      </w:r>
      <w:r w:rsidR="40E44C0A" w:rsidRPr="00125A6B">
        <w:rPr>
          <w:rFonts w:ascii="Times New Roman" w:eastAsia="Times New Roman" w:hAnsi="Times New Roman" w:cs="Times New Roman"/>
          <w:lang w:val="ja"/>
        </w:rPr>
        <w:t xml:space="preserve"> and/or </w:t>
      </w:r>
      <w:r w:rsidR="434FAF7F" w:rsidRPr="00125A6B">
        <w:rPr>
          <w:rFonts w:ascii="Times New Roman" w:eastAsia="Times New Roman" w:hAnsi="Times New Roman" w:cs="Times New Roman"/>
          <w:lang w:val="ja"/>
        </w:rPr>
        <w:t>r</w:t>
      </w:r>
      <w:r w:rsidR="005B6F6A" w:rsidRPr="00125A6B">
        <w:rPr>
          <w:rFonts w:ascii="Times New Roman" w:eastAsia="Times New Roman" w:hAnsi="Times New Roman" w:cs="Times New Roman"/>
          <w:lang w:val="ja"/>
        </w:rPr>
        <w:t xml:space="preserve">etention </w:t>
      </w:r>
      <w:r w:rsidR="74304A92" w:rsidRPr="00125A6B">
        <w:rPr>
          <w:rFonts w:ascii="Times New Roman" w:eastAsia="Times New Roman" w:hAnsi="Times New Roman" w:cs="Times New Roman"/>
          <w:lang w:val="ja"/>
        </w:rPr>
        <w:t>p</w:t>
      </w:r>
      <w:r w:rsidR="005B6F6A" w:rsidRPr="00125A6B">
        <w:rPr>
          <w:rFonts w:ascii="Times New Roman" w:eastAsia="Times New Roman" w:hAnsi="Times New Roman" w:cs="Times New Roman"/>
          <w:lang w:val="ja"/>
        </w:rPr>
        <w:t xml:space="preserve">ayment structure in order to meet the needs of the housing supply challenges in their jurisdiction.  </w:t>
      </w:r>
      <w:r w:rsidR="005B6F6A" w:rsidRPr="00125A6B">
        <w:rPr>
          <w:rFonts w:ascii="Times New Roman" w:eastAsia="Times New Roman" w:hAnsi="Times New Roman" w:cs="Times New Roman"/>
        </w:rPr>
        <w:t>T</w:t>
      </w:r>
      <w:r w:rsidR="005B6F6A" w:rsidRPr="00125A6B">
        <w:rPr>
          <w:rFonts w:ascii="Times New Roman" w:eastAsia="Times New Roman" w:hAnsi="Times New Roman" w:cs="Times New Roman"/>
          <w:lang w:val="ja"/>
        </w:rPr>
        <w:t xml:space="preserve">he overall </w:t>
      </w:r>
      <w:r w:rsidR="24022736" w:rsidRPr="00125A6B">
        <w:rPr>
          <w:rFonts w:ascii="Times New Roman" w:eastAsia="Times New Roman" w:hAnsi="Times New Roman" w:cs="Times New Roman"/>
          <w:lang w:val="ja"/>
        </w:rPr>
        <w:t>se</w:t>
      </w:r>
      <w:r w:rsidR="005B6F6A" w:rsidRPr="00125A6B">
        <w:rPr>
          <w:rFonts w:ascii="Times New Roman" w:eastAsia="Times New Roman" w:hAnsi="Times New Roman" w:cs="Times New Roman"/>
          <w:lang w:val="ja"/>
        </w:rPr>
        <w:t>rvice</w:t>
      </w:r>
      <w:r w:rsidR="11B49024" w:rsidRPr="00125A6B">
        <w:rPr>
          <w:rFonts w:ascii="Times New Roman" w:eastAsia="Times New Roman" w:hAnsi="Times New Roman" w:cs="Times New Roman"/>
          <w:lang w:val="ja"/>
        </w:rPr>
        <w:t>s</w:t>
      </w:r>
      <w:r w:rsidR="005B6F6A" w:rsidRPr="00125A6B">
        <w:rPr>
          <w:rFonts w:ascii="Times New Roman" w:eastAsia="Times New Roman" w:hAnsi="Times New Roman" w:cs="Times New Roman"/>
          <w:lang w:val="ja"/>
        </w:rPr>
        <w:t xml:space="preserve"> </w:t>
      </w:r>
      <w:r w:rsidR="018FA206" w:rsidRPr="00125A6B">
        <w:rPr>
          <w:rFonts w:ascii="Times New Roman" w:eastAsia="Times New Roman" w:hAnsi="Times New Roman" w:cs="Times New Roman"/>
          <w:lang w:val="ja"/>
        </w:rPr>
        <w:t>f</w:t>
      </w:r>
      <w:r w:rsidR="005B6F6A" w:rsidRPr="00125A6B">
        <w:rPr>
          <w:rFonts w:ascii="Times New Roman" w:eastAsia="Times New Roman" w:hAnsi="Times New Roman" w:cs="Times New Roman"/>
          <w:lang w:val="ja"/>
        </w:rPr>
        <w:t>ee is a one-time payment of $3</w:t>
      </w:r>
      <w:r w:rsidR="005B6F6A" w:rsidRPr="00125A6B">
        <w:rPr>
          <w:rFonts w:ascii="Times New Roman" w:eastAsia="Times New Roman" w:hAnsi="Times New Roman" w:cs="Times New Roman"/>
        </w:rPr>
        <w:t>,</w:t>
      </w:r>
      <w:r w:rsidR="005B6F6A" w:rsidRPr="00125A6B">
        <w:rPr>
          <w:rFonts w:ascii="Times New Roman" w:eastAsia="Times New Roman" w:hAnsi="Times New Roman" w:cs="Times New Roman"/>
          <w:lang w:val="ja"/>
        </w:rPr>
        <w:t xml:space="preserve">500 per voucher allocated.  As such, the PHA </w:t>
      </w:r>
      <w:r w:rsidR="005B6F6A" w:rsidRPr="00125A6B">
        <w:rPr>
          <w:rFonts w:ascii="Times New Roman" w:eastAsia="Times New Roman" w:hAnsi="Times New Roman" w:cs="Times New Roman"/>
        </w:rPr>
        <w:t>will want to</w:t>
      </w:r>
      <w:r w:rsidR="005B6F6A" w:rsidRPr="00125A6B">
        <w:rPr>
          <w:rFonts w:ascii="Times New Roman" w:eastAsia="Times New Roman" w:hAnsi="Times New Roman" w:cs="Times New Roman"/>
          <w:lang w:val="ja"/>
        </w:rPr>
        <w:t xml:space="preserve"> weigh the </w:t>
      </w:r>
      <w:r w:rsidR="4884C3E5" w:rsidRPr="00125A6B">
        <w:rPr>
          <w:rFonts w:ascii="Times New Roman" w:eastAsia="Times New Roman" w:hAnsi="Times New Roman" w:cs="Times New Roman"/>
          <w:lang w:val="ja"/>
        </w:rPr>
        <w:t>o</w:t>
      </w:r>
      <w:r w:rsidR="005B6F6A" w:rsidRPr="00125A6B">
        <w:rPr>
          <w:rFonts w:ascii="Times New Roman" w:eastAsia="Times New Roman" w:hAnsi="Times New Roman" w:cs="Times New Roman"/>
          <w:lang w:val="ja"/>
        </w:rPr>
        <w:t xml:space="preserve">wner </w:t>
      </w:r>
      <w:r w:rsidR="2301E887" w:rsidRPr="00125A6B">
        <w:rPr>
          <w:rFonts w:ascii="Times New Roman" w:eastAsia="Times New Roman" w:hAnsi="Times New Roman" w:cs="Times New Roman"/>
          <w:lang w:val="ja"/>
        </w:rPr>
        <w:t>i</w:t>
      </w:r>
      <w:r w:rsidR="005B6F6A" w:rsidRPr="00125A6B">
        <w:rPr>
          <w:rFonts w:ascii="Times New Roman" w:eastAsia="Times New Roman" w:hAnsi="Times New Roman" w:cs="Times New Roman"/>
          <w:lang w:val="ja"/>
        </w:rPr>
        <w:t>ncentive</w:t>
      </w:r>
      <w:r w:rsidR="710702BC" w:rsidRPr="00125A6B">
        <w:rPr>
          <w:rFonts w:ascii="Times New Roman" w:eastAsia="Times New Roman" w:hAnsi="Times New Roman" w:cs="Times New Roman"/>
          <w:lang w:val="ja"/>
        </w:rPr>
        <w:t xml:space="preserve"> and/or </w:t>
      </w:r>
      <w:r w:rsidR="0B07A4DD" w:rsidRPr="00125A6B">
        <w:rPr>
          <w:rFonts w:ascii="Times New Roman" w:eastAsia="Times New Roman" w:hAnsi="Times New Roman" w:cs="Times New Roman"/>
          <w:lang w:val="ja"/>
        </w:rPr>
        <w:t>r</w:t>
      </w:r>
      <w:r w:rsidR="005B6F6A" w:rsidRPr="00125A6B">
        <w:rPr>
          <w:rFonts w:ascii="Times New Roman" w:eastAsia="Times New Roman" w:hAnsi="Times New Roman" w:cs="Times New Roman"/>
          <w:lang w:val="ja"/>
        </w:rPr>
        <w:t xml:space="preserve">etention </w:t>
      </w:r>
      <w:r w:rsidR="7ECFE2A0" w:rsidRPr="00125A6B">
        <w:rPr>
          <w:rFonts w:ascii="Times New Roman" w:eastAsia="Times New Roman" w:hAnsi="Times New Roman" w:cs="Times New Roman"/>
          <w:lang w:val="ja"/>
        </w:rPr>
        <w:t>p</w:t>
      </w:r>
      <w:r w:rsidR="005B6F6A" w:rsidRPr="00125A6B">
        <w:rPr>
          <w:rFonts w:ascii="Times New Roman" w:eastAsia="Times New Roman" w:hAnsi="Times New Roman" w:cs="Times New Roman"/>
          <w:lang w:val="ja"/>
        </w:rPr>
        <w:t xml:space="preserve">ayment amount among the other menu of services to be offered to EHV families to facilitate successful leasing.  </w:t>
      </w:r>
    </w:p>
    <w:p w14:paraId="30EFD46D" w14:textId="77777777" w:rsidR="00330CAE" w:rsidRPr="00125A6B" w:rsidRDefault="00330CAE" w:rsidP="005B6F6A">
      <w:pPr>
        <w:spacing w:after="0"/>
        <w:ind w:left="720"/>
        <w:rPr>
          <w:rFonts w:ascii="Times New Roman" w:eastAsia="Yu Mincho" w:hAnsi="Times New Roman" w:cs="Times New Roman"/>
          <w:lang w:val="ja" w:eastAsia="ja-JP"/>
        </w:rPr>
      </w:pPr>
    </w:p>
    <w:p w14:paraId="76EEAD7C" w14:textId="693FC1A2" w:rsidR="005B6F6A" w:rsidRPr="00125A6B" w:rsidRDefault="005B6F6A" w:rsidP="005B6F6A">
      <w:pPr>
        <w:spacing w:after="0"/>
        <w:ind w:left="720"/>
        <w:rPr>
          <w:rFonts w:ascii="Times New Roman" w:eastAsia="Times New Roman" w:hAnsi="Times New Roman" w:cs="Times New Roman"/>
          <w:lang w:val="ja"/>
        </w:rPr>
      </w:pPr>
      <w:r w:rsidRPr="00125A6B">
        <w:rPr>
          <w:rFonts w:ascii="Times New Roman" w:eastAsia="Times New Roman" w:hAnsi="Times New Roman" w:cs="Times New Roman"/>
          <w:lang w:val="ja"/>
        </w:rPr>
        <w:lastRenderedPageBreak/>
        <w:t>In terms of limitations on the number or frequency of the owner incentive</w:t>
      </w:r>
      <w:r w:rsidR="70A5C505" w:rsidRPr="00125A6B">
        <w:rPr>
          <w:rFonts w:ascii="Times New Roman" w:eastAsia="Times New Roman" w:hAnsi="Times New Roman" w:cs="Times New Roman"/>
          <w:lang w:val="ja"/>
        </w:rPr>
        <w:t xml:space="preserve"> and/or </w:t>
      </w:r>
      <w:r w:rsidRPr="00125A6B">
        <w:rPr>
          <w:rFonts w:ascii="Times New Roman" w:eastAsia="Times New Roman" w:hAnsi="Times New Roman" w:cs="Times New Roman"/>
          <w:lang w:val="ja"/>
        </w:rPr>
        <w:t xml:space="preserve">retention </w:t>
      </w:r>
      <w:r w:rsidR="0EFE5A87" w:rsidRPr="00125A6B">
        <w:rPr>
          <w:rFonts w:ascii="Times New Roman" w:eastAsia="Times New Roman" w:hAnsi="Times New Roman" w:cs="Times New Roman"/>
          <w:lang w:val="ja"/>
        </w:rPr>
        <w:t>payment</w:t>
      </w:r>
      <w:r w:rsidRPr="00125A6B">
        <w:rPr>
          <w:rFonts w:ascii="Times New Roman" w:eastAsia="Times New Roman" w:hAnsi="Times New Roman" w:cs="Times New Roman"/>
          <w:lang w:val="ja"/>
        </w:rPr>
        <w:t xml:space="preserve">, while </w:t>
      </w:r>
      <w:hyperlink r:id="rId101" w:history="1">
        <w:r w:rsidRPr="00125A6B">
          <w:rPr>
            <w:rStyle w:val="Hyperlink"/>
            <w:rFonts w:ascii="Times New Roman" w:eastAsia="Times New Roman" w:hAnsi="Times New Roman" w:cs="Times New Roman"/>
            <w:lang w:val="ja"/>
          </w:rPr>
          <w:t>PIH Notice 2021-15</w:t>
        </w:r>
      </w:hyperlink>
      <w:r w:rsidRPr="00125A6B">
        <w:rPr>
          <w:rFonts w:ascii="Times New Roman" w:eastAsia="Times New Roman" w:hAnsi="Times New Roman" w:cs="Times New Roman"/>
          <w:lang w:val="ja"/>
        </w:rPr>
        <w:t xml:space="preserve"> (</w:t>
      </w:r>
      <w:r w:rsidRPr="00125A6B">
        <w:rPr>
          <w:rFonts w:ascii="Times New Roman" w:hAnsi="Times New Roman" w:cs="Times New Roman"/>
          <w:lang w:val="ja" w:eastAsia="ja-JP"/>
        </w:rPr>
        <w:t>S</w:t>
      </w:r>
      <w:r w:rsidRPr="00125A6B">
        <w:rPr>
          <w:rFonts w:ascii="Times New Roman" w:eastAsia="Times New Roman" w:hAnsi="Times New Roman" w:cs="Times New Roman"/>
          <w:lang w:val="ja"/>
        </w:rPr>
        <w:t>ection 6.d.iii.B, page 13) states that HUD anticipates the owner incentive/retention payments would typically be made as a single payment at the beginning of the assisted lease term (or lease renewal if a retention payment), PHAs may structure the incentive/retention payment in a manner in which the owner receives more than one payment.  However, the incentive/retention payments cannot be made in a way that violates (or clearly circumvents) applicable statutory or regulatory requirements, so making owner incentive payments on a</w:t>
      </w:r>
      <w:r w:rsidRPr="00125A6B">
        <w:rPr>
          <w:rFonts w:ascii="Times New Roman" w:eastAsia="Times New Roman" w:hAnsi="Times New Roman" w:cs="Times New Roman"/>
        </w:rPr>
        <w:t>n ongoing</w:t>
      </w:r>
      <w:r w:rsidRPr="00125A6B">
        <w:rPr>
          <w:rFonts w:ascii="Times New Roman" w:eastAsia="Times New Roman" w:hAnsi="Times New Roman" w:cs="Times New Roman"/>
          <w:lang w:val="ja"/>
        </w:rPr>
        <w:t xml:space="preserve"> monthly basis would not be permissible.</w:t>
      </w:r>
    </w:p>
    <w:p w14:paraId="3D827046" w14:textId="77777777" w:rsidR="005B6F6A" w:rsidRPr="00125A6B" w:rsidRDefault="005B6F6A" w:rsidP="005B6F6A">
      <w:pPr>
        <w:spacing w:after="0"/>
        <w:ind w:firstLine="720"/>
        <w:rPr>
          <w:rFonts w:ascii="Times New Roman" w:eastAsia="Times New Roman" w:hAnsi="Times New Roman" w:cs="Times New Roman"/>
          <w:lang w:val="ja"/>
        </w:rPr>
      </w:pPr>
      <w:r w:rsidRPr="00125A6B">
        <w:rPr>
          <w:rFonts w:ascii="Times New Roman" w:eastAsia="Times New Roman" w:hAnsi="Times New Roman" w:cs="Times New Roman"/>
          <w:lang w:val="ja"/>
        </w:rPr>
        <w:t xml:space="preserve"> </w:t>
      </w:r>
    </w:p>
    <w:p w14:paraId="0FD547EB" w14:textId="4FB1DF75" w:rsidR="005B6F6A" w:rsidRPr="00125A6B" w:rsidRDefault="005B6F6A" w:rsidP="00CD4ABE">
      <w:pPr>
        <w:spacing w:after="0"/>
        <w:ind w:left="720"/>
        <w:rPr>
          <w:rFonts w:ascii="Times New Roman" w:eastAsia="Yu Mincho" w:hAnsi="Times New Roman" w:cs="Times New Roman"/>
          <w:lang w:val="ja" w:eastAsia="ja-JP"/>
        </w:rPr>
      </w:pPr>
      <w:r w:rsidRPr="00125A6B">
        <w:rPr>
          <w:rFonts w:ascii="Times New Roman" w:eastAsia="Times New Roman" w:hAnsi="Times New Roman" w:cs="Times New Roman"/>
          <w:lang w:val="ja"/>
        </w:rPr>
        <w:t xml:space="preserve">Additionally, the PHA’s Administrative Plan must clearly define the terms of the </w:t>
      </w:r>
      <w:r w:rsidR="55EB9576" w:rsidRPr="00125A6B">
        <w:rPr>
          <w:rFonts w:ascii="Times New Roman" w:eastAsia="Times New Roman" w:hAnsi="Times New Roman" w:cs="Times New Roman"/>
          <w:lang w:val="ja"/>
        </w:rPr>
        <w:t>o</w:t>
      </w:r>
      <w:r w:rsidRPr="00125A6B">
        <w:rPr>
          <w:rFonts w:ascii="Times New Roman" w:eastAsia="Times New Roman" w:hAnsi="Times New Roman" w:cs="Times New Roman"/>
          <w:lang w:val="ja"/>
        </w:rPr>
        <w:t xml:space="preserve">wner </w:t>
      </w:r>
      <w:r w:rsidR="2577A31D" w:rsidRPr="00125A6B">
        <w:rPr>
          <w:rFonts w:ascii="Times New Roman" w:eastAsia="Times New Roman" w:hAnsi="Times New Roman" w:cs="Times New Roman"/>
          <w:lang w:val="ja"/>
        </w:rPr>
        <w:t>i</w:t>
      </w:r>
      <w:r w:rsidRPr="00125A6B">
        <w:rPr>
          <w:rFonts w:ascii="Times New Roman" w:eastAsia="Times New Roman" w:hAnsi="Times New Roman" w:cs="Times New Roman"/>
          <w:lang w:val="ja"/>
        </w:rPr>
        <w:t>ncentive</w:t>
      </w:r>
      <w:r w:rsidR="13083E28" w:rsidRPr="00125A6B">
        <w:rPr>
          <w:rFonts w:ascii="Times New Roman" w:eastAsia="Times New Roman" w:hAnsi="Times New Roman" w:cs="Times New Roman"/>
          <w:lang w:val="ja"/>
        </w:rPr>
        <w:t xml:space="preserve"> and/or </w:t>
      </w:r>
      <w:r w:rsidR="7C3F1695" w:rsidRPr="00125A6B">
        <w:rPr>
          <w:rFonts w:ascii="Times New Roman" w:eastAsia="Times New Roman" w:hAnsi="Times New Roman" w:cs="Times New Roman"/>
          <w:lang w:val="ja"/>
        </w:rPr>
        <w:t>r</w:t>
      </w:r>
      <w:r w:rsidRPr="00125A6B">
        <w:rPr>
          <w:rFonts w:ascii="Times New Roman" w:eastAsia="Times New Roman" w:hAnsi="Times New Roman" w:cs="Times New Roman"/>
          <w:lang w:val="ja"/>
        </w:rPr>
        <w:t xml:space="preserve">etention </w:t>
      </w:r>
      <w:r w:rsidR="1A140064" w:rsidRPr="00125A6B">
        <w:rPr>
          <w:rFonts w:ascii="Times New Roman" w:eastAsia="Times New Roman" w:hAnsi="Times New Roman" w:cs="Times New Roman"/>
          <w:lang w:val="ja"/>
        </w:rPr>
        <w:t>p</w:t>
      </w:r>
      <w:r w:rsidRPr="00125A6B">
        <w:rPr>
          <w:rFonts w:ascii="Times New Roman" w:eastAsia="Times New Roman" w:hAnsi="Times New Roman" w:cs="Times New Roman"/>
          <w:lang w:val="ja"/>
        </w:rPr>
        <w:t>ayments for the EHV program.</w:t>
      </w:r>
    </w:p>
    <w:p w14:paraId="5838A1F4" w14:textId="77777777" w:rsidR="00CD4ABE" w:rsidRPr="00125A6B" w:rsidRDefault="00CD4ABE" w:rsidP="00CD4ABE">
      <w:pPr>
        <w:spacing w:after="0"/>
        <w:ind w:left="720"/>
        <w:rPr>
          <w:rFonts w:ascii="Times New Roman" w:eastAsia="Yu Mincho" w:hAnsi="Times New Roman" w:cs="Times New Roman"/>
          <w:lang w:val="ja" w:eastAsia="ja-JP"/>
        </w:rPr>
      </w:pPr>
    </w:p>
    <w:p w14:paraId="12502C90" w14:textId="20788357" w:rsidR="00704511" w:rsidRPr="00125A6B" w:rsidRDefault="5A308C45" w:rsidP="00CB7838">
      <w:pPr>
        <w:pStyle w:val="ListParagraph"/>
        <w:numPr>
          <w:ilvl w:val="0"/>
          <w:numId w:val="30"/>
        </w:numPr>
        <w:rPr>
          <w:rFonts w:ascii="Times New Roman" w:eastAsia="Times New Roman" w:hAnsi="Times New Roman" w:cs="Times New Roman"/>
          <w:b/>
          <w:bCs/>
        </w:rPr>
      </w:pPr>
      <w:r w:rsidRPr="00125A6B">
        <w:rPr>
          <w:rFonts w:ascii="Times New Roman" w:eastAsia="Times New Roman" w:hAnsi="Times New Roman" w:cs="Times New Roman"/>
          <w:b/>
          <w:bCs/>
        </w:rPr>
        <w:t>Can regular HCV admin fee reserves be used for EHV admin expenses?</w:t>
      </w:r>
      <w:r w:rsidR="7B3EC3A1" w:rsidRPr="00125A6B">
        <w:rPr>
          <w:rFonts w:ascii="Times New Roman" w:eastAsia="Times New Roman" w:hAnsi="Times New Roman" w:cs="Times New Roman"/>
          <w:b/>
          <w:bCs/>
        </w:rPr>
        <w:t xml:space="preserve"> </w:t>
      </w:r>
    </w:p>
    <w:p w14:paraId="28CA589F" w14:textId="00D387A8" w:rsidR="00704511" w:rsidRPr="00125A6B" w:rsidRDefault="5A308C45" w:rsidP="00665223">
      <w:pPr>
        <w:spacing w:after="0"/>
        <w:ind w:left="720"/>
        <w:rPr>
          <w:rFonts w:ascii="Times New Roman" w:hAnsi="Times New Roman" w:cs="Times New Roman"/>
        </w:rPr>
      </w:pPr>
      <w:r w:rsidRPr="00125A6B">
        <w:rPr>
          <w:rFonts w:ascii="Times New Roman" w:hAnsi="Times New Roman" w:cs="Times New Roman"/>
        </w:rPr>
        <w:t xml:space="preserve">Yes. </w:t>
      </w:r>
      <w:r w:rsidR="3BC0D4E6" w:rsidRPr="00125A6B">
        <w:rPr>
          <w:rFonts w:ascii="Times New Roman" w:hAnsi="Times New Roman" w:cs="Times New Roman"/>
        </w:rPr>
        <w:t xml:space="preserve"> </w:t>
      </w:r>
      <w:r w:rsidRPr="00125A6B">
        <w:rPr>
          <w:rFonts w:ascii="Times New Roman" w:hAnsi="Times New Roman" w:cs="Times New Roman"/>
        </w:rPr>
        <w:t xml:space="preserve">PHAs may elect to use regular HCV admin fee reserves to supplement EHV administrative fees in covering EHV administrative costs.  However, PHAs are reminded that EHV HAP and administrative fee funding may not be used for regular HCV or special purpose voucher program expenses. </w:t>
      </w:r>
      <w:r w:rsidR="3BC0D4E6" w:rsidRPr="00125A6B">
        <w:rPr>
          <w:rFonts w:ascii="Times New Roman" w:hAnsi="Times New Roman" w:cs="Times New Roman"/>
        </w:rPr>
        <w:t xml:space="preserve"> </w:t>
      </w:r>
      <w:r w:rsidRPr="00125A6B">
        <w:rPr>
          <w:rFonts w:ascii="Times New Roman" w:hAnsi="Times New Roman" w:cs="Times New Roman"/>
        </w:rPr>
        <w:t xml:space="preserve">Please see section 15 of </w:t>
      </w:r>
      <w:bookmarkStart w:id="16" w:name="_Hlk84243856"/>
      <w:r w:rsidR="00EA5E0E" w:rsidRPr="00125A6B">
        <w:fldChar w:fldCharType="begin"/>
      </w:r>
      <w:r w:rsidR="00EA5E0E" w:rsidRPr="00125A6B">
        <w:instrText xml:space="preserve"> HYPERLINK "https://www.hud.gov/sites/dfiles/PIH/documents/PIH2021-15.pdf" </w:instrText>
      </w:r>
      <w:r w:rsidR="00EA5E0E" w:rsidRPr="00125A6B">
        <w:fldChar w:fldCharType="separate"/>
      </w:r>
      <w:r w:rsidRPr="00125A6B">
        <w:rPr>
          <w:rStyle w:val="Hyperlink"/>
          <w:rFonts w:ascii="Times New Roman" w:hAnsi="Times New Roman" w:cs="Times New Roman"/>
        </w:rPr>
        <w:t>PIH Notice 2021-15</w:t>
      </w:r>
      <w:r w:rsidR="00EA5E0E" w:rsidRPr="00125A6B">
        <w:rPr>
          <w:rStyle w:val="Hyperlink"/>
          <w:rFonts w:ascii="Times New Roman" w:hAnsi="Times New Roman" w:cs="Times New Roman"/>
        </w:rPr>
        <w:fldChar w:fldCharType="end"/>
      </w:r>
      <w:bookmarkEnd w:id="16"/>
      <w:r w:rsidRPr="00125A6B">
        <w:rPr>
          <w:rFonts w:ascii="Times New Roman" w:hAnsi="Times New Roman" w:cs="Times New Roman"/>
        </w:rPr>
        <w:t xml:space="preserve"> for additional information on the use of EHV funds, reporting, and financial records.</w:t>
      </w:r>
    </w:p>
    <w:p w14:paraId="5F18F75D" w14:textId="77777777" w:rsidR="00665223" w:rsidRPr="00125A6B" w:rsidRDefault="00665223" w:rsidP="00665223">
      <w:pPr>
        <w:spacing w:after="0"/>
        <w:ind w:left="720"/>
        <w:rPr>
          <w:rFonts w:ascii="Times New Roman" w:hAnsi="Times New Roman" w:cs="Times New Roman"/>
        </w:rPr>
      </w:pPr>
    </w:p>
    <w:p w14:paraId="4F9562A8" w14:textId="6E89209C" w:rsidR="008811C9" w:rsidRPr="00125A6B" w:rsidRDefault="3B0E5433" w:rsidP="00CB7838">
      <w:pPr>
        <w:pStyle w:val="ListParagraph"/>
        <w:numPr>
          <w:ilvl w:val="0"/>
          <w:numId w:val="30"/>
        </w:numPr>
        <w:rPr>
          <w:rFonts w:ascii="Times New Roman" w:hAnsi="Times New Roman" w:cs="Times New Roman"/>
          <w:b/>
          <w:bCs/>
          <w:color w:val="000000" w:themeColor="text1"/>
        </w:rPr>
      </w:pPr>
      <w:r w:rsidRPr="00125A6B">
        <w:rPr>
          <w:rFonts w:ascii="Times New Roman" w:hAnsi="Times New Roman" w:cs="Times New Roman"/>
          <w:b/>
          <w:bCs/>
          <w:color w:val="000000" w:themeColor="text1"/>
        </w:rPr>
        <w:t xml:space="preserve">Will admin fees be calculated at Column A &amp; B Rates as per HCV Program or just Column A rates? </w:t>
      </w:r>
    </w:p>
    <w:p w14:paraId="1DB4FB8F" w14:textId="77777777" w:rsidR="00B67A00" w:rsidRPr="00125A6B" w:rsidRDefault="00B67A00" w:rsidP="00B67A00">
      <w:pPr>
        <w:pStyle w:val="ListParagraph"/>
        <w:rPr>
          <w:rFonts w:ascii="Times New Roman" w:hAnsi="Times New Roman" w:cs="Times New Roman"/>
          <w:b/>
          <w:bCs/>
          <w:color w:val="000000" w:themeColor="text1"/>
        </w:rPr>
      </w:pPr>
    </w:p>
    <w:p w14:paraId="4E482DE9" w14:textId="5A6C1CD4" w:rsidR="00FC709F" w:rsidRPr="00125A6B" w:rsidRDefault="11D88728" w:rsidP="008811C9">
      <w:pPr>
        <w:pStyle w:val="ListParagraph"/>
        <w:rPr>
          <w:rFonts w:ascii="Times New Roman" w:hAnsi="Times New Roman" w:cs="Times New Roman"/>
        </w:rPr>
      </w:pPr>
      <w:r w:rsidRPr="00125A6B">
        <w:rPr>
          <w:rFonts w:ascii="Times New Roman" w:hAnsi="Times New Roman" w:cs="Times New Roman"/>
        </w:rPr>
        <w:t>PHAs will be allocated the full Column A administrative fee amount for each EHV that is under HAP contract as of the first day of each month</w:t>
      </w:r>
      <w:r w:rsidR="312D2910" w:rsidRPr="00125A6B">
        <w:rPr>
          <w:rFonts w:ascii="Times New Roman" w:hAnsi="Times New Roman" w:cs="Times New Roman"/>
        </w:rPr>
        <w:t xml:space="preserve"> in accordance with Section 6c</w:t>
      </w:r>
      <w:r w:rsidR="4B89F5C8" w:rsidRPr="00125A6B">
        <w:rPr>
          <w:rFonts w:ascii="Times New Roman" w:hAnsi="Times New Roman" w:cs="Times New Roman"/>
        </w:rPr>
        <w:t xml:space="preserve"> </w:t>
      </w:r>
      <w:hyperlink r:id="rId102" w:history="1">
        <w:r w:rsidR="00731FFC" w:rsidRPr="00125A6B">
          <w:rPr>
            <w:rStyle w:val="Hyperlink"/>
            <w:rFonts w:ascii="Times New Roman" w:eastAsia="Calibri" w:hAnsi="Times New Roman" w:cs="Times New Roman"/>
          </w:rPr>
          <w:t>PIH Notice 2021-15</w:t>
        </w:r>
      </w:hyperlink>
      <w:r w:rsidRPr="00125A6B">
        <w:rPr>
          <w:rFonts w:ascii="Times New Roman" w:hAnsi="Times New Roman" w:cs="Times New Roman"/>
        </w:rPr>
        <w:t xml:space="preserve">. </w:t>
      </w:r>
      <w:r w:rsidR="3BC0D4E6" w:rsidRPr="00125A6B">
        <w:rPr>
          <w:rFonts w:ascii="Times New Roman" w:hAnsi="Times New Roman" w:cs="Times New Roman"/>
        </w:rPr>
        <w:t xml:space="preserve"> </w:t>
      </w:r>
      <w:r w:rsidRPr="00125A6B">
        <w:rPr>
          <w:rFonts w:ascii="Times New Roman" w:hAnsi="Times New Roman" w:cs="Times New Roman"/>
        </w:rPr>
        <w:t>The Column A administrative fee rates for the HCV program are available on HUD’s website:</w:t>
      </w:r>
    </w:p>
    <w:p w14:paraId="7ADD7349" w14:textId="77777777" w:rsidR="00FC709F" w:rsidRPr="00125A6B" w:rsidRDefault="00FC709F" w:rsidP="008811C9">
      <w:pPr>
        <w:pStyle w:val="ListParagraph"/>
        <w:rPr>
          <w:rFonts w:ascii="Times New Roman" w:hAnsi="Times New Roman" w:cs="Times New Roman"/>
        </w:rPr>
      </w:pPr>
    </w:p>
    <w:p w14:paraId="213260CD" w14:textId="2FF5D130" w:rsidR="00FC709F" w:rsidRPr="00125A6B" w:rsidRDefault="00EE7DB8" w:rsidP="008811C9">
      <w:pPr>
        <w:pStyle w:val="ListParagraph"/>
        <w:rPr>
          <w:rFonts w:ascii="Times New Roman" w:hAnsi="Times New Roman" w:cs="Times New Roman"/>
        </w:rPr>
      </w:pPr>
      <w:hyperlink r:id="rId103" w:history="1">
        <w:r w:rsidR="00665223" w:rsidRPr="00125A6B">
          <w:rPr>
            <w:rStyle w:val="Hyperlink"/>
            <w:rFonts w:ascii="Times New Roman" w:hAnsi="Times New Roman" w:cs="Times New Roman"/>
          </w:rPr>
          <w:t>https://www.hud.gov/program_offices/public_indian_housing/programs/hcv</w:t>
        </w:r>
      </w:hyperlink>
      <w:r w:rsidR="00665223" w:rsidRPr="00125A6B">
        <w:rPr>
          <w:rFonts w:ascii="Times New Roman" w:hAnsi="Times New Roman" w:cs="Times New Roman"/>
        </w:rPr>
        <w:t xml:space="preserve">. </w:t>
      </w:r>
    </w:p>
    <w:p w14:paraId="22CA8015" w14:textId="77777777" w:rsidR="00107FC3" w:rsidRPr="00125A6B" w:rsidRDefault="00107FC3" w:rsidP="008811C9">
      <w:pPr>
        <w:pStyle w:val="ListParagraph"/>
        <w:rPr>
          <w:rFonts w:ascii="Times New Roman" w:hAnsi="Times New Roman" w:cs="Times New Roman"/>
        </w:rPr>
      </w:pPr>
    </w:p>
    <w:p w14:paraId="4DA05A27" w14:textId="0DBCF96F" w:rsidR="00107FC3" w:rsidRPr="00125A6B" w:rsidRDefault="00EE7DB8" w:rsidP="00CB7838">
      <w:pPr>
        <w:pStyle w:val="ListParagraph"/>
        <w:numPr>
          <w:ilvl w:val="0"/>
          <w:numId w:val="30"/>
        </w:numPr>
        <w:rPr>
          <w:rFonts w:ascii="Times New Roman" w:eastAsia="Calibri" w:hAnsi="Times New Roman" w:cs="Times New Roman"/>
          <w:b/>
          <w:bCs/>
        </w:rPr>
      </w:pPr>
      <w:hyperlink r:id="rId104" w:history="1">
        <w:r w:rsidR="00886E68" w:rsidRPr="00125A6B">
          <w:rPr>
            <w:rStyle w:val="Hyperlink"/>
            <w:rFonts w:ascii="Times New Roman" w:hAnsi="Times New Roman" w:cs="Times New Roman"/>
          </w:rPr>
          <w:t>PIH Notice 2021-15</w:t>
        </w:r>
      </w:hyperlink>
      <w:r w:rsidR="12CBECDD" w:rsidRPr="00125A6B">
        <w:rPr>
          <w:rFonts w:ascii="Times New Roman" w:eastAsia="Calibri" w:hAnsi="Times New Roman" w:cs="Times New Roman"/>
          <w:b/>
          <w:bCs/>
        </w:rPr>
        <w:t xml:space="preserve"> </w:t>
      </w:r>
      <w:proofErr w:type="gramStart"/>
      <w:r w:rsidR="12CBECDD" w:rsidRPr="00125A6B">
        <w:rPr>
          <w:rFonts w:ascii="Times New Roman" w:eastAsia="Calibri" w:hAnsi="Times New Roman" w:cs="Times New Roman"/>
          <w:b/>
          <w:bCs/>
        </w:rPr>
        <w:t>(</w:t>
      </w:r>
      <w:r w:rsidR="00D02C61" w:rsidRPr="00125A6B">
        <w:rPr>
          <w:rFonts w:ascii="Times New Roman" w:eastAsia="Calibri" w:hAnsi="Times New Roman" w:cs="Times New Roman"/>
          <w:b/>
          <w:bCs/>
        </w:rPr>
        <w:t xml:space="preserve"> </w:t>
      </w:r>
      <w:r w:rsidR="00E93ED1" w:rsidRPr="00125A6B">
        <w:rPr>
          <w:rFonts w:ascii="Times New Roman" w:eastAsia="Calibri" w:hAnsi="Times New Roman" w:cs="Times New Roman"/>
          <w:b/>
          <w:bCs/>
        </w:rPr>
        <w:t>Section</w:t>
      </w:r>
      <w:proofErr w:type="gramEnd"/>
      <w:r w:rsidR="00E93ED1" w:rsidRPr="00125A6B">
        <w:rPr>
          <w:rFonts w:ascii="Times New Roman" w:eastAsia="Calibri" w:hAnsi="Times New Roman" w:cs="Times New Roman"/>
          <w:b/>
          <w:bCs/>
        </w:rPr>
        <w:t xml:space="preserve"> 6c.</w:t>
      </w:r>
      <w:r w:rsidR="12CBECDD" w:rsidRPr="00125A6B">
        <w:rPr>
          <w:rFonts w:ascii="Times New Roman" w:eastAsia="Calibri" w:hAnsi="Times New Roman" w:cs="Times New Roman"/>
          <w:b/>
          <w:bCs/>
        </w:rPr>
        <w:t xml:space="preserve">) states that HUD will advance the administrative fee for the first three months. At month four, will administrative fees be based on actual vouchers leased? At what point does HUD intend to do reconciliation of paid versus leased? </w:t>
      </w:r>
      <w:r w:rsidR="00B67A00" w:rsidRPr="00125A6B">
        <w:rPr>
          <w:rFonts w:ascii="Times New Roman" w:eastAsia="Calibri" w:hAnsi="Times New Roman" w:cs="Times New Roman"/>
          <w:b/>
          <w:bCs/>
          <w:color w:val="C00000"/>
        </w:rPr>
        <w:t xml:space="preserve"> </w:t>
      </w:r>
    </w:p>
    <w:p w14:paraId="1DBF7E3C" w14:textId="27E00515" w:rsidR="008811C9" w:rsidRPr="00125A6B" w:rsidRDefault="00107FC3" w:rsidP="00665223">
      <w:pPr>
        <w:spacing w:after="0" w:line="257" w:lineRule="auto"/>
        <w:ind w:left="720"/>
        <w:rPr>
          <w:rFonts w:ascii="Times New Roman" w:eastAsia="Calibri" w:hAnsi="Times New Roman" w:cs="Times New Roman"/>
        </w:rPr>
      </w:pPr>
      <w:r w:rsidRPr="00125A6B">
        <w:rPr>
          <w:rFonts w:ascii="Times New Roman" w:eastAsia="Calibri" w:hAnsi="Times New Roman" w:cs="Times New Roman"/>
        </w:rPr>
        <w:t xml:space="preserve">HUD plans to advance regular administrative fees based on actual leasing starting at month four, and reconciliations are likely to start before or no later than calendar year end 2021.  </w:t>
      </w:r>
    </w:p>
    <w:p w14:paraId="0FA4246D" w14:textId="77777777" w:rsidR="00665223" w:rsidRPr="00125A6B" w:rsidRDefault="00665223" w:rsidP="00665223">
      <w:pPr>
        <w:spacing w:after="0" w:line="257" w:lineRule="auto"/>
        <w:ind w:left="720"/>
        <w:rPr>
          <w:rFonts w:ascii="Times New Roman" w:eastAsia="Calibri" w:hAnsi="Times New Roman" w:cs="Times New Roman"/>
        </w:rPr>
      </w:pPr>
    </w:p>
    <w:p w14:paraId="6FF15C06" w14:textId="69D86A5F" w:rsidR="00107FC3" w:rsidRPr="00125A6B" w:rsidRDefault="12CBECDD" w:rsidP="00CB7838">
      <w:pPr>
        <w:pStyle w:val="ListParagraph"/>
        <w:numPr>
          <w:ilvl w:val="0"/>
          <w:numId w:val="30"/>
        </w:numPr>
        <w:spacing w:line="257" w:lineRule="auto"/>
        <w:rPr>
          <w:rFonts w:ascii="Times New Roman" w:eastAsia="Calibri" w:hAnsi="Times New Roman" w:cs="Times New Roman"/>
          <w:b/>
          <w:bCs/>
        </w:rPr>
      </w:pPr>
      <w:r w:rsidRPr="00125A6B">
        <w:rPr>
          <w:rFonts w:ascii="Times New Roman" w:eastAsia="Calibri" w:hAnsi="Times New Roman" w:cs="Times New Roman"/>
          <w:b/>
          <w:bCs/>
        </w:rPr>
        <w:t xml:space="preserve">From an accounting perspective, should </w:t>
      </w:r>
      <w:r w:rsidR="769F5EED" w:rsidRPr="00125A6B">
        <w:rPr>
          <w:rFonts w:ascii="Times New Roman" w:eastAsia="Calibri" w:hAnsi="Times New Roman" w:cs="Times New Roman"/>
          <w:b/>
          <w:bCs/>
        </w:rPr>
        <w:t>separate accounting records</w:t>
      </w:r>
      <w:r w:rsidRPr="00125A6B">
        <w:rPr>
          <w:rFonts w:ascii="Times New Roman" w:eastAsia="Calibri" w:hAnsi="Times New Roman" w:cs="Times New Roman"/>
          <w:b/>
          <w:bCs/>
        </w:rPr>
        <w:t xml:space="preserve"> be set up for EHV so that the PHA can keep track of the remaining EHV equity?</w:t>
      </w:r>
      <w:r w:rsidR="06762CF8" w:rsidRPr="00125A6B">
        <w:rPr>
          <w:rFonts w:ascii="Times New Roman" w:eastAsia="Calibri" w:hAnsi="Times New Roman" w:cs="Times New Roman"/>
          <w:b/>
          <w:bCs/>
        </w:rPr>
        <w:t xml:space="preserve"> Is it necessary to setup a </w:t>
      </w:r>
      <w:r w:rsidR="769F5EED" w:rsidRPr="00125A6B">
        <w:rPr>
          <w:rFonts w:ascii="Times New Roman" w:eastAsia="Calibri" w:hAnsi="Times New Roman" w:cs="Times New Roman"/>
          <w:b/>
          <w:bCs/>
        </w:rPr>
        <w:t>separate accounting records</w:t>
      </w:r>
      <w:r w:rsidR="06762CF8" w:rsidRPr="00125A6B">
        <w:rPr>
          <w:rFonts w:ascii="Times New Roman" w:eastAsia="Calibri" w:hAnsi="Times New Roman" w:cs="Times New Roman"/>
          <w:b/>
          <w:bCs/>
        </w:rPr>
        <w:t xml:space="preserve"> for the EHV admin fees or can these be combined with HCV admin fees fund?  </w:t>
      </w:r>
      <w:r w:rsidRPr="00125A6B">
        <w:rPr>
          <w:rFonts w:ascii="Times New Roman" w:eastAsia="Calibri" w:hAnsi="Times New Roman" w:cs="Times New Roman"/>
          <w:b/>
          <w:bCs/>
        </w:rPr>
        <w:t xml:space="preserve"> </w:t>
      </w:r>
      <w:r w:rsidR="00B67A00" w:rsidRPr="00125A6B">
        <w:rPr>
          <w:rFonts w:ascii="Times New Roman" w:eastAsia="Calibri" w:hAnsi="Times New Roman" w:cs="Times New Roman"/>
          <w:b/>
          <w:bCs/>
          <w:color w:val="C00000"/>
        </w:rPr>
        <w:t xml:space="preserve"> </w:t>
      </w:r>
    </w:p>
    <w:p w14:paraId="4642D0B4" w14:textId="5DF1119E" w:rsidR="00107FC3" w:rsidRPr="00125A6B" w:rsidRDefault="00107FC3" w:rsidP="00107FC3">
      <w:pPr>
        <w:pStyle w:val="ListParagraph"/>
        <w:spacing w:line="257" w:lineRule="auto"/>
        <w:rPr>
          <w:rFonts w:ascii="Times New Roman" w:eastAsia="Calibri" w:hAnsi="Times New Roman" w:cs="Times New Roman"/>
        </w:rPr>
      </w:pPr>
    </w:p>
    <w:p w14:paraId="41A34A72" w14:textId="3B215701" w:rsidR="00FE2BAE" w:rsidRPr="00125A6B" w:rsidRDefault="00D04B46" w:rsidP="00D04B46">
      <w:pPr>
        <w:pStyle w:val="ListParagraph"/>
        <w:rPr>
          <w:rFonts w:ascii="Times New Roman" w:hAnsi="Times New Roman" w:cs="Times New Roman"/>
        </w:rPr>
      </w:pPr>
      <w:r w:rsidRPr="00125A6B">
        <w:rPr>
          <w:rFonts w:ascii="Times New Roman" w:hAnsi="Times New Roman" w:cs="Times New Roman"/>
        </w:rPr>
        <w:t xml:space="preserve">The EHV program should be treated as </w:t>
      </w:r>
      <w:r w:rsidR="004A18BE" w:rsidRPr="00125A6B">
        <w:rPr>
          <w:rFonts w:ascii="Times New Roman" w:hAnsi="Times New Roman" w:cs="Times New Roman"/>
        </w:rPr>
        <w:t>its</w:t>
      </w:r>
      <w:r w:rsidRPr="00125A6B">
        <w:rPr>
          <w:rFonts w:ascii="Times New Roman" w:hAnsi="Times New Roman" w:cs="Times New Roman"/>
        </w:rPr>
        <w:t xml:space="preserve"> own program like the Mainstream program.  The </w:t>
      </w:r>
      <w:r w:rsidR="00665223" w:rsidRPr="00125A6B">
        <w:rPr>
          <w:rFonts w:ascii="Times New Roman" w:hAnsi="Times New Roman" w:cs="Times New Roman"/>
        </w:rPr>
        <w:t xml:space="preserve">PHA </w:t>
      </w:r>
      <w:r w:rsidRPr="00125A6B">
        <w:rPr>
          <w:rFonts w:ascii="Times New Roman" w:hAnsi="Times New Roman" w:cs="Times New Roman"/>
        </w:rPr>
        <w:t>will need to account for HAP an</w:t>
      </w:r>
      <w:r w:rsidR="007043DB" w:rsidRPr="00125A6B">
        <w:rPr>
          <w:rFonts w:ascii="Times New Roman" w:hAnsi="Times New Roman" w:cs="Times New Roman"/>
        </w:rPr>
        <w:t>d</w:t>
      </w:r>
      <w:r w:rsidRPr="00125A6B">
        <w:rPr>
          <w:rFonts w:ascii="Times New Roman" w:hAnsi="Times New Roman" w:cs="Times New Roman"/>
        </w:rPr>
        <w:t xml:space="preserve"> Fee revenues, expenditures, and equity separately.  Administrative Fee</w:t>
      </w:r>
      <w:r w:rsidR="00665223" w:rsidRPr="00125A6B">
        <w:rPr>
          <w:rFonts w:ascii="Times New Roman" w:hAnsi="Times New Roman" w:cs="Times New Roman"/>
        </w:rPr>
        <w:t>s</w:t>
      </w:r>
      <w:r w:rsidRPr="00125A6B">
        <w:rPr>
          <w:rFonts w:ascii="Times New Roman" w:hAnsi="Times New Roman" w:cs="Times New Roman"/>
        </w:rPr>
        <w:t xml:space="preserve"> and expenditures must not be combined with the normal HCV Administrative </w:t>
      </w:r>
      <w:r w:rsidR="007F3B3F" w:rsidRPr="00125A6B">
        <w:rPr>
          <w:rFonts w:ascii="Times New Roman" w:hAnsi="Times New Roman" w:cs="Times New Roman"/>
        </w:rPr>
        <w:t>F</w:t>
      </w:r>
      <w:r w:rsidRPr="00125A6B">
        <w:rPr>
          <w:rFonts w:ascii="Times New Roman" w:hAnsi="Times New Roman" w:cs="Times New Roman"/>
        </w:rPr>
        <w:t>ee and expenditure accounting.</w:t>
      </w:r>
      <w:r w:rsidR="00665223" w:rsidRPr="00125A6B">
        <w:rPr>
          <w:rFonts w:ascii="Times New Roman" w:hAnsi="Times New Roman" w:cs="Times New Roman"/>
        </w:rPr>
        <w:t xml:space="preserve"> </w:t>
      </w:r>
      <w:r w:rsidRPr="00125A6B">
        <w:rPr>
          <w:rFonts w:ascii="Times New Roman" w:hAnsi="Times New Roman" w:cs="Times New Roman"/>
        </w:rPr>
        <w:t xml:space="preserve"> EHV funds </w:t>
      </w:r>
      <w:r w:rsidR="00FE2BAE" w:rsidRPr="00125A6B">
        <w:rPr>
          <w:rFonts w:ascii="Times New Roman" w:hAnsi="Times New Roman" w:cs="Times New Roman"/>
        </w:rPr>
        <w:t>cannot</w:t>
      </w:r>
      <w:r w:rsidRPr="00125A6B">
        <w:rPr>
          <w:rFonts w:ascii="Times New Roman" w:hAnsi="Times New Roman" w:cs="Times New Roman"/>
        </w:rPr>
        <w:t xml:space="preserve"> be co-mingled with the regular HCV funds.  </w:t>
      </w:r>
    </w:p>
    <w:p w14:paraId="31A98EE9" w14:textId="77777777" w:rsidR="00FE2BAE" w:rsidRPr="00125A6B" w:rsidRDefault="00FE2BAE" w:rsidP="00D04B46">
      <w:pPr>
        <w:pStyle w:val="ListParagraph"/>
        <w:rPr>
          <w:rFonts w:ascii="Times New Roman" w:hAnsi="Times New Roman" w:cs="Times New Roman"/>
        </w:rPr>
      </w:pPr>
    </w:p>
    <w:p w14:paraId="4D5A53B7" w14:textId="476FE71A" w:rsidR="006B48E9" w:rsidRPr="00731FFC" w:rsidRDefault="00D04B46" w:rsidP="00731FFC">
      <w:pPr>
        <w:pStyle w:val="ListParagraph"/>
        <w:rPr>
          <w:rFonts w:ascii="Times New Roman" w:hAnsi="Times New Roman" w:cs="Times New Roman"/>
        </w:rPr>
      </w:pPr>
      <w:r w:rsidRPr="00125A6B">
        <w:rPr>
          <w:rFonts w:ascii="Times New Roman" w:hAnsi="Times New Roman" w:cs="Times New Roman"/>
        </w:rPr>
        <w:lastRenderedPageBreak/>
        <w:t xml:space="preserve">PIH’s Real Estate Assessment Center (REAC) will provide accounting and reporting guidance </w:t>
      </w:r>
      <w:r w:rsidR="00706D29" w:rsidRPr="00125A6B">
        <w:rPr>
          <w:rFonts w:ascii="Times New Roman" w:hAnsi="Times New Roman" w:cs="Times New Roman"/>
        </w:rPr>
        <w:t>separately</w:t>
      </w:r>
      <w:r w:rsidRPr="00125A6B">
        <w:rPr>
          <w:rFonts w:ascii="Times New Roman" w:hAnsi="Times New Roman" w:cs="Times New Roman"/>
        </w:rPr>
        <w:t xml:space="preserve">. </w:t>
      </w:r>
    </w:p>
    <w:p w14:paraId="690A21CF" w14:textId="77777777" w:rsidR="00FE2BAE" w:rsidRPr="00125A6B" w:rsidRDefault="00FE2BAE" w:rsidP="00D04B46">
      <w:pPr>
        <w:pStyle w:val="ListParagraph"/>
        <w:rPr>
          <w:rFonts w:ascii="Times New Roman" w:eastAsiaTheme="minorHAnsi" w:hAnsi="Times New Roman" w:cs="Times New Roman"/>
        </w:rPr>
      </w:pPr>
    </w:p>
    <w:p w14:paraId="27F50CAD" w14:textId="74D4D327" w:rsidR="00107FC3" w:rsidRPr="00125A6B" w:rsidDel="005251B3" w:rsidRDefault="00107FC3" w:rsidP="00CB7838">
      <w:pPr>
        <w:pStyle w:val="ListParagraph"/>
        <w:numPr>
          <w:ilvl w:val="0"/>
          <w:numId w:val="30"/>
        </w:numPr>
        <w:rPr>
          <w:rFonts w:ascii="Times New Roman" w:eastAsia="Calibri" w:hAnsi="Times New Roman" w:cs="Times New Roman"/>
          <w:b/>
          <w:bCs/>
        </w:rPr>
      </w:pPr>
      <w:r w:rsidRPr="00125A6B">
        <w:rPr>
          <w:rFonts w:ascii="Times New Roman" w:eastAsia="Calibri" w:hAnsi="Times New Roman" w:cs="Times New Roman"/>
          <w:b/>
          <w:bCs/>
        </w:rPr>
        <w:t xml:space="preserve">Are PHAs required to open a new bank account to disburse the EHV HAP to landlords? </w:t>
      </w:r>
      <w:r w:rsidR="00B67A00" w:rsidRPr="00125A6B">
        <w:rPr>
          <w:rFonts w:ascii="Times New Roman" w:eastAsia="Calibri" w:hAnsi="Times New Roman" w:cs="Times New Roman"/>
          <w:b/>
          <w:bCs/>
          <w:color w:val="C00000"/>
        </w:rPr>
        <w:t xml:space="preserve"> </w:t>
      </w:r>
    </w:p>
    <w:p w14:paraId="13213A8D" w14:textId="77777777" w:rsidR="00107FC3" w:rsidRPr="00125A6B" w:rsidDel="005251B3" w:rsidRDefault="00107FC3" w:rsidP="00107FC3">
      <w:pPr>
        <w:pStyle w:val="ListParagraph"/>
        <w:rPr>
          <w:rFonts w:ascii="Times New Roman" w:eastAsia="Calibri" w:hAnsi="Times New Roman" w:cs="Times New Roman"/>
          <w:b/>
          <w:bCs/>
        </w:rPr>
      </w:pPr>
    </w:p>
    <w:p w14:paraId="45F63B5D" w14:textId="2FD54DB7" w:rsidR="00704511" w:rsidRPr="00125A6B" w:rsidRDefault="00107FC3" w:rsidP="00107FC3">
      <w:pPr>
        <w:pStyle w:val="ListParagraph"/>
        <w:rPr>
          <w:rFonts w:ascii="Times New Roman" w:eastAsia="Calibri" w:hAnsi="Times New Roman" w:cs="Times New Roman"/>
        </w:rPr>
      </w:pPr>
      <w:r w:rsidRPr="00125A6B" w:rsidDel="005251B3">
        <w:rPr>
          <w:rFonts w:ascii="Times New Roman" w:eastAsia="Calibri" w:hAnsi="Times New Roman" w:cs="Times New Roman"/>
        </w:rPr>
        <w:t xml:space="preserve">No. </w:t>
      </w:r>
      <w:r w:rsidR="00665223" w:rsidRPr="00125A6B" w:rsidDel="005251B3">
        <w:rPr>
          <w:rFonts w:ascii="Times New Roman" w:eastAsia="Calibri" w:hAnsi="Times New Roman" w:cs="Times New Roman"/>
        </w:rPr>
        <w:t xml:space="preserve"> </w:t>
      </w:r>
      <w:r w:rsidRPr="00125A6B" w:rsidDel="005251B3">
        <w:rPr>
          <w:rFonts w:ascii="Times New Roman" w:eastAsia="Calibri" w:hAnsi="Times New Roman" w:cs="Times New Roman"/>
        </w:rPr>
        <w:t xml:space="preserve">Funding will be deposited into the HCV bank account already on file with HUD.  HUD does not have the ability through HUDCAPS to deposit EHV funds into a different bank account. </w:t>
      </w:r>
      <w:r w:rsidR="00665223" w:rsidRPr="00125A6B" w:rsidDel="005251B3">
        <w:rPr>
          <w:rFonts w:ascii="Times New Roman" w:eastAsia="Calibri" w:hAnsi="Times New Roman" w:cs="Times New Roman"/>
        </w:rPr>
        <w:t xml:space="preserve"> </w:t>
      </w:r>
      <w:r w:rsidRPr="00125A6B">
        <w:rPr>
          <w:rFonts w:ascii="Times New Roman" w:eastAsia="Calibri" w:hAnsi="Times New Roman" w:cs="Times New Roman"/>
        </w:rPr>
        <w:t>T</w:t>
      </w:r>
      <w:r w:rsidRPr="00125A6B" w:rsidDel="005251B3">
        <w:rPr>
          <w:rFonts w:ascii="Times New Roman" w:eastAsia="Calibri" w:hAnsi="Times New Roman" w:cs="Times New Roman"/>
        </w:rPr>
        <w:t xml:space="preserve">he PHA </w:t>
      </w:r>
      <w:r w:rsidRPr="00125A6B">
        <w:rPr>
          <w:rFonts w:ascii="Times New Roman" w:eastAsia="Calibri" w:hAnsi="Times New Roman" w:cs="Times New Roman"/>
        </w:rPr>
        <w:t xml:space="preserve">at its discretion </w:t>
      </w:r>
      <w:r w:rsidRPr="00125A6B" w:rsidDel="005251B3">
        <w:rPr>
          <w:rFonts w:ascii="Times New Roman" w:eastAsia="Calibri" w:hAnsi="Times New Roman" w:cs="Times New Roman"/>
        </w:rPr>
        <w:t xml:space="preserve">may transfer funding to a designated EHV bank account.  Any account established for program administration must include a HUD General Depository Agreement.  At minimum, the PHA must account for each fund separately including EHV HAP, EHV Administrative Fee, EHV </w:t>
      </w:r>
      <w:r w:rsidR="7B8FB53B" w:rsidRPr="00125A6B" w:rsidDel="005251B3">
        <w:rPr>
          <w:rFonts w:ascii="Times New Roman" w:eastAsia="Calibri" w:hAnsi="Times New Roman" w:cs="Times New Roman"/>
        </w:rPr>
        <w:t>s</w:t>
      </w:r>
      <w:r w:rsidRPr="00125A6B" w:rsidDel="005251B3">
        <w:rPr>
          <w:rFonts w:ascii="Times New Roman" w:eastAsia="Calibri" w:hAnsi="Times New Roman" w:cs="Times New Roman"/>
        </w:rPr>
        <w:t>ervice</w:t>
      </w:r>
      <w:r w:rsidR="0C7A65FF" w:rsidRPr="00125A6B" w:rsidDel="005251B3">
        <w:rPr>
          <w:rFonts w:ascii="Times New Roman" w:eastAsia="Calibri" w:hAnsi="Times New Roman" w:cs="Times New Roman"/>
        </w:rPr>
        <w:t>s</w:t>
      </w:r>
      <w:r w:rsidRPr="00125A6B" w:rsidDel="005251B3">
        <w:rPr>
          <w:rFonts w:ascii="Times New Roman" w:eastAsia="Calibri" w:hAnsi="Times New Roman" w:cs="Times New Roman"/>
        </w:rPr>
        <w:t xml:space="preserve"> </w:t>
      </w:r>
      <w:r w:rsidR="4571AE7D" w:rsidRPr="00125A6B" w:rsidDel="005251B3">
        <w:rPr>
          <w:rFonts w:ascii="Times New Roman" w:eastAsia="Calibri" w:hAnsi="Times New Roman" w:cs="Times New Roman"/>
        </w:rPr>
        <w:t>f</w:t>
      </w:r>
      <w:r w:rsidRPr="00125A6B" w:rsidDel="005251B3">
        <w:rPr>
          <w:rFonts w:ascii="Times New Roman" w:eastAsia="Calibri" w:hAnsi="Times New Roman" w:cs="Times New Roman"/>
        </w:rPr>
        <w:t xml:space="preserve">ees, </w:t>
      </w:r>
      <w:r w:rsidR="00665223" w:rsidRPr="00125A6B" w:rsidDel="005251B3">
        <w:rPr>
          <w:rFonts w:ascii="Times New Roman" w:eastAsia="Calibri" w:hAnsi="Times New Roman" w:cs="Times New Roman"/>
        </w:rPr>
        <w:t xml:space="preserve">and </w:t>
      </w:r>
      <w:r w:rsidRPr="00125A6B" w:rsidDel="005251B3">
        <w:rPr>
          <w:rFonts w:ascii="Times New Roman" w:eastAsia="Calibri" w:hAnsi="Times New Roman" w:cs="Times New Roman"/>
        </w:rPr>
        <w:t xml:space="preserve">EHV Preliminary and Placement fees.  </w:t>
      </w:r>
    </w:p>
    <w:p w14:paraId="075548CB" w14:textId="23B56A3E" w:rsidR="00DF0803" w:rsidRPr="00125A6B" w:rsidRDefault="00DF0803" w:rsidP="00107FC3">
      <w:pPr>
        <w:pStyle w:val="ListParagraph"/>
        <w:rPr>
          <w:rFonts w:ascii="Times New Roman" w:eastAsia="Calibri" w:hAnsi="Times New Roman" w:cs="Times New Roman"/>
        </w:rPr>
      </w:pPr>
    </w:p>
    <w:p w14:paraId="47B1EC2B" w14:textId="77DD9BFC" w:rsidR="00B67A00" w:rsidRPr="00125A6B" w:rsidRDefault="00B67A00" w:rsidP="00CB7838">
      <w:pPr>
        <w:pStyle w:val="ListParagraph"/>
        <w:numPr>
          <w:ilvl w:val="0"/>
          <w:numId w:val="30"/>
        </w:numPr>
        <w:rPr>
          <w:rFonts w:ascii="Times New Roman" w:hAnsi="Times New Roman" w:cs="Times New Roman"/>
          <w:b/>
          <w:bCs/>
          <w:color w:val="000000" w:themeColor="text1"/>
        </w:rPr>
      </w:pPr>
      <w:r w:rsidRPr="00125A6B">
        <w:rPr>
          <w:rFonts w:ascii="Times New Roman" w:eastAsia="Calibri" w:hAnsi="Times New Roman" w:cs="Times New Roman"/>
          <w:b/>
          <w:bCs/>
          <w:color w:val="000000" w:themeColor="text1"/>
        </w:rPr>
        <w:t xml:space="preserve"> </w:t>
      </w:r>
      <w:hyperlink r:id="rId105" w:history="1">
        <w:r w:rsidR="00731FFC" w:rsidRPr="00125A6B">
          <w:rPr>
            <w:rStyle w:val="Hyperlink"/>
            <w:rFonts w:ascii="Times New Roman" w:eastAsia="Calibri" w:hAnsi="Times New Roman" w:cs="Times New Roman"/>
          </w:rPr>
          <w:t>PIH Notice 2021-15</w:t>
        </w:r>
      </w:hyperlink>
      <w:r w:rsidR="00731FFC" w:rsidRPr="00125A6B">
        <w:rPr>
          <w:rFonts w:ascii="Times New Roman" w:eastAsia="Calibri" w:hAnsi="Times New Roman" w:cs="Times New Roman"/>
        </w:rPr>
        <w:t xml:space="preserve"> </w:t>
      </w:r>
      <w:r w:rsidRPr="00125A6B">
        <w:rPr>
          <w:rFonts w:ascii="Times New Roman" w:eastAsia="Calibri" w:hAnsi="Times New Roman" w:cs="Times New Roman"/>
          <w:b/>
          <w:bCs/>
          <w:color w:val="000000" w:themeColor="text1"/>
        </w:rPr>
        <w:t xml:space="preserve"> </w:t>
      </w:r>
      <w:r w:rsidR="0BFBF469" w:rsidRPr="00125A6B">
        <w:rPr>
          <w:rFonts w:ascii="Times New Roman" w:eastAsia="Calibri" w:hAnsi="Times New Roman" w:cs="Times New Roman"/>
          <w:b/>
          <w:bCs/>
          <w:color w:val="000000" w:themeColor="text1"/>
        </w:rPr>
        <w:t xml:space="preserve">(Section </w:t>
      </w:r>
      <w:r w:rsidRPr="00125A6B">
        <w:rPr>
          <w:rFonts w:ascii="Times New Roman" w:eastAsia="Calibri" w:hAnsi="Times New Roman" w:cs="Times New Roman"/>
          <w:b/>
          <w:bCs/>
          <w:color w:val="000000" w:themeColor="text1"/>
        </w:rPr>
        <w:t>6. d. iv. B</w:t>
      </w:r>
      <w:r w:rsidR="4D7B8599" w:rsidRPr="00125A6B">
        <w:rPr>
          <w:rFonts w:ascii="Times New Roman" w:eastAsia="Calibri" w:hAnsi="Times New Roman" w:cs="Times New Roman"/>
          <w:b/>
          <w:bCs/>
          <w:color w:val="000000" w:themeColor="text1"/>
        </w:rPr>
        <w:t>)</w:t>
      </w:r>
      <w:r w:rsidRPr="00125A6B">
        <w:rPr>
          <w:rFonts w:ascii="Times New Roman" w:eastAsia="Calibri" w:hAnsi="Times New Roman" w:cs="Times New Roman"/>
          <w:b/>
          <w:bCs/>
          <w:color w:val="000000" w:themeColor="text1"/>
        </w:rPr>
        <w:t xml:space="preserve">. states that services fee funding can be used for “tenant-readiness services,” where the PHA may use funding to help create customized plans to address or mitigate barriers – does this include paying rent arrears or other debts owed by participants to address debts from previous tenancies (i.e. rental arrears, charges in excess of security deposit after a move)? </w:t>
      </w:r>
    </w:p>
    <w:p w14:paraId="0FBE012C" w14:textId="7ABF6BD3" w:rsidR="00B67A00" w:rsidRPr="00125A6B" w:rsidRDefault="00B67A00" w:rsidP="00FC3011">
      <w:pPr>
        <w:ind w:left="720"/>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No. The services fee cannot be used to pay rental arrears, including debts owed to the PHA.</w:t>
      </w:r>
      <w:r w:rsidR="004A56A6" w:rsidRPr="00125A6B">
        <w:rPr>
          <w:rFonts w:ascii="Times New Roman" w:eastAsia="Calibri" w:hAnsi="Times New Roman" w:cs="Times New Roman"/>
          <w:color w:val="000000" w:themeColor="text1"/>
        </w:rPr>
        <w:t xml:space="preserve">  </w:t>
      </w:r>
      <w:r w:rsidR="00AC0AD3" w:rsidRPr="00125A6B">
        <w:rPr>
          <w:rFonts w:ascii="Times New Roman" w:eastAsia="Calibri" w:hAnsi="Times New Roman" w:cs="Times New Roman"/>
          <w:color w:val="000000" w:themeColor="text1"/>
        </w:rPr>
        <w:t xml:space="preserve">However, </w:t>
      </w:r>
      <w:r w:rsidR="004A56A6" w:rsidRPr="00125A6B">
        <w:rPr>
          <w:rFonts w:ascii="Times New Roman" w:eastAsia="Calibri" w:hAnsi="Times New Roman" w:cs="Times New Roman"/>
          <w:color w:val="000000" w:themeColor="text1"/>
        </w:rPr>
        <w:t xml:space="preserve">PHAs, </w:t>
      </w:r>
      <w:proofErr w:type="spellStart"/>
      <w:r w:rsidR="004A56A6" w:rsidRPr="00125A6B">
        <w:rPr>
          <w:rFonts w:ascii="Times New Roman" w:eastAsia="Calibri" w:hAnsi="Times New Roman" w:cs="Times New Roman"/>
          <w:color w:val="000000" w:themeColor="text1"/>
        </w:rPr>
        <w:t>CoCs</w:t>
      </w:r>
      <w:proofErr w:type="spellEnd"/>
      <w:r w:rsidR="004A56A6" w:rsidRPr="00125A6B">
        <w:rPr>
          <w:rFonts w:ascii="Times New Roman" w:eastAsia="Calibri" w:hAnsi="Times New Roman" w:cs="Times New Roman"/>
          <w:color w:val="000000" w:themeColor="text1"/>
        </w:rPr>
        <w:t xml:space="preserve">, and other service providers may choose to refer families to the Consumer Financial Protection Bureau (CFPB) or other state and local programs that may help tenant’s credit history.  </w:t>
      </w:r>
      <w:r w:rsidR="006B7E22" w:rsidRPr="00125A6B">
        <w:rPr>
          <w:rFonts w:ascii="Times New Roman" w:eastAsia="Calibri" w:hAnsi="Times New Roman" w:cs="Times New Roman"/>
          <w:color w:val="000000" w:themeColor="text1"/>
        </w:rPr>
        <w:t xml:space="preserve">Treasury’s </w:t>
      </w:r>
      <w:r w:rsidR="00E223B2" w:rsidRPr="00125A6B">
        <w:rPr>
          <w:rFonts w:ascii="Times New Roman" w:eastAsia="Calibri" w:hAnsi="Times New Roman" w:cs="Times New Roman"/>
          <w:color w:val="000000" w:themeColor="text1"/>
        </w:rPr>
        <w:t xml:space="preserve">Emergency Rental Assistance (ERA) Program would also be a good resource for </w:t>
      </w:r>
      <w:r w:rsidR="009C735A" w:rsidRPr="00125A6B">
        <w:rPr>
          <w:rFonts w:ascii="Times New Roman" w:eastAsia="Calibri" w:hAnsi="Times New Roman" w:cs="Times New Roman"/>
          <w:color w:val="000000" w:themeColor="text1"/>
        </w:rPr>
        <w:t>rental and utility arrearages.  See HUD</w:t>
      </w:r>
      <w:r w:rsidR="007006F5" w:rsidRPr="00125A6B">
        <w:rPr>
          <w:rFonts w:ascii="Times New Roman" w:eastAsia="Calibri" w:hAnsi="Times New Roman" w:cs="Times New Roman"/>
          <w:color w:val="000000" w:themeColor="text1"/>
        </w:rPr>
        <w:t xml:space="preserve">’s FAQs on the ERA program, available </w:t>
      </w:r>
      <w:hyperlink r:id="rId106" w:history="1">
        <w:r w:rsidR="007006F5" w:rsidRPr="00125A6B">
          <w:rPr>
            <w:rStyle w:val="Hyperlink"/>
            <w:rFonts w:ascii="Times New Roman" w:eastAsia="Calibri" w:hAnsi="Times New Roman" w:cs="Times New Roman"/>
          </w:rPr>
          <w:t>here</w:t>
        </w:r>
      </w:hyperlink>
      <w:r w:rsidR="007006F5" w:rsidRPr="00125A6B">
        <w:rPr>
          <w:rFonts w:ascii="Times New Roman" w:eastAsia="Calibri" w:hAnsi="Times New Roman" w:cs="Times New Roman"/>
          <w:color w:val="000000" w:themeColor="text1"/>
        </w:rPr>
        <w:t>.</w:t>
      </w:r>
    </w:p>
    <w:p w14:paraId="7460668B" w14:textId="5559FF9F" w:rsidR="00B67A00" w:rsidRPr="00125A6B" w:rsidRDefault="00B67A00" w:rsidP="00CB7838">
      <w:pPr>
        <w:pStyle w:val="ListParagraph"/>
        <w:numPr>
          <w:ilvl w:val="0"/>
          <w:numId w:val="30"/>
        </w:numPr>
        <w:rPr>
          <w:rFonts w:ascii="Times New Roman" w:hAnsi="Times New Roman" w:cs="Times New Roman"/>
          <w:b/>
          <w:bCs/>
          <w:color w:val="000000" w:themeColor="text1"/>
        </w:rPr>
      </w:pPr>
      <w:r w:rsidRPr="00125A6B">
        <w:rPr>
          <w:rFonts w:ascii="Times New Roman" w:eastAsia="Calibri" w:hAnsi="Times New Roman" w:cs="Times New Roman"/>
          <w:b/>
          <w:bCs/>
          <w:color w:val="000000" w:themeColor="text1"/>
        </w:rPr>
        <w:t xml:space="preserve">What is the income limit for EHVs?  </w:t>
      </w:r>
    </w:p>
    <w:p w14:paraId="23B624D1" w14:textId="6B31EC9F" w:rsidR="001447DA" w:rsidRPr="00125A6B" w:rsidRDefault="0079355A" w:rsidP="5693299F">
      <w:pPr>
        <w:ind w:left="720"/>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I</w:t>
      </w:r>
      <w:r w:rsidR="3A2F56D0" w:rsidRPr="00125A6B">
        <w:rPr>
          <w:rFonts w:ascii="Times New Roman" w:eastAsia="Calibri" w:hAnsi="Times New Roman" w:cs="Times New Roman"/>
          <w:color w:val="000000" w:themeColor="text1"/>
        </w:rPr>
        <w:t>ncome limits</w:t>
      </w:r>
      <w:r w:rsidRPr="00125A6B">
        <w:rPr>
          <w:rFonts w:ascii="Times New Roman" w:eastAsia="Calibri" w:hAnsi="Times New Roman" w:cs="Times New Roman"/>
          <w:color w:val="000000" w:themeColor="text1"/>
        </w:rPr>
        <w:t xml:space="preserve"> for EHVs</w:t>
      </w:r>
      <w:r w:rsidR="3A2F56D0" w:rsidRPr="00125A6B">
        <w:rPr>
          <w:rFonts w:ascii="Times New Roman" w:eastAsia="Calibri" w:hAnsi="Times New Roman" w:cs="Times New Roman"/>
          <w:color w:val="000000" w:themeColor="text1"/>
        </w:rPr>
        <w:t xml:space="preserve"> are the same as </w:t>
      </w:r>
      <w:r w:rsidRPr="00125A6B">
        <w:rPr>
          <w:rFonts w:ascii="Times New Roman" w:eastAsia="Calibri" w:hAnsi="Times New Roman" w:cs="Times New Roman"/>
          <w:color w:val="000000" w:themeColor="text1"/>
        </w:rPr>
        <w:t xml:space="preserve">income limits for </w:t>
      </w:r>
      <w:r w:rsidR="3A2F56D0" w:rsidRPr="00125A6B">
        <w:rPr>
          <w:rFonts w:ascii="Times New Roman" w:eastAsia="Calibri" w:hAnsi="Times New Roman" w:cs="Times New Roman"/>
          <w:color w:val="000000" w:themeColor="text1"/>
        </w:rPr>
        <w:t>the H</w:t>
      </w:r>
      <w:r w:rsidRPr="00125A6B">
        <w:rPr>
          <w:rFonts w:ascii="Times New Roman" w:eastAsia="Calibri" w:hAnsi="Times New Roman" w:cs="Times New Roman"/>
          <w:color w:val="000000" w:themeColor="text1"/>
        </w:rPr>
        <w:t>ousing Choice Voucher (H</w:t>
      </w:r>
      <w:r w:rsidR="3A2F56D0" w:rsidRPr="00125A6B">
        <w:rPr>
          <w:rFonts w:ascii="Times New Roman" w:eastAsia="Calibri" w:hAnsi="Times New Roman" w:cs="Times New Roman"/>
          <w:color w:val="000000" w:themeColor="text1"/>
        </w:rPr>
        <w:t>CV</w:t>
      </w:r>
      <w:r w:rsidRPr="00125A6B">
        <w:rPr>
          <w:rFonts w:ascii="Times New Roman" w:eastAsia="Calibri" w:hAnsi="Times New Roman" w:cs="Times New Roman"/>
          <w:color w:val="000000" w:themeColor="text1"/>
        </w:rPr>
        <w:t>)</w:t>
      </w:r>
      <w:r w:rsidR="3A2F56D0" w:rsidRPr="00125A6B">
        <w:rPr>
          <w:rFonts w:ascii="Times New Roman" w:eastAsia="Calibri" w:hAnsi="Times New Roman" w:cs="Times New Roman"/>
          <w:color w:val="000000" w:themeColor="text1"/>
        </w:rPr>
        <w:t xml:space="preserve"> program. </w:t>
      </w:r>
      <w:r w:rsidR="00790C9B" w:rsidRPr="00125A6B">
        <w:rPr>
          <w:rFonts w:ascii="Times New Roman" w:eastAsia="Calibri" w:hAnsi="Times New Roman" w:cs="Times New Roman"/>
          <w:color w:val="000000" w:themeColor="text1"/>
        </w:rPr>
        <w:t>Please s</w:t>
      </w:r>
      <w:r w:rsidR="001E25F4" w:rsidRPr="00125A6B">
        <w:rPr>
          <w:rFonts w:ascii="Times New Roman" w:eastAsia="Calibri" w:hAnsi="Times New Roman" w:cs="Times New Roman"/>
          <w:color w:val="000000" w:themeColor="text1"/>
        </w:rPr>
        <w:t>ee 24 CFR 982.201(</w:t>
      </w:r>
      <w:r w:rsidR="006125C6" w:rsidRPr="00125A6B">
        <w:rPr>
          <w:rFonts w:ascii="Times New Roman" w:eastAsia="Calibri" w:hAnsi="Times New Roman" w:cs="Times New Roman"/>
          <w:color w:val="000000" w:themeColor="text1"/>
        </w:rPr>
        <w:t>b)(1)</w:t>
      </w:r>
      <w:r w:rsidR="00687BF7" w:rsidRPr="00125A6B">
        <w:rPr>
          <w:rFonts w:ascii="Times New Roman" w:eastAsia="Calibri" w:hAnsi="Times New Roman" w:cs="Times New Roman"/>
          <w:color w:val="000000" w:themeColor="text1"/>
        </w:rPr>
        <w:t>.</w:t>
      </w:r>
    </w:p>
    <w:p w14:paraId="0434AC1C" w14:textId="0F238A8B" w:rsidR="005B6F6A" w:rsidRDefault="005B6F6A" w:rsidP="005B6F6A">
      <w:pPr>
        <w:pStyle w:val="Heading1"/>
      </w:pPr>
      <w:bookmarkStart w:id="17" w:name="_Toc74733179"/>
      <w:r w:rsidRPr="00125A6B">
        <w:t>Portability</w:t>
      </w:r>
      <w:bookmarkEnd w:id="17"/>
    </w:p>
    <w:p w14:paraId="7C24A8E2" w14:textId="77777777" w:rsidR="00731FFC" w:rsidRPr="00731FFC" w:rsidRDefault="00974DF2" w:rsidP="00974DF2">
      <w:pPr>
        <w:pStyle w:val="ListParagraph"/>
        <w:numPr>
          <w:ilvl w:val="0"/>
          <w:numId w:val="30"/>
        </w:numPr>
        <w:tabs>
          <w:tab w:val="left" w:pos="0"/>
          <w:tab w:val="left" w:pos="1080"/>
        </w:tabs>
        <w:spacing w:after="0" w:line="240" w:lineRule="auto"/>
        <w:rPr>
          <w:rFonts w:ascii="Times New Roman" w:eastAsia="Times New Roman" w:hAnsi="Times New Roman" w:cs="Times New Roman"/>
          <w:b/>
          <w:bCs/>
        </w:rPr>
      </w:pPr>
      <w:r w:rsidRPr="00731FFC">
        <w:rPr>
          <w:rFonts w:ascii="Times New Roman" w:eastAsia="Times New Roman" w:hAnsi="Times New Roman" w:cs="Times New Roman"/>
          <w:b/>
          <w:bCs/>
        </w:rPr>
        <w:t xml:space="preserve">If a receiving PHA absorbs an EHV voucher, it appears the PHA has the discretion to use its own service fees or may be reimbursed. What happens if the initial PHA does not agree to provide any service fees if the receiving PHA absorbs the voucher? </w:t>
      </w:r>
      <w:r w:rsidRPr="00731FFC">
        <w:rPr>
          <w:rFonts w:ascii="Times New Roman" w:eastAsia="Times New Roman" w:hAnsi="Times New Roman" w:cs="Times New Roman"/>
          <w:b/>
          <w:bCs/>
          <w:color w:val="C00000"/>
        </w:rPr>
        <w:t>(NEW</w:t>
      </w:r>
      <w:r w:rsidR="00731FFC">
        <w:rPr>
          <w:rFonts w:ascii="Times New Roman" w:eastAsia="Times New Roman" w:hAnsi="Times New Roman" w:cs="Times New Roman"/>
          <w:b/>
          <w:bCs/>
          <w:color w:val="C00000"/>
        </w:rPr>
        <w:t>)</w:t>
      </w:r>
    </w:p>
    <w:p w14:paraId="25661FB5" w14:textId="6A989F50" w:rsidR="00974DF2" w:rsidRPr="00731FFC" w:rsidRDefault="00974DF2" w:rsidP="00731FFC">
      <w:pPr>
        <w:pStyle w:val="ListParagraph"/>
        <w:tabs>
          <w:tab w:val="left" w:pos="0"/>
          <w:tab w:val="left" w:pos="1080"/>
        </w:tabs>
        <w:spacing w:after="0" w:line="240" w:lineRule="auto"/>
        <w:rPr>
          <w:rFonts w:ascii="Times New Roman" w:eastAsia="Times New Roman" w:hAnsi="Times New Roman" w:cs="Times New Roman"/>
          <w:b/>
          <w:bCs/>
        </w:rPr>
      </w:pPr>
      <w:r w:rsidRPr="00731FFC">
        <w:rPr>
          <w:rFonts w:ascii="Times New Roman" w:eastAsia="Times New Roman" w:hAnsi="Times New Roman" w:cs="Times New Roman"/>
        </w:rPr>
        <w:t xml:space="preserve">                                        </w:t>
      </w:r>
    </w:p>
    <w:p w14:paraId="452FE443" w14:textId="171634B7" w:rsidR="00974DF2" w:rsidRPr="00731FFC" w:rsidRDefault="00974DF2" w:rsidP="00974DF2">
      <w:pPr>
        <w:ind w:left="720"/>
        <w:rPr>
          <w:rFonts w:ascii="Times New Roman" w:eastAsia="Times New Roman" w:hAnsi="Times New Roman" w:cs="Times New Roman"/>
        </w:rPr>
      </w:pPr>
      <w:r w:rsidRPr="00731FFC">
        <w:rPr>
          <w:rFonts w:ascii="Times New Roman" w:eastAsia="Calibri" w:hAnsi="Times New Roman" w:cs="Times New Roman"/>
          <w:color w:val="000000" w:themeColor="text1"/>
        </w:rPr>
        <w:t>The initial PHA may not refuse to provide any service fees for the porting family. Per Section 9(o) of</w:t>
      </w:r>
      <w:r w:rsidRPr="00731FFC">
        <w:rPr>
          <w:rFonts w:ascii="Times New Roman" w:eastAsia="Times New Roman" w:hAnsi="Times New Roman" w:cs="Times New Roman"/>
        </w:rPr>
        <w:t xml:space="preserve"> </w:t>
      </w:r>
      <w:hyperlink r:id="rId107" w:history="1">
        <w:r w:rsidRPr="00731FFC">
          <w:rPr>
            <w:rStyle w:val="Hyperlink"/>
            <w:rFonts w:ascii="Times New Roman" w:eastAsia="Times New Roman" w:hAnsi="Times New Roman" w:cs="Times New Roman"/>
          </w:rPr>
          <w:t>PIH Notice 2021-15</w:t>
        </w:r>
      </w:hyperlink>
      <w:r w:rsidRPr="00731FFC">
        <w:rPr>
          <w:rStyle w:val="Hyperlink"/>
          <w:rFonts w:ascii="Times New Roman" w:hAnsi="Times New Roman" w:cs="Times New Roman"/>
        </w:rPr>
        <w:t>,</w:t>
      </w:r>
      <w:r w:rsidRPr="00731FFC">
        <w:rPr>
          <w:rFonts w:ascii="Times New Roman" w:eastAsia="Times New Roman" w:hAnsi="Times New Roman" w:cs="Times New Roman"/>
        </w:rPr>
        <w:t xml:space="preserve"> </w:t>
      </w:r>
      <w:r w:rsidRPr="00731FFC">
        <w:rPr>
          <w:rFonts w:ascii="Times New Roman" w:eastAsia="Calibri" w:hAnsi="Times New Roman" w:cs="Times New Roman"/>
          <w:color w:val="000000" w:themeColor="text1"/>
        </w:rPr>
        <w:t>PHAs should consult with the receiving PHA to determine use of fees and establish a cap of the lesser of actual expenses or $1,750. In the event that an initial PHA refuses to provide service fees, please contact HUD for assistance at</w:t>
      </w:r>
      <w:r w:rsidRPr="00731FFC">
        <w:rPr>
          <w:rFonts w:ascii="Times New Roman" w:eastAsia="Times New Roman" w:hAnsi="Times New Roman" w:cs="Times New Roman"/>
        </w:rPr>
        <w:t xml:space="preserve"> </w:t>
      </w:r>
      <w:hyperlink r:id="rId108">
        <w:r w:rsidRPr="00731FFC">
          <w:rPr>
            <w:rStyle w:val="Hyperlink"/>
            <w:rFonts w:ascii="Times New Roman" w:eastAsia="Times New Roman" w:hAnsi="Times New Roman" w:cs="Times New Roman"/>
          </w:rPr>
          <w:t>ehv@hud.gov</w:t>
        </w:r>
      </w:hyperlink>
      <w:r w:rsidRPr="00731FFC">
        <w:rPr>
          <w:rFonts w:ascii="Times New Roman" w:eastAsia="Times New Roman" w:hAnsi="Times New Roman" w:cs="Times New Roman"/>
        </w:rPr>
        <w:t xml:space="preserve">. </w:t>
      </w:r>
    </w:p>
    <w:p w14:paraId="5954A9CB" w14:textId="77777777" w:rsidR="00974DF2" w:rsidRPr="00731FFC" w:rsidRDefault="00974DF2" w:rsidP="00974DF2">
      <w:pPr>
        <w:pStyle w:val="ListParagraph"/>
        <w:numPr>
          <w:ilvl w:val="0"/>
          <w:numId w:val="30"/>
        </w:numPr>
        <w:spacing w:after="0" w:line="240" w:lineRule="auto"/>
        <w:rPr>
          <w:rFonts w:ascii="Times New Roman" w:eastAsia="Times New Roman" w:hAnsi="Times New Roman" w:cs="Times New Roman"/>
          <w:b/>
          <w:bCs/>
        </w:rPr>
      </w:pPr>
      <w:r w:rsidRPr="00731FFC">
        <w:rPr>
          <w:rFonts w:ascii="Times New Roman" w:eastAsia="Times New Roman" w:hAnsi="Times New Roman" w:cs="Times New Roman"/>
          <w:b/>
          <w:bCs/>
        </w:rPr>
        <w:t xml:space="preserve">When an EHV family ports, how does this impact the services fee? </w:t>
      </w:r>
      <w:r w:rsidRPr="00731FFC">
        <w:rPr>
          <w:rFonts w:ascii="Times New Roman" w:eastAsia="Times New Roman" w:hAnsi="Times New Roman" w:cs="Times New Roman"/>
          <w:b/>
          <w:bCs/>
          <w:color w:val="C00000"/>
        </w:rPr>
        <w:t>(NEW)</w:t>
      </w:r>
    </w:p>
    <w:p w14:paraId="3F7F10AD" w14:textId="77777777" w:rsidR="00974DF2" w:rsidRPr="00731FFC" w:rsidRDefault="00974DF2" w:rsidP="00974DF2">
      <w:pPr>
        <w:rPr>
          <w:rFonts w:ascii="Times New Roman" w:eastAsia="Times New Roman" w:hAnsi="Times New Roman" w:cs="Times New Roman"/>
        </w:rPr>
      </w:pPr>
    </w:p>
    <w:p w14:paraId="6186A4F3" w14:textId="1D2D9C7C" w:rsidR="00974DF2" w:rsidRPr="00731FFC" w:rsidRDefault="00974DF2" w:rsidP="00974DF2">
      <w:pPr>
        <w:ind w:left="720"/>
        <w:rPr>
          <w:rFonts w:ascii="Times New Roman" w:eastAsia="Calibri" w:hAnsi="Times New Roman" w:cs="Times New Roman"/>
          <w:color w:val="000000" w:themeColor="text1"/>
        </w:rPr>
      </w:pPr>
      <w:r w:rsidRPr="00731FFC">
        <w:rPr>
          <w:rFonts w:ascii="Times New Roman" w:eastAsia="Calibri" w:hAnsi="Times New Roman" w:cs="Times New Roman"/>
          <w:color w:val="000000" w:themeColor="text1"/>
        </w:rPr>
        <w:t>Per Section 9.o of</w:t>
      </w:r>
      <w:r w:rsidRPr="00731FFC">
        <w:rPr>
          <w:rFonts w:ascii="Times New Roman" w:eastAsia="Times New Roman" w:hAnsi="Times New Roman" w:cs="Times New Roman"/>
        </w:rPr>
        <w:t xml:space="preserve"> </w:t>
      </w:r>
      <w:hyperlink r:id="rId109" w:history="1">
        <w:r w:rsidRPr="00731FFC">
          <w:rPr>
            <w:rStyle w:val="Hyperlink"/>
            <w:rFonts w:ascii="Times New Roman" w:eastAsia="Times New Roman" w:hAnsi="Times New Roman" w:cs="Times New Roman"/>
          </w:rPr>
          <w:t>PIH Notice 2021-15</w:t>
        </w:r>
      </w:hyperlink>
      <w:r w:rsidRPr="00731FFC">
        <w:rPr>
          <w:rFonts w:ascii="Times New Roman" w:eastAsia="Times New Roman" w:hAnsi="Times New Roman" w:cs="Times New Roman"/>
        </w:rPr>
        <w:t xml:space="preserve">, </w:t>
      </w:r>
      <w:r w:rsidRPr="00731FFC">
        <w:rPr>
          <w:rFonts w:ascii="Times New Roman" w:eastAsia="Calibri" w:hAnsi="Times New Roman" w:cs="Times New Roman"/>
          <w:color w:val="000000" w:themeColor="text1"/>
        </w:rPr>
        <w:t xml:space="preserve">if the portability move is in connection with the EHV family’s initial lease-up, the receiving PHA and the initial PHA must consult and coordinate on the EHV services and assistance that will be made available to the family.  The primary purpose of this communication is to ensure there is no duplication of EHV services and assistance provided to the family and that the receiving PHA is aware of the maximum amount of services fee funding that the initial PHA must provide to the receiving PHA on behalf of the family.  If the receiving PHA, in consultation and coordination with the initial PHA, will provide eligible </w:t>
      </w:r>
      <w:r w:rsidRPr="00731FFC">
        <w:rPr>
          <w:rFonts w:ascii="Times New Roman" w:eastAsia="Calibri" w:hAnsi="Times New Roman" w:cs="Times New Roman"/>
          <w:color w:val="000000" w:themeColor="text1"/>
        </w:rPr>
        <w:lastRenderedPageBreak/>
        <w:t>services or assistance to the incoming EHV family, the receiving PHA must be compensated for those costs by the initial PHA.  However, the amount of the services fee provided by the initial PHA may not exceed the lesser of the actual cost of the services and assistance provided to the family by the receiving PHA or $1750, unless the initial PHA and receiving PHA mutually agree to change the $1750 cap.  If the EHV family has already leased a unit on the program and the portability move is a subsequent move, the family’s portability move will have no impact on the initial PHA’s services fee.</w:t>
      </w:r>
    </w:p>
    <w:p w14:paraId="57A90061" w14:textId="6E308B10" w:rsidR="009B42B7" w:rsidRPr="00731FFC" w:rsidRDefault="009B42B7" w:rsidP="00CB7838">
      <w:pPr>
        <w:pStyle w:val="xmsolistparagraph"/>
        <w:numPr>
          <w:ilvl w:val="0"/>
          <w:numId w:val="30"/>
        </w:numPr>
        <w:rPr>
          <w:rFonts w:ascii="Times New Roman" w:hAnsi="Times New Roman" w:cs="Times New Roman"/>
          <w:b/>
          <w:bCs/>
          <w:color w:val="C00000"/>
        </w:rPr>
      </w:pPr>
      <w:r w:rsidRPr="00731FFC">
        <w:rPr>
          <w:rFonts w:ascii="Times New Roman" w:hAnsi="Times New Roman" w:cs="Times New Roman"/>
          <w:b/>
          <w:bCs/>
          <w:color w:val="000000"/>
        </w:rPr>
        <w:t xml:space="preserve"> Are there specific guidelines for the billing of services rendered for ported EHVs? </w:t>
      </w:r>
    </w:p>
    <w:p w14:paraId="09805C1D" w14:textId="77777777" w:rsidR="009B42B7" w:rsidRPr="00125A6B" w:rsidRDefault="009B42B7" w:rsidP="009B42B7">
      <w:pPr>
        <w:pStyle w:val="xmsolistparagraph"/>
        <w:rPr>
          <w:rFonts w:ascii="Times New Roman" w:hAnsi="Times New Roman" w:cs="Times New Roman"/>
          <w:sz w:val="24"/>
          <w:szCs w:val="24"/>
        </w:rPr>
      </w:pPr>
    </w:p>
    <w:p w14:paraId="1C5A73F8" w14:textId="77777777" w:rsidR="009B42B7" w:rsidRPr="00731FFC" w:rsidRDefault="00EE7DB8" w:rsidP="009B42B7">
      <w:pPr>
        <w:pStyle w:val="CommentText"/>
        <w:ind w:left="720"/>
        <w:rPr>
          <w:rFonts w:ascii="Times New Roman" w:hAnsi="Times New Roman" w:cs="Times New Roman"/>
          <w:sz w:val="22"/>
          <w:szCs w:val="22"/>
        </w:rPr>
      </w:pPr>
      <w:hyperlink r:id="rId110" w:history="1">
        <w:r w:rsidR="009B42B7" w:rsidRPr="00731FFC">
          <w:rPr>
            <w:rStyle w:val="Hyperlink"/>
            <w:rFonts w:ascii="Times New Roman" w:eastAsia="Times New Roman" w:hAnsi="Times New Roman" w:cs="Times New Roman"/>
            <w:sz w:val="22"/>
            <w:szCs w:val="22"/>
          </w:rPr>
          <w:t>PIH Notice 2021-15</w:t>
        </w:r>
      </w:hyperlink>
      <w:r w:rsidR="009B42B7" w:rsidRPr="00731FFC">
        <w:rPr>
          <w:rFonts w:ascii="Times New Roman" w:hAnsi="Times New Roman" w:cs="Times New Roman"/>
          <w:sz w:val="22"/>
          <w:szCs w:val="22"/>
        </w:rPr>
        <w:t>, Section 9.o.iv.B states that if the receiving PHA, in consultation and coordination with the initial PHA, will provide eligible services or assistance to the incoming EHV household, then the receiving PHA may be compensated for those costs by the initial PHA. This is the case regardless of whether the receiving PHA bills the initial PHA or absorbs the family into its own program at initial lease-up. The initial PHA will still need to provide documentation regarding the eligible services provided to the family via an invoice or similar documentation denoting funds expended.</w:t>
      </w:r>
    </w:p>
    <w:p w14:paraId="39D9A822" w14:textId="05B0D585" w:rsidR="009B42B7" w:rsidRPr="00731FFC" w:rsidRDefault="009B42B7" w:rsidP="003049D0">
      <w:pPr>
        <w:pStyle w:val="CommentText"/>
        <w:ind w:left="720"/>
        <w:rPr>
          <w:rFonts w:ascii="Times New Roman" w:hAnsi="Times New Roman" w:cs="Times New Roman"/>
          <w:sz w:val="22"/>
          <w:szCs w:val="22"/>
        </w:rPr>
      </w:pPr>
      <w:r w:rsidRPr="00731FFC">
        <w:rPr>
          <w:rFonts w:ascii="Times New Roman" w:hAnsi="Times New Roman" w:cs="Times New Roman"/>
          <w:sz w:val="22"/>
          <w:szCs w:val="22"/>
        </w:rPr>
        <w:t xml:space="preserve">If the receiving PHA administers EHVs under its Consolidated Annual Contributions Contract (CACC), the receiving PHA may use its own services fee and may be reimbursed by the initial PHA, or the initial PHA may provide the services funding upfront to the receiving PHA for those fees and assistance. If the receiving PHA does not administer EHVs under its CACC, the initial PHA must provide the services funding upfront to the receiving PHA. Any amounts provided to the receiving the PHA that are not used for services or assistance on behalf of the EHV family must promptly be returned by the receiving PHA to the initial PHA. </w:t>
      </w:r>
    </w:p>
    <w:p w14:paraId="6E1400B5" w14:textId="431184B2" w:rsidR="009B42B7" w:rsidRPr="00731FFC" w:rsidRDefault="009B42B7" w:rsidP="00CB7838">
      <w:pPr>
        <w:pStyle w:val="xmsolistparagraph"/>
        <w:numPr>
          <w:ilvl w:val="0"/>
          <w:numId w:val="30"/>
        </w:numPr>
        <w:rPr>
          <w:rFonts w:ascii="Times New Roman" w:hAnsi="Times New Roman" w:cs="Times New Roman"/>
          <w:b/>
          <w:bCs/>
          <w:color w:val="C00000"/>
        </w:rPr>
      </w:pPr>
      <w:r w:rsidRPr="00731FFC">
        <w:rPr>
          <w:rFonts w:ascii="Times New Roman" w:hAnsi="Times New Roman" w:cs="Times New Roman"/>
          <w:b/>
          <w:bCs/>
          <w:color w:val="000000"/>
        </w:rPr>
        <w:t xml:space="preserve">Are there regulations guiding the amount of the service fee that can be provided by the PHA? </w:t>
      </w:r>
    </w:p>
    <w:p w14:paraId="106C1039" w14:textId="77777777" w:rsidR="009B42B7" w:rsidRPr="00125A6B" w:rsidRDefault="009B42B7" w:rsidP="009B42B7">
      <w:pPr>
        <w:pStyle w:val="xmsolistparagraph"/>
        <w:ind w:left="1080"/>
        <w:rPr>
          <w:rFonts w:ascii="Times New Roman" w:hAnsi="Times New Roman" w:cs="Times New Roman"/>
          <w:sz w:val="24"/>
          <w:szCs w:val="24"/>
        </w:rPr>
      </w:pPr>
    </w:p>
    <w:p w14:paraId="1CB726E9" w14:textId="77777777" w:rsidR="009B42B7" w:rsidRPr="00731FFC" w:rsidRDefault="009B42B7" w:rsidP="009B42B7">
      <w:pPr>
        <w:pStyle w:val="xmsolistparagraph"/>
        <w:ind w:left="720"/>
        <w:rPr>
          <w:rFonts w:ascii="Times New Roman" w:hAnsi="Times New Roman" w:cs="Times New Roman"/>
        </w:rPr>
      </w:pPr>
      <w:r w:rsidRPr="00731FFC">
        <w:rPr>
          <w:rFonts w:ascii="Times New Roman" w:hAnsi="Times New Roman" w:cs="Times New Roman"/>
        </w:rPr>
        <w:t xml:space="preserve">Per </w:t>
      </w:r>
      <w:hyperlink r:id="rId111" w:history="1">
        <w:r w:rsidRPr="00731FFC">
          <w:rPr>
            <w:rStyle w:val="Hyperlink"/>
            <w:rFonts w:ascii="Times New Roman" w:eastAsia="Times New Roman" w:hAnsi="Times New Roman" w:cs="Times New Roman"/>
          </w:rPr>
          <w:t>PIH Notice 2021-15</w:t>
        </w:r>
      </w:hyperlink>
      <w:r w:rsidRPr="00731FFC">
        <w:rPr>
          <w:rFonts w:ascii="Times New Roman" w:hAnsi="Times New Roman" w:cs="Times New Roman"/>
        </w:rPr>
        <w:t xml:space="preserve">, Section 9.o.iv.B, the amount of the service fee provided by the initial PHA may not exceed the lesser of the actual cost of services and assistance provided to the family by the receiving PHA or $1750, unless the initial PHA and receiving PHA mutually agree to change the $1750 cap.    </w:t>
      </w:r>
    </w:p>
    <w:p w14:paraId="395C8812" w14:textId="77777777" w:rsidR="009B42B7" w:rsidRPr="00731FFC" w:rsidRDefault="009B42B7" w:rsidP="009B42B7">
      <w:pPr>
        <w:pStyle w:val="xmsolistparagraph"/>
        <w:rPr>
          <w:rFonts w:ascii="Times New Roman" w:hAnsi="Times New Roman" w:cs="Times New Roman"/>
        </w:rPr>
      </w:pPr>
    </w:p>
    <w:p w14:paraId="2DDCE2B2" w14:textId="5DF5FF57" w:rsidR="009B42B7" w:rsidRPr="00731FFC" w:rsidRDefault="009B42B7" w:rsidP="00CB7838">
      <w:pPr>
        <w:pStyle w:val="xmsolistparagraph"/>
        <w:numPr>
          <w:ilvl w:val="0"/>
          <w:numId w:val="30"/>
        </w:numPr>
        <w:rPr>
          <w:rFonts w:ascii="Times New Roman" w:hAnsi="Times New Roman" w:cs="Times New Roman"/>
          <w:b/>
          <w:bCs/>
          <w:color w:val="000000"/>
        </w:rPr>
      </w:pPr>
      <w:r w:rsidRPr="00731FFC">
        <w:rPr>
          <w:rFonts w:ascii="Times New Roman" w:hAnsi="Times New Roman" w:cs="Times New Roman"/>
          <w:b/>
          <w:bCs/>
          <w:color w:val="000000"/>
        </w:rPr>
        <w:t xml:space="preserve">Can the portability service fee cap of $1,750 be negotiated between the initial and receiving PHA?  </w:t>
      </w:r>
    </w:p>
    <w:p w14:paraId="0DF19D6F" w14:textId="77777777" w:rsidR="009B42B7" w:rsidRPr="00731FFC" w:rsidRDefault="009B42B7" w:rsidP="009B42B7">
      <w:pPr>
        <w:pStyle w:val="xmsolistparagraph"/>
        <w:ind w:left="720"/>
        <w:rPr>
          <w:rFonts w:ascii="Times New Roman" w:hAnsi="Times New Roman" w:cs="Times New Roman"/>
          <w:b/>
          <w:bCs/>
          <w:color w:val="000000"/>
        </w:rPr>
      </w:pPr>
    </w:p>
    <w:p w14:paraId="09316BD7" w14:textId="77777777" w:rsidR="009B42B7" w:rsidRPr="00731FFC" w:rsidRDefault="009B42B7" w:rsidP="009B42B7">
      <w:pPr>
        <w:pStyle w:val="Default"/>
        <w:ind w:left="720"/>
        <w:rPr>
          <w:rFonts w:ascii="Times New Roman" w:eastAsiaTheme="minorHAnsi" w:hAnsi="Times New Roman" w:cs="Times New Roman"/>
          <w:color w:val="auto"/>
          <w:sz w:val="22"/>
          <w:szCs w:val="22"/>
        </w:rPr>
      </w:pPr>
      <w:r w:rsidRPr="00731FFC">
        <w:rPr>
          <w:rFonts w:ascii="Times New Roman" w:eastAsiaTheme="minorHAnsi" w:hAnsi="Times New Roman" w:cs="Times New Roman"/>
          <w:color w:val="auto"/>
          <w:sz w:val="22"/>
          <w:szCs w:val="22"/>
        </w:rPr>
        <w:t>Yes.  Per PIH Notice 2021-15, Section 9.o.iv.A, if both PHAs agree, the PHAs may   negotiate a different amount of reimbursement if they mutually agree to change the $1750 cap.</w:t>
      </w:r>
    </w:p>
    <w:p w14:paraId="4802D9A4" w14:textId="77777777" w:rsidR="009B42B7" w:rsidRPr="00731FFC" w:rsidRDefault="009B42B7" w:rsidP="009B42B7">
      <w:pPr>
        <w:pStyle w:val="Default"/>
        <w:ind w:left="720" w:firstLine="360"/>
        <w:rPr>
          <w:rFonts w:ascii="Times New Roman" w:hAnsi="Times New Roman" w:cs="Times New Roman"/>
          <w:sz w:val="22"/>
          <w:szCs w:val="22"/>
        </w:rPr>
      </w:pPr>
    </w:p>
    <w:p w14:paraId="30644DCF" w14:textId="06822A55" w:rsidR="009B42B7" w:rsidRPr="00731FFC" w:rsidRDefault="009B42B7" w:rsidP="00CB7838">
      <w:pPr>
        <w:pStyle w:val="xmsolistparagraph"/>
        <w:numPr>
          <w:ilvl w:val="0"/>
          <w:numId w:val="30"/>
        </w:numPr>
        <w:rPr>
          <w:rFonts w:ascii="Times New Roman" w:hAnsi="Times New Roman" w:cs="Times New Roman"/>
          <w:b/>
          <w:bCs/>
          <w:color w:val="000000"/>
        </w:rPr>
      </w:pPr>
      <w:r w:rsidRPr="00731FFC">
        <w:rPr>
          <w:rFonts w:ascii="Times New Roman" w:hAnsi="Times New Roman" w:cs="Times New Roman"/>
          <w:b/>
          <w:bCs/>
          <w:color w:val="000000"/>
        </w:rPr>
        <w:t xml:space="preserve">If a family ports to another PHA before leasing, can a PHA place restrictions on the amount of assistance? </w:t>
      </w:r>
    </w:p>
    <w:p w14:paraId="1309C0E3" w14:textId="77777777" w:rsidR="009B42B7" w:rsidRPr="00731FFC" w:rsidRDefault="009B42B7" w:rsidP="009B42B7">
      <w:pPr>
        <w:pStyle w:val="xmsolistparagraph"/>
        <w:ind w:left="1080"/>
        <w:rPr>
          <w:rFonts w:ascii="Times New Roman" w:hAnsi="Times New Roman" w:cs="Times New Roman"/>
          <w:b/>
          <w:bCs/>
          <w:color w:val="000000"/>
        </w:rPr>
      </w:pPr>
    </w:p>
    <w:p w14:paraId="78399143" w14:textId="77777777" w:rsidR="009B42B7" w:rsidRPr="00731FFC" w:rsidRDefault="009B42B7" w:rsidP="009B42B7">
      <w:pPr>
        <w:pStyle w:val="xmsolistparagraph"/>
        <w:ind w:left="720"/>
        <w:rPr>
          <w:rFonts w:ascii="Times New Roman" w:hAnsi="Times New Roman" w:cs="Times New Roman"/>
        </w:rPr>
      </w:pPr>
      <w:r w:rsidRPr="00731FFC">
        <w:rPr>
          <w:rFonts w:ascii="Times New Roman" w:hAnsi="Times New Roman" w:cs="Times New Roman"/>
          <w:color w:val="000000"/>
        </w:rPr>
        <w:t xml:space="preserve">Yes.  As noted in </w:t>
      </w:r>
      <w:hyperlink r:id="rId112" w:history="1">
        <w:r w:rsidRPr="00731FFC">
          <w:rPr>
            <w:rStyle w:val="Hyperlink"/>
            <w:rFonts w:ascii="Times New Roman" w:eastAsia="Times New Roman" w:hAnsi="Times New Roman" w:cs="Times New Roman"/>
          </w:rPr>
          <w:t>PIH Notice 2021-15</w:t>
        </w:r>
      </w:hyperlink>
      <w:r w:rsidRPr="00731FFC">
        <w:rPr>
          <w:rFonts w:ascii="Times New Roman" w:hAnsi="Times New Roman" w:cs="Times New Roman"/>
          <w:color w:val="000000"/>
        </w:rPr>
        <w:t>, Section 6.d., t</w:t>
      </w:r>
      <w:r w:rsidRPr="00731FFC">
        <w:rPr>
          <w:rFonts w:ascii="Times New Roman" w:hAnsi="Times New Roman" w:cs="Times New Roman"/>
        </w:rPr>
        <w:t xml:space="preserve">he PHA may limit the amount of assistance that it provides for any of the eligible uses and place other restrictions on those uses. </w:t>
      </w:r>
    </w:p>
    <w:p w14:paraId="5386BE82" w14:textId="77777777" w:rsidR="009B42B7" w:rsidRPr="00731FFC" w:rsidRDefault="009B42B7" w:rsidP="009B42B7">
      <w:pPr>
        <w:pStyle w:val="xmsolistparagraph"/>
        <w:ind w:left="1080"/>
        <w:rPr>
          <w:rFonts w:ascii="Times New Roman" w:hAnsi="Times New Roman" w:cs="Times New Roman"/>
        </w:rPr>
      </w:pPr>
    </w:p>
    <w:p w14:paraId="73477523" w14:textId="56066814" w:rsidR="009B42B7" w:rsidRPr="00731FFC" w:rsidRDefault="009B42B7" w:rsidP="00CB7838">
      <w:pPr>
        <w:pStyle w:val="xmsolistparagraph"/>
        <w:numPr>
          <w:ilvl w:val="0"/>
          <w:numId w:val="30"/>
        </w:numPr>
        <w:rPr>
          <w:rFonts w:ascii="Times New Roman" w:hAnsi="Times New Roman" w:cs="Times New Roman"/>
          <w:b/>
          <w:bCs/>
          <w:color w:val="C00000"/>
        </w:rPr>
      </w:pPr>
      <w:r w:rsidRPr="00731FFC">
        <w:rPr>
          <w:rFonts w:ascii="Times New Roman" w:hAnsi="Times New Roman" w:cs="Times New Roman"/>
          <w:b/>
          <w:bCs/>
          <w:color w:val="000000"/>
        </w:rPr>
        <w:t xml:space="preserve">If a family ports to another PHA using services at the initial and receiving PHA before finally leasing up, does the cap apply individually to each PHA or is it a combined cap? </w:t>
      </w:r>
    </w:p>
    <w:p w14:paraId="357D8C53" w14:textId="77777777" w:rsidR="009B42B7" w:rsidRPr="00731FFC" w:rsidRDefault="009B42B7" w:rsidP="003049D0">
      <w:pPr>
        <w:pStyle w:val="xmsolistparagraph"/>
        <w:rPr>
          <w:rFonts w:ascii="Times New Roman" w:hAnsi="Times New Roman" w:cs="Times New Roman"/>
          <w:color w:val="000000"/>
        </w:rPr>
      </w:pPr>
    </w:p>
    <w:p w14:paraId="2C7D113D" w14:textId="6DAA43F1" w:rsidR="009B42B7" w:rsidRPr="00731FFC" w:rsidRDefault="2327601F" w:rsidP="009B42B7">
      <w:pPr>
        <w:pStyle w:val="xmsolistparagraph"/>
        <w:ind w:left="720"/>
        <w:rPr>
          <w:rFonts w:ascii="Times New Roman" w:hAnsi="Times New Roman" w:cs="Times New Roman"/>
        </w:rPr>
      </w:pPr>
      <w:r w:rsidRPr="00731FFC">
        <w:rPr>
          <w:rFonts w:ascii="Times New Roman" w:hAnsi="Times New Roman" w:cs="Times New Roman"/>
        </w:rPr>
        <w:t>The $1,750 is an individual cap for the in</w:t>
      </w:r>
      <w:r w:rsidR="1E7B9B18" w:rsidRPr="00731FFC">
        <w:rPr>
          <w:rFonts w:ascii="Times New Roman" w:hAnsi="Times New Roman" w:cs="Times New Roman"/>
        </w:rPr>
        <w:t>i</w:t>
      </w:r>
      <w:r w:rsidRPr="00731FFC">
        <w:rPr>
          <w:rFonts w:ascii="Times New Roman" w:hAnsi="Times New Roman" w:cs="Times New Roman"/>
        </w:rPr>
        <w:t xml:space="preserve">tial PHA. </w:t>
      </w:r>
      <w:r w:rsidR="009B42B7" w:rsidRPr="00731FFC">
        <w:rPr>
          <w:rFonts w:ascii="Times New Roman" w:hAnsi="Times New Roman" w:cs="Times New Roman"/>
        </w:rPr>
        <w:t xml:space="preserve">Per </w:t>
      </w:r>
      <w:hyperlink r:id="rId113">
        <w:r w:rsidR="009B42B7" w:rsidRPr="00731FFC">
          <w:rPr>
            <w:rStyle w:val="Hyperlink"/>
            <w:rFonts w:ascii="Times New Roman" w:eastAsia="Times New Roman" w:hAnsi="Times New Roman" w:cs="Times New Roman"/>
          </w:rPr>
          <w:t>PIH Notice 2021-15</w:t>
        </w:r>
      </w:hyperlink>
      <w:r w:rsidR="009B42B7" w:rsidRPr="00731FFC">
        <w:rPr>
          <w:rFonts w:ascii="Times New Roman" w:hAnsi="Times New Roman" w:cs="Times New Roman"/>
        </w:rPr>
        <w:t xml:space="preserve">, Section 9.o.iv.B “if the receiving PHA, </w:t>
      </w:r>
      <w:r w:rsidR="009B42B7" w:rsidRPr="00731FFC">
        <w:rPr>
          <w:rFonts w:ascii="Times New Roman" w:hAnsi="Times New Roman" w:cs="Times New Roman"/>
          <w:u w:val="single"/>
        </w:rPr>
        <w:t>in</w:t>
      </w:r>
      <w:r w:rsidR="009B42B7" w:rsidRPr="00731FFC">
        <w:rPr>
          <w:rFonts w:ascii="Times New Roman" w:hAnsi="Times New Roman" w:cs="Times New Roman"/>
        </w:rPr>
        <w:t xml:space="preserve"> </w:t>
      </w:r>
      <w:r w:rsidR="009B42B7" w:rsidRPr="00731FFC">
        <w:rPr>
          <w:rFonts w:ascii="Times New Roman" w:hAnsi="Times New Roman" w:cs="Times New Roman"/>
          <w:u w:val="single"/>
        </w:rPr>
        <w:t>consultation and coordination</w:t>
      </w:r>
      <w:r w:rsidR="009B42B7" w:rsidRPr="00731FFC">
        <w:rPr>
          <w:rFonts w:ascii="Times New Roman" w:hAnsi="Times New Roman" w:cs="Times New Roman"/>
        </w:rPr>
        <w:t xml:space="preserve"> with the initial PHA, will provide eligible </w:t>
      </w:r>
      <w:r w:rsidR="009B42B7" w:rsidRPr="00731FFC">
        <w:rPr>
          <w:rFonts w:ascii="Times New Roman" w:hAnsi="Times New Roman" w:cs="Times New Roman"/>
        </w:rPr>
        <w:lastRenderedPageBreak/>
        <w:t xml:space="preserve">services or assistance to the incoming EHV family, the receiving PHA may be compensated for those costs by the initial PHA.”  The amount of the service fee provided by the initial PHA may not exceed the lesser of the actual cost of services and assistance provided to the family by the receiving PHA or $1750, unless the initial PHA and receiving PHA mutually agree to change the $1750 cap.  </w:t>
      </w:r>
      <w:r w:rsidR="00FE32A5" w:rsidRPr="00731FFC">
        <w:rPr>
          <w:rFonts w:ascii="Times New Roman" w:hAnsi="Times New Roman" w:cs="Times New Roman"/>
        </w:rPr>
        <w:t xml:space="preserve">The receiving PHA may additionally elect to negotiate </w:t>
      </w:r>
      <w:r w:rsidR="009B42B7" w:rsidRPr="00731FFC">
        <w:rPr>
          <w:rFonts w:ascii="Times New Roman" w:hAnsi="Times New Roman" w:cs="Times New Roman"/>
        </w:rPr>
        <w:t xml:space="preserve">  </w:t>
      </w:r>
      <w:r w:rsidR="00FE32A5" w:rsidRPr="00731FFC">
        <w:rPr>
          <w:rFonts w:ascii="Times New Roman" w:hAnsi="Times New Roman" w:cs="Times New Roman"/>
          <w:color w:val="000000" w:themeColor="text1"/>
        </w:rPr>
        <w:t>a service fee</w:t>
      </w:r>
      <w:r w:rsidR="009B42B7" w:rsidRPr="00731FFC">
        <w:rPr>
          <w:rFonts w:ascii="Times New Roman" w:hAnsi="Times New Roman" w:cs="Times New Roman"/>
          <w:color w:val="000000" w:themeColor="text1"/>
        </w:rPr>
        <w:t xml:space="preserve"> between the initial and receiving PHA.</w:t>
      </w:r>
    </w:p>
    <w:p w14:paraId="550B16C5" w14:textId="77777777" w:rsidR="009B42B7" w:rsidRPr="00731FFC" w:rsidRDefault="009B42B7" w:rsidP="009B42B7">
      <w:pPr>
        <w:rPr>
          <w:rFonts w:ascii="Times New Roman" w:hAnsi="Times New Roman" w:cs="Times New Roman"/>
        </w:rPr>
      </w:pPr>
    </w:p>
    <w:p w14:paraId="25755397" w14:textId="4BC7CA65" w:rsidR="009B42B7" w:rsidRPr="00731FFC" w:rsidRDefault="009B42B7" w:rsidP="00CB7838">
      <w:pPr>
        <w:pStyle w:val="xmsolistparagraph"/>
        <w:numPr>
          <w:ilvl w:val="0"/>
          <w:numId w:val="30"/>
        </w:numPr>
        <w:rPr>
          <w:rFonts w:ascii="Times New Roman" w:hAnsi="Times New Roman" w:cs="Times New Roman"/>
          <w:b/>
          <w:bCs/>
          <w:color w:val="C00000"/>
        </w:rPr>
      </w:pPr>
      <w:r w:rsidRPr="00731FFC">
        <w:rPr>
          <w:rFonts w:ascii="Times New Roman" w:hAnsi="Times New Roman" w:cs="Times New Roman"/>
          <w:b/>
          <w:bCs/>
          <w:color w:val="000000"/>
        </w:rPr>
        <w:t xml:space="preserve">How should receiving PHAs bill the initial PHA for services? </w:t>
      </w:r>
    </w:p>
    <w:p w14:paraId="2114A166" w14:textId="77777777" w:rsidR="009B42B7" w:rsidRPr="00731FFC" w:rsidRDefault="009B42B7" w:rsidP="009B42B7">
      <w:pPr>
        <w:pStyle w:val="xmsolistparagraph"/>
        <w:rPr>
          <w:rFonts w:ascii="Times New Roman" w:hAnsi="Times New Roman" w:cs="Times New Roman"/>
          <w:color w:val="000000"/>
        </w:rPr>
      </w:pPr>
    </w:p>
    <w:p w14:paraId="2F807BDB" w14:textId="77777777" w:rsidR="009B42B7" w:rsidRPr="00731FFC" w:rsidRDefault="009B42B7" w:rsidP="009B42B7">
      <w:pPr>
        <w:pStyle w:val="BodyText"/>
        <w:rPr>
          <w:rFonts w:ascii="Times New Roman" w:eastAsiaTheme="minorHAnsi" w:hAnsi="Times New Roman"/>
          <w:b w:val="0"/>
          <w:sz w:val="22"/>
          <w:szCs w:val="22"/>
        </w:rPr>
      </w:pPr>
      <w:r w:rsidRPr="00731FFC">
        <w:rPr>
          <w:rFonts w:ascii="Times New Roman" w:eastAsiaTheme="minorHAnsi" w:hAnsi="Times New Roman"/>
          <w:b w:val="0"/>
          <w:sz w:val="22"/>
          <w:szCs w:val="22"/>
        </w:rPr>
        <w:tab/>
        <w:t xml:space="preserve">The Receiving PHA may utilize </w:t>
      </w:r>
      <w:hyperlink r:id="rId114" w:history="1">
        <w:r w:rsidRPr="00731FFC">
          <w:rPr>
            <w:rFonts w:ascii="Times New Roman" w:eastAsiaTheme="minorHAnsi" w:hAnsi="Times New Roman"/>
            <w:b w:val="0"/>
            <w:sz w:val="22"/>
            <w:szCs w:val="22"/>
          </w:rPr>
          <w:t>Form HUD-52665</w:t>
        </w:r>
      </w:hyperlink>
      <w:r w:rsidRPr="00731FFC">
        <w:rPr>
          <w:rFonts w:ascii="Times New Roman" w:eastAsiaTheme="minorHAnsi" w:hAnsi="Times New Roman"/>
          <w:b w:val="0"/>
          <w:sz w:val="22"/>
          <w:szCs w:val="22"/>
        </w:rPr>
        <w:t xml:space="preserve"> to bill the initial PHA for </w:t>
      </w:r>
    </w:p>
    <w:p w14:paraId="6F1C4411" w14:textId="77777777" w:rsidR="009B42B7" w:rsidRPr="00731FFC" w:rsidRDefault="009B42B7" w:rsidP="009B42B7">
      <w:pPr>
        <w:pStyle w:val="BodyText"/>
        <w:ind w:left="720"/>
        <w:rPr>
          <w:rFonts w:ascii="Times New Roman" w:eastAsiaTheme="minorHAnsi" w:hAnsi="Times New Roman"/>
          <w:b w:val="0"/>
          <w:sz w:val="22"/>
          <w:szCs w:val="22"/>
        </w:rPr>
      </w:pPr>
      <w:r w:rsidRPr="00731FFC">
        <w:rPr>
          <w:rFonts w:ascii="Times New Roman" w:eastAsiaTheme="minorHAnsi" w:hAnsi="Times New Roman"/>
          <w:b w:val="0"/>
          <w:sz w:val="22"/>
          <w:szCs w:val="22"/>
        </w:rPr>
        <w:t xml:space="preserve"> services. Form HUD-52665 allows PHAs to document service fees as “Other,” under</w:t>
      </w:r>
    </w:p>
    <w:p w14:paraId="2A6C3344" w14:textId="77777777" w:rsidR="009B42B7" w:rsidRPr="00731FFC" w:rsidRDefault="009B42B7" w:rsidP="009B42B7">
      <w:pPr>
        <w:pStyle w:val="BodyText"/>
        <w:ind w:left="720"/>
        <w:rPr>
          <w:rFonts w:ascii="Times New Roman" w:eastAsiaTheme="minorHAnsi" w:hAnsi="Times New Roman"/>
          <w:b w:val="0"/>
          <w:sz w:val="22"/>
          <w:szCs w:val="22"/>
        </w:rPr>
      </w:pPr>
      <w:r w:rsidRPr="00731FFC">
        <w:rPr>
          <w:rFonts w:ascii="Times New Roman" w:eastAsiaTheme="minorHAnsi" w:hAnsi="Times New Roman"/>
          <w:b w:val="0"/>
          <w:sz w:val="22"/>
          <w:szCs w:val="22"/>
        </w:rPr>
        <w:t xml:space="preserve"> “Additional Amounts Due”, along with a comment field to describe specific services </w:t>
      </w:r>
    </w:p>
    <w:p w14:paraId="13F7918C" w14:textId="0A83EE84" w:rsidR="009B42B7" w:rsidRPr="00731FFC" w:rsidRDefault="009B42B7" w:rsidP="009B42B7">
      <w:pPr>
        <w:pStyle w:val="BodyText"/>
        <w:ind w:left="720"/>
        <w:rPr>
          <w:rFonts w:ascii="Times New Roman" w:eastAsiaTheme="minorHAnsi" w:hAnsi="Times New Roman"/>
          <w:b w:val="0"/>
          <w:sz w:val="22"/>
          <w:szCs w:val="22"/>
        </w:rPr>
      </w:pPr>
      <w:r w:rsidRPr="00731FFC">
        <w:rPr>
          <w:rFonts w:ascii="Times New Roman" w:eastAsiaTheme="minorHAnsi" w:hAnsi="Times New Roman"/>
          <w:b w:val="0"/>
          <w:sz w:val="22"/>
          <w:szCs w:val="22"/>
        </w:rPr>
        <w:t xml:space="preserve"> (see </w:t>
      </w:r>
      <w:proofErr w:type="spellStart"/>
      <w:r w:rsidRPr="00731FFC">
        <w:rPr>
          <w:rFonts w:ascii="Times New Roman" w:eastAsiaTheme="minorHAnsi" w:hAnsi="Times New Roman"/>
          <w:b w:val="0"/>
          <w:sz w:val="22"/>
          <w:szCs w:val="22"/>
        </w:rPr>
        <w:t>screenprint</w:t>
      </w:r>
      <w:proofErr w:type="spellEnd"/>
      <w:r w:rsidRPr="00731FFC">
        <w:rPr>
          <w:rFonts w:ascii="Times New Roman" w:eastAsiaTheme="minorHAnsi" w:hAnsi="Times New Roman"/>
          <w:b w:val="0"/>
          <w:sz w:val="22"/>
          <w:szCs w:val="22"/>
        </w:rPr>
        <w:t xml:space="preserve"> below).</w:t>
      </w:r>
    </w:p>
    <w:p w14:paraId="026206F0" w14:textId="77777777" w:rsidR="003049D0" w:rsidRPr="00125A6B" w:rsidRDefault="003049D0" w:rsidP="009B42B7">
      <w:pPr>
        <w:pStyle w:val="BodyText"/>
        <w:ind w:left="720"/>
        <w:rPr>
          <w:rFonts w:ascii="Times New Roman" w:eastAsiaTheme="minorHAnsi" w:hAnsi="Times New Roman"/>
          <w:b w:val="0"/>
          <w:szCs w:val="24"/>
        </w:rPr>
      </w:pPr>
    </w:p>
    <w:p w14:paraId="1D48AB51" w14:textId="1D4A6CCC" w:rsidR="009B42B7" w:rsidRPr="00125A6B" w:rsidRDefault="003049D0" w:rsidP="006B48E9">
      <w:pPr>
        <w:pStyle w:val="xmsolistparagraph"/>
        <w:ind w:left="1080" w:hanging="360"/>
        <w:jc w:val="center"/>
        <w:rPr>
          <w:rFonts w:ascii="Times New Roman" w:hAnsi="Times New Roman" w:cs="Times New Roman"/>
          <w:sz w:val="24"/>
          <w:szCs w:val="24"/>
        </w:rPr>
      </w:pPr>
      <w:r w:rsidRPr="00125A6B">
        <w:rPr>
          <w:rFonts w:ascii="Times New Roman" w:hAnsi="Times New Roman" w:cs="Times New Roman"/>
          <w:noProof/>
          <w:sz w:val="24"/>
          <w:szCs w:val="24"/>
        </w:rPr>
        <w:drawing>
          <wp:inline distT="0" distB="0" distL="0" distR="0" wp14:anchorId="5057A82F" wp14:editId="4DDBF647">
            <wp:extent cx="3155950" cy="2447548"/>
            <wp:effectExtent l="0" t="0" r="635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5"/>
                    <a:stretch>
                      <a:fillRect/>
                    </a:stretch>
                  </pic:blipFill>
                  <pic:spPr>
                    <a:xfrm>
                      <a:off x="0" y="0"/>
                      <a:ext cx="3184918" cy="2470014"/>
                    </a:xfrm>
                    <a:prstGeom prst="rect">
                      <a:avLst/>
                    </a:prstGeom>
                  </pic:spPr>
                </pic:pic>
              </a:graphicData>
            </a:graphic>
          </wp:inline>
        </w:drawing>
      </w:r>
    </w:p>
    <w:p w14:paraId="1E9F1302" w14:textId="77777777" w:rsidR="009B42B7" w:rsidRPr="00125A6B" w:rsidRDefault="009B42B7" w:rsidP="009B42B7"/>
    <w:p w14:paraId="65C2146B" w14:textId="3727BFDB" w:rsidR="003B45B0" w:rsidRPr="00125A6B" w:rsidRDefault="003B45B0" w:rsidP="00CB7838">
      <w:pPr>
        <w:pStyle w:val="ListParagraph"/>
        <w:numPr>
          <w:ilvl w:val="0"/>
          <w:numId w:val="30"/>
        </w:numPr>
        <w:spacing w:after="0" w:line="240" w:lineRule="auto"/>
        <w:rPr>
          <w:rFonts w:ascii="Times New Roman" w:hAnsi="Times New Roman" w:cs="Times New Roman"/>
          <w:b/>
          <w:bCs/>
        </w:rPr>
      </w:pPr>
      <w:r w:rsidRPr="00125A6B">
        <w:rPr>
          <w:rFonts w:ascii="Times New Roman" w:hAnsi="Times New Roman" w:cs="Times New Roman"/>
          <w:b/>
          <w:bCs/>
        </w:rPr>
        <w:t xml:space="preserve">If an EHV is ported in and the PHA has an EHV available, does the PHA have to absorb the family? </w:t>
      </w:r>
    </w:p>
    <w:p w14:paraId="61962E34" w14:textId="77777777" w:rsidR="003B45B0" w:rsidRPr="00125A6B" w:rsidRDefault="003B45B0" w:rsidP="003B45B0">
      <w:pPr>
        <w:spacing w:after="0" w:line="240" w:lineRule="auto"/>
        <w:rPr>
          <w:rFonts w:ascii="Times New Roman" w:hAnsi="Times New Roman" w:cs="Times New Roman"/>
          <w:b/>
          <w:bCs/>
        </w:rPr>
      </w:pPr>
    </w:p>
    <w:p w14:paraId="597758DB" w14:textId="03512AB0" w:rsidR="003B45B0" w:rsidRPr="00125A6B" w:rsidRDefault="003B45B0" w:rsidP="003B45B0">
      <w:pPr>
        <w:spacing w:after="0" w:line="240" w:lineRule="auto"/>
        <w:ind w:firstLine="720"/>
        <w:rPr>
          <w:rFonts w:ascii="Times New Roman" w:hAnsi="Times New Roman" w:cs="Times New Roman"/>
        </w:rPr>
      </w:pPr>
      <w:r w:rsidRPr="00125A6B">
        <w:rPr>
          <w:rFonts w:ascii="Times New Roman" w:hAnsi="Times New Roman" w:cs="Times New Roman"/>
        </w:rPr>
        <w:t xml:space="preserve">No. PHAs may absorb the family into its EHV program or bill the initial PHA. </w:t>
      </w:r>
    </w:p>
    <w:p w14:paraId="5BDF4441" w14:textId="1F4A52CD" w:rsidR="003B45B0" w:rsidRPr="00125A6B" w:rsidRDefault="003B45B0" w:rsidP="003B45B0">
      <w:pPr>
        <w:spacing w:after="0" w:line="240" w:lineRule="auto"/>
        <w:ind w:firstLine="720"/>
        <w:rPr>
          <w:rFonts w:ascii="Times New Roman" w:hAnsi="Times New Roman" w:cs="Times New Roman"/>
        </w:rPr>
      </w:pPr>
    </w:p>
    <w:p w14:paraId="0AD1708A" w14:textId="136E3AC8" w:rsidR="003B45B0" w:rsidRPr="00125A6B" w:rsidRDefault="003B45B0" w:rsidP="00CB7838">
      <w:pPr>
        <w:pStyle w:val="ListParagraph"/>
        <w:numPr>
          <w:ilvl w:val="0"/>
          <w:numId w:val="30"/>
        </w:numPr>
        <w:spacing w:after="0" w:line="240" w:lineRule="auto"/>
        <w:rPr>
          <w:rFonts w:ascii="Times New Roman" w:hAnsi="Times New Roman" w:cs="Times New Roman"/>
          <w:b/>
          <w:bCs/>
        </w:rPr>
      </w:pPr>
      <w:r w:rsidRPr="00125A6B">
        <w:rPr>
          <w:rFonts w:ascii="Times New Roman" w:hAnsi="Times New Roman" w:cs="Times New Roman"/>
          <w:b/>
          <w:bCs/>
        </w:rPr>
        <w:t xml:space="preserve">If an EHV family ports to a non-EHV PHA, does the family become a tenant in the regular Housing Choice Voucher program? </w:t>
      </w:r>
      <w:r w:rsidRPr="00125A6B">
        <w:rPr>
          <w:rFonts w:ascii="Times New Roman" w:eastAsia="Calibri" w:hAnsi="Times New Roman" w:cs="Times New Roman"/>
        </w:rPr>
        <w:t xml:space="preserve"> </w:t>
      </w:r>
      <w:r w:rsidRPr="00125A6B">
        <w:rPr>
          <w:rFonts w:ascii="Times New Roman" w:eastAsia="Calibri" w:hAnsi="Times New Roman" w:cs="Times New Roman"/>
          <w:b/>
          <w:bCs/>
        </w:rPr>
        <w:t xml:space="preserve"> </w:t>
      </w:r>
      <w:r w:rsidRPr="00125A6B">
        <w:rPr>
          <w:rFonts w:ascii="Times New Roman" w:eastAsia="Calibri" w:hAnsi="Times New Roman" w:cs="Times New Roman"/>
        </w:rPr>
        <w:t xml:space="preserve"> </w:t>
      </w:r>
    </w:p>
    <w:p w14:paraId="1FD7052D" w14:textId="77777777" w:rsidR="003B45B0" w:rsidRPr="00125A6B" w:rsidRDefault="003B45B0" w:rsidP="003B45B0">
      <w:pPr>
        <w:spacing w:after="0" w:line="240" w:lineRule="auto"/>
        <w:rPr>
          <w:rFonts w:ascii="Times New Roman" w:hAnsi="Times New Roman" w:cs="Times New Roman"/>
          <w:b/>
          <w:bCs/>
        </w:rPr>
      </w:pPr>
      <w:r w:rsidRPr="00125A6B">
        <w:rPr>
          <w:rFonts w:ascii="Times New Roman" w:hAnsi="Times New Roman" w:cs="Times New Roman"/>
          <w:b/>
          <w:bCs/>
        </w:rPr>
        <w:t xml:space="preserve"> </w:t>
      </w:r>
    </w:p>
    <w:p w14:paraId="01573D25" w14:textId="61B2A95E" w:rsidR="003B45B0" w:rsidRPr="00125A6B" w:rsidRDefault="003B45B0" w:rsidP="003B45B0">
      <w:pPr>
        <w:spacing w:after="0" w:line="240" w:lineRule="auto"/>
        <w:ind w:left="720"/>
        <w:rPr>
          <w:rFonts w:ascii="Times New Roman" w:hAnsi="Times New Roman" w:cs="Times New Roman"/>
        </w:rPr>
      </w:pPr>
      <w:r w:rsidRPr="00125A6B">
        <w:rPr>
          <w:rFonts w:ascii="Times New Roman" w:hAnsi="Times New Roman" w:cs="Times New Roman"/>
        </w:rPr>
        <w:t xml:space="preserve">Yes.  The voucher should be administered in accordance with the regular HCV requirements and PHA policies. The initial PHA should inform the family that if they choose to port to a non-EHV PHA jurisdiction, then their voucher will be administered in accordance with the requirements of the regular HCV program, not the EHV program. Per Section 9(o)(iv)(B) of </w:t>
      </w:r>
      <w:hyperlink r:id="rId116" w:history="1">
        <w:r w:rsidRPr="00125A6B">
          <w:rPr>
            <w:rStyle w:val="Hyperlink"/>
            <w:rFonts w:ascii="Times New Roman" w:hAnsi="Times New Roman" w:cs="Times New Roman"/>
          </w:rPr>
          <w:t>PIH Notice 2021-15</w:t>
        </w:r>
      </w:hyperlink>
      <w:r w:rsidRPr="00125A6B">
        <w:rPr>
          <w:rFonts w:ascii="Times New Roman" w:hAnsi="Times New Roman" w:cs="Times New Roman"/>
        </w:rPr>
        <w:t xml:space="preserve">, if porting to a non-EHV PHA occurs at initial lease-up, the receiving PHA can provide supportive services on behalf of the family in consultation and coordination with the initial PHA; however. service fee funding must be provided up-front by the initial PHA for them to do so. </w:t>
      </w:r>
    </w:p>
    <w:p w14:paraId="51F967FD" w14:textId="68173C02" w:rsidR="00CD5A62" w:rsidRPr="00125A6B" w:rsidRDefault="00CD5A62" w:rsidP="003B45B0">
      <w:pPr>
        <w:spacing w:after="0" w:line="240" w:lineRule="auto"/>
        <w:ind w:left="720"/>
        <w:rPr>
          <w:rFonts w:ascii="Times New Roman" w:hAnsi="Times New Roman" w:cs="Times New Roman"/>
        </w:rPr>
      </w:pPr>
    </w:p>
    <w:p w14:paraId="0D7B3846" w14:textId="682F51BB" w:rsidR="00CD5A62" w:rsidRPr="00125A6B" w:rsidRDefault="00CD5A62" w:rsidP="00CB7838">
      <w:pPr>
        <w:pStyle w:val="ListParagraph"/>
        <w:numPr>
          <w:ilvl w:val="0"/>
          <w:numId w:val="30"/>
        </w:numPr>
        <w:spacing w:after="0" w:line="240" w:lineRule="auto"/>
        <w:rPr>
          <w:rFonts w:ascii="Times New Roman" w:eastAsia="Calibri" w:hAnsi="Times New Roman" w:cs="Times New Roman"/>
          <w:b/>
          <w:bCs/>
        </w:rPr>
      </w:pPr>
      <w:r w:rsidRPr="00125A6B">
        <w:rPr>
          <w:rFonts w:ascii="Times New Roman" w:eastAsia="Calibri" w:hAnsi="Times New Roman" w:cs="Times New Roman"/>
          <w:b/>
          <w:bCs/>
        </w:rPr>
        <w:t xml:space="preserve">A family is porting in using an EHV and the EHV is being administered by the receiving PHA, where should the receiving PHA report the voucher?  </w:t>
      </w:r>
    </w:p>
    <w:p w14:paraId="4B2A993D" w14:textId="77777777" w:rsidR="00CD5A62" w:rsidRPr="00125A6B" w:rsidRDefault="00CD5A62" w:rsidP="00CD5A62">
      <w:pPr>
        <w:spacing w:after="0" w:line="240" w:lineRule="auto"/>
        <w:rPr>
          <w:rFonts w:ascii="Times New Roman" w:hAnsi="Times New Roman" w:cs="Times New Roman"/>
        </w:rPr>
      </w:pPr>
    </w:p>
    <w:p w14:paraId="3C45A1C3" w14:textId="77777777" w:rsidR="00CD5A62" w:rsidRPr="00731FFC" w:rsidRDefault="00CD5A62" w:rsidP="00CD5A62">
      <w:pPr>
        <w:pStyle w:val="Default"/>
        <w:ind w:left="720"/>
        <w:rPr>
          <w:rFonts w:ascii="Times New Roman" w:hAnsi="Times New Roman" w:cs="Times New Roman"/>
          <w:color w:val="auto"/>
          <w:sz w:val="22"/>
          <w:szCs w:val="22"/>
        </w:rPr>
      </w:pPr>
      <w:r w:rsidRPr="00731FFC">
        <w:rPr>
          <w:rFonts w:ascii="Times New Roman" w:hAnsi="Times New Roman" w:cs="Times New Roman"/>
          <w:color w:val="auto"/>
          <w:sz w:val="22"/>
          <w:szCs w:val="22"/>
        </w:rPr>
        <w:lastRenderedPageBreak/>
        <w:t xml:space="preserve">If the receiving PHA of an EHV family administers an EHV program, then the receiving PHA will report that activity in 14.EHV of the FDS, regardless of whether the receiving PHA absorbed the family using an EHV or will bill the initial PHA. If the receiving PHA does not absorb the EHV, the HAP payment for that EHV will be reported in FDS line 97350 “HAP Portability-In”. </w:t>
      </w:r>
    </w:p>
    <w:p w14:paraId="565B7F32" w14:textId="77777777" w:rsidR="00CD5A62" w:rsidRPr="00731FFC" w:rsidRDefault="00CD5A62" w:rsidP="00CD5A62">
      <w:pPr>
        <w:pStyle w:val="Default"/>
        <w:ind w:left="720"/>
        <w:rPr>
          <w:rFonts w:ascii="Times New Roman" w:hAnsi="Times New Roman" w:cs="Times New Roman"/>
          <w:color w:val="auto"/>
          <w:sz w:val="22"/>
          <w:szCs w:val="22"/>
        </w:rPr>
      </w:pPr>
    </w:p>
    <w:p w14:paraId="0F2B7456" w14:textId="77777777" w:rsidR="00CD5A62" w:rsidRPr="00731FFC" w:rsidRDefault="00CD5A62" w:rsidP="00CD5A62">
      <w:pPr>
        <w:pStyle w:val="Default"/>
        <w:ind w:left="720"/>
        <w:rPr>
          <w:rFonts w:ascii="Times New Roman" w:hAnsi="Times New Roman" w:cs="Times New Roman"/>
          <w:color w:val="auto"/>
          <w:sz w:val="22"/>
          <w:szCs w:val="22"/>
        </w:rPr>
      </w:pPr>
      <w:r w:rsidRPr="00731FFC">
        <w:rPr>
          <w:rFonts w:ascii="Times New Roman" w:hAnsi="Times New Roman" w:cs="Times New Roman"/>
          <w:color w:val="auto"/>
          <w:sz w:val="22"/>
          <w:szCs w:val="22"/>
        </w:rPr>
        <w:t xml:space="preserve">If the receiving PHA does not administer an EHV program, then the receiving PHA may absorb the EHV family into its HCV program in accordance with 24 CFR§982.355(d). Therefore, all activity surrounding this voucher will be reported in the FDS column 14.871 (HCV program). However, if the receiving PHA that does not administer an EHV program chooses to bill the initial PHA, the receiving PHA must add 14.EHV to their FDS and begin reporting this billing relationship / transactions under 14.EHV, including costs associated with administration of the port-in vouchers. </w:t>
      </w:r>
    </w:p>
    <w:p w14:paraId="111AD28C" w14:textId="77777777" w:rsidR="00CD5A62" w:rsidRPr="00731FFC" w:rsidRDefault="00CD5A62" w:rsidP="00CD5A62">
      <w:pPr>
        <w:spacing w:after="0" w:line="240" w:lineRule="auto"/>
        <w:ind w:left="720"/>
        <w:rPr>
          <w:rFonts w:ascii="Times New Roman" w:hAnsi="Times New Roman" w:cs="Times New Roman"/>
        </w:rPr>
      </w:pPr>
    </w:p>
    <w:p w14:paraId="4D0C0D64" w14:textId="49415A30" w:rsidR="00CD5A62" w:rsidRPr="00125A6B" w:rsidRDefault="00CD5A62" w:rsidP="00CD5A62">
      <w:pPr>
        <w:spacing w:after="0" w:line="240" w:lineRule="auto"/>
        <w:ind w:left="720"/>
        <w:rPr>
          <w:rFonts w:ascii="Times New Roman" w:hAnsi="Times New Roman" w:cs="Times New Roman"/>
          <w:color w:val="000000"/>
          <w:sz w:val="23"/>
          <w:szCs w:val="23"/>
        </w:rPr>
      </w:pPr>
      <w:r w:rsidRPr="00731FFC">
        <w:rPr>
          <w:rFonts w:ascii="Times New Roman" w:hAnsi="Times New Roman" w:cs="Times New Roman"/>
        </w:rPr>
        <w:t>HUD has provided detailed journal entries and reporting guidance for portability</w:t>
      </w:r>
      <w:r w:rsidRPr="00731FFC">
        <w:rPr>
          <w:rFonts w:ascii="Times New Roman" w:hAnsi="Times New Roman" w:cs="Times New Roman"/>
          <w:color w:val="000000"/>
        </w:rPr>
        <w:t xml:space="preserve"> transactions in the “Accounting Procedures for Recording Portability Transactions for the Housing Choice Voucher (HCV) Program Accounting Brief #18” at</w:t>
      </w:r>
      <w:r w:rsidRPr="00125A6B">
        <w:rPr>
          <w:rFonts w:ascii="Times New Roman" w:hAnsi="Times New Roman" w:cs="Times New Roman"/>
          <w:color w:val="000000"/>
          <w:sz w:val="23"/>
          <w:szCs w:val="23"/>
        </w:rPr>
        <w:t xml:space="preserve"> </w:t>
      </w:r>
      <w:hyperlink r:id="rId117" w:history="1">
        <w:r w:rsidRPr="0095560E">
          <w:rPr>
            <w:rStyle w:val="Hyperlink"/>
            <w:rFonts w:ascii="Times New Roman" w:hAnsi="Times New Roman" w:cs="Times New Roman"/>
          </w:rPr>
          <w:t>https://www.hud.gov/sites/documents/ACCTBRIEF18PORT.PDF</w:t>
        </w:r>
      </w:hyperlink>
      <w:r w:rsidRPr="00125A6B">
        <w:rPr>
          <w:rFonts w:ascii="Times New Roman" w:hAnsi="Times New Roman" w:cs="Times New Roman"/>
          <w:color w:val="000000"/>
          <w:sz w:val="23"/>
          <w:szCs w:val="23"/>
        </w:rPr>
        <w:t xml:space="preserve"> </w:t>
      </w:r>
    </w:p>
    <w:p w14:paraId="6B2DB2EF" w14:textId="53367050" w:rsidR="00F24426" w:rsidRPr="00125A6B" w:rsidRDefault="00F24426" w:rsidP="00CD5A62">
      <w:pPr>
        <w:spacing w:after="0" w:line="240" w:lineRule="auto"/>
        <w:ind w:left="720"/>
        <w:rPr>
          <w:rFonts w:ascii="Times New Roman" w:hAnsi="Times New Roman" w:cs="Times New Roman"/>
          <w:color w:val="000000"/>
          <w:sz w:val="23"/>
          <w:szCs w:val="23"/>
        </w:rPr>
      </w:pPr>
    </w:p>
    <w:p w14:paraId="38532A02" w14:textId="7A1A1D5D" w:rsidR="00F24426" w:rsidRPr="00125A6B" w:rsidRDefault="00F24426" w:rsidP="00CB7838">
      <w:pPr>
        <w:pStyle w:val="ListParagraph"/>
        <w:numPr>
          <w:ilvl w:val="0"/>
          <w:numId w:val="30"/>
        </w:numPr>
        <w:spacing w:after="0" w:line="240" w:lineRule="auto"/>
        <w:rPr>
          <w:rFonts w:ascii="Times New Roman" w:hAnsi="Times New Roman" w:cs="Times New Roman"/>
          <w:b/>
          <w:bCs/>
        </w:rPr>
      </w:pPr>
      <w:r w:rsidRPr="00125A6B">
        <w:rPr>
          <w:rFonts w:ascii="Times New Roman" w:hAnsi="Times New Roman" w:cs="Times New Roman"/>
          <w:b/>
          <w:bCs/>
        </w:rPr>
        <w:t xml:space="preserve">Can a receiving PHA that is a non-EHV PHA that absorbs the family in the regular HCV perform a criminal background check based on their HCV policy and deny based on their criteria?  </w:t>
      </w:r>
    </w:p>
    <w:p w14:paraId="697F4DBD" w14:textId="77777777" w:rsidR="00F24426" w:rsidRPr="00125A6B" w:rsidRDefault="00F24426" w:rsidP="00F24426">
      <w:pPr>
        <w:spacing w:after="0" w:line="240" w:lineRule="auto"/>
        <w:rPr>
          <w:rFonts w:ascii="Times New Roman" w:hAnsi="Times New Roman" w:cs="Times New Roman"/>
          <w:b/>
          <w:bCs/>
        </w:rPr>
      </w:pPr>
    </w:p>
    <w:p w14:paraId="5E661688" w14:textId="061A0338" w:rsidR="00CD5A62" w:rsidRPr="00125A6B" w:rsidRDefault="00F24426" w:rsidP="00F24426">
      <w:pPr>
        <w:spacing w:after="0" w:line="240" w:lineRule="auto"/>
        <w:ind w:left="720"/>
        <w:rPr>
          <w:rFonts w:ascii="Times New Roman" w:hAnsi="Times New Roman" w:cs="Times New Roman"/>
        </w:rPr>
      </w:pPr>
      <w:r w:rsidRPr="00125A6B">
        <w:rPr>
          <w:rFonts w:ascii="Times New Roman" w:hAnsi="Times New Roman" w:cs="Times New Roman"/>
        </w:rPr>
        <w:t xml:space="preserve">Yes. Because EHV waivers and alternative requirements are not imposed on the receiving non-EHV PHA, the receiving PHA that absorbs the family in their HCV program may apply its HCV screening criteria.  Per Section 9(o)(iii) </w:t>
      </w:r>
      <w:hyperlink r:id="rId118" w:history="1">
        <w:r w:rsidRPr="00125A6B">
          <w:rPr>
            <w:rStyle w:val="Hyperlink"/>
            <w:rFonts w:ascii="Times New Roman" w:hAnsi="Times New Roman" w:cs="Times New Roman"/>
          </w:rPr>
          <w:t>PIH Notice 2021-15</w:t>
        </w:r>
      </w:hyperlink>
      <w:r w:rsidRPr="00125A6B">
        <w:rPr>
          <w:rFonts w:ascii="Times New Roman" w:hAnsi="Times New Roman" w:cs="Times New Roman"/>
        </w:rPr>
        <w:t>, the initial PHAs should advise families how portability works and how relocation outside of the PHAs jurisdiction may affect the family’s assistance and impact the special EHV services and assistance that may be available to the family.</w:t>
      </w:r>
    </w:p>
    <w:p w14:paraId="2EFA2DB2" w14:textId="4EB7E1E6" w:rsidR="00145A08" w:rsidRPr="00125A6B" w:rsidRDefault="00145A08" w:rsidP="00F24426">
      <w:pPr>
        <w:spacing w:after="0" w:line="240" w:lineRule="auto"/>
        <w:ind w:left="720"/>
        <w:rPr>
          <w:rFonts w:ascii="Times New Roman" w:hAnsi="Times New Roman" w:cs="Times New Roman"/>
        </w:rPr>
      </w:pPr>
    </w:p>
    <w:p w14:paraId="734182A8" w14:textId="6F8EC614" w:rsidR="00145A08" w:rsidRPr="00125A6B" w:rsidRDefault="00145A08" w:rsidP="00CB7838">
      <w:pPr>
        <w:pStyle w:val="ListParagraph"/>
        <w:numPr>
          <w:ilvl w:val="0"/>
          <w:numId w:val="30"/>
        </w:numPr>
        <w:spacing w:after="0" w:line="240" w:lineRule="auto"/>
        <w:rPr>
          <w:rFonts w:ascii="Times New Roman" w:hAnsi="Times New Roman" w:cs="Times New Roman"/>
          <w:b/>
          <w:bCs/>
        </w:rPr>
      </w:pPr>
      <w:r w:rsidRPr="00125A6B">
        <w:rPr>
          <w:rFonts w:ascii="Times New Roman" w:hAnsi="Times New Roman" w:cs="Times New Roman"/>
          <w:b/>
          <w:bCs/>
        </w:rPr>
        <w:t xml:space="preserve">When a PHA issues an EHV, and the family ports out, and the voucher is administered by the receiving PHA, is the voucher for the initial PHA counted on the EHV “Leasing” line item or the “Portable Vouchers Paid” line item? </w:t>
      </w:r>
    </w:p>
    <w:p w14:paraId="333E67AF" w14:textId="77777777" w:rsidR="00145A08" w:rsidRPr="00125A6B" w:rsidRDefault="00145A08" w:rsidP="00145A08">
      <w:pPr>
        <w:spacing w:after="0" w:line="240" w:lineRule="auto"/>
        <w:rPr>
          <w:rFonts w:ascii="Times New Roman" w:hAnsi="Times New Roman" w:cs="Times New Roman"/>
          <w:b/>
          <w:bCs/>
        </w:rPr>
      </w:pPr>
    </w:p>
    <w:p w14:paraId="7F622565" w14:textId="17A94668" w:rsidR="00145A08" w:rsidRPr="00125A6B" w:rsidRDefault="00145A08" w:rsidP="00145A08">
      <w:pPr>
        <w:spacing w:after="0" w:line="240" w:lineRule="auto"/>
        <w:ind w:left="720"/>
        <w:rPr>
          <w:rFonts w:ascii="Times New Roman" w:hAnsi="Times New Roman" w:cs="Times New Roman"/>
        </w:rPr>
      </w:pPr>
      <w:r w:rsidRPr="00125A6B">
        <w:rPr>
          <w:rFonts w:ascii="Times New Roman" w:hAnsi="Times New Roman" w:cs="Times New Roman"/>
        </w:rPr>
        <w:t xml:space="preserve">The initial PHA should report the costs and leasing in the EHV leasing field to ensure that associated costs and fees for future funding calculations are associated to the initial PHA.  Data entry in the EHV field will additionally ensure that the initial PHA’s EHV HAP expenses are accurately captured for reconciliation purposes.  </w:t>
      </w:r>
    </w:p>
    <w:p w14:paraId="53FEC258" w14:textId="6F729D81" w:rsidR="00145A08" w:rsidRPr="00125A6B" w:rsidRDefault="00145A08" w:rsidP="00145A08">
      <w:pPr>
        <w:spacing w:after="0" w:line="240" w:lineRule="auto"/>
        <w:ind w:left="720"/>
        <w:rPr>
          <w:rFonts w:ascii="Times New Roman" w:hAnsi="Times New Roman" w:cs="Times New Roman"/>
        </w:rPr>
      </w:pPr>
    </w:p>
    <w:p w14:paraId="04D6BDFA" w14:textId="5D5ACB83" w:rsidR="00145A08" w:rsidRPr="00125A6B" w:rsidRDefault="00145A08" w:rsidP="00CB7838">
      <w:pPr>
        <w:pStyle w:val="ListParagraph"/>
        <w:numPr>
          <w:ilvl w:val="0"/>
          <w:numId w:val="30"/>
        </w:numPr>
        <w:spacing w:after="0" w:line="240" w:lineRule="auto"/>
        <w:rPr>
          <w:rFonts w:ascii="Times New Roman" w:hAnsi="Times New Roman" w:cs="Times New Roman"/>
          <w:b/>
        </w:rPr>
      </w:pPr>
      <w:r w:rsidRPr="00125A6B">
        <w:rPr>
          <w:rFonts w:ascii="Times New Roman" w:hAnsi="Times New Roman" w:cs="Times New Roman"/>
          <w:b/>
        </w:rPr>
        <w:t xml:space="preserve">If a family is porting in with an EHV, and the voucher is being absorbed, does the receiving PHA that has an EHV allocation report the voucher under EHV? </w:t>
      </w:r>
    </w:p>
    <w:p w14:paraId="3D42DC10" w14:textId="77777777" w:rsidR="00145A08" w:rsidRPr="00125A6B" w:rsidRDefault="00145A08" w:rsidP="00145A08">
      <w:pPr>
        <w:spacing w:after="0" w:line="240" w:lineRule="auto"/>
        <w:rPr>
          <w:rFonts w:ascii="Times New Roman" w:hAnsi="Times New Roman" w:cs="Times New Roman"/>
        </w:rPr>
      </w:pPr>
    </w:p>
    <w:p w14:paraId="49012D26" w14:textId="77777777" w:rsidR="00145A08" w:rsidRPr="00125A6B" w:rsidRDefault="00145A08" w:rsidP="00145A08">
      <w:pPr>
        <w:spacing w:after="0" w:line="240" w:lineRule="auto"/>
        <w:ind w:firstLine="720"/>
        <w:rPr>
          <w:rFonts w:ascii="Times New Roman" w:hAnsi="Times New Roman" w:cs="Times New Roman"/>
        </w:rPr>
      </w:pPr>
      <w:r w:rsidRPr="00125A6B">
        <w:rPr>
          <w:rFonts w:ascii="Times New Roman" w:hAnsi="Times New Roman" w:cs="Times New Roman"/>
        </w:rPr>
        <w:t xml:space="preserve">Yes. </w:t>
      </w:r>
    </w:p>
    <w:p w14:paraId="5298ACD6" w14:textId="77777777" w:rsidR="003B45B0" w:rsidRPr="00125A6B" w:rsidRDefault="003B45B0" w:rsidP="003B45B0">
      <w:pPr>
        <w:spacing w:after="0" w:line="240" w:lineRule="auto"/>
        <w:rPr>
          <w:rFonts w:ascii="Times New Roman" w:hAnsi="Times New Roman" w:cs="Times New Roman"/>
        </w:rPr>
      </w:pPr>
    </w:p>
    <w:p w14:paraId="4506A1B9" w14:textId="731AEC98" w:rsidR="00EE3B42" w:rsidRPr="00125A6B" w:rsidRDefault="00EE3B42" w:rsidP="00CB7838">
      <w:pPr>
        <w:pStyle w:val="ListParagraph"/>
        <w:numPr>
          <w:ilvl w:val="0"/>
          <w:numId w:val="30"/>
        </w:numPr>
        <w:spacing w:line="252" w:lineRule="auto"/>
        <w:rPr>
          <w:rFonts w:ascii="Times New Roman" w:eastAsia="Calibri" w:hAnsi="Times New Roman" w:cs="Times New Roman"/>
          <w:b/>
          <w:bCs/>
          <w:color w:val="C00000"/>
        </w:rPr>
      </w:pPr>
      <w:r w:rsidRPr="00125A6B">
        <w:rPr>
          <w:rFonts w:ascii="Times New Roman" w:eastAsia="Calibri" w:hAnsi="Times New Roman" w:cs="Times New Roman"/>
          <w:b/>
          <w:bCs/>
          <w:color w:val="000000" w:themeColor="text1"/>
        </w:rPr>
        <w:t xml:space="preserve">How are portability fee rates determined? </w:t>
      </w:r>
    </w:p>
    <w:p w14:paraId="126DF5B2" w14:textId="77777777" w:rsidR="00F31BE5" w:rsidRPr="00125A6B" w:rsidRDefault="00F31BE5" w:rsidP="00EE3B42">
      <w:pPr>
        <w:pStyle w:val="ListParagraph"/>
        <w:rPr>
          <w:rFonts w:ascii="Times New Roman" w:eastAsia="Calibri" w:hAnsi="Times New Roman" w:cs="Times New Roman"/>
          <w:color w:val="000000" w:themeColor="text1"/>
        </w:rPr>
      </w:pPr>
    </w:p>
    <w:p w14:paraId="0C0320AE" w14:textId="7653AABB" w:rsidR="00BB7811" w:rsidRPr="00125A6B" w:rsidRDefault="00A21E26" w:rsidP="00BB7811">
      <w:pPr>
        <w:pStyle w:val="ListParagraph"/>
        <w:rPr>
          <w:rFonts w:ascii="Times New Roman" w:eastAsia="Calibri" w:hAnsi="Times New Roman" w:cs="Times New Roman"/>
          <w:color w:val="000000" w:themeColor="text1"/>
        </w:rPr>
      </w:pPr>
      <w:r w:rsidRPr="00125A6B">
        <w:rPr>
          <w:rFonts w:ascii="Times New Roman" w:eastAsia="Calibri" w:hAnsi="Times New Roman" w:cs="Times New Roman"/>
          <w:color w:val="000000" w:themeColor="text1"/>
        </w:rPr>
        <w:t xml:space="preserve">For on-going administrative fees, </w:t>
      </w:r>
      <w:r w:rsidR="00BB7811" w:rsidRPr="00125A6B">
        <w:rPr>
          <w:rFonts w:ascii="Times New Roman" w:eastAsia="Calibri" w:hAnsi="Times New Roman" w:cs="Times New Roman"/>
          <w:color w:val="000000" w:themeColor="text1"/>
        </w:rPr>
        <w:t xml:space="preserve">EHV PHAs receive 100% of the Column A rate. </w:t>
      </w:r>
      <w:r w:rsidRPr="00125A6B">
        <w:rPr>
          <w:rFonts w:ascii="Times New Roman" w:eastAsia="Calibri" w:hAnsi="Times New Roman" w:cs="Times New Roman"/>
          <w:color w:val="000000" w:themeColor="text1"/>
        </w:rPr>
        <w:t>When determining portability fee rates,</w:t>
      </w:r>
      <w:r w:rsidR="00BB7811" w:rsidRPr="00125A6B">
        <w:rPr>
          <w:rFonts w:ascii="Times New Roman" w:eastAsia="Calibri" w:hAnsi="Times New Roman" w:cs="Times New Roman"/>
          <w:color w:val="000000" w:themeColor="text1"/>
        </w:rPr>
        <w:t xml:space="preserve"> PHAs must use the lesser of 80 percent of the initial PHA’s EHV ongoing administrative fee (Column A) or 100 percent of the receiving PHA's ongoing administrative fee (or the receiving PHA’s EHV ongoing administrative fee if the receiving PHA </w:t>
      </w:r>
      <w:r w:rsidR="00BB7811" w:rsidRPr="00125A6B">
        <w:rPr>
          <w:rFonts w:ascii="Times New Roman" w:eastAsia="Calibri" w:hAnsi="Times New Roman" w:cs="Times New Roman"/>
          <w:color w:val="000000" w:themeColor="text1"/>
        </w:rPr>
        <w:lastRenderedPageBreak/>
        <w:t xml:space="preserve">administers the EHV program). Per Section 9(o)(iv)(A) of </w:t>
      </w:r>
      <w:hyperlink r:id="rId119" w:history="1">
        <w:r w:rsidR="00BB7811" w:rsidRPr="00125A6B">
          <w:rPr>
            <w:rFonts w:ascii="Times New Roman" w:eastAsia="Times New Roman" w:hAnsi="Times New Roman" w:cs="Times New Roman"/>
          </w:rPr>
          <w:t>PIH</w:t>
        </w:r>
        <w:r w:rsidR="00BB7811" w:rsidRPr="00125A6B">
          <w:rPr>
            <w:rStyle w:val="Hyperlink"/>
            <w:rFonts w:ascii="Times New Roman" w:eastAsia="Times New Roman" w:hAnsi="Times New Roman" w:cs="Times New Roman"/>
          </w:rPr>
          <w:t xml:space="preserve"> Notice 2021-15</w:t>
        </w:r>
      </w:hyperlink>
      <w:r w:rsidR="00BB7811" w:rsidRPr="00125A6B">
        <w:rPr>
          <w:rFonts w:ascii="Times New Roman" w:eastAsia="Calibri" w:hAnsi="Times New Roman" w:cs="Times New Roman"/>
          <w:color w:val="000000" w:themeColor="text1"/>
        </w:rPr>
        <w:t>, if both PHAs agree, the PHAs may negotiate a different amount of reimbursement.</w:t>
      </w:r>
    </w:p>
    <w:p w14:paraId="6F096C9A" w14:textId="77777777" w:rsidR="00BB7811" w:rsidRPr="00125A6B" w:rsidRDefault="00BB7811" w:rsidP="00BB7811">
      <w:pPr>
        <w:pStyle w:val="ListParagraph"/>
        <w:spacing w:line="251" w:lineRule="auto"/>
        <w:rPr>
          <w:rStyle w:val="Hyperlink"/>
          <w:rFonts w:ascii="Times New Roman" w:eastAsia="Times New Roman" w:hAnsi="Times New Roman" w:cs="Times New Roman"/>
        </w:rPr>
      </w:pPr>
    </w:p>
    <w:p w14:paraId="567AEDEE" w14:textId="77777777" w:rsidR="00EE3B42" w:rsidRPr="00125A6B" w:rsidRDefault="00EE3B42" w:rsidP="00EE3B42">
      <w:pPr>
        <w:pStyle w:val="ListParagraph"/>
        <w:spacing w:after="0" w:line="240" w:lineRule="auto"/>
        <w:rPr>
          <w:rFonts w:ascii="Times New Roman" w:eastAsia="Times New Roman" w:hAnsi="Times New Roman" w:cs="Times New Roman"/>
          <w:b/>
          <w:bCs/>
        </w:rPr>
      </w:pPr>
    </w:p>
    <w:p w14:paraId="73BB6850" w14:textId="186E31D8" w:rsidR="005B6F6A" w:rsidRPr="00125A6B" w:rsidRDefault="440AE88C" w:rsidP="00CB7838">
      <w:pPr>
        <w:pStyle w:val="ListParagraph"/>
        <w:numPr>
          <w:ilvl w:val="0"/>
          <w:numId w:val="30"/>
        </w:numPr>
        <w:spacing w:after="0" w:line="240" w:lineRule="auto"/>
        <w:rPr>
          <w:rFonts w:ascii="Times New Roman" w:eastAsia="Times New Roman" w:hAnsi="Times New Roman" w:cs="Times New Roman"/>
          <w:b/>
          <w:bCs/>
        </w:rPr>
      </w:pPr>
      <w:r w:rsidRPr="00125A6B">
        <w:rPr>
          <w:rFonts w:ascii="Times New Roman" w:eastAsia="Times New Roman" w:hAnsi="Times New Roman" w:cs="Times New Roman"/>
          <w:b/>
          <w:bCs/>
        </w:rPr>
        <w:t>Will individuals and families be able to use vouchers outside the jurisdiction of the PHA that issued the voucher (</w:t>
      </w:r>
      <w:r w:rsidR="00401A9A" w:rsidRPr="00125A6B">
        <w:rPr>
          <w:rFonts w:ascii="Times New Roman" w:eastAsia="Times New Roman" w:hAnsi="Times New Roman" w:cs="Times New Roman"/>
          <w:b/>
          <w:bCs/>
        </w:rPr>
        <w:t xml:space="preserve">i.e. </w:t>
      </w:r>
      <w:r w:rsidRPr="00125A6B">
        <w:rPr>
          <w:rFonts w:ascii="Times New Roman" w:eastAsia="Times New Roman" w:hAnsi="Times New Roman" w:cs="Times New Roman"/>
          <w:b/>
          <w:bCs/>
        </w:rPr>
        <w:t>port the voucher)?  </w:t>
      </w:r>
    </w:p>
    <w:p w14:paraId="779DC377" w14:textId="77777777" w:rsidR="005B6F6A" w:rsidRPr="00125A6B" w:rsidRDefault="005B6F6A" w:rsidP="005B6F6A">
      <w:pPr>
        <w:spacing w:after="0" w:line="240" w:lineRule="auto"/>
        <w:ind w:left="720"/>
        <w:rPr>
          <w:rFonts w:ascii="Times New Roman" w:eastAsia="Times New Roman" w:hAnsi="Times New Roman" w:cs="Times New Roman"/>
        </w:rPr>
      </w:pPr>
    </w:p>
    <w:p w14:paraId="7A60968D" w14:textId="77777777" w:rsidR="005B6F6A" w:rsidRPr="0095560E" w:rsidRDefault="005B6F6A" w:rsidP="005B6F6A">
      <w:pPr>
        <w:spacing w:after="0" w:line="240" w:lineRule="auto"/>
        <w:ind w:left="720"/>
        <w:rPr>
          <w:rFonts w:ascii="Times New Roman" w:eastAsia="Times New Roman" w:hAnsi="Times New Roman" w:cs="Times New Roman"/>
        </w:rPr>
      </w:pPr>
      <w:r w:rsidRPr="0095560E">
        <w:rPr>
          <w:rFonts w:ascii="Times New Roman" w:eastAsia="Times New Roman" w:hAnsi="Times New Roman" w:cs="Times New Roman"/>
        </w:rPr>
        <w:t xml:space="preserve">Yes. EHV follows most of the normal portability rules of the HCV program with a few alternative requirements intended to be more permissive on moves, as outlined in </w:t>
      </w:r>
      <w:hyperlink r:id="rId120" w:history="1">
        <w:r w:rsidRPr="0095560E">
          <w:rPr>
            <w:rFonts w:ascii="Times New Roman" w:eastAsia="Times New Roman" w:hAnsi="Times New Roman" w:cs="Times New Roman"/>
          </w:rPr>
          <w:t>PIH</w:t>
        </w:r>
        <w:r w:rsidRPr="0095560E">
          <w:rPr>
            <w:rStyle w:val="Hyperlink"/>
            <w:rFonts w:ascii="Times New Roman" w:eastAsia="Times New Roman" w:hAnsi="Times New Roman" w:cs="Times New Roman"/>
          </w:rPr>
          <w:t xml:space="preserve"> Notice 2021-15</w:t>
        </w:r>
      </w:hyperlink>
      <w:r w:rsidRPr="0095560E">
        <w:rPr>
          <w:rFonts w:ascii="Times New Roman" w:eastAsia="Times New Roman" w:hAnsi="Times New Roman" w:cs="Times New Roman"/>
        </w:rPr>
        <w:t>, Section 9o. Under HCV program rules, if neither the household head nor spouse of an assisted family already had a ‘domicile’ (legal residence) in the jurisdiction of the PHA at the time the family first submitted an application for participation in the HCV program, the family does not have any right to portability during the 12-month period from when the family is first admitted to the program, as the family is considered a “non-resident applicant” This means that</w:t>
      </w:r>
    </w:p>
    <w:p w14:paraId="667C95D5" w14:textId="77777777" w:rsidR="005B6F6A" w:rsidRPr="0095560E" w:rsidRDefault="005B6F6A" w:rsidP="005B6F6A">
      <w:pPr>
        <w:spacing w:after="0" w:line="240" w:lineRule="auto"/>
        <w:ind w:left="720"/>
        <w:rPr>
          <w:rFonts w:ascii="Times New Roman" w:eastAsia="Times New Roman" w:hAnsi="Times New Roman" w:cs="Times New Roman"/>
        </w:rPr>
      </w:pPr>
      <w:r w:rsidRPr="0095560E">
        <w:rPr>
          <w:rFonts w:ascii="Times New Roman" w:eastAsia="Times New Roman" w:hAnsi="Times New Roman" w:cs="Times New Roman"/>
        </w:rPr>
        <w:t>the PHA has the discretion to restrict portability during this 12-month period in the HCV program. For EHV, the PHA may not restrict an EHV family from exercising portability as a non-resident applicant. Therefore, all EHV families may immediately move under portability.</w:t>
      </w:r>
    </w:p>
    <w:p w14:paraId="548CFAE6" w14:textId="77777777" w:rsidR="005B6F6A" w:rsidRPr="00125A6B" w:rsidRDefault="005B6F6A" w:rsidP="005B6F6A">
      <w:pPr>
        <w:spacing w:after="0" w:line="240" w:lineRule="auto"/>
        <w:ind w:left="720"/>
        <w:rPr>
          <w:rFonts w:ascii="Times New Roman" w:eastAsia="Times New Roman" w:hAnsi="Times New Roman" w:cs="Times New Roman"/>
        </w:rPr>
      </w:pPr>
    </w:p>
    <w:p w14:paraId="3F822052" w14:textId="77777777" w:rsidR="005B6F6A" w:rsidRPr="00125A6B" w:rsidRDefault="440AE88C" w:rsidP="00CB7838">
      <w:pPr>
        <w:pStyle w:val="ListParagraph"/>
        <w:numPr>
          <w:ilvl w:val="0"/>
          <w:numId w:val="30"/>
        </w:numPr>
        <w:spacing w:after="0" w:line="240" w:lineRule="auto"/>
        <w:rPr>
          <w:rFonts w:ascii="Times New Roman" w:eastAsia="Times New Roman" w:hAnsi="Times New Roman" w:cs="Times New Roman"/>
          <w:b/>
          <w:bCs/>
        </w:rPr>
      </w:pPr>
      <w:r w:rsidRPr="00125A6B">
        <w:rPr>
          <w:rFonts w:ascii="Times New Roman" w:eastAsia="Times New Roman" w:hAnsi="Times New Roman" w:cs="Times New Roman"/>
          <w:b/>
          <w:bCs/>
        </w:rPr>
        <w:t>On portability, will a receiving non-EHV PHA have to submit the new EHV-related 50058s?</w:t>
      </w:r>
    </w:p>
    <w:p w14:paraId="7E1ED0AA" w14:textId="77777777" w:rsidR="005B6F6A" w:rsidRPr="00125A6B" w:rsidRDefault="005B6F6A" w:rsidP="005B6F6A">
      <w:pPr>
        <w:spacing w:after="0" w:line="240" w:lineRule="auto"/>
        <w:ind w:left="720"/>
        <w:rPr>
          <w:rFonts w:ascii="Times New Roman" w:eastAsia="Times New Roman" w:hAnsi="Times New Roman" w:cs="Times New Roman"/>
        </w:rPr>
      </w:pPr>
    </w:p>
    <w:p w14:paraId="6DBFB955" w14:textId="69B0A70B" w:rsidR="00107FC3" w:rsidRPr="00125A6B" w:rsidRDefault="005B6F6A" w:rsidP="0131650B">
      <w:pPr>
        <w:spacing w:after="0" w:line="240" w:lineRule="auto"/>
        <w:ind w:left="720"/>
        <w:rPr>
          <w:rFonts w:ascii="Times New Roman" w:eastAsia="Times New Roman" w:hAnsi="Times New Roman" w:cs="Times New Roman"/>
        </w:rPr>
      </w:pPr>
      <w:r w:rsidRPr="00125A6B">
        <w:rPr>
          <w:rFonts w:ascii="Times New Roman" w:eastAsia="Times New Roman" w:hAnsi="Times New Roman" w:cs="Times New Roman"/>
        </w:rPr>
        <w:t>Yes</w:t>
      </w:r>
      <w:r w:rsidR="003370B8" w:rsidRPr="00125A6B">
        <w:rPr>
          <w:rFonts w:ascii="Times New Roman" w:eastAsia="Times New Roman" w:hAnsi="Times New Roman" w:cs="Times New Roman"/>
        </w:rPr>
        <w:t>.</w:t>
      </w:r>
      <w:r w:rsidRPr="00125A6B">
        <w:rPr>
          <w:rFonts w:ascii="Times New Roman" w:eastAsia="Times New Roman" w:hAnsi="Times New Roman" w:cs="Times New Roman"/>
        </w:rPr>
        <w:t xml:space="preserve"> </w:t>
      </w:r>
      <w:r w:rsidR="003370B8" w:rsidRPr="00125A6B">
        <w:rPr>
          <w:rFonts w:ascii="Times New Roman" w:eastAsia="Times New Roman" w:hAnsi="Times New Roman" w:cs="Times New Roman"/>
        </w:rPr>
        <w:t>T</w:t>
      </w:r>
      <w:r w:rsidRPr="00125A6B">
        <w:rPr>
          <w:rFonts w:ascii="Times New Roman" w:eastAsia="Times New Roman" w:hAnsi="Times New Roman" w:cs="Times New Roman"/>
        </w:rPr>
        <w:t>he non-EHV receiving PHA will submit on an EHV-compliant 50058.  More guidance will be issued on this topic. As stated in the Notice, “HUD expects to issue a streamlined Form 50058 in the near future that will allow HUD to pay monthly HAP and Administrative Fee disbursements based on that information”. </w:t>
      </w:r>
    </w:p>
    <w:p w14:paraId="4062AB3F" w14:textId="6F4EFB86" w:rsidR="0131650B" w:rsidRPr="00125A6B" w:rsidRDefault="0131650B" w:rsidP="0131650B">
      <w:pPr>
        <w:spacing w:after="0" w:line="240" w:lineRule="auto"/>
        <w:ind w:left="720"/>
        <w:rPr>
          <w:rFonts w:ascii="Times New Roman" w:eastAsia="Yu Mincho" w:hAnsi="Times New Roman" w:cs="Times New Roman"/>
        </w:rPr>
      </w:pPr>
    </w:p>
    <w:p w14:paraId="7D8C3ADA" w14:textId="4BEB2C98" w:rsidR="00107FC3" w:rsidRPr="00125A6B" w:rsidRDefault="12CBECDD" w:rsidP="00CB7838">
      <w:pPr>
        <w:pStyle w:val="ListParagraph"/>
        <w:numPr>
          <w:ilvl w:val="0"/>
          <w:numId w:val="30"/>
        </w:numPr>
        <w:rPr>
          <w:rFonts w:ascii="Times New Roman" w:eastAsia="Times New Roman" w:hAnsi="Times New Roman" w:cs="Times New Roman"/>
          <w:b/>
          <w:bCs/>
        </w:rPr>
      </w:pPr>
      <w:r w:rsidRPr="00125A6B">
        <w:rPr>
          <w:rFonts w:ascii="Times New Roman" w:eastAsia="Calibri" w:hAnsi="Times New Roman" w:cs="Times New Roman"/>
          <w:b/>
          <w:bCs/>
        </w:rPr>
        <w:t xml:space="preserve"> </w:t>
      </w:r>
      <w:r w:rsidRPr="00125A6B">
        <w:rPr>
          <w:rFonts w:ascii="Times New Roman" w:eastAsia="Times New Roman" w:hAnsi="Times New Roman" w:cs="Times New Roman"/>
          <w:b/>
          <w:bCs/>
        </w:rPr>
        <w:t xml:space="preserve">When an EHV family ports, how does this impact the </w:t>
      </w:r>
      <w:r w:rsidR="7F0D77E2" w:rsidRPr="00125A6B">
        <w:rPr>
          <w:rFonts w:ascii="Times New Roman" w:eastAsia="Times New Roman" w:hAnsi="Times New Roman" w:cs="Times New Roman"/>
          <w:b/>
          <w:bCs/>
        </w:rPr>
        <w:t>s</w:t>
      </w:r>
      <w:r w:rsidRPr="00125A6B">
        <w:rPr>
          <w:rFonts w:ascii="Times New Roman" w:eastAsia="Times New Roman" w:hAnsi="Times New Roman" w:cs="Times New Roman"/>
          <w:b/>
          <w:bCs/>
        </w:rPr>
        <w:t xml:space="preserve">ervices </w:t>
      </w:r>
      <w:r w:rsidR="579F166A" w:rsidRPr="00125A6B">
        <w:rPr>
          <w:rFonts w:ascii="Times New Roman" w:eastAsia="Times New Roman" w:hAnsi="Times New Roman" w:cs="Times New Roman"/>
          <w:b/>
          <w:bCs/>
        </w:rPr>
        <w:t>f</w:t>
      </w:r>
      <w:r w:rsidRPr="00125A6B">
        <w:rPr>
          <w:rFonts w:ascii="Times New Roman" w:eastAsia="Times New Roman" w:hAnsi="Times New Roman" w:cs="Times New Roman"/>
          <w:b/>
          <w:bCs/>
        </w:rPr>
        <w:t xml:space="preserve">ee? </w:t>
      </w:r>
    </w:p>
    <w:p w14:paraId="6F822D82" w14:textId="55EA980A" w:rsidR="00A64313" w:rsidRPr="00125A6B" w:rsidRDefault="498355A0" w:rsidP="00CF30AF">
      <w:pPr>
        <w:ind w:left="720"/>
        <w:rPr>
          <w:rFonts w:ascii="Times New Roman" w:eastAsia="Times New Roman" w:hAnsi="Times New Roman" w:cs="Times New Roman"/>
        </w:rPr>
      </w:pPr>
      <w:r w:rsidRPr="00125A6B">
        <w:rPr>
          <w:rFonts w:ascii="Times New Roman" w:eastAsia="Times New Roman" w:hAnsi="Times New Roman" w:cs="Times New Roman"/>
        </w:rPr>
        <w:t xml:space="preserve">Section 9.o of </w:t>
      </w:r>
      <w:hyperlink r:id="rId121" w:history="1">
        <w:r w:rsidR="00A64313" w:rsidRPr="00125A6B">
          <w:rPr>
            <w:rStyle w:val="Hyperlink"/>
            <w:rFonts w:ascii="Times New Roman" w:eastAsia="Times New Roman" w:hAnsi="Times New Roman" w:cs="Times New Roman"/>
          </w:rPr>
          <w:t>PIH Notice 20121-15</w:t>
        </w:r>
      </w:hyperlink>
      <w:r w:rsidR="00A64313" w:rsidRPr="00125A6B">
        <w:rPr>
          <w:rFonts w:ascii="Times New Roman" w:eastAsia="Times New Roman" w:hAnsi="Times New Roman" w:cs="Times New Roman"/>
        </w:rPr>
        <w:t xml:space="preserve"> provides that if the portability move is in connection with the EHV family’s initial lease-up, the receiving PHA and the initial PHA must consult and coordinate on the EHV services and assistance that will be made available to the family. The primary purpose of this communication is to ensure there is no duplication of EHV services and assistance provided to the family and that the receiving PHA is aware of the maximum amount of services fee funding that the initial PHA may provide to the receiving PHA on behalf of the family. If the receiving PHA, in consultation and coordination with the initial PHA, will provide eligible services or assistance to the incoming EHV family, the </w:t>
      </w:r>
      <w:r w:rsidR="00706D29" w:rsidRPr="00125A6B">
        <w:rPr>
          <w:rFonts w:ascii="Times New Roman" w:eastAsia="Times New Roman" w:hAnsi="Times New Roman" w:cs="Times New Roman"/>
        </w:rPr>
        <w:t xml:space="preserve">receiving </w:t>
      </w:r>
      <w:r w:rsidR="00A64313" w:rsidRPr="00125A6B">
        <w:rPr>
          <w:rFonts w:ascii="Times New Roman" w:eastAsia="Times New Roman" w:hAnsi="Times New Roman" w:cs="Times New Roman"/>
        </w:rPr>
        <w:t>PHA may be compensated for those cost</w:t>
      </w:r>
      <w:r w:rsidR="00401A9A" w:rsidRPr="00125A6B">
        <w:rPr>
          <w:rFonts w:ascii="Times New Roman" w:eastAsia="Times New Roman" w:hAnsi="Times New Roman" w:cs="Times New Roman"/>
        </w:rPr>
        <w:t>s</w:t>
      </w:r>
      <w:r w:rsidR="00A64313" w:rsidRPr="00125A6B">
        <w:rPr>
          <w:rFonts w:ascii="Times New Roman" w:eastAsia="Times New Roman" w:hAnsi="Times New Roman" w:cs="Times New Roman"/>
        </w:rPr>
        <w:t xml:space="preserve"> by the initial PHA.  However, the amount of the service</w:t>
      </w:r>
      <w:r w:rsidR="00706D29" w:rsidRPr="00125A6B">
        <w:rPr>
          <w:rFonts w:ascii="Times New Roman" w:eastAsia="Times New Roman" w:hAnsi="Times New Roman" w:cs="Times New Roman"/>
        </w:rPr>
        <w:t>s</w:t>
      </w:r>
      <w:r w:rsidR="00A64313" w:rsidRPr="00125A6B">
        <w:rPr>
          <w:rFonts w:ascii="Times New Roman" w:eastAsia="Times New Roman" w:hAnsi="Times New Roman" w:cs="Times New Roman"/>
        </w:rPr>
        <w:t xml:space="preserve"> fee provided by the initial PHA may not exceed the lesser of the actual cost of the services and assistance provided to the family by the receiving PHA or $1750, unless the initial PHA and receiving PHA mutually agree to change the $1750 cap.  If the EHV family has already leased a unit on the program and the portability move is a subsequent move, the family’s portability move will have no impact on the initial PHA’s services fee.</w:t>
      </w:r>
    </w:p>
    <w:p w14:paraId="5D2E5919" w14:textId="1CA47B54" w:rsidR="005B6F6A" w:rsidRPr="00125A6B" w:rsidRDefault="005B6F6A" w:rsidP="005B6F6A">
      <w:pPr>
        <w:pStyle w:val="Heading1"/>
      </w:pPr>
      <w:r w:rsidRPr="00125A6B">
        <w:t xml:space="preserve"> </w:t>
      </w:r>
      <w:bookmarkStart w:id="18" w:name="_Toc74733180"/>
      <w:r w:rsidRPr="00125A6B">
        <w:t>Reporting Requirements</w:t>
      </w:r>
      <w:bookmarkEnd w:id="18"/>
    </w:p>
    <w:p w14:paraId="0FE1F43E" w14:textId="7FB55662" w:rsidR="00EA5E0E" w:rsidRPr="00125A6B" w:rsidRDefault="00EA5E0E" w:rsidP="00CB7838">
      <w:pPr>
        <w:pStyle w:val="ListParagraph"/>
        <w:numPr>
          <w:ilvl w:val="0"/>
          <w:numId w:val="30"/>
        </w:numPr>
        <w:spacing w:after="0" w:line="240" w:lineRule="auto"/>
        <w:rPr>
          <w:rFonts w:ascii="Times New Roman" w:hAnsi="Times New Roman" w:cs="Times New Roman"/>
          <w:b/>
          <w:bCs/>
        </w:rPr>
      </w:pPr>
      <w:r w:rsidRPr="00125A6B">
        <w:rPr>
          <w:rFonts w:ascii="Times New Roman" w:hAnsi="Times New Roman" w:cs="Times New Roman"/>
          <w:b/>
          <w:bCs/>
        </w:rPr>
        <w:t xml:space="preserve">In the Voucher Management System (VMS), there is only a “Leasing” line item under EHVs.   There is not a separate “after first of month leasing” for voucher count. Does this mean that move-ins after the first of the month are counted in the “Leasing” line item?   </w:t>
      </w:r>
    </w:p>
    <w:p w14:paraId="6A63AE5C" w14:textId="77777777" w:rsidR="00EA5E0E" w:rsidRPr="00125A6B" w:rsidRDefault="00EA5E0E" w:rsidP="00EA5E0E">
      <w:pPr>
        <w:spacing w:after="0" w:line="240" w:lineRule="auto"/>
        <w:rPr>
          <w:rFonts w:ascii="Times New Roman" w:hAnsi="Times New Roman" w:cs="Times New Roman"/>
          <w:b/>
          <w:bCs/>
        </w:rPr>
      </w:pPr>
    </w:p>
    <w:p w14:paraId="0D24F656" w14:textId="5AEE69F7" w:rsidR="00EA5E0E" w:rsidRPr="00125A6B" w:rsidRDefault="00EA5E0E" w:rsidP="00EA5E0E">
      <w:pPr>
        <w:spacing w:after="0" w:line="240" w:lineRule="auto"/>
        <w:ind w:left="720"/>
        <w:rPr>
          <w:rFonts w:ascii="Times New Roman" w:hAnsi="Times New Roman" w:cs="Times New Roman"/>
        </w:rPr>
      </w:pPr>
      <w:r w:rsidRPr="00125A6B">
        <w:rPr>
          <w:rFonts w:ascii="Times New Roman" w:hAnsi="Times New Roman" w:cs="Times New Roman"/>
        </w:rPr>
        <w:lastRenderedPageBreak/>
        <w:t xml:space="preserve">No. PHAs should not report leased units after the first of the month in the “Leasing” field as they would not be entitled to an admin fee for those units.  Fees are paid for units leased as of the first of the month.  While units leased after the first of the month are not collected in VMS, please note that </w:t>
      </w:r>
      <w:hyperlink r:id="rId122" w:history="1">
        <w:r w:rsidR="00A02996" w:rsidRPr="00125A6B">
          <w:rPr>
            <w:rStyle w:val="Hyperlink"/>
            <w:rFonts w:ascii="Times New Roman" w:eastAsia="Times New Roman" w:hAnsi="Times New Roman" w:cs="Times New Roman"/>
          </w:rPr>
          <w:t>PIH Notice 20121-15</w:t>
        </w:r>
      </w:hyperlink>
      <w:r w:rsidR="00A02996" w:rsidRPr="00125A6B">
        <w:rPr>
          <w:rStyle w:val="Hyperlink"/>
          <w:rFonts w:ascii="Times New Roman" w:eastAsia="Times New Roman" w:hAnsi="Times New Roman" w:cs="Times New Roman"/>
        </w:rPr>
        <w:t xml:space="preserve"> </w:t>
      </w:r>
      <w:r w:rsidRPr="00125A6B">
        <w:rPr>
          <w:rFonts w:ascii="Times New Roman" w:hAnsi="Times New Roman" w:cs="Times New Roman"/>
        </w:rPr>
        <w:t>discusses the field in VMS that will collect expenses associated with units leased after the first of the month field.  Those costs should be reported in the EHV HAP expenses incurred after the first of the month field.</w:t>
      </w:r>
    </w:p>
    <w:p w14:paraId="00871D97" w14:textId="5A86ED84" w:rsidR="00445EAC" w:rsidRPr="00125A6B" w:rsidRDefault="00445EAC" w:rsidP="00EA5E0E">
      <w:pPr>
        <w:spacing w:after="0" w:line="240" w:lineRule="auto"/>
        <w:ind w:left="720"/>
        <w:rPr>
          <w:rFonts w:ascii="Times New Roman" w:hAnsi="Times New Roman" w:cs="Times New Roman"/>
        </w:rPr>
      </w:pPr>
    </w:p>
    <w:p w14:paraId="51F47975" w14:textId="616EF9C3" w:rsidR="00445EAC" w:rsidRPr="00125A6B" w:rsidRDefault="00445EAC" w:rsidP="00CB7838">
      <w:pPr>
        <w:pStyle w:val="ListParagraph"/>
        <w:numPr>
          <w:ilvl w:val="0"/>
          <w:numId w:val="30"/>
        </w:numPr>
        <w:spacing w:after="0" w:line="240" w:lineRule="auto"/>
        <w:rPr>
          <w:rFonts w:ascii="Times New Roman" w:hAnsi="Times New Roman" w:cs="Times New Roman"/>
        </w:rPr>
      </w:pPr>
      <w:r w:rsidRPr="00125A6B">
        <w:rPr>
          <w:rFonts w:ascii="Times New Roman" w:eastAsia="Calibri" w:hAnsi="Times New Roman" w:cs="Times New Roman"/>
          <w:b/>
          <w:bCs/>
        </w:rPr>
        <w:t xml:space="preserve">Where should users report expenses for EHV Portables (In and Out) in the Voucher Management System (VMS)? </w:t>
      </w:r>
    </w:p>
    <w:p w14:paraId="2AE46E46" w14:textId="77777777" w:rsidR="00445EAC" w:rsidRPr="00125A6B" w:rsidRDefault="00445EAC" w:rsidP="00445EAC">
      <w:pPr>
        <w:spacing w:after="0" w:line="240" w:lineRule="auto"/>
        <w:rPr>
          <w:rFonts w:ascii="Times New Roman" w:eastAsia="Calibri" w:hAnsi="Times New Roman" w:cs="Times New Roman"/>
        </w:rPr>
      </w:pPr>
    </w:p>
    <w:p w14:paraId="18673512" w14:textId="77777777" w:rsidR="00445EAC" w:rsidRPr="00125A6B" w:rsidRDefault="00445EAC" w:rsidP="00445EAC">
      <w:pPr>
        <w:spacing w:after="0" w:line="240" w:lineRule="auto"/>
        <w:ind w:left="720"/>
        <w:rPr>
          <w:rFonts w:ascii="Times New Roman" w:hAnsi="Times New Roman" w:cs="Times New Roman"/>
        </w:rPr>
      </w:pPr>
      <w:r w:rsidRPr="00125A6B">
        <w:rPr>
          <w:rFonts w:ascii="Times New Roman" w:eastAsia="Calibri" w:hAnsi="Times New Roman" w:cs="Times New Roman"/>
        </w:rPr>
        <w:t xml:space="preserve">VMS reporting guidance for port-out EHVs is consistent with guidance for the Housing Choice Voucher program as outlined in Section 8.1 of </w:t>
      </w:r>
      <w:hyperlink r:id="rId123" w:history="1">
        <w:r w:rsidRPr="00125A6B">
          <w:rPr>
            <w:rStyle w:val="Hyperlink"/>
            <w:rFonts w:ascii="Times New Roman" w:eastAsia="Calibri" w:hAnsi="Times New Roman" w:cs="Times New Roman"/>
          </w:rPr>
          <w:t>HUD’s Voucher Management System (VMS) Instruction Manual</w:t>
        </w:r>
      </w:hyperlink>
      <w:r w:rsidRPr="00125A6B">
        <w:rPr>
          <w:rFonts w:ascii="Times New Roman" w:eastAsia="Calibri" w:hAnsi="Times New Roman" w:cs="Times New Roman"/>
        </w:rPr>
        <w:t xml:space="preserve">.  A voucher under lease must be reported in only one main category.  If a leased voucher could appropriately be reported in more than one category, it should be reported in the category that reflects how the participant initially qualified for the voucher.  In the case of EHV, the port-out would be reported in the EHV field.  An EHV port that is being administered by another PHA (port-in) should not be reported in the Portable Vouchers Administered field on the first tab.  This field is for VO reporting only, and no other program type should be included.    </w:t>
      </w:r>
    </w:p>
    <w:p w14:paraId="0552BB9F" w14:textId="77777777" w:rsidR="00445EAC" w:rsidRPr="00125A6B" w:rsidRDefault="00445EAC" w:rsidP="00EA5E0E">
      <w:pPr>
        <w:spacing w:after="0" w:line="240" w:lineRule="auto"/>
        <w:ind w:left="720"/>
        <w:rPr>
          <w:rFonts w:ascii="Times New Roman" w:hAnsi="Times New Roman" w:cs="Times New Roman"/>
        </w:rPr>
      </w:pPr>
    </w:p>
    <w:p w14:paraId="33577F57" w14:textId="3EBCE8ED" w:rsidR="003B45B0" w:rsidRPr="00125A6B" w:rsidRDefault="003B45B0" w:rsidP="003B45B0">
      <w:pPr>
        <w:spacing w:after="0" w:line="240" w:lineRule="auto"/>
        <w:rPr>
          <w:rFonts w:ascii="Times New Roman" w:hAnsi="Times New Roman" w:cs="Times New Roman"/>
        </w:rPr>
      </w:pPr>
    </w:p>
    <w:p w14:paraId="5BE1A34D" w14:textId="609E3760" w:rsidR="003B45B0" w:rsidRPr="00125A6B" w:rsidRDefault="003B45B0" w:rsidP="00CB7838">
      <w:pPr>
        <w:pStyle w:val="ListParagraph"/>
        <w:numPr>
          <w:ilvl w:val="0"/>
          <w:numId w:val="30"/>
        </w:numPr>
        <w:spacing w:after="0" w:line="240" w:lineRule="auto"/>
        <w:rPr>
          <w:rFonts w:ascii="Times New Roman" w:hAnsi="Times New Roman" w:cs="Times New Roman"/>
          <w:b/>
          <w:bCs/>
        </w:rPr>
      </w:pPr>
      <w:r w:rsidRPr="00125A6B">
        <w:rPr>
          <w:rFonts w:ascii="Times New Roman" w:hAnsi="Times New Roman" w:cs="Times New Roman"/>
          <w:b/>
          <w:bCs/>
        </w:rPr>
        <w:t>Does it matter which line “2n” on the 50058 (there are two) a PHA enters “EHV” on? </w:t>
      </w:r>
    </w:p>
    <w:p w14:paraId="7A4298C9" w14:textId="77777777" w:rsidR="003B45B0" w:rsidRPr="00125A6B" w:rsidRDefault="003B45B0" w:rsidP="003B45B0">
      <w:pPr>
        <w:pStyle w:val="ListParagraph"/>
        <w:spacing w:after="0" w:line="240" w:lineRule="auto"/>
        <w:contextualSpacing w:val="0"/>
        <w:rPr>
          <w:rFonts w:ascii="Times New Roman" w:hAnsi="Times New Roman" w:cs="Times New Roman"/>
          <w:b/>
          <w:bCs/>
        </w:rPr>
      </w:pPr>
    </w:p>
    <w:p w14:paraId="36FC1A91" w14:textId="4B3C955E" w:rsidR="00594B11" w:rsidRPr="00125A6B" w:rsidRDefault="003B45B0" w:rsidP="006B48E9">
      <w:pPr>
        <w:ind w:firstLine="720"/>
        <w:rPr>
          <w:rFonts w:ascii="Times New Roman" w:hAnsi="Times New Roman" w:cs="Times New Roman"/>
        </w:rPr>
      </w:pPr>
      <w:r w:rsidRPr="00125A6B">
        <w:rPr>
          <w:rFonts w:ascii="Times New Roman" w:hAnsi="Times New Roman" w:cs="Times New Roman"/>
        </w:rPr>
        <w:t>No.  PHAs may enter “EHV” on either or both lines labeled “2n” on the 50058.</w:t>
      </w:r>
    </w:p>
    <w:p w14:paraId="68F0F76E" w14:textId="43CAD5B4" w:rsidR="00445EAC" w:rsidRPr="00125A6B" w:rsidRDefault="00445EAC" w:rsidP="00CB7838">
      <w:pPr>
        <w:pStyle w:val="ListParagraph"/>
        <w:numPr>
          <w:ilvl w:val="0"/>
          <w:numId w:val="30"/>
        </w:numPr>
        <w:spacing w:after="0" w:line="240" w:lineRule="auto"/>
        <w:rPr>
          <w:rFonts w:ascii="Times New Roman" w:hAnsi="Times New Roman" w:cs="Times New Roman"/>
          <w:b/>
          <w:bCs/>
        </w:rPr>
      </w:pPr>
      <w:r w:rsidRPr="00125A6B">
        <w:rPr>
          <w:rFonts w:ascii="Times New Roman" w:hAnsi="Times New Roman" w:cs="Times New Roman"/>
          <w:b/>
          <w:bCs/>
        </w:rPr>
        <w:t xml:space="preserve">If an EHV is ported in, does the receiving PHA </w:t>
      </w:r>
      <w:r w:rsidRPr="00125A6B" w:rsidDel="008636CE">
        <w:rPr>
          <w:rFonts w:ascii="Times New Roman" w:hAnsi="Times New Roman" w:cs="Times New Roman"/>
          <w:b/>
          <w:bCs/>
        </w:rPr>
        <w:t>report</w:t>
      </w:r>
      <w:r w:rsidRPr="00125A6B">
        <w:rPr>
          <w:rFonts w:ascii="Times New Roman" w:hAnsi="Times New Roman" w:cs="Times New Roman"/>
          <w:b/>
          <w:bCs/>
        </w:rPr>
        <w:t xml:space="preserve"> the family under “Portable Units Administered?” </w:t>
      </w:r>
      <w:r w:rsidRPr="00125A6B">
        <w:rPr>
          <w:rFonts w:ascii="Times New Roman" w:eastAsia="Calibri" w:hAnsi="Times New Roman" w:cs="Times New Roman"/>
          <w:b/>
          <w:bCs/>
        </w:rPr>
        <w:t xml:space="preserve"> </w:t>
      </w:r>
      <w:r w:rsidRPr="00125A6B">
        <w:rPr>
          <w:rFonts w:ascii="Times New Roman" w:eastAsia="Calibri" w:hAnsi="Times New Roman" w:cs="Times New Roman"/>
        </w:rPr>
        <w:t xml:space="preserve"> </w:t>
      </w:r>
    </w:p>
    <w:p w14:paraId="7F5132BD" w14:textId="77777777" w:rsidR="00445EAC" w:rsidRPr="00125A6B" w:rsidRDefault="00445EAC" w:rsidP="00445EAC">
      <w:pPr>
        <w:spacing w:after="0" w:line="240" w:lineRule="auto"/>
        <w:rPr>
          <w:rFonts w:ascii="Times New Roman" w:hAnsi="Times New Roman" w:cs="Times New Roman"/>
        </w:rPr>
      </w:pPr>
    </w:p>
    <w:p w14:paraId="08D71DCB" w14:textId="62990D1B" w:rsidR="003A1692" w:rsidRPr="00125A6B" w:rsidRDefault="00445EAC" w:rsidP="00445EAC">
      <w:pPr>
        <w:spacing w:after="0" w:line="240" w:lineRule="auto"/>
        <w:ind w:left="720"/>
        <w:rPr>
          <w:rFonts w:ascii="Times New Roman" w:hAnsi="Times New Roman" w:cs="Times New Roman"/>
        </w:rPr>
      </w:pPr>
      <w:r w:rsidRPr="00125A6B">
        <w:rPr>
          <w:rFonts w:ascii="Times New Roman" w:hAnsi="Times New Roman" w:cs="Times New Roman"/>
        </w:rPr>
        <w:t>No.  EHV port-ins should not be reported in the Portable Units Administered field.  That field is used to capture</w:t>
      </w:r>
      <w:r w:rsidR="004015FE" w:rsidRPr="00125A6B">
        <w:rPr>
          <w:rFonts w:ascii="Times New Roman" w:hAnsi="Times New Roman" w:cs="Times New Roman"/>
        </w:rPr>
        <w:t xml:space="preserve"> Voucher (</w:t>
      </w:r>
      <w:r w:rsidRPr="00125A6B">
        <w:rPr>
          <w:rFonts w:ascii="Times New Roman" w:hAnsi="Times New Roman" w:cs="Times New Roman"/>
        </w:rPr>
        <w:t>“VO”</w:t>
      </w:r>
      <w:r w:rsidR="004015FE" w:rsidRPr="00125A6B">
        <w:rPr>
          <w:rFonts w:ascii="Times New Roman" w:hAnsi="Times New Roman" w:cs="Times New Roman"/>
        </w:rPr>
        <w:t>)</w:t>
      </w:r>
      <w:r w:rsidRPr="00125A6B">
        <w:rPr>
          <w:rFonts w:ascii="Times New Roman" w:hAnsi="Times New Roman" w:cs="Times New Roman"/>
        </w:rPr>
        <w:t xml:space="preserve"> port-in information only.  </w:t>
      </w:r>
    </w:p>
    <w:p w14:paraId="69147F8F" w14:textId="7141EABC" w:rsidR="00445EAC" w:rsidRPr="00125A6B" w:rsidRDefault="00445EAC" w:rsidP="003A1692">
      <w:pPr>
        <w:pStyle w:val="ListParagraph"/>
      </w:pPr>
      <w:r w:rsidRPr="00125A6B">
        <w:t xml:space="preserve">  </w:t>
      </w:r>
    </w:p>
    <w:p w14:paraId="65AD5294" w14:textId="7C4E4313" w:rsidR="003A1692" w:rsidRPr="00125A6B" w:rsidRDefault="003A1692" w:rsidP="00CB7838">
      <w:pPr>
        <w:pStyle w:val="ListParagraph"/>
        <w:numPr>
          <w:ilvl w:val="0"/>
          <w:numId w:val="30"/>
        </w:numPr>
        <w:spacing w:after="0" w:line="240" w:lineRule="auto"/>
        <w:rPr>
          <w:rFonts w:ascii="Times New Roman" w:hAnsi="Times New Roman" w:cs="Times New Roman"/>
          <w:b/>
          <w:bCs/>
        </w:rPr>
      </w:pPr>
      <w:bookmarkStart w:id="19" w:name="_Hlk84243261"/>
      <w:r w:rsidRPr="00125A6B">
        <w:rPr>
          <w:rFonts w:ascii="Times New Roman" w:hAnsi="Times New Roman" w:cs="Times New Roman"/>
          <w:b/>
          <w:bCs/>
        </w:rPr>
        <w:t xml:space="preserve">If a PHA has already submitted a Form 50058 for an EHV family without the correct EHV code, how should the PHA correct it? </w:t>
      </w:r>
    </w:p>
    <w:p w14:paraId="4545F053" w14:textId="77777777" w:rsidR="003A1692" w:rsidRPr="00125A6B" w:rsidRDefault="003A1692" w:rsidP="003A1692">
      <w:pPr>
        <w:rPr>
          <w:rFonts w:ascii="Times New Roman" w:hAnsi="Times New Roman" w:cs="Times New Roman"/>
        </w:rPr>
      </w:pPr>
    </w:p>
    <w:p w14:paraId="272183F5" w14:textId="6BD26D00" w:rsidR="003A1692" w:rsidRPr="00125A6B" w:rsidRDefault="003A1692" w:rsidP="003A1692">
      <w:pPr>
        <w:ind w:left="720"/>
        <w:rPr>
          <w:rFonts w:ascii="Times New Roman" w:hAnsi="Times New Roman" w:cs="Times New Roman"/>
        </w:rPr>
      </w:pPr>
      <w:r w:rsidRPr="00125A6B">
        <w:rPr>
          <w:rFonts w:ascii="Times New Roman" w:hAnsi="Times New Roman" w:cs="Times New Roman"/>
        </w:rPr>
        <w:t xml:space="preserve">The PHA should void the initial Form 50058 submission for the family by submitting a 50058 with code “15” on action code line 2a.   A </w:t>
      </w:r>
      <w:r w:rsidR="00A02996" w:rsidRPr="00125A6B">
        <w:rPr>
          <w:rFonts w:ascii="Times New Roman" w:hAnsi="Times New Roman" w:cs="Times New Roman"/>
          <w:i/>
          <w:iCs/>
        </w:rPr>
        <w:t>new</w:t>
      </w:r>
      <w:r w:rsidRPr="00125A6B">
        <w:rPr>
          <w:rFonts w:ascii="Times New Roman" w:hAnsi="Times New Roman" w:cs="Times New Roman"/>
        </w:rPr>
        <w:t xml:space="preserve"> 50058 should then be completed with the correct EHV identifier “EHV” on line 2n.   </w:t>
      </w:r>
    </w:p>
    <w:p w14:paraId="0F530A92" w14:textId="67405D59" w:rsidR="003A1692" w:rsidRPr="00125A6B" w:rsidRDefault="003A1692" w:rsidP="003A1692">
      <w:pPr>
        <w:ind w:left="720"/>
        <w:rPr>
          <w:rFonts w:ascii="Times New Roman" w:hAnsi="Times New Roman" w:cs="Times New Roman"/>
        </w:rPr>
      </w:pPr>
      <w:r w:rsidRPr="00125A6B">
        <w:rPr>
          <w:rFonts w:ascii="Times New Roman" w:hAnsi="Times New Roman" w:cs="Times New Roman"/>
        </w:rPr>
        <w:t xml:space="preserve">As a reminder, PHAs must submit an issuance 50058 (code “10” on line 2a) </w:t>
      </w:r>
      <w:r w:rsidRPr="00125A6B">
        <w:rPr>
          <w:rFonts w:ascii="Times New Roman" w:hAnsi="Times New Roman" w:cs="Times New Roman"/>
          <w:i/>
          <w:iCs/>
        </w:rPr>
        <w:t xml:space="preserve">and </w:t>
      </w:r>
      <w:r w:rsidRPr="00125A6B">
        <w:rPr>
          <w:rFonts w:ascii="Times New Roman" w:hAnsi="Times New Roman" w:cs="Times New Roman"/>
        </w:rPr>
        <w:t xml:space="preserve">a new admission 50058 (code “1” on line 2a) in order to be eligible for the $100 Issuance Administrative Fee.)   </w:t>
      </w:r>
      <w:bookmarkEnd w:id="19"/>
    </w:p>
    <w:p w14:paraId="561D0E37" w14:textId="7FC9396F" w:rsidR="005B6F6A" w:rsidRPr="00125A6B" w:rsidRDefault="003A1692" w:rsidP="00CB7838">
      <w:pPr>
        <w:pStyle w:val="ListParagraph"/>
        <w:numPr>
          <w:ilvl w:val="0"/>
          <w:numId w:val="30"/>
        </w:numPr>
        <w:spacing w:line="251" w:lineRule="auto"/>
        <w:rPr>
          <w:rFonts w:ascii="Times New Roman" w:eastAsia="Times New Roman" w:hAnsi="Times New Roman" w:cs="Times New Roman"/>
          <w:b/>
          <w:bCs/>
        </w:rPr>
      </w:pPr>
      <w:r w:rsidRPr="00125A6B">
        <w:rPr>
          <w:rFonts w:ascii="Times New Roman" w:eastAsia="Times New Roman" w:hAnsi="Times New Roman" w:cs="Times New Roman"/>
          <w:b/>
          <w:bCs/>
        </w:rPr>
        <w:t xml:space="preserve"> </w:t>
      </w:r>
      <w:r w:rsidR="440AE88C" w:rsidRPr="00125A6B">
        <w:rPr>
          <w:rFonts w:ascii="Times New Roman" w:eastAsia="Times New Roman" w:hAnsi="Times New Roman" w:cs="Times New Roman"/>
          <w:b/>
          <w:bCs/>
        </w:rPr>
        <w:t>Is there any guidance regarding PIC-NG?</w:t>
      </w:r>
      <w:r w:rsidR="00E93ED1" w:rsidRPr="00125A6B">
        <w:rPr>
          <w:rFonts w:ascii="Times New Roman" w:eastAsia="Times New Roman" w:hAnsi="Times New Roman" w:cs="Times New Roman"/>
          <w:b/>
          <w:bCs/>
        </w:rPr>
        <w:t xml:space="preserve"> </w:t>
      </w:r>
    </w:p>
    <w:p w14:paraId="434DC58C" w14:textId="4D2B2C68" w:rsidR="0E91D7C5" w:rsidRPr="00125A6B" w:rsidRDefault="0E91D7C5" w:rsidP="0E91D7C5">
      <w:pPr>
        <w:pStyle w:val="ListParagraph"/>
        <w:spacing w:after="0" w:line="240" w:lineRule="auto"/>
        <w:rPr>
          <w:rFonts w:ascii="Times New Roman" w:eastAsia="Times New Roman" w:hAnsi="Times New Roman" w:cs="Times New Roman"/>
        </w:rPr>
      </w:pPr>
    </w:p>
    <w:p w14:paraId="196346A6" w14:textId="77777777" w:rsidR="00E93ED1" w:rsidRPr="00125A6B" w:rsidRDefault="00E93ED1" w:rsidP="00E93ED1">
      <w:pPr>
        <w:pStyle w:val="ListParagraph"/>
        <w:spacing w:after="0" w:line="240" w:lineRule="auto"/>
        <w:textAlignment w:val="baseline"/>
        <w:rPr>
          <w:rFonts w:ascii="Times New Roman" w:eastAsia="Times New Roman" w:hAnsi="Times New Roman" w:cs="Times New Roman"/>
        </w:rPr>
      </w:pPr>
      <w:r w:rsidRPr="00125A6B">
        <w:rPr>
          <w:rFonts w:ascii="Times New Roman" w:eastAsia="Times New Roman" w:hAnsi="Times New Roman" w:cs="Times New Roman"/>
        </w:rPr>
        <w:t xml:space="preserve">The EHV Operating Notice references that HUD will utilize the new Public Information Center – Next Generation (PIC-NG) system for EHV. Given delays in the implementation of the new PIC-NG platform, the Department will collect EHV tenant information using its existing IMS/PIC system in the same way it currently collects tenant information for the Housing Choice Voucher program.   </w:t>
      </w:r>
    </w:p>
    <w:p w14:paraId="109A0156" w14:textId="77777777" w:rsidR="00E93ED1" w:rsidRPr="0095560E" w:rsidRDefault="00E93ED1" w:rsidP="00E93ED1">
      <w:pPr>
        <w:pStyle w:val="ListParagraph"/>
        <w:spacing w:after="0" w:line="240" w:lineRule="auto"/>
        <w:textAlignment w:val="baseline"/>
        <w:rPr>
          <w:rFonts w:ascii="Times New Roman" w:eastAsia="Times New Roman" w:hAnsi="Times New Roman" w:cs="Times New Roman"/>
        </w:rPr>
      </w:pPr>
    </w:p>
    <w:p w14:paraId="50F5BC6A" w14:textId="42745ABA" w:rsidR="005B6F6A" w:rsidRPr="00125A6B" w:rsidRDefault="00EE7DB8" w:rsidP="00724ABF">
      <w:pPr>
        <w:pStyle w:val="ListParagraph"/>
        <w:spacing w:after="0" w:line="240" w:lineRule="auto"/>
        <w:textAlignment w:val="baseline"/>
        <w:rPr>
          <w:rFonts w:ascii="Times New Roman" w:eastAsia="Times New Roman" w:hAnsi="Times New Roman" w:cs="Times New Roman"/>
          <w:b/>
          <w:bCs/>
        </w:rPr>
      </w:pPr>
      <w:hyperlink r:id="rId124" w:history="1">
        <w:r w:rsidR="00E93ED1" w:rsidRPr="0095560E">
          <w:rPr>
            <w:rStyle w:val="Hyperlink"/>
            <w:rFonts w:ascii="Times New Roman" w:eastAsia="Times New Roman" w:hAnsi="Times New Roman" w:cs="Times New Roman"/>
          </w:rPr>
          <w:t>Notice PIH 2021-20</w:t>
        </w:r>
      </w:hyperlink>
      <w:r w:rsidR="00E93ED1" w:rsidRPr="0095560E">
        <w:rPr>
          <w:rFonts w:ascii="Times New Roman" w:eastAsia="Times New Roman" w:hAnsi="Times New Roman" w:cs="Times New Roman"/>
        </w:rPr>
        <w:t xml:space="preserve"> outlines the updated EHV</w:t>
      </w:r>
      <w:r w:rsidR="00E93ED1" w:rsidRPr="00125A6B">
        <w:rPr>
          <w:rFonts w:ascii="Times New Roman" w:eastAsia="Times New Roman" w:hAnsi="Times New Roman" w:cs="Times New Roman"/>
        </w:rPr>
        <w:t xml:space="preserve"> reporting requirements for PHAs using IMS-PIC.  </w:t>
      </w:r>
    </w:p>
    <w:p w14:paraId="509D9365" w14:textId="77777777" w:rsidR="00C02BAB" w:rsidRPr="00125A6B" w:rsidRDefault="00C02BAB" w:rsidP="005B6F6A">
      <w:pPr>
        <w:pStyle w:val="ListParagraph"/>
        <w:spacing w:after="0" w:line="240" w:lineRule="auto"/>
        <w:textAlignment w:val="baseline"/>
        <w:rPr>
          <w:rFonts w:ascii="Times New Roman" w:eastAsia="Times New Roman" w:hAnsi="Times New Roman" w:cs="Times New Roman"/>
          <w:b/>
          <w:bCs/>
        </w:rPr>
      </w:pPr>
    </w:p>
    <w:p w14:paraId="37384D97" w14:textId="3556F683" w:rsidR="005B6F6A" w:rsidRPr="00125A6B" w:rsidRDefault="440AE88C" w:rsidP="00CB7838">
      <w:pPr>
        <w:pStyle w:val="ListParagraph"/>
        <w:numPr>
          <w:ilvl w:val="0"/>
          <w:numId w:val="30"/>
        </w:numPr>
        <w:spacing w:line="251" w:lineRule="auto"/>
        <w:rPr>
          <w:rFonts w:ascii="Times New Roman" w:eastAsia="Times New Roman" w:hAnsi="Times New Roman" w:cs="Times New Roman"/>
          <w:b/>
          <w:bCs/>
        </w:rPr>
      </w:pPr>
      <w:r w:rsidRPr="00125A6B">
        <w:rPr>
          <w:rFonts w:ascii="Times New Roman" w:eastAsia="Times New Roman" w:hAnsi="Times New Roman" w:cs="Times New Roman"/>
          <w:b/>
          <w:bCs/>
        </w:rPr>
        <w:lastRenderedPageBreak/>
        <w:t xml:space="preserve">Will HMIS data entry be required for EHVs? </w:t>
      </w:r>
    </w:p>
    <w:p w14:paraId="0605629D" w14:textId="2A3C948F" w:rsidR="005B6F6A" w:rsidRPr="00125A6B" w:rsidRDefault="005B6F6A" w:rsidP="005B6F6A">
      <w:pPr>
        <w:ind w:left="720"/>
        <w:rPr>
          <w:rFonts w:ascii="Times New Roman" w:eastAsia="Times New Roman" w:hAnsi="Times New Roman" w:cs="Times New Roman"/>
        </w:rPr>
      </w:pPr>
      <w:r w:rsidRPr="00125A6B">
        <w:rPr>
          <w:rFonts w:ascii="Times New Roman" w:eastAsia="Times New Roman" w:hAnsi="Times New Roman" w:cs="Times New Roman"/>
        </w:rPr>
        <w:t xml:space="preserve">No, PHAs will not be required to enter EHVs into HMIS.  However, if a family with an EHV receives services from a program that requires use of HMIS, the clients must be entered into the HMIS project from which they are receiving services.  For example, if a family with an EHV is receiving case management services through ESG-CV, the family must be added to the ESG-CV project in HMIS. </w:t>
      </w:r>
    </w:p>
    <w:p w14:paraId="17A4E2D3" w14:textId="7690E4A4" w:rsidR="005B6F6A" w:rsidRPr="00125A6B" w:rsidRDefault="005B6F6A" w:rsidP="005B6F6A">
      <w:pPr>
        <w:ind w:left="720"/>
        <w:rPr>
          <w:rFonts w:ascii="Times New Roman" w:eastAsia="Times New Roman" w:hAnsi="Times New Roman" w:cs="Times New Roman"/>
        </w:rPr>
      </w:pPr>
      <w:r w:rsidRPr="00125A6B">
        <w:rPr>
          <w:rFonts w:ascii="Times New Roman" w:eastAsia="Times New Roman" w:hAnsi="Times New Roman" w:cs="Times New Roman"/>
        </w:rPr>
        <w:t xml:space="preserve">Additionally, per the Notice, EHVs will be receiving referrals from the </w:t>
      </w:r>
      <w:proofErr w:type="spellStart"/>
      <w:r w:rsidRPr="00125A6B">
        <w:rPr>
          <w:rFonts w:ascii="Times New Roman" w:eastAsia="Times New Roman" w:hAnsi="Times New Roman" w:cs="Times New Roman"/>
        </w:rPr>
        <w:t>CoC’s</w:t>
      </w:r>
      <w:proofErr w:type="spellEnd"/>
      <w:r w:rsidRPr="00125A6B">
        <w:rPr>
          <w:rFonts w:ascii="Times New Roman" w:eastAsia="Times New Roman" w:hAnsi="Times New Roman" w:cs="Times New Roman"/>
        </w:rPr>
        <w:t xml:space="preserve"> </w:t>
      </w:r>
      <w:r w:rsidR="00EC7765" w:rsidRPr="00125A6B">
        <w:rPr>
          <w:rFonts w:ascii="Times New Roman" w:eastAsia="Times New Roman" w:hAnsi="Times New Roman" w:cs="Times New Roman"/>
        </w:rPr>
        <w:t>C</w:t>
      </w:r>
      <w:r w:rsidRPr="00125A6B">
        <w:rPr>
          <w:rFonts w:ascii="Times New Roman" w:eastAsia="Times New Roman" w:hAnsi="Times New Roman" w:cs="Times New Roman"/>
        </w:rPr>
        <w:t xml:space="preserve">oordinated </w:t>
      </w:r>
      <w:r w:rsidR="00EC7765" w:rsidRPr="00125A6B">
        <w:rPr>
          <w:rFonts w:ascii="Times New Roman" w:eastAsia="Times New Roman" w:hAnsi="Times New Roman" w:cs="Times New Roman"/>
        </w:rPr>
        <w:t>E</w:t>
      </w:r>
      <w:r w:rsidRPr="00125A6B">
        <w:rPr>
          <w:rFonts w:ascii="Times New Roman" w:eastAsia="Times New Roman" w:hAnsi="Times New Roman" w:cs="Times New Roman"/>
        </w:rPr>
        <w:t xml:space="preserve">ntry </w:t>
      </w:r>
      <w:r w:rsidR="004A56A6" w:rsidRPr="00125A6B">
        <w:rPr>
          <w:rFonts w:ascii="Times New Roman" w:eastAsia="Times New Roman" w:hAnsi="Times New Roman" w:cs="Times New Roman"/>
        </w:rPr>
        <w:t xml:space="preserve">(CE) </w:t>
      </w:r>
      <w:r w:rsidRPr="00125A6B">
        <w:rPr>
          <w:rFonts w:ascii="Times New Roman" w:eastAsia="Times New Roman" w:hAnsi="Times New Roman" w:cs="Times New Roman"/>
        </w:rPr>
        <w:t xml:space="preserve">system.  The </w:t>
      </w:r>
      <w:proofErr w:type="spellStart"/>
      <w:r w:rsidRPr="00125A6B">
        <w:rPr>
          <w:rFonts w:ascii="Times New Roman" w:eastAsia="Times New Roman" w:hAnsi="Times New Roman" w:cs="Times New Roman"/>
        </w:rPr>
        <w:t>CoC</w:t>
      </w:r>
      <w:proofErr w:type="spellEnd"/>
      <w:r w:rsidRPr="00125A6B">
        <w:rPr>
          <w:rFonts w:ascii="Times New Roman" w:eastAsia="Times New Roman" w:hAnsi="Times New Roman" w:cs="Times New Roman"/>
        </w:rPr>
        <w:t xml:space="preserve"> must have a way to record assessments and referrals from CE</w:t>
      </w:r>
      <w:r w:rsidR="004A56A6" w:rsidRPr="00125A6B">
        <w:rPr>
          <w:rFonts w:ascii="Times New Roman" w:eastAsia="Times New Roman" w:hAnsi="Times New Roman" w:cs="Times New Roman"/>
        </w:rPr>
        <w:t xml:space="preserve"> system</w:t>
      </w:r>
      <w:r w:rsidRPr="00125A6B">
        <w:rPr>
          <w:rFonts w:ascii="Times New Roman" w:eastAsia="Times New Roman" w:hAnsi="Times New Roman" w:cs="Times New Roman"/>
        </w:rPr>
        <w:t xml:space="preserve"> and should track referrals to EHV.  HUD recently updated the HMIS data standards to include a response option in the coordinated entry element (4.20) to record referrals to EHVs.  While HUD is not requiring these elements to be programmed in HMIS until October 1, 2021, HUD encourages communities to begin collecting that data now whether in HMIS or otherwise and be prepared to </w:t>
      </w:r>
      <w:r w:rsidR="00401A9A" w:rsidRPr="00125A6B">
        <w:rPr>
          <w:rFonts w:ascii="Times New Roman" w:eastAsia="Times New Roman" w:hAnsi="Times New Roman" w:cs="Times New Roman"/>
        </w:rPr>
        <w:t>provide</w:t>
      </w:r>
      <w:r w:rsidRPr="00125A6B">
        <w:rPr>
          <w:rFonts w:ascii="Times New Roman" w:eastAsia="Times New Roman" w:hAnsi="Times New Roman" w:cs="Times New Roman"/>
        </w:rPr>
        <w:t xml:space="preserve"> information about referrals to the PHAs it is working with for the EHV program.  HUD encourages </w:t>
      </w:r>
      <w:proofErr w:type="spellStart"/>
      <w:r w:rsidRPr="00125A6B">
        <w:rPr>
          <w:rFonts w:ascii="Times New Roman" w:eastAsia="Times New Roman" w:hAnsi="Times New Roman" w:cs="Times New Roman"/>
        </w:rPr>
        <w:t>CoCs</w:t>
      </w:r>
      <w:proofErr w:type="spellEnd"/>
      <w:r w:rsidRPr="00125A6B">
        <w:rPr>
          <w:rFonts w:ascii="Times New Roman" w:eastAsia="Times New Roman" w:hAnsi="Times New Roman" w:cs="Times New Roman"/>
        </w:rPr>
        <w:t xml:space="preserve"> to develop a report that </w:t>
      </w:r>
      <w:r w:rsidR="00CC3F5B" w:rsidRPr="00125A6B">
        <w:rPr>
          <w:rFonts w:ascii="Times New Roman" w:eastAsia="Times New Roman" w:hAnsi="Times New Roman" w:cs="Times New Roman"/>
        </w:rPr>
        <w:t>they</w:t>
      </w:r>
      <w:r w:rsidRPr="00125A6B">
        <w:rPr>
          <w:rFonts w:ascii="Times New Roman" w:eastAsia="Times New Roman" w:hAnsi="Times New Roman" w:cs="Times New Roman"/>
        </w:rPr>
        <w:t xml:space="preserve"> can regularly run that, in the very least, tracks information on the number of referrals to EHV.  It would be ideal to not only include data on the number of referrals to EHV but to also include data on the characteristics of those being referred (e.g. race, ethnicity, gender).</w:t>
      </w:r>
    </w:p>
    <w:p w14:paraId="08A6C416" w14:textId="77777777" w:rsidR="008811C9" w:rsidRPr="00125A6B" w:rsidRDefault="008811C9" w:rsidP="008811C9">
      <w:pPr>
        <w:pStyle w:val="ListParagraph"/>
        <w:rPr>
          <w:rFonts w:ascii="Times New Roman" w:hAnsi="Times New Roman" w:cs="Times New Roman"/>
          <w:b/>
          <w:bCs/>
          <w:color w:val="000000" w:themeColor="text1"/>
        </w:rPr>
      </w:pPr>
      <w:r w:rsidRPr="00125A6B">
        <w:rPr>
          <w:rFonts w:ascii="Times New Roman" w:eastAsia="Times New Roman" w:hAnsi="Times New Roman" w:cs="Times New Roman"/>
        </w:rPr>
        <w:t xml:space="preserve"> </w:t>
      </w:r>
    </w:p>
    <w:p w14:paraId="00BD2995" w14:textId="63270A13" w:rsidR="008811C9" w:rsidRPr="00125A6B" w:rsidRDefault="3B0E5433" w:rsidP="00CB7838">
      <w:pPr>
        <w:pStyle w:val="ListParagraph"/>
        <w:numPr>
          <w:ilvl w:val="0"/>
          <w:numId w:val="30"/>
        </w:numPr>
        <w:rPr>
          <w:rFonts w:ascii="Times New Roman" w:eastAsia="Calibri" w:hAnsi="Times New Roman" w:cs="Times New Roman"/>
          <w:b/>
          <w:bCs/>
        </w:rPr>
      </w:pPr>
      <w:r w:rsidRPr="00125A6B">
        <w:rPr>
          <w:rFonts w:ascii="Times New Roman" w:eastAsia="Calibri" w:hAnsi="Times New Roman" w:cs="Times New Roman"/>
          <w:b/>
          <w:bCs/>
        </w:rPr>
        <w:t xml:space="preserve">Will the EHV program have </w:t>
      </w:r>
      <w:r w:rsidR="650A01AC" w:rsidRPr="00125A6B">
        <w:rPr>
          <w:rFonts w:ascii="Times New Roman" w:eastAsia="Calibri" w:hAnsi="Times New Roman" w:cs="Times New Roman"/>
          <w:b/>
          <w:bCs/>
        </w:rPr>
        <w:t>its</w:t>
      </w:r>
      <w:r w:rsidRPr="00125A6B">
        <w:rPr>
          <w:rFonts w:ascii="Times New Roman" w:eastAsia="Calibri" w:hAnsi="Times New Roman" w:cs="Times New Roman"/>
          <w:b/>
          <w:bCs/>
        </w:rPr>
        <w:t xml:space="preserve"> own CFDA number? </w:t>
      </w:r>
    </w:p>
    <w:p w14:paraId="73F0E555" w14:textId="77777777" w:rsidR="008811C9" w:rsidRPr="00125A6B" w:rsidRDefault="008811C9" w:rsidP="008811C9">
      <w:pPr>
        <w:pStyle w:val="ListParagraph"/>
        <w:rPr>
          <w:rFonts w:ascii="Times New Roman" w:eastAsia="Calibri" w:hAnsi="Times New Roman" w:cs="Times New Roman"/>
          <w:b/>
          <w:bCs/>
        </w:rPr>
      </w:pPr>
    </w:p>
    <w:p w14:paraId="6B8761C4" w14:textId="44A9F60B" w:rsidR="008811C9" w:rsidRPr="00125A6B" w:rsidRDefault="008811C9" w:rsidP="008811C9">
      <w:pPr>
        <w:pStyle w:val="ListParagraph"/>
        <w:rPr>
          <w:rFonts w:ascii="Times New Roman" w:eastAsia="Calibri" w:hAnsi="Times New Roman" w:cs="Times New Roman"/>
        </w:rPr>
      </w:pPr>
      <w:r w:rsidRPr="00125A6B">
        <w:rPr>
          <w:rFonts w:ascii="Times New Roman" w:eastAsia="Calibri" w:hAnsi="Times New Roman" w:cs="Times New Roman"/>
        </w:rPr>
        <w:t>No.</w:t>
      </w:r>
      <w:r w:rsidRPr="00125A6B">
        <w:rPr>
          <w:rFonts w:ascii="Times New Roman" w:eastAsia="Calibri" w:hAnsi="Times New Roman" w:cs="Times New Roman"/>
          <w:b/>
          <w:bCs/>
        </w:rPr>
        <w:t xml:space="preserve">  </w:t>
      </w:r>
      <w:r w:rsidRPr="00125A6B">
        <w:rPr>
          <w:rFonts w:ascii="Times New Roman" w:eastAsia="Calibri" w:hAnsi="Times New Roman" w:cs="Times New Roman"/>
        </w:rPr>
        <w:t xml:space="preserve">PHAs will report under 14.EHV in the Financial Data Schedule (FDS).  PIH’s REAC will provide accounting and FDS reporting guidance separately. </w:t>
      </w:r>
    </w:p>
    <w:p w14:paraId="433C3967" w14:textId="77777777" w:rsidR="008811C9" w:rsidRPr="00125A6B" w:rsidRDefault="008811C9" w:rsidP="008811C9">
      <w:pPr>
        <w:pStyle w:val="ListParagraph"/>
        <w:rPr>
          <w:rFonts w:ascii="Times New Roman" w:eastAsia="Calibri" w:hAnsi="Times New Roman" w:cs="Times New Roman"/>
        </w:rPr>
      </w:pPr>
    </w:p>
    <w:p w14:paraId="7872FD34" w14:textId="277D1D2E" w:rsidR="008811C9" w:rsidRPr="00125A6B" w:rsidRDefault="3B0E5433" w:rsidP="00CB7838">
      <w:pPr>
        <w:pStyle w:val="ListParagraph"/>
        <w:numPr>
          <w:ilvl w:val="0"/>
          <w:numId w:val="30"/>
        </w:numPr>
        <w:spacing w:line="257" w:lineRule="auto"/>
        <w:rPr>
          <w:rFonts w:ascii="Times New Roman" w:eastAsia="Calibri" w:hAnsi="Times New Roman" w:cs="Times New Roman"/>
          <w:b/>
          <w:bCs/>
          <w:color w:val="70AD47" w:themeColor="accent6"/>
        </w:rPr>
      </w:pPr>
      <w:r w:rsidRPr="00125A6B">
        <w:rPr>
          <w:rFonts w:ascii="Times New Roman" w:eastAsia="Calibri" w:hAnsi="Times New Roman" w:cs="Times New Roman"/>
          <w:b/>
          <w:bCs/>
        </w:rPr>
        <w:t>In terms of VMS Reporting, are EHVs considered MTW (HCV) or Special Purpose Vouchers?</w:t>
      </w:r>
      <w:r w:rsidR="12CBECDD" w:rsidRPr="00125A6B">
        <w:rPr>
          <w:rFonts w:ascii="Times New Roman" w:eastAsia="Calibri" w:hAnsi="Times New Roman" w:cs="Times New Roman"/>
          <w:b/>
          <w:bCs/>
        </w:rPr>
        <w:t xml:space="preserve"> </w:t>
      </w:r>
    </w:p>
    <w:p w14:paraId="59D90068" w14:textId="68060AA6" w:rsidR="00B67A00" w:rsidRPr="00125A6B" w:rsidRDefault="008811C9" w:rsidP="0131650B">
      <w:pPr>
        <w:spacing w:line="257" w:lineRule="auto"/>
        <w:ind w:left="720"/>
        <w:rPr>
          <w:rFonts w:ascii="Times New Roman" w:eastAsia="Calibri" w:hAnsi="Times New Roman" w:cs="Times New Roman"/>
        </w:rPr>
      </w:pPr>
      <w:r w:rsidRPr="00125A6B">
        <w:rPr>
          <w:rFonts w:ascii="Times New Roman" w:eastAsia="Calibri" w:hAnsi="Times New Roman" w:cs="Times New Roman"/>
        </w:rPr>
        <w:t xml:space="preserve">EHVs will be treated as Special Purpose Vouchers.  There will be designated VMS fields for EHV leasing and expenses. </w:t>
      </w:r>
    </w:p>
    <w:p w14:paraId="74F174CA" w14:textId="5AC96156" w:rsidR="00B67A00" w:rsidRPr="00125A6B" w:rsidRDefault="00B67A00" w:rsidP="00CB7838">
      <w:pPr>
        <w:pStyle w:val="ListParagraph"/>
        <w:numPr>
          <w:ilvl w:val="0"/>
          <w:numId w:val="30"/>
        </w:numPr>
        <w:rPr>
          <w:rFonts w:ascii="Times New Roman" w:hAnsi="Times New Roman" w:cs="Times New Roman"/>
          <w:b/>
          <w:bCs/>
          <w:color w:val="000000" w:themeColor="text1"/>
        </w:rPr>
      </w:pPr>
      <w:r w:rsidRPr="00125A6B">
        <w:rPr>
          <w:rFonts w:ascii="Times New Roman" w:hAnsi="Times New Roman" w:cs="Times New Roman"/>
          <w:b/>
          <w:bCs/>
          <w:color w:val="000000" w:themeColor="text1"/>
        </w:rPr>
        <w:t xml:space="preserve">When will HUD provide additional guidance regarding EHV reporting requirements? </w:t>
      </w:r>
    </w:p>
    <w:p w14:paraId="6E1A4F82" w14:textId="77777777" w:rsidR="00B67A00" w:rsidRPr="00125A6B" w:rsidRDefault="00B67A00" w:rsidP="00B67A00">
      <w:pPr>
        <w:pStyle w:val="ListParagraph"/>
        <w:rPr>
          <w:rFonts w:ascii="Times New Roman" w:hAnsi="Times New Roman" w:cs="Times New Roman"/>
          <w:b/>
          <w:bCs/>
          <w:color w:val="000000" w:themeColor="text1"/>
        </w:rPr>
      </w:pPr>
    </w:p>
    <w:p w14:paraId="02691E40" w14:textId="478C94AE" w:rsidR="00B67A00" w:rsidRPr="00125A6B" w:rsidRDefault="00B67A00" w:rsidP="006345C3">
      <w:pPr>
        <w:pStyle w:val="ListParagraph"/>
        <w:rPr>
          <w:rFonts w:ascii="Times New Roman" w:eastAsia="Calibri" w:hAnsi="Times New Roman" w:cs="Times New Roman"/>
          <w:color w:val="000000" w:themeColor="text1"/>
        </w:rPr>
      </w:pPr>
      <w:r w:rsidRPr="00125A6B">
        <w:rPr>
          <w:rFonts w:ascii="Times New Roman" w:hAnsi="Times New Roman" w:cs="Times New Roman"/>
          <w:color w:val="000000" w:themeColor="text1"/>
        </w:rPr>
        <w:t xml:space="preserve">HUD </w:t>
      </w:r>
      <w:r w:rsidR="009E7597" w:rsidRPr="00125A6B">
        <w:rPr>
          <w:rFonts w:ascii="Times New Roman" w:hAnsi="Times New Roman" w:cs="Times New Roman"/>
          <w:color w:val="000000" w:themeColor="text1"/>
        </w:rPr>
        <w:t xml:space="preserve">anticipates </w:t>
      </w:r>
      <w:r w:rsidR="00554D99" w:rsidRPr="00125A6B">
        <w:rPr>
          <w:rFonts w:ascii="Times New Roman" w:hAnsi="Times New Roman" w:cs="Times New Roman"/>
          <w:color w:val="000000" w:themeColor="text1"/>
        </w:rPr>
        <w:t>issuing a notice on EHV reporting requirements</w:t>
      </w:r>
      <w:r w:rsidR="0080052D" w:rsidRPr="00125A6B">
        <w:rPr>
          <w:rFonts w:ascii="Times New Roman" w:hAnsi="Times New Roman" w:cs="Times New Roman"/>
          <w:color w:val="000000" w:themeColor="text1"/>
        </w:rPr>
        <w:t xml:space="preserve"> by</w:t>
      </w:r>
      <w:r w:rsidR="005D4234" w:rsidRPr="00125A6B">
        <w:rPr>
          <w:rFonts w:ascii="Times New Roman" w:hAnsi="Times New Roman" w:cs="Times New Roman"/>
          <w:color w:val="000000" w:themeColor="text1"/>
        </w:rPr>
        <w:t xml:space="preserve"> </w:t>
      </w:r>
      <w:r w:rsidRPr="00125A6B">
        <w:rPr>
          <w:rFonts w:ascii="Times New Roman" w:hAnsi="Times New Roman" w:cs="Times New Roman"/>
          <w:color w:val="000000" w:themeColor="text1"/>
        </w:rPr>
        <w:t>mid</w:t>
      </w:r>
      <w:r w:rsidR="00A13A3F" w:rsidRPr="00125A6B">
        <w:rPr>
          <w:rFonts w:ascii="Times New Roman" w:hAnsi="Times New Roman" w:cs="Times New Roman"/>
          <w:color w:val="000000" w:themeColor="text1"/>
        </w:rPr>
        <w:t>-</w:t>
      </w:r>
      <w:r w:rsidRPr="00125A6B">
        <w:rPr>
          <w:rFonts w:ascii="Times New Roman" w:hAnsi="Times New Roman" w:cs="Times New Roman"/>
          <w:color w:val="000000" w:themeColor="text1"/>
        </w:rPr>
        <w:t>July 2021.  Training on</w:t>
      </w:r>
      <w:r w:rsidR="00FB31D6" w:rsidRPr="00125A6B">
        <w:rPr>
          <w:rFonts w:ascii="Times New Roman" w:hAnsi="Times New Roman" w:cs="Times New Roman"/>
          <w:color w:val="000000" w:themeColor="text1"/>
        </w:rPr>
        <w:t xml:space="preserve"> EHV</w:t>
      </w:r>
      <w:r w:rsidRPr="00125A6B">
        <w:rPr>
          <w:rFonts w:ascii="Times New Roman" w:hAnsi="Times New Roman" w:cs="Times New Roman"/>
          <w:color w:val="000000" w:themeColor="text1"/>
        </w:rPr>
        <w:t xml:space="preserve"> reporting requirements </w:t>
      </w:r>
      <w:r w:rsidR="204FD91F" w:rsidRPr="00125A6B">
        <w:rPr>
          <w:rFonts w:ascii="Times New Roman" w:hAnsi="Times New Roman" w:cs="Times New Roman"/>
          <w:color w:val="000000" w:themeColor="text1"/>
        </w:rPr>
        <w:t>was</w:t>
      </w:r>
      <w:r w:rsidRPr="00125A6B">
        <w:rPr>
          <w:rFonts w:ascii="Times New Roman" w:hAnsi="Times New Roman" w:cs="Times New Roman"/>
          <w:color w:val="000000" w:themeColor="text1"/>
        </w:rPr>
        <w:t xml:space="preserve"> provided on July 27, 2021</w:t>
      </w:r>
      <w:r w:rsidR="00824DDF" w:rsidRPr="00125A6B">
        <w:rPr>
          <w:rFonts w:ascii="Times New Roman" w:hAnsi="Times New Roman" w:cs="Times New Roman"/>
          <w:color w:val="000000" w:themeColor="text1"/>
        </w:rPr>
        <w:t>.</w:t>
      </w:r>
      <w:r w:rsidRPr="00125A6B">
        <w:rPr>
          <w:rFonts w:ascii="Times New Roman" w:hAnsi="Times New Roman" w:cs="Times New Roman"/>
          <w:color w:val="000000" w:themeColor="text1"/>
        </w:rPr>
        <w:t xml:space="preserve"> Please refer to the EHV website </w:t>
      </w:r>
      <w:r w:rsidR="57B0B592" w:rsidRPr="00125A6B">
        <w:rPr>
          <w:rFonts w:ascii="Times New Roman" w:hAnsi="Times New Roman" w:cs="Times New Roman"/>
          <w:color w:val="000000" w:themeColor="text1"/>
        </w:rPr>
        <w:t xml:space="preserve">at </w:t>
      </w:r>
      <w:hyperlink r:id="rId125">
        <w:r w:rsidR="57B0B592" w:rsidRPr="00125A6B">
          <w:rPr>
            <w:rStyle w:val="Hyperlink"/>
            <w:rFonts w:ascii="Times New Roman" w:hAnsi="Times New Roman" w:cs="Times New Roman"/>
          </w:rPr>
          <w:t>https://www.hud.gov/ehv</w:t>
        </w:r>
      </w:hyperlink>
      <w:r w:rsidR="006345C3" w:rsidRPr="00125A6B">
        <w:rPr>
          <w:rStyle w:val="Hyperlink"/>
          <w:rFonts w:ascii="Times New Roman" w:hAnsi="Times New Roman" w:cs="Times New Roman"/>
          <w:u w:val="none"/>
        </w:rPr>
        <w:t xml:space="preserve"> </w:t>
      </w:r>
      <w:r w:rsidRPr="00125A6B">
        <w:rPr>
          <w:rFonts w:ascii="Times New Roman" w:hAnsi="Times New Roman" w:cs="Times New Roman"/>
          <w:color w:val="000000" w:themeColor="text1"/>
        </w:rPr>
        <w:t>for additional information.</w:t>
      </w:r>
    </w:p>
    <w:p w14:paraId="0DF71869" w14:textId="77777777" w:rsidR="005B6F6A" w:rsidRPr="00125A6B" w:rsidRDefault="005B6F6A" w:rsidP="005B6F6A">
      <w:pPr>
        <w:pStyle w:val="Heading1"/>
      </w:pPr>
      <w:bookmarkStart w:id="20" w:name="_Toc74733181"/>
      <w:r w:rsidRPr="00125A6B">
        <w:t>EHV Voucher Allocation</w:t>
      </w:r>
      <w:bookmarkEnd w:id="20"/>
    </w:p>
    <w:p w14:paraId="5B702D2A" w14:textId="77777777" w:rsidR="005B6F6A" w:rsidRPr="00125A6B" w:rsidRDefault="440AE88C" w:rsidP="00CB7838">
      <w:pPr>
        <w:pStyle w:val="ListParagraph"/>
        <w:numPr>
          <w:ilvl w:val="0"/>
          <w:numId w:val="30"/>
        </w:numPr>
        <w:spacing w:line="251" w:lineRule="auto"/>
        <w:rPr>
          <w:rFonts w:ascii="Times New Roman" w:eastAsia="Times New Roman" w:hAnsi="Times New Roman" w:cs="Times New Roman"/>
          <w:b/>
          <w:bCs/>
        </w:rPr>
      </w:pPr>
      <w:r w:rsidRPr="00125A6B">
        <w:rPr>
          <w:rFonts w:ascii="Times New Roman" w:eastAsia="Times New Roman" w:hAnsi="Times New Roman" w:cs="Times New Roman"/>
          <w:b/>
          <w:bCs/>
        </w:rPr>
        <w:t>Why was my PHA not selected to receive EHVs?</w:t>
      </w:r>
      <w:r w:rsidRPr="00125A6B">
        <w:rPr>
          <w:rFonts w:ascii="Times New Roman" w:eastAsia="Times New Roman" w:hAnsi="Times New Roman" w:cs="Times New Roman"/>
        </w:rPr>
        <w:t xml:space="preserve"> </w:t>
      </w:r>
    </w:p>
    <w:p w14:paraId="798186DC" w14:textId="0626EC3F" w:rsidR="005B6F6A" w:rsidRPr="00125A6B" w:rsidRDefault="005B6F6A" w:rsidP="005B6F6A">
      <w:pPr>
        <w:spacing w:line="251" w:lineRule="auto"/>
        <w:ind w:left="720"/>
        <w:rPr>
          <w:rFonts w:ascii="Times New Roman" w:eastAsia="Times New Roman" w:hAnsi="Times New Roman" w:cs="Times New Roman"/>
        </w:rPr>
      </w:pPr>
      <w:r w:rsidRPr="00125A6B">
        <w:rPr>
          <w:rFonts w:ascii="Times New Roman" w:eastAsia="Times New Roman" w:hAnsi="Times New Roman" w:cs="Times New Roman"/>
        </w:rPr>
        <w:t>HUD’s allocation formula is designed to direct emergency vouchers to PHA</w:t>
      </w:r>
      <w:r w:rsidR="00401A9A" w:rsidRPr="00125A6B">
        <w:rPr>
          <w:rFonts w:ascii="Times New Roman" w:eastAsia="Times New Roman" w:hAnsi="Times New Roman" w:cs="Times New Roman"/>
        </w:rPr>
        <w:t>s</w:t>
      </w:r>
      <w:r w:rsidRPr="00125A6B">
        <w:rPr>
          <w:rFonts w:ascii="Times New Roman" w:eastAsia="Times New Roman" w:hAnsi="Times New Roman" w:cs="Times New Roman"/>
        </w:rPr>
        <w:t xml:space="preserve"> operating in areas where the EHV</w:t>
      </w:r>
      <w:r w:rsidR="00401A9A" w:rsidRPr="00125A6B">
        <w:rPr>
          <w:rFonts w:ascii="Times New Roman" w:eastAsia="Times New Roman" w:hAnsi="Times New Roman" w:cs="Times New Roman"/>
        </w:rPr>
        <w:t>-</w:t>
      </w:r>
      <w:r w:rsidRPr="00125A6B">
        <w:rPr>
          <w:rFonts w:ascii="Times New Roman" w:eastAsia="Times New Roman" w:hAnsi="Times New Roman" w:cs="Times New Roman"/>
        </w:rPr>
        <w:t>eligible population ha</w:t>
      </w:r>
      <w:r w:rsidR="00401A9A" w:rsidRPr="00125A6B">
        <w:rPr>
          <w:rFonts w:ascii="Times New Roman" w:eastAsia="Times New Roman" w:hAnsi="Times New Roman" w:cs="Times New Roman"/>
        </w:rPr>
        <w:t>s</w:t>
      </w:r>
      <w:r w:rsidRPr="00125A6B">
        <w:rPr>
          <w:rFonts w:ascii="Times New Roman" w:eastAsia="Times New Roman" w:hAnsi="Times New Roman" w:cs="Times New Roman"/>
        </w:rPr>
        <w:t xml:space="preserve"> the greatest need while also considering PHA capacity and the requirement to ensure geographic diversity, including rural areas.  The EHV Operating Notice includes a detailed description of the formula HUD used to determine whether and how much EHV a PHA was allocated.</w:t>
      </w:r>
    </w:p>
    <w:p w14:paraId="0A34080C" w14:textId="62430AB2" w:rsidR="005B6F6A" w:rsidRPr="00125A6B" w:rsidRDefault="005B6F6A" w:rsidP="00293986">
      <w:pPr>
        <w:spacing w:line="251" w:lineRule="auto"/>
        <w:ind w:left="720"/>
        <w:rPr>
          <w:rFonts w:ascii="Times New Roman" w:eastAsia="Times New Roman" w:hAnsi="Times New Roman" w:cs="Times New Roman"/>
        </w:rPr>
      </w:pPr>
      <w:r w:rsidRPr="00125A6B">
        <w:rPr>
          <w:rFonts w:ascii="Times New Roman" w:eastAsia="Times New Roman" w:hAnsi="Times New Roman" w:cs="Times New Roman"/>
        </w:rPr>
        <w:t xml:space="preserve">If a PHA did not receive EHV funding, it is because of the minimum allocation </w:t>
      </w:r>
      <w:r w:rsidR="004150E7" w:rsidRPr="00125A6B">
        <w:rPr>
          <w:rFonts w:ascii="Times New Roman" w:eastAsia="Times New Roman" w:hAnsi="Times New Roman" w:cs="Times New Roman"/>
        </w:rPr>
        <w:t xml:space="preserve">size </w:t>
      </w:r>
      <w:r w:rsidRPr="00125A6B">
        <w:rPr>
          <w:rFonts w:ascii="Times New Roman" w:eastAsia="Times New Roman" w:hAnsi="Times New Roman" w:cs="Times New Roman"/>
        </w:rPr>
        <w:t xml:space="preserve">that </w:t>
      </w:r>
      <w:r w:rsidR="00CD60EC" w:rsidRPr="00125A6B">
        <w:rPr>
          <w:rFonts w:ascii="Times New Roman" w:eastAsia="Times New Roman" w:hAnsi="Times New Roman" w:cs="Times New Roman"/>
        </w:rPr>
        <w:t>is</w:t>
      </w:r>
      <w:r w:rsidRPr="00125A6B">
        <w:rPr>
          <w:rFonts w:ascii="Times New Roman" w:eastAsia="Times New Roman" w:hAnsi="Times New Roman" w:cs="Times New Roman"/>
        </w:rPr>
        <w:t xml:space="preserve"> explained in the Notice.  Note, because of the process for allocations to high need rural areas, it is possible smaller PHAs received an allocation in a state while a larger PHA does not.  </w:t>
      </w:r>
    </w:p>
    <w:p w14:paraId="09255C73" w14:textId="77777777" w:rsidR="005B6F6A" w:rsidRPr="00125A6B" w:rsidRDefault="005B6F6A" w:rsidP="005B6F6A">
      <w:pPr>
        <w:pStyle w:val="Heading1"/>
      </w:pPr>
      <w:bookmarkStart w:id="21" w:name="_Toc74733182"/>
      <w:r w:rsidRPr="00125A6B">
        <w:lastRenderedPageBreak/>
        <w:t>EHV Voucher Acceptance/Rejection Process</w:t>
      </w:r>
      <w:bookmarkEnd w:id="21"/>
    </w:p>
    <w:p w14:paraId="79586212" w14:textId="77777777" w:rsidR="005B6F6A" w:rsidRPr="00125A6B" w:rsidRDefault="440AE88C" w:rsidP="00CB7838">
      <w:pPr>
        <w:pStyle w:val="ListParagraph"/>
        <w:numPr>
          <w:ilvl w:val="0"/>
          <w:numId w:val="30"/>
        </w:numPr>
        <w:spacing w:line="251" w:lineRule="auto"/>
        <w:rPr>
          <w:rFonts w:ascii="Times New Roman" w:eastAsia="Times New Roman" w:hAnsi="Times New Roman" w:cs="Times New Roman"/>
          <w:b/>
          <w:bCs/>
          <w:color w:val="000000" w:themeColor="text1"/>
        </w:rPr>
      </w:pPr>
      <w:r w:rsidRPr="00125A6B">
        <w:rPr>
          <w:rFonts w:ascii="Times New Roman" w:eastAsia="Times New Roman" w:hAnsi="Times New Roman" w:cs="Times New Roman"/>
          <w:b/>
          <w:bCs/>
        </w:rPr>
        <w:t xml:space="preserve">Can I request fewer vouchers than the amount allocated to my PHA? </w:t>
      </w:r>
    </w:p>
    <w:p w14:paraId="4EB73284" w14:textId="77777777" w:rsidR="005B6F6A" w:rsidRPr="00125A6B" w:rsidRDefault="005B6F6A" w:rsidP="005B6F6A">
      <w:pPr>
        <w:spacing w:line="251" w:lineRule="auto"/>
        <w:ind w:left="720"/>
        <w:rPr>
          <w:rFonts w:ascii="Times New Roman" w:eastAsia="Times New Roman" w:hAnsi="Times New Roman" w:cs="Times New Roman"/>
        </w:rPr>
      </w:pPr>
      <w:r w:rsidRPr="00125A6B">
        <w:rPr>
          <w:rFonts w:ascii="Times New Roman" w:eastAsia="Times New Roman" w:hAnsi="Times New Roman" w:cs="Times New Roman"/>
        </w:rPr>
        <w:t xml:space="preserve">Yes. While PHAs are encouraged to accept the entire EHV allocation, the PHA may choose to accept a lower number of vouchers than the number offered by HUD in the notification but not fewer than the minimum allocation of 25 or 15, as applicable. </w:t>
      </w:r>
    </w:p>
    <w:p w14:paraId="6519D408" w14:textId="77777777" w:rsidR="005B6F6A" w:rsidRPr="00125A6B" w:rsidRDefault="440AE88C" w:rsidP="00CB7838">
      <w:pPr>
        <w:pStyle w:val="ListParagraph"/>
        <w:numPr>
          <w:ilvl w:val="0"/>
          <w:numId w:val="30"/>
        </w:numPr>
        <w:spacing w:line="251" w:lineRule="auto"/>
        <w:rPr>
          <w:rFonts w:ascii="Times New Roman" w:eastAsia="Times New Roman" w:hAnsi="Times New Roman" w:cs="Times New Roman"/>
          <w:b/>
          <w:bCs/>
        </w:rPr>
      </w:pPr>
      <w:r w:rsidRPr="00125A6B">
        <w:rPr>
          <w:rFonts w:ascii="Times New Roman" w:eastAsia="Times New Roman" w:hAnsi="Times New Roman" w:cs="Times New Roman"/>
          <w:b/>
          <w:bCs/>
        </w:rPr>
        <w:t xml:space="preserve">Can I request more EHVs than the amount outlined in my award? </w:t>
      </w:r>
    </w:p>
    <w:p w14:paraId="2AE82E32" w14:textId="77777777" w:rsidR="005B6F6A" w:rsidRPr="00125A6B" w:rsidRDefault="005B6F6A" w:rsidP="005B6F6A">
      <w:pPr>
        <w:spacing w:line="251" w:lineRule="auto"/>
        <w:ind w:left="720"/>
        <w:rPr>
          <w:rFonts w:ascii="Times New Roman" w:eastAsia="Times New Roman" w:hAnsi="Times New Roman" w:cs="Times New Roman"/>
        </w:rPr>
      </w:pPr>
      <w:r w:rsidRPr="00125A6B">
        <w:rPr>
          <w:rFonts w:ascii="Times New Roman" w:eastAsia="Times New Roman" w:hAnsi="Times New Roman" w:cs="Times New Roman"/>
        </w:rPr>
        <w:t xml:space="preserve">Yes, the initial award letter provides an option where the PHA can select “Accept Full Allocation, Plus More.” When a PHA selects this option, they will also be requested to respond to the question of how many additional EHVs the PHA would accept.  </w:t>
      </w:r>
    </w:p>
    <w:p w14:paraId="2840EE3C" w14:textId="40FE2BA6" w:rsidR="005B6F6A" w:rsidRPr="00125A6B" w:rsidRDefault="005B6F6A" w:rsidP="00706D29">
      <w:pPr>
        <w:spacing w:after="0" w:line="251" w:lineRule="auto"/>
        <w:ind w:left="720"/>
        <w:rPr>
          <w:rFonts w:ascii="Times New Roman" w:eastAsia="Times New Roman" w:hAnsi="Times New Roman" w:cs="Times New Roman"/>
        </w:rPr>
      </w:pPr>
      <w:r w:rsidRPr="00125A6B">
        <w:rPr>
          <w:rFonts w:ascii="Times New Roman" w:eastAsia="Times New Roman" w:hAnsi="Times New Roman" w:cs="Times New Roman"/>
        </w:rPr>
        <w:t xml:space="preserve">If PHAs fail to lease their authorized EHVs within a reasonable period of time, HUD may revoke (recapture) and redistribute any unleased vouchers and associated funds to other PHAs. See Section 14 of </w:t>
      </w:r>
      <w:hyperlink r:id="rId126" w:history="1">
        <w:r w:rsidR="00CD60EC"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rPr>
        <w:t xml:space="preserve"> for additional information about EHV acceptance. </w:t>
      </w:r>
    </w:p>
    <w:p w14:paraId="5224FF56" w14:textId="77777777" w:rsidR="00706D29" w:rsidRPr="00125A6B" w:rsidRDefault="00706D29" w:rsidP="00706D29">
      <w:pPr>
        <w:spacing w:after="0" w:line="251" w:lineRule="auto"/>
        <w:ind w:left="720"/>
        <w:rPr>
          <w:rFonts w:ascii="Times New Roman" w:eastAsia="Times New Roman" w:hAnsi="Times New Roman" w:cs="Times New Roman"/>
        </w:rPr>
      </w:pPr>
    </w:p>
    <w:p w14:paraId="5E0044DE" w14:textId="77777777" w:rsidR="005B6F6A" w:rsidRPr="00125A6B" w:rsidRDefault="440AE88C" w:rsidP="00CB7838">
      <w:pPr>
        <w:pStyle w:val="ListParagraph"/>
        <w:numPr>
          <w:ilvl w:val="0"/>
          <w:numId w:val="30"/>
        </w:numPr>
        <w:spacing w:line="251" w:lineRule="auto"/>
        <w:rPr>
          <w:rFonts w:ascii="Times New Roman" w:eastAsia="Times New Roman" w:hAnsi="Times New Roman" w:cs="Times New Roman"/>
          <w:b/>
          <w:bCs/>
        </w:rPr>
      </w:pPr>
      <w:r w:rsidRPr="00125A6B">
        <w:rPr>
          <w:rFonts w:ascii="Times New Roman" w:eastAsia="Times New Roman" w:hAnsi="Times New Roman" w:cs="Times New Roman"/>
          <w:b/>
          <w:bCs/>
        </w:rPr>
        <w:t>Upon a declining PHA’s request, may HUD instead allocate the PHA’s EHV allocation to a neighboring PHA or a PHA with an overlapping jurisdiction?</w:t>
      </w:r>
    </w:p>
    <w:p w14:paraId="4B5EE704" w14:textId="77777777" w:rsidR="005B6F6A" w:rsidRPr="00125A6B" w:rsidRDefault="005B6F6A" w:rsidP="005B6F6A">
      <w:pPr>
        <w:pStyle w:val="ListParagraph"/>
        <w:spacing w:line="251" w:lineRule="auto"/>
        <w:rPr>
          <w:rFonts w:ascii="Times New Roman" w:eastAsia="Times New Roman" w:hAnsi="Times New Roman" w:cs="Times New Roman"/>
          <w:b/>
          <w:bCs/>
        </w:rPr>
      </w:pPr>
    </w:p>
    <w:p w14:paraId="12D173A6" w14:textId="71DD691A" w:rsidR="005B6F6A" w:rsidRPr="00125A6B" w:rsidRDefault="005B6F6A" w:rsidP="005B6F6A">
      <w:pPr>
        <w:pStyle w:val="ListParagraph"/>
        <w:spacing w:line="251" w:lineRule="auto"/>
        <w:rPr>
          <w:rFonts w:ascii="Times New Roman" w:eastAsia="Times New Roman" w:hAnsi="Times New Roman" w:cs="Times New Roman"/>
        </w:rPr>
      </w:pPr>
      <w:r w:rsidRPr="00125A6B">
        <w:rPr>
          <w:rFonts w:ascii="Times New Roman" w:eastAsia="Times New Roman" w:hAnsi="Times New Roman" w:cs="Times New Roman"/>
        </w:rPr>
        <w:t xml:space="preserve">No. HUD </w:t>
      </w:r>
      <w:r w:rsidR="00CD60EC" w:rsidRPr="00125A6B">
        <w:rPr>
          <w:rFonts w:ascii="Times New Roman" w:eastAsia="Times New Roman" w:hAnsi="Times New Roman" w:cs="Times New Roman"/>
        </w:rPr>
        <w:t xml:space="preserve">will </w:t>
      </w:r>
      <w:r w:rsidRPr="00125A6B">
        <w:rPr>
          <w:rFonts w:ascii="Times New Roman" w:eastAsia="Times New Roman" w:hAnsi="Times New Roman" w:cs="Times New Roman"/>
        </w:rPr>
        <w:t xml:space="preserve">follow the EHV allocation formula outlined in </w:t>
      </w:r>
      <w:hyperlink r:id="rId127" w:history="1">
        <w:r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rPr>
        <w:t>.</w:t>
      </w:r>
    </w:p>
    <w:p w14:paraId="084E7010" w14:textId="77777777" w:rsidR="005B6F6A" w:rsidRPr="00125A6B" w:rsidRDefault="005B6F6A" w:rsidP="005B6F6A">
      <w:pPr>
        <w:pStyle w:val="ListParagraph"/>
        <w:spacing w:line="251" w:lineRule="auto"/>
        <w:rPr>
          <w:rFonts w:ascii="Times New Roman" w:eastAsia="Times New Roman" w:hAnsi="Times New Roman" w:cs="Times New Roman"/>
        </w:rPr>
      </w:pPr>
    </w:p>
    <w:p w14:paraId="442DD79A" w14:textId="330D76B0" w:rsidR="005B6F6A" w:rsidRPr="00125A6B" w:rsidRDefault="440AE88C" w:rsidP="00CB7838">
      <w:pPr>
        <w:pStyle w:val="ListParagraph"/>
        <w:numPr>
          <w:ilvl w:val="0"/>
          <w:numId w:val="30"/>
        </w:numPr>
        <w:spacing w:after="0" w:line="240" w:lineRule="auto"/>
        <w:rPr>
          <w:rFonts w:ascii="Times New Roman" w:eastAsia="Times New Roman" w:hAnsi="Times New Roman" w:cs="Times New Roman"/>
          <w:b/>
          <w:bCs/>
          <w:color w:val="000000"/>
        </w:rPr>
      </w:pPr>
      <w:r w:rsidRPr="00125A6B">
        <w:rPr>
          <w:rFonts w:ascii="Times New Roman" w:eastAsia="Times New Roman" w:hAnsi="Times New Roman" w:cs="Times New Roman"/>
          <w:b/>
          <w:bCs/>
          <w:color w:val="000000" w:themeColor="text1"/>
        </w:rPr>
        <w:t xml:space="preserve">If </w:t>
      </w:r>
      <w:r w:rsidR="1506F784" w:rsidRPr="00125A6B">
        <w:rPr>
          <w:rFonts w:ascii="Times New Roman" w:eastAsia="Times New Roman" w:hAnsi="Times New Roman" w:cs="Times New Roman"/>
          <w:b/>
          <w:bCs/>
          <w:color w:val="000000" w:themeColor="text1"/>
        </w:rPr>
        <w:t xml:space="preserve">a </w:t>
      </w:r>
      <w:r w:rsidRPr="00125A6B">
        <w:rPr>
          <w:rFonts w:ascii="Times New Roman" w:eastAsia="Times New Roman" w:hAnsi="Times New Roman" w:cs="Times New Roman"/>
          <w:b/>
          <w:bCs/>
          <w:color w:val="000000" w:themeColor="text1"/>
        </w:rPr>
        <w:t>PHA does not accept the</w:t>
      </w:r>
      <w:r w:rsidR="27F24177" w:rsidRPr="00125A6B">
        <w:rPr>
          <w:rFonts w:ascii="Times New Roman" w:eastAsia="Times New Roman" w:hAnsi="Times New Roman" w:cs="Times New Roman"/>
          <w:b/>
          <w:bCs/>
          <w:color w:val="000000" w:themeColor="text1"/>
        </w:rPr>
        <w:t xml:space="preserve"> EHV</w:t>
      </w:r>
      <w:r w:rsidRPr="00125A6B">
        <w:rPr>
          <w:rFonts w:ascii="Times New Roman" w:eastAsia="Times New Roman" w:hAnsi="Times New Roman" w:cs="Times New Roman"/>
          <w:b/>
          <w:bCs/>
          <w:color w:val="000000" w:themeColor="text1"/>
        </w:rPr>
        <w:t xml:space="preserve"> vouchers, will there be any penalties? </w:t>
      </w:r>
    </w:p>
    <w:p w14:paraId="2DB4F4DB" w14:textId="77777777" w:rsidR="005B6F6A" w:rsidRPr="00125A6B" w:rsidRDefault="005B6F6A" w:rsidP="005B6F6A">
      <w:pPr>
        <w:pStyle w:val="ListParagraph"/>
        <w:spacing w:after="0" w:line="240" w:lineRule="auto"/>
        <w:rPr>
          <w:rFonts w:ascii="Times New Roman" w:eastAsia="Times New Roman" w:hAnsi="Times New Roman" w:cs="Times New Roman"/>
          <w:b/>
          <w:bCs/>
          <w:color w:val="000000"/>
        </w:rPr>
      </w:pPr>
    </w:p>
    <w:p w14:paraId="12223B18" w14:textId="4C801F37" w:rsidR="005B6F6A" w:rsidRPr="00125A6B" w:rsidRDefault="005B6F6A" w:rsidP="005B6F6A">
      <w:pPr>
        <w:spacing w:line="251" w:lineRule="auto"/>
        <w:ind w:left="720"/>
        <w:rPr>
          <w:rFonts w:ascii="Times New Roman" w:eastAsia="Times New Roman" w:hAnsi="Times New Roman" w:cs="Times New Roman"/>
        </w:rPr>
      </w:pPr>
      <w:r w:rsidRPr="00125A6B">
        <w:rPr>
          <w:rFonts w:ascii="Times New Roman" w:eastAsia="Times New Roman" w:hAnsi="Times New Roman" w:cs="Times New Roman"/>
        </w:rPr>
        <w:t>No. There are no penalties for not accepting an</w:t>
      </w:r>
      <w:r w:rsidR="00706D29" w:rsidRPr="00125A6B">
        <w:rPr>
          <w:rFonts w:ascii="Times New Roman" w:eastAsia="Times New Roman" w:hAnsi="Times New Roman" w:cs="Times New Roman"/>
        </w:rPr>
        <w:t xml:space="preserve"> EHV allocation</w:t>
      </w:r>
      <w:r w:rsidRPr="00125A6B">
        <w:rPr>
          <w:rFonts w:ascii="Times New Roman" w:eastAsia="Times New Roman" w:hAnsi="Times New Roman" w:cs="Times New Roman"/>
        </w:rPr>
        <w:t xml:space="preserve"> or accepting less than the amount </w:t>
      </w:r>
      <w:r w:rsidR="00266529" w:rsidRPr="00125A6B">
        <w:rPr>
          <w:rFonts w:ascii="Times New Roman" w:eastAsia="Times New Roman" w:hAnsi="Times New Roman" w:cs="Times New Roman"/>
        </w:rPr>
        <w:t>allocated</w:t>
      </w:r>
      <w:r w:rsidRPr="00125A6B">
        <w:rPr>
          <w:rFonts w:ascii="Times New Roman" w:eastAsia="Times New Roman" w:hAnsi="Times New Roman" w:cs="Times New Roman"/>
        </w:rPr>
        <w:t>. PHAs are encouraged to reach out to their HUD Field Office to discuss their concerns. There may be technical assistance available to address concerns.</w:t>
      </w:r>
    </w:p>
    <w:p w14:paraId="4641D0C6" w14:textId="77777777" w:rsidR="005B6F6A" w:rsidRPr="00125A6B" w:rsidRDefault="005B6F6A" w:rsidP="005B6F6A">
      <w:pPr>
        <w:pStyle w:val="Heading1"/>
      </w:pPr>
      <w:bookmarkStart w:id="22" w:name="_Toc74733183"/>
      <w:r w:rsidRPr="00125A6B">
        <w:t>MTW</w:t>
      </w:r>
      <w:bookmarkEnd w:id="22"/>
    </w:p>
    <w:p w14:paraId="09D37D3E" w14:textId="50D2B00D" w:rsidR="00B67A00" w:rsidRPr="00125A6B" w:rsidRDefault="00B67A00" w:rsidP="00CB7838">
      <w:pPr>
        <w:pStyle w:val="ListParagraph"/>
        <w:numPr>
          <w:ilvl w:val="0"/>
          <w:numId w:val="30"/>
        </w:numPr>
        <w:spacing w:after="0" w:line="252" w:lineRule="auto"/>
        <w:rPr>
          <w:rFonts w:ascii="Times New Roman" w:hAnsi="Times New Roman" w:cs="Times New Roman"/>
          <w:b/>
          <w:bCs/>
        </w:rPr>
      </w:pPr>
      <w:r w:rsidRPr="00125A6B">
        <w:rPr>
          <w:rFonts w:ascii="Times New Roman" w:hAnsi="Times New Roman" w:cs="Times New Roman"/>
          <w:b/>
          <w:bCs/>
        </w:rPr>
        <w:t xml:space="preserve">How do MTW PHAs request approval to use MTW flexibilities as </w:t>
      </w:r>
      <w:r w:rsidR="00040355" w:rsidRPr="00125A6B">
        <w:rPr>
          <w:rFonts w:ascii="Times New Roman" w:hAnsi="Times New Roman" w:cs="Times New Roman"/>
          <w:b/>
          <w:bCs/>
        </w:rPr>
        <w:t xml:space="preserve">it relates to the  </w:t>
      </w:r>
      <w:r w:rsidRPr="00125A6B">
        <w:rPr>
          <w:rFonts w:ascii="Times New Roman" w:hAnsi="Times New Roman" w:cs="Times New Roman"/>
          <w:b/>
          <w:bCs/>
        </w:rPr>
        <w:t xml:space="preserve"> administration of EHV? </w:t>
      </w:r>
    </w:p>
    <w:p w14:paraId="13B124E3" w14:textId="77777777" w:rsidR="00754D4B" w:rsidRPr="00125A6B" w:rsidRDefault="00754D4B" w:rsidP="00B67A00">
      <w:pPr>
        <w:ind w:left="720"/>
        <w:rPr>
          <w:rFonts w:ascii="Times New Roman" w:eastAsia="Times New Roman" w:hAnsi="Times New Roman" w:cs="Times New Roman"/>
        </w:rPr>
      </w:pPr>
    </w:p>
    <w:p w14:paraId="0A2FBB41" w14:textId="68D021E4" w:rsidR="00B67A00" w:rsidRPr="00125A6B" w:rsidRDefault="00B67A00" w:rsidP="00B67A00">
      <w:pPr>
        <w:ind w:left="720"/>
        <w:rPr>
          <w:rFonts w:ascii="Times New Roman" w:eastAsia="Times New Roman" w:hAnsi="Times New Roman" w:cs="Times New Roman"/>
        </w:rPr>
      </w:pPr>
      <w:r w:rsidRPr="00125A6B">
        <w:rPr>
          <w:rFonts w:ascii="Times New Roman" w:eastAsia="Times New Roman" w:hAnsi="Times New Roman" w:cs="Times New Roman"/>
        </w:rPr>
        <w:t xml:space="preserve">Section 10 of </w:t>
      </w:r>
      <w:hyperlink r:id="rId128" w:history="1">
        <w:r w:rsidRPr="00125A6B">
          <w:rPr>
            <w:rStyle w:val="Hyperlink"/>
            <w:rFonts w:ascii="Times New Roman" w:eastAsia="Times New Roman" w:hAnsi="Times New Roman" w:cs="Times New Roman"/>
          </w:rPr>
          <w:t>PIH Notice 2021-15</w:t>
        </w:r>
      </w:hyperlink>
      <w:r w:rsidRPr="00125A6B">
        <w:rPr>
          <w:rFonts w:ascii="Times New Roman" w:eastAsia="Times New Roman" w:hAnsi="Times New Roman" w:cs="Times New Roman"/>
        </w:rPr>
        <w:t xml:space="preserve"> states that, “MTW agencies may request approval from HUD’s Office of Housing Voucher Programs to administer EHVs in accordance with the HCV programmatic flexibilities approved under PHA’s Annual MTW Plan or MTW Supplement to the PHA Plan, as permitted by its MTW Agreement or the MTW Operations Notice. The Office of Housing Voucher Programs may approve the MTW PHA’s request provided it determines the requested MTW flexibility is not in direct conflict with an EHV waiver or alternative requirement, and its application would not have a detrimental impact on EHV families.” </w:t>
      </w:r>
    </w:p>
    <w:p w14:paraId="0A99EC1B" w14:textId="25934B2D" w:rsidR="00B67A00" w:rsidRPr="00125A6B" w:rsidRDefault="00B67A00" w:rsidP="009D494D">
      <w:pPr>
        <w:ind w:left="720"/>
        <w:rPr>
          <w:rFonts w:ascii="Times New Roman" w:eastAsia="Times New Roman" w:hAnsi="Times New Roman" w:cs="Times New Roman"/>
        </w:rPr>
      </w:pPr>
      <w:r w:rsidRPr="00125A6B">
        <w:rPr>
          <w:rFonts w:ascii="Times New Roman" w:eastAsia="Times New Roman" w:hAnsi="Times New Roman" w:cs="Times New Roman"/>
        </w:rPr>
        <w:t>MTW PHAs may submit such requests with supporting justification through their local Field Office</w:t>
      </w:r>
      <w:r w:rsidR="009D494D" w:rsidRPr="00125A6B">
        <w:rPr>
          <w:rFonts w:ascii="Times New Roman" w:eastAsia="Times New Roman" w:hAnsi="Times New Roman" w:cs="Times New Roman"/>
        </w:rPr>
        <w:t>.</w:t>
      </w:r>
    </w:p>
    <w:p w14:paraId="0B48FAD3" w14:textId="5615F691" w:rsidR="00B03E38" w:rsidRPr="00125A6B" w:rsidRDefault="00B03E38" w:rsidP="00B03E38">
      <w:pPr>
        <w:pStyle w:val="CommentText"/>
        <w:ind w:left="720"/>
        <w:rPr>
          <w:rFonts w:ascii="Times New Roman" w:eastAsia="Times New Roman" w:hAnsi="Times New Roman" w:cs="Times New Roman"/>
          <w:sz w:val="22"/>
          <w:szCs w:val="22"/>
        </w:rPr>
      </w:pPr>
      <w:r w:rsidRPr="00125A6B">
        <w:rPr>
          <w:rFonts w:ascii="Times New Roman" w:eastAsia="Times New Roman" w:hAnsi="Times New Roman" w:cs="Times New Roman"/>
          <w:sz w:val="22"/>
          <w:szCs w:val="22"/>
        </w:rPr>
        <w:t xml:space="preserve">To expedite processing, it is strongly recommended that </w:t>
      </w:r>
      <w:r w:rsidR="002A113E" w:rsidRPr="00125A6B">
        <w:rPr>
          <w:rFonts w:ascii="Times New Roman" w:eastAsia="Times New Roman" w:hAnsi="Times New Roman" w:cs="Times New Roman"/>
          <w:sz w:val="22"/>
          <w:szCs w:val="22"/>
        </w:rPr>
        <w:t>for each MTW flexibility</w:t>
      </w:r>
      <w:r w:rsidRPr="00125A6B">
        <w:rPr>
          <w:rFonts w:ascii="Times New Roman" w:eastAsia="Times New Roman" w:hAnsi="Times New Roman" w:cs="Times New Roman"/>
          <w:sz w:val="22"/>
          <w:szCs w:val="22"/>
        </w:rPr>
        <w:t xml:space="preserve"> </w:t>
      </w:r>
      <w:r w:rsidR="002A113E" w:rsidRPr="00125A6B">
        <w:rPr>
          <w:rFonts w:ascii="Times New Roman" w:eastAsia="Times New Roman" w:hAnsi="Times New Roman" w:cs="Times New Roman"/>
          <w:sz w:val="22"/>
          <w:szCs w:val="22"/>
        </w:rPr>
        <w:t>requested</w:t>
      </w:r>
      <w:r w:rsidR="00CD60EC" w:rsidRPr="00125A6B">
        <w:rPr>
          <w:rFonts w:ascii="Times New Roman" w:eastAsia="Times New Roman" w:hAnsi="Times New Roman" w:cs="Times New Roman"/>
          <w:sz w:val="22"/>
          <w:szCs w:val="22"/>
        </w:rPr>
        <w:t>,</w:t>
      </w:r>
      <w:r w:rsidR="002A113E" w:rsidRPr="00125A6B">
        <w:rPr>
          <w:rFonts w:ascii="Times New Roman" w:eastAsia="Times New Roman" w:hAnsi="Times New Roman" w:cs="Times New Roman"/>
          <w:sz w:val="22"/>
          <w:szCs w:val="22"/>
        </w:rPr>
        <w:t xml:space="preserve"> the MTW PHA addresses how </w:t>
      </w:r>
      <w:r w:rsidRPr="00125A6B">
        <w:rPr>
          <w:rFonts w:ascii="Times New Roman" w:eastAsia="Times New Roman" w:hAnsi="Times New Roman" w:cs="Times New Roman"/>
          <w:sz w:val="22"/>
          <w:szCs w:val="22"/>
        </w:rPr>
        <w:t xml:space="preserve">the </w:t>
      </w:r>
      <w:r w:rsidR="00C626FF" w:rsidRPr="00125A6B">
        <w:rPr>
          <w:rFonts w:ascii="Times New Roman" w:eastAsia="Times New Roman" w:hAnsi="Times New Roman" w:cs="Times New Roman"/>
          <w:sz w:val="22"/>
          <w:szCs w:val="22"/>
        </w:rPr>
        <w:t xml:space="preserve">MTW flexibility </w:t>
      </w:r>
      <w:r w:rsidRPr="00125A6B">
        <w:rPr>
          <w:rFonts w:ascii="Times New Roman" w:eastAsia="Times New Roman" w:hAnsi="Times New Roman" w:cs="Times New Roman"/>
          <w:sz w:val="22"/>
          <w:szCs w:val="22"/>
        </w:rPr>
        <w:t>is not in conflict with a</w:t>
      </w:r>
      <w:r w:rsidR="00CD60EC" w:rsidRPr="00125A6B">
        <w:rPr>
          <w:rFonts w:ascii="Times New Roman" w:eastAsia="Times New Roman" w:hAnsi="Times New Roman" w:cs="Times New Roman"/>
          <w:sz w:val="22"/>
          <w:szCs w:val="22"/>
        </w:rPr>
        <w:t>n</w:t>
      </w:r>
      <w:r w:rsidRPr="00125A6B">
        <w:rPr>
          <w:rFonts w:ascii="Times New Roman" w:eastAsia="Times New Roman" w:hAnsi="Times New Roman" w:cs="Times New Roman"/>
          <w:sz w:val="22"/>
          <w:szCs w:val="22"/>
        </w:rPr>
        <w:t xml:space="preserve"> EHV waiver or alternative requirement and that </w:t>
      </w:r>
      <w:r w:rsidR="00C626FF" w:rsidRPr="00125A6B">
        <w:rPr>
          <w:rFonts w:ascii="Times New Roman" w:eastAsia="Times New Roman" w:hAnsi="Times New Roman" w:cs="Times New Roman"/>
          <w:sz w:val="22"/>
          <w:szCs w:val="22"/>
        </w:rPr>
        <w:t>its</w:t>
      </w:r>
      <w:r w:rsidRPr="00125A6B">
        <w:rPr>
          <w:rFonts w:ascii="Times New Roman" w:eastAsia="Times New Roman" w:hAnsi="Times New Roman" w:cs="Times New Roman"/>
          <w:sz w:val="22"/>
          <w:szCs w:val="22"/>
        </w:rPr>
        <w:t xml:space="preserve"> application would not have a detrimental impact on families. </w:t>
      </w:r>
    </w:p>
    <w:p w14:paraId="170484B3" w14:textId="0C0ECCF1" w:rsidR="00293986" w:rsidRPr="00125A6B" w:rsidRDefault="00293986" w:rsidP="00293986">
      <w:pPr>
        <w:pStyle w:val="Heading1"/>
      </w:pPr>
      <w:bookmarkStart w:id="23" w:name="_Toc73954986"/>
      <w:bookmarkStart w:id="24" w:name="_Toc74733184"/>
      <w:r w:rsidRPr="00125A6B">
        <w:lastRenderedPageBreak/>
        <w:t>Housing Location/Landlord Resources</w:t>
      </w:r>
      <w:bookmarkEnd w:id="23"/>
      <w:bookmarkEnd w:id="24"/>
    </w:p>
    <w:p w14:paraId="6E072AD0" w14:textId="5499A700" w:rsidR="005B177B" w:rsidRPr="00125A6B" w:rsidRDefault="00EC7765" w:rsidP="00EC7765">
      <w:pPr>
        <w:rPr>
          <w:rFonts w:ascii="Times New Roman" w:hAnsi="Times New Roman" w:cs="Times New Roman"/>
          <w:b/>
          <w:bCs/>
        </w:rPr>
      </w:pPr>
      <w:r w:rsidRPr="00125A6B">
        <w:rPr>
          <w:rFonts w:ascii="Times New Roman" w:hAnsi="Times New Roman" w:cs="Times New Roman"/>
          <w:b/>
          <w:bCs/>
        </w:rPr>
        <w:t xml:space="preserve">      </w:t>
      </w:r>
      <w:r w:rsidR="00ED0A47" w:rsidRPr="00125A6B">
        <w:rPr>
          <w:rFonts w:ascii="Times New Roman" w:hAnsi="Times New Roman" w:cs="Times New Roman"/>
          <w:b/>
          <w:bCs/>
        </w:rPr>
        <w:t>1</w:t>
      </w:r>
      <w:r w:rsidR="00CB7838" w:rsidRPr="00125A6B">
        <w:rPr>
          <w:rFonts w:ascii="Times New Roman" w:hAnsi="Times New Roman" w:cs="Times New Roman"/>
          <w:b/>
          <w:bCs/>
        </w:rPr>
        <w:t>38</w:t>
      </w:r>
      <w:r w:rsidR="00ED0A47" w:rsidRPr="00125A6B">
        <w:rPr>
          <w:rFonts w:ascii="Times New Roman" w:hAnsi="Times New Roman" w:cs="Times New Roman"/>
          <w:b/>
          <w:bCs/>
        </w:rPr>
        <w:t xml:space="preserve">.  </w:t>
      </w:r>
      <w:r w:rsidR="6167EBB8" w:rsidRPr="00125A6B">
        <w:rPr>
          <w:rFonts w:ascii="Times New Roman" w:hAnsi="Times New Roman" w:cs="Times New Roman"/>
          <w:b/>
          <w:bCs/>
        </w:rPr>
        <w:t xml:space="preserve">What benefits are available to landlords who agree to accept an EHV tenant? </w:t>
      </w:r>
    </w:p>
    <w:p w14:paraId="24026620" w14:textId="5F0F3B18" w:rsidR="005B177B" w:rsidRPr="00125A6B" w:rsidRDefault="00EC7765" w:rsidP="00EC7765">
      <w:pPr>
        <w:rPr>
          <w:rFonts w:ascii="Times New Roman" w:eastAsia="Calibri" w:hAnsi="Times New Roman" w:cs="Times New Roman"/>
        </w:rPr>
      </w:pPr>
      <w:r w:rsidRPr="00125A6B">
        <w:rPr>
          <w:rFonts w:ascii="Times New Roman" w:eastAsia="Calibri" w:hAnsi="Times New Roman" w:cs="Times New Roman"/>
        </w:rPr>
        <w:t xml:space="preserve">       </w:t>
      </w:r>
      <w:r w:rsidR="005B177B" w:rsidRPr="00125A6B">
        <w:rPr>
          <w:rFonts w:ascii="Times New Roman" w:eastAsia="Calibri" w:hAnsi="Times New Roman" w:cs="Times New Roman"/>
        </w:rPr>
        <w:t>There are a variety of benefits available to participating landlords, including:</w:t>
      </w:r>
    </w:p>
    <w:p w14:paraId="0B149725" w14:textId="77777777" w:rsidR="005B177B" w:rsidRPr="00125A6B" w:rsidRDefault="005B177B" w:rsidP="00B86D98">
      <w:pPr>
        <w:pStyle w:val="ListParagraph"/>
        <w:numPr>
          <w:ilvl w:val="0"/>
          <w:numId w:val="8"/>
        </w:numPr>
        <w:rPr>
          <w:rFonts w:ascii="Times New Roman" w:eastAsia="Calibri" w:hAnsi="Times New Roman" w:cs="Times New Roman"/>
        </w:rPr>
      </w:pPr>
      <w:r w:rsidRPr="00125A6B">
        <w:rPr>
          <w:rFonts w:ascii="Times New Roman" w:eastAsia="Calibri" w:hAnsi="Times New Roman" w:cs="Times New Roman"/>
        </w:rPr>
        <w:t>Having a contracted monthly assistance payment deposited directly into an owner’s bank account.</w:t>
      </w:r>
    </w:p>
    <w:p w14:paraId="2FF71ECA" w14:textId="23A0F6B6" w:rsidR="005B177B" w:rsidRPr="00125A6B" w:rsidRDefault="005B177B" w:rsidP="00B86D98">
      <w:pPr>
        <w:pStyle w:val="ListParagraph"/>
        <w:numPr>
          <w:ilvl w:val="0"/>
          <w:numId w:val="8"/>
        </w:numPr>
        <w:rPr>
          <w:rFonts w:ascii="Times New Roman" w:eastAsia="Calibri" w:hAnsi="Times New Roman" w:cs="Times New Roman"/>
        </w:rPr>
      </w:pPr>
      <w:r w:rsidRPr="00125A6B">
        <w:rPr>
          <w:rFonts w:ascii="Times New Roman" w:eastAsia="Calibri" w:hAnsi="Times New Roman" w:cs="Times New Roman"/>
        </w:rPr>
        <w:t xml:space="preserve">Reduced likelihood of tenants defaulting on their rent.  If the </w:t>
      </w:r>
      <w:r w:rsidR="00A44AAB" w:rsidRPr="00125A6B">
        <w:rPr>
          <w:rFonts w:ascii="Times New Roman" w:eastAsia="Calibri" w:hAnsi="Times New Roman" w:cs="Times New Roman"/>
        </w:rPr>
        <w:t>tenant’s</w:t>
      </w:r>
      <w:r w:rsidRPr="00125A6B">
        <w:rPr>
          <w:rFonts w:ascii="Times New Roman" w:eastAsia="Calibri" w:hAnsi="Times New Roman" w:cs="Times New Roman"/>
        </w:rPr>
        <w:t xml:space="preserve"> income decrease</w:t>
      </w:r>
      <w:r w:rsidR="00CD60EC" w:rsidRPr="00125A6B">
        <w:rPr>
          <w:rFonts w:ascii="Times New Roman" w:eastAsia="Calibri" w:hAnsi="Times New Roman" w:cs="Times New Roman"/>
        </w:rPr>
        <w:t>s</w:t>
      </w:r>
      <w:r w:rsidRPr="00125A6B">
        <w:rPr>
          <w:rFonts w:ascii="Times New Roman" w:eastAsia="Calibri" w:hAnsi="Times New Roman" w:cs="Times New Roman"/>
        </w:rPr>
        <w:t>, the landlord’s Housing Assistance Payment (HAP) may increase.</w:t>
      </w:r>
    </w:p>
    <w:p w14:paraId="3664F5A3" w14:textId="6C54D6B7" w:rsidR="005B177B" w:rsidRPr="00125A6B" w:rsidRDefault="005B177B" w:rsidP="00B86D98">
      <w:pPr>
        <w:pStyle w:val="ListParagraph"/>
        <w:numPr>
          <w:ilvl w:val="0"/>
          <w:numId w:val="8"/>
        </w:numPr>
        <w:rPr>
          <w:rFonts w:ascii="Times New Roman" w:eastAsia="Calibri" w:hAnsi="Times New Roman" w:cs="Times New Roman"/>
        </w:rPr>
      </w:pPr>
      <w:r w:rsidRPr="00125A6B">
        <w:rPr>
          <w:rFonts w:ascii="Times New Roman" w:eastAsia="Calibri" w:hAnsi="Times New Roman" w:cs="Times New Roman"/>
        </w:rPr>
        <w:t xml:space="preserve">Minimal paperwork is required to get set up and </w:t>
      </w:r>
      <w:r w:rsidR="00A44AAB" w:rsidRPr="00125A6B">
        <w:rPr>
          <w:rFonts w:ascii="Times New Roman" w:eastAsia="Calibri" w:hAnsi="Times New Roman" w:cs="Times New Roman"/>
        </w:rPr>
        <w:t>landlords</w:t>
      </w:r>
      <w:r w:rsidRPr="00125A6B">
        <w:rPr>
          <w:rFonts w:ascii="Times New Roman" w:eastAsia="Calibri" w:hAnsi="Times New Roman" w:cs="Times New Roman"/>
        </w:rPr>
        <w:t xml:space="preserve"> are allowed to use their own lease and screening process.</w:t>
      </w:r>
    </w:p>
    <w:p w14:paraId="5A304847" w14:textId="77777777" w:rsidR="005B177B" w:rsidRPr="00125A6B" w:rsidRDefault="005B177B" w:rsidP="00B86D98">
      <w:pPr>
        <w:pStyle w:val="ListParagraph"/>
        <w:numPr>
          <w:ilvl w:val="0"/>
          <w:numId w:val="8"/>
        </w:numPr>
        <w:rPr>
          <w:rFonts w:ascii="Times New Roman" w:eastAsia="Calibri" w:hAnsi="Times New Roman" w:cs="Times New Roman"/>
        </w:rPr>
      </w:pPr>
      <w:r w:rsidRPr="00125A6B">
        <w:rPr>
          <w:rFonts w:ascii="Times New Roman" w:eastAsia="Calibri" w:hAnsi="Times New Roman" w:cs="Times New Roman"/>
        </w:rPr>
        <w:t>Inspections are completed by the Public Housing Agency, or their designee, which will aide owners in identifying maintenance issues on the property.</w:t>
      </w:r>
    </w:p>
    <w:p w14:paraId="0951B260" w14:textId="15F27F45" w:rsidR="005B177B" w:rsidRPr="00125A6B" w:rsidRDefault="005B177B" w:rsidP="00B86D98">
      <w:pPr>
        <w:pStyle w:val="ListParagraph"/>
        <w:numPr>
          <w:ilvl w:val="0"/>
          <w:numId w:val="8"/>
        </w:numPr>
        <w:rPr>
          <w:rFonts w:ascii="Times New Roman" w:eastAsia="Calibri" w:hAnsi="Times New Roman" w:cs="Times New Roman"/>
        </w:rPr>
      </w:pPr>
      <w:r w:rsidRPr="00125A6B">
        <w:rPr>
          <w:rFonts w:ascii="Times New Roman" w:eastAsia="Calibri" w:hAnsi="Times New Roman" w:cs="Times New Roman"/>
        </w:rPr>
        <w:t>EHV Service Fees can cover security deposits, holding fees, application fees, and renter’s insurance (where necessary).</w:t>
      </w:r>
    </w:p>
    <w:p w14:paraId="2402F6EA" w14:textId="22C1F30A" w:rsidR="005B177B" w:rsidRPr="00125A6B" w:rsidRDefault="00F31BE5" w:rsidP="00CB7838">
      <w:pPr>
        <w:pStyle w:val="ListParagraph"/>
        <w:numPr>
          <w:ilvl w:val="0"/>
          <w:numId w:val="31"/>
        </w:numPr>
        <w:rPr>
          <w:rFonts w:ascii="Times New Roman" w:hAnsi="Times New Roman" w:cs="Times New Roman"/>
          <w:b/>
          <w:bCs/>
        </w:rPr>
      </w:pPr>
      <w:r w:rsidRPr="00125A6B">
        <w:rPr>
          <w:rFonts w:ascii="Times New Roman" w:hAnsi="Times New Roman" w:cs="Times New Roman"/>
          <w:b/>
          <w:bCs/>
        </w:rPr>
        <w:t xml:space="preserve"> </w:t>
      </w:r>
      <w:r w:rsidR="6167EBB8" w:rsidRPr="00125A6B">
        <w:rPr>
          <w:rFonts w:ascii="Times New Roman" w:hAnsi="Times New Roman" w:cs="Times New Roman"/>
          <w:b/>
          <w:bCs/>
        </w:rPr>
        <w:t xml:space="preserve">What is required to be an EHV or HCV eligible landlord? </w:t>
      </w:r>
    </w:p>
    <w:p w14:paraId="20C74135" w14:textId="0C8F580D" w:rsidR="005B177B" w:rsidRPr="00125A6B" w:rsidRDefault="6167EBB8" w:rsidP="00EC7765">
      <w:pPr>
        <w:ind w:left="550"/>
        <w:rPr>
          <w:rFonts w:ascii="Times New Roman" w:eastAsia="Calibri" w:hAnsi="Times New Roman" w:cs="Times New Roman"/>
        </w:rPr>
      </w:pPr>
      <w:r w:rsidRPr="00125A6B">
        <w:rPr>
          <w:rFonts w:ascii="Times New Roman" w:eastAsia="Calibri" w:hAnsi="Times New Roman" w:cs="Times New Roman"/>
        </w:rPr>
        <w:t>The HCV program requirements at 24 CFR 982.3</w:t>
      </w:r>
      <w:r w:rsidR="43380231" w:rsidRPr="00125A6B">
        <w:rPr>
          <w:rFonts w:ascii="Times New Roman" w:eastAsia="Calibri" w:hAnsi="Times New Roman" w:cs="Times New Roman"/>
        </w:rPr>
        <w:t xml:space="preserve">06 </w:t>
      </w:r>
      <w:r w:rsidRPr="00125A6B">
        <w:rPr>
          <w:rFonts w:ascii="Times New Roman" w:eastAsia="Calibri" w:hAnsi="Times New Roman" w:cs="Times New Roman"/>
        </w:rPr>
        <w:t xml:space="preserve">set forth eligible housing requirements which </w:t>
      </w:r>
      <w:r w:rsidR="00EC7765" w:rsidRPr="00125A6B">
        <w:rPr>
          <w:rFonts w:ascii="Times New Roman" w:eastAsia="Calibri" w:hAnsi="Times New Roman" w:cs="Times New Roman"/>
        </w:rPr>
        <w:t xml:space="preserve">  </w:t>
      </w:r>
      <w:r w:rsidRPr="00125A6B">
        <w:rPr>
          <w:rFonts w:ascii="Times New Roman" w:eastAsia="Calibri" w:hAnsi="Times New Roman" w:cs="Times New Roman"/>
        </w:rPr>
        <w:t xml:space="preserve">landlords must meet </w:t>
      </w:r>
      <w:r w:rsidR="1506F784" w:rsidRPr="00125A6B">
        <w:rPr>
          <w:rFonts w:ascii="Times New Roman" w:eastAsia="Calibri" w:hAnsi="Times New Roman" w:cs="Times New Roman"/>
        </w:rPr>
        <w:t>for PHA</w:t>
      </w:r>
      <w:r w:rsidRPr="00125A6B">
        <w:rPr>
          <w:rFonts w:ascii="Times New Roman" w:eastAsia="Calibri" w:hAnsi="Times New Roman" w:cs="Times New Roman"/>
        </w:rPr>
        <w:t xml:space="preserve"> approval of an assisted tenancy.  </w:t>
      </w:r>
    </w:p>
    <w:p w14:paraId="171D4BB3" w14:textId="77777777" w:rsidR="005B177B" w:rsidRPr="00125A6B" w:rsidRDefault="005B177B" w:rsidP="00B86D98">
      <w:pPr>
        <w:pStyle w:val="ListParagraph"/>
        <w:numPr>
          <w:ilvl w:val="0"/>
          <w:numId w:val="8"/>
        </w:numPr>
        <w:rPr>
          <w:rFonts w:ascii="Times New Roman" w:eastAsia="Calibri" w:hAnsi="Times New Roman" w:cs="Times New Roman"/>
        </w:rPr>
      </w:pPr>
      <w:r w:rsidRPr="00125A6B">
        <w:rPr>
          <w:rFonts w:ascii="Times New Roman" w:eastAsia="Calibri" w:hAnsi="Times New Roman" w:cs="Times New Roman"/>
        </w:rPr>
        <w:t>Verification of property ownership.</w:t>
      </w:r>
    </w:p>
    <w:p w14:paraId="59EDC367" w14:textId="77777777" w:rsidR="005B177B" w:rsidRPr="00125A6B" w:rsidRDefault="005B177B" w:rsidP="00B86D98">
      <w:pPr>
        <w:pStyle w:val="ListParagraph"/>
        <w:numPr>
          <w:ilvl w:val="0"/>
          <w:numId w:val="8"/>
        </w:numPr>
        <w:rPr>
          <w:rFonts w:ascii="Times New Roman" w:eastAsia="Calibri" w:hAnsi="Times New Roman" w:cs="Times New Roman"/>
        </w:rPr>
      </w:pPr>
      <w:r w:rsidRPr="00125A6B">
        <w:rPr>
          <w:rFonts w:ascii="Times New Roman" w:eastAsia="Calibri" w:hAnsi="Times New Roman" w:cs="Times New Roman"/>
        </w:rPr>
        <w:t>Property taxes must be current.</w:t>
      </w:r>
    </w:p>
    <w:p w14:paraId="116E3B29" w14:textId="77777777" w:rsidR="005B177B" w:rsidRPr="00125A6B" w:rsidRDefault="005B177B" w:rsidP="00B86D98">
      <w:pPr>
        <w:pStyle w:val="ListParagraph"/>
        <w:numPr>
          <w:ilvl w:val="0"/>
          <w:numId w:val="8"/>
        </w:numPr>
        <w:rPr>
          <w:rFonts w:ascii="Times New Roman" w:eastAsia="Calibri" w:hAnsi="Times New Roman" w:cs="Times New Roman"/>
        </w:rPr>
      </w:pPr>
      <w:r w:rsidRPr="00125A6B">
        <w:rPr>
          <w:rFonts w:ascii="Times New Roman" w:eastAsia="Calibri" w:hAnsi="Times New Roman" w:cs="Times New Roman"/>
        </w:rPr>
        <w:t>Owners may not have any unpaid debt to the Public Housing Agency.</w:t>
      </w:r>
    </w:p>
    <w:p w14:paraId="4CE04738" w14:textId="394AFBD6" w:rsidR="005B177B" w:rsidRPr="00125A6B" w:rsidRDefault="005B177B" w:rsidP="00B86D98">
      <w:pPr>
        <w:pStyle w:val="ListParagraph"/>
        <w:numPr>
          <w:ilvl w:val="0"/>
          <w:numId w:val="8"/>
        </w:numPr>
        <w:rPr>
          <w:rFonts w:ascii="Times New Roman" w:eastAsia="Calibri" w:hAnsi="Times New Roman" w:cs="Times New Roman"/>
        </w:rPr>
      </w:pPr>
      <w:r w:rsidRPr="00125A6B">
        <w:rPr>
          <w:rFonts w:ascii="Times New Roman" w:eastAsia="Calibri" w:hAnsi="Times New Roman" w:cs="Times New Roman"/>
        </w:rPr>
        <w:t>A valid property management agreement if you are an agent for an owner.</w:t>
      </w:r>
    </w:p>
    <w:p w14:paraId="0CAC1EA1" w14:textId="77777777" w:rsidR="005B177B" w:rsidRPr="00125A6B" w:rsidRDefault="005B177B" w:rsidP="005B177B">
      <w:pPr>
        <w:pStyle w:val="ListParagraph"/>
        <w:ind w:left="1440"/>
        <w:rPr>
          <w:rFonts w:ascii="Times New Roman" w:eastAsia="Times New Roman" w:hAnsi="Times New Roman" w:cs="Times New Roman"/>
          <w:b/>
          <w:bCs/>
        </w:rPr>
      </w:pPr>
    </w:p>
    <w:p w14:paraId="718038AB" w14:textId="0DE151E9" w:rsidR="005B177B" w:rsidRPr="00125A6B" w:rsidRDefault="00CB7838" w:rsidP="00EC7765">
      <w:pPr>
        <w:rPr>
          <w:rFonts w:ascii="Times New Roman" w:hAnsi="Times New Roman" w:cs="Times New Roman"/>
          <w:b/>
          <w:bCs/>
        </w:rPr>
      </w:pPr>
      <w:r w:rsidRPr="00125A6B">
        <w:rPr>
          <w:rFonts w:ascii="Times New Roman" w:hAnsi="Times New Roman" w:cs="Times New Roman"/>
          <w:b/>
          <w:bCs/>
        </w:rPr>
        <w:t xml:space="preserve">     </w:t>
      </w:r>
      <w:r w:rsidR="00F31BE5" w:rsidRPr="00125A6B">
        <w:rPr>
          <w:rFonts w:ascii="Times New Roman" w:hAnsi="Times New Roman" w:cs="Times New Roman"/>
          <w:b/>
          <w:bCs/>
        </w:rPr>
        <w:t>1</w:t>
      </w:r>
      <w:r w:rsidRPr="00125A6B">
        <w:rPr>
          <w:rFonts w:ascii="Times New Roman" w:hAnsi="Times New Roman" w:cs="Times New Roman"/>
          <w:b/>
          <w:bCs/>
        </w:rPr>
        <w:t>40</w:t>
      </w:r>
      <w:r w:rsidR="00F31BE5" w:rsidRPr="00125A6B">
        <w:rPr>
          <w:rFonts w:ascii="Times New Roman" w:hAnsi="Times New Roman" w:cs="Times New Roman"/>
          <w:b/>
          <w:bCs/>
        </w:rPr>
        <w:t xml:space="preserve">.  </w:t>
      </w:r>
      <w:r w:rsidR="6167EBB8" w:rsidRPr="00125A6B">
        <w:rPr>
          <w:rFonts w:ascii="Times New Roman" w:hAnsi="Times New Roman" w:cs="Times New Roman"/>
          <w:b/>
          <w:bCs/>
        </w:rPr>
        <w:t>How do I become a landlord for the EHV program?</w:t>
      </w:r>
      <w:r w:rsidR="5A308C45" w:rsidRPr="00125A6B">
        <w:rPr>
          <w:rFonts w:ascii="Times New Roman" w:hAnsi="Times New Roman" w:cs="Times New Roman"/>
          <w:b/>
          <w:bCs/>
        </w:rPr>
        <w:t xml:space="preserve"> </w:t>
      </w:r>
    </w:p>
    <w:p w14:paraId="5F0AFAF2" w14:textId="5060D8C8" w:rsidR="005B177B" w:rsidRPr="00125A6B" w:rsidRDefault="005B177B" w:rsidP="00EC7765">
      <w:pPr>
        <w:ind w:left="550"/>
        <w:rPr>
          <w:rFonts w:ascii="Times New Roman" w:hAnsi="Times New Roman" w:cs="Times New Roman"/>
        </w:rPr>
      </w:pPr>
      <w:r w:rsidRPr="00125A6B">
        <w:rPr>
          <w:rFonts w:ascii="Times New Roman" w:eastAsia="Calibri" w:hAnsi="Times New Roman" w:cs="Times New Roman"/>
        </w:rPr>
        <w:t>When an applicant with an EHV applies for your unit, you are responsible for following your standard application screening process to determine suitability.  Once you have approved the applicant to rent the unit, you will complete the request for tenancy (RFTA) provided by the applicant and return it to the Public Housing Agency with a copy of your unexecuted lease.  If you are a contracted property management firm, you will also need to provide a copy of your management agreement with the property owner.  Once your paperwork has been received, the Public Housing Agency will contact you with next steps.</w:t>
      </w:r>
      <w:r w:rsidRPr="00125A6B">
        <w:rPr>
          <w:rFonts w:ascii="Times New Roman" w:hAnsi="Times New Roman" w:cs="Times New Roman"/>
        </w:rPr>
        <w:t xml:space="preserve">  </w:t>
      </w:r>
    </w:p>
    <w:p w14:paraId="4349F573" w14:textId="0FA9763A" w:rsidR="005B177B" w:rsidRPr="00125A6B" w:rsidRDefault="005B177B" w:rsidP="00EC7765">
      <w:pPr>
        <w:ind w:left="550"/>
        <w:rPr>
          <w:rFonts w:ascii="Times New Roman" w:eastAsia="Calibri" w:hAnsi="Times New Roman" w:cs="Times New Roman"/>
        </w:rPr>
      </w:pPr>
      <w:r w:rsidRPr="00125A6B">
        <w:rPr>
          <w:rFonts w:ascii="Times New Roman" w:eastAsia="Calibri" w:hAnsi="Times New Roman" w:cs="Times New Roman"/>
        </w:rPr>
        <w:t>Once the RFTA has been processed and initial determination of rent reasonableness has been conducted, an inspector will contact you to schedule an inspection of the unit.  The inspection is followed by a final review of rent reasonableness.  If your unit passes inspection and is determined rent reasonable, you will be notified that you can now proceed with signing a lease.  If your unit does not pass the inspection, you will receive written notification of failed items and a follow</w:t>
      </w:r>
      <w:r w:rsidR="00C9518F" w:rsidRPr="00125A6B">
        <w:rPr>
          <w:rFonts w:ascii="Times New Roman" w:eastAsia="Calibri" w:hAnsi="Times New Roman" w:cs="Times New Roman"/>
        </w:rPr>
        <w:t>-</w:t>
      </w:r>
      <w:r w:rsidRPr="00125A6B">
        <w:rPr>
          <w:rFonts w:ascii="Times New Roman" w:eastAsia="Calibri" w:hAnsi="Times New Roman" w:cs="Times New Roman"/>
        </w:rPr>
        <w:t>up inspection will be scheduled.</w:t>
      </w:r>
    </w:p>
    <w:p w14:paraId="65C2E1B2" w14:textId="77777777" w:rsidR="00C9518F" w:rsidRPr="00125A6B" w:rsidRDefault="005B177B" w:rsidP="00EC7765">
      <w:pPr>
        <w:ind w:left="550"/>
        <w:rPr>
          <w:rFonts w:ascii="Times New Roman" w:eastAsia="Calibri" w:hAnsi="Times New Roman" w:cs="Times New Roman"/>
        </w:rPr>
      </w:pPr>
      <w:r w:rsidRPr="00125A6B">
        <w:rPr>
          <w:rFonts w:ascii="Times New Roman" w:eastAsia="Calibri" w:hAnsi="Times New Roman" w:cs="Times New Roman"/>
        </w:rPr>
        <w:t xml:space="preserve">Once the unit has been approved and the lease signed, a representative from the Public Housing Agency will contact you with the </w:t>
      </w:r>
      <w:r w:rsidR="00C9518F" w:rsidRPr="00125A6B">
        <w:rPr>
          <w:rFonts w:ascii="Times New Roman" w:eastAsia="Calibri" w:hAnsi="Times New Roman" w:cs="Times New Roman"/>
        </w:rPr>
        <w:t>Housing Assistance Payment (</w:t>
      </w:r>
      <w:r w:rsidRPr="00125A6B">
        <w:rPr>
          <w:rFonts w:ascii="Times New Roman" w:eastAsia="Calibri" w:hAnsi="Times New Roman" w:cs="Times New Roman"/>
        </w:rPr>
        <w:t>HAP</w:t>
      </w:r>
      <w:r w:rsidR="00C9518F" w:rsidRPr="00125A6B">
        <w:rPr>
          <w:rFonts w:ascii="Times New Roman" w:eastAsia="Calibri" w:hAnsi="Times New Roman" w:cs="Times New Roman"/>
        </w:rPr>
        <w:t>)</w:t>
      </w:r>
      <w:r w:rsidRPr="00125A6B">
        <w:rPr>
          <w:rFonts w:ascii="Times New Roman" w:eastAsia="Calibri" w:hAnsi="Times New Roman" w:cs="Times New Roman"/>
        </w:rPr>
        <w:t xml:space="preserve"> contract for signing. </w:t>
      </w:r>
    </w:p>
    <w:p w14:paraId="10DE1368" w14:textId="77777777" w:rsidR="00EC7765" w:rsidRPr="00125A6B" w:rsidRDefault="005B177B" w:rsidP="00EC7765">
      <w:pPr>
        <w:ind w:left="550"/>
        <w:rPr>
          <w:rFonts w:ascii="Times New Roman" w:hAnsi="Times New Roman" w:cs="Times New Roman"/>
        </w:rPr>
      </w:pPr>
      <w:r w:rsidRPr="00125A6B">
        <w:rPr>
          <w:rFonts w:ascii="Times New Roman" w:eastAsia="Calibri" w:hAnsi="Times New Roman" w:cs="Times New Roman"/>
        </w:rPr>
        <w:t>Additional information on becoming a landlord</w:t>
      </w:r>
      <w:r w:rsidR="00C9518F" w:rsidRPr="00125A6B">
        <w:rPr>
          <w:rFonts w:ascii="Times New Roman" w:eastAsia="Calibri" w:hAnsi="Times New Roman" w:cs="Times New Roman"/>
        </w:rPr>
        <w:t xml:space="preserve"> for the Housing Choice Voucher program</w:t>
      </w:r>
      <w:r w:rsidRPr="00125A6B">
        <w:rPr>
          <w:rFonts w:ascii="Times New Roman" w:eastAsia="Calibri" w:hAnsi="Times New Roman" w:cs="Times New Roman"/>
        </w:rPr>
        <w:t xml:space="preserve"> is available</w:t>
      </w:r>
      <w:r w:rsidR="00CD60EC" w:rsidRPr="00125A6B">
        <w:rPr>
          <w:rFonts w:ascii="Times New Roman" w:eastAsia="Calibri" w:hAnsi="Times New Roman" w:cs="Times New Roman"/>
        </w:rPr>
        <w:t xml:space="preserve"> at</w:t>
      </w:r>
      <w:r w:rsidRPr="00125A6B">
        <w:rPr>
          <w:rFonts w:ascii="Times New Roman" w:hAnsi="Times New Roman" w:cs="Times New Roman"/>
        </w:rPr>
        <w:t xml:space="preserve"> </w:t>
      </w:r>
      <w:hyperlink r:id="rId129" w:history="1">
        <w:r w:rsidRPr="00125A6B">
          <w:rPr>
            <w:rStyle w:val="Hyperlink"/>
            <w:rFonts w:ascii="Times New Roman" w:hAnsi="Times New Roman" w:cs="Times New Roman"/>
          </w:rPr>
          <w:t>HUD’s Landlord Resources</w:t>
        </w:r>
      </w:hyperlink>
      <w:r w:rsidRPr="00125A6B">
        <w:rPr>
          <w:rFonts w:ascii="Times New Roman" w:hAnsi="Times New Roman" w:cs="Times New Roman"/>
        </w:rPr>
        <w:t xml:space="preserve"> </w:t>
      </w:r>
      <w:r w:rsidRPr="00125A6B">
        <w:rPr>
          <w:rFonts w:ascii="Times New Roman" w:eastAsia="Calibri" w:hAnsi="Times New Roman" w:cs="Times New Roman"/>
        </w:rPr>
        <w:t>page</w:t>
      </w:r>
      <w:r w:rsidR="00CD60EC" w:rsidRPr="00125A6B">
        <w:rPr>
          <w:rFonts w:ascii="Times New Roman" w:eastAsia="Calibri" w:hAnsi="Times New Roman" w:cs="Times New Roman"/>
        </w:rPr>
        <w:t>,</w:t>
      </w:r>
      <w:r w:rsidRPr="00125A6B">
        <w:rPr>
          <w:rFonts w:ascii="Times New Roman" w:eastAsia="Calibri" w:hAnsi="Times New Roman" w:cs="Times New Roman"/>
        </w:rPr>
        <w:t xml:space="preserve"> or</w:t>
      </w:r>
      <w:r w:rsidR="00CD60EC" w:rsidRPr="00125A6B">
        <w:rPr>
          <w:rFonts w:ascii="Times New Roman" w:eastAsia="Calibri" w:hAnsi="Times New Roman" w:cs="Times New Roman"/>
        </w:rPr>
        <w:t xml:space="preserve"> you can</w:t>
      </w:r>
      <w:r w:rsidRPr="00125A6B">
        <w:rPr>
          <w:rFonts w:ascii="Times New Roman" w:eastAsia="Calibri" w:hAnsi="Times New Roman" w:cs="Times New Roman"/>
        </w:rPr>
        <w:t xml:space="preserve"> view additional information about the voucher process</w:t>
      </w:r>
      <w:r w:rsidRPr="00125A6B">
        <w:rPr>
          <w:rFonts w:ascii="Times New Roman" w:hAnsi="Times New Roman" w:cs="Times New Roman"/>
        </w:rPr>
        <w:t xml:space="preserve"> </w:t>
      </w:r>
      <w:hyperlink r:id="rId130" w:history="1">
        <w:r w:rsidRPr="00125A6B">
          <w:rPr>
            <w:rStyle w:val="Hyperlink"/>
            <w:rFonts w:ascii="Times New Roman" w:hAnsi="Times New Roman" w:cs="Times New Roman"/>
          </w:rPr>
          <w:t>here</w:t>
        </w:r>
      </w:hyperlink>
      <w:r w:rsidRPr="00125A6B">
        <w:rPr>
          <w:rFonts w:ascii="Times New Roman" w:hAnsi="Times New Roman" w:cs="Times New Roman"/>
        </w:rPr>
        <w:t xml:space="preserve">. </w:t>
      </w:r>
    </w:p>
    <w:p w14:paraId="07C9B0BA" w14:textId="26B1127B" w:rsidR="005B177B" w:rsidRPr="0095560E" w:rsidRDefault="00EC7765" w:rsidP="00EC7765">
      <w:pPr>
        <w:rPr>
          <w:rFonts w:ascii="Times New Roman" w:hAnsi="Times New Roman" w:cs="Times New Roman"/>
        </w:rPr>
      </w:pPr>
      <w:r w:rsidRPr="00125A6B">
        <w:rPr>
          <w:rFonts w:ascii="Times New Roman" w:hAnsi="Times New Roman" w:cs="Times New Roman"/>
          <w:b/>
          <w:bCs/>
        </w:rPr>
        <w:lastRenderedPageBreak/>
        <w:t xml:space="preserve">    1</w:t>
      </w:r>
      <w:r w:rsidR="00CB7838" w:rsidRPr="00125A6B">
        <w:rPr>
          <w:rFonts w:ascii="Times New Roman" w:hAnsi="Times New Roman" w:cs="Times New Roman"/>
          <w:b/>
          <w:bCs/>
        </w:rPr>
        <w:t>41.</w:t>
      </w:r>
      <w:r w:rsidRPr="00125A6B">
        <w:rPr>
          <w:rFonts w:ascii="Times New Roman" w:hAnsi="Times New Roman" w:cs="Times New Roman"/>
        </w:rPr>
        <w:t xml:space="preserve">  </w:t>
      </w:r>
      <w:r w:rsidRPr="00125A6B">
        <w:rPr>
          <w:rFonts w:ascii="Times New Roman" w:eastAsia="Times New Roman" w:hAnsi="Times New Roman" w:cs="Times New Roman"/>
          <w:b/>
          <w:bCs/>
        </w:rPr>
        <w:t xml:space="preserve"> </w:t>
      </w:r>
      <w:r w:rsidR="6167EBB8" w:rsidRPr="0095560E">
        <w:rPr>
          <w:rFonts w:ascii="Times New Roman" w:eastAsia="Times New Roman" w:hAnsi="Times New Roman" w:cs="Times New Roman"/>
          <w:b/>
          <w:bCs/>
        </w:rPr>
        <w:t xml:space="preserve">Are EHV tenants screened by the </w:t>
      </w:r>
      <w:r w:rsidR="70AAB657" w:rsidRPr="0095560E">
        <w:rPr>
          <w:rFonts w:ascii="Times New Roman" w:eastAsia="Times New Roman" w:hAnsi="Times New Roman" w:cs="Times New Roman"/>
          <w:b/>
          <w:bCs/>
        </w:rPr>
        <w:t xml:space="preserve">PHA </w:t>
      </w:r>
      <w:r w:rsidR="6167EBB8" w:rsidRPr="0095560E">
        <w:rPr>
          <w:rFonts w:ascii="Times New Roman" w:eastAsia="Times New Roman" w:hAnsi="Times New Roman" w:cs="Times New Roman"/>
          <w:b/>
          <w:bCs/>
        </w:rPr>
        <w:t xml:space="preserve">to ensure they are </w:t>
      </w:r>
      <w:r w:rsidR="005B177B" w:rsidRPr="0095560E">
        <w:rPr>
          <w:rFonts w:ascii="Times New Roman" w:eastAsia="Times New Roman" w:hAnsi="Times New Roman" w:cs="Times New Roman"/>
          <w:b/>
          <w:bCs/>
        </w:rPr>
        <w:t>re</w:t>
      </w:r>
      <w:r w:rsidR="007E0D3E" w:rsidRPr="0095560E">
        <w:rPr>
          <w:rFonts w:ascii="Times New Roman" w:eastAsia="Times New Roman" w:hAnsi="Times New Roman" w:cs="Times New Roman"/>
          <w:b/>
          <w:bCs/>
        </w:rPr>
        <w:t>sponsible tenants</w:t>
      </w:r>
      <w:r w:rsidR="00DD69D0" w:rsidRPr="0095560E">
        <w:rPr>
          <w:rFonts w:ascii="Times New Roman" w:eastAsia="Times New Roman" w:hAnsi="Times New Roman" w:cs="Times New Roman"/>
          <w:b/>
          <w:bCs/>
        </w:rPr>
        <w:t>?</w:t>
      </w:r>
      <w:r w:rsidR="5A308C45" w:rsidRPr="0095560E">
        <w:rPr>
          <w:rFonts w:ascii="Times New Roman" w:eastAsia="Times New Roman" w:hAnsi="Times New Roman" w:cs="Times New Roman"/>
          <w:b/>
          <w:bCs/>
        </w:rPr>
        <w:t xml:space="preserve"> </w:t>
      </w:r>
    </w:p>
    <w:p w14:paraId="1396550A" w14:textId="79A608DF" w:rsidR="00704511" w:rsidRPr="0095560E" w:rsidRDefault="00A36804" w:rsidP="006B48E9">
      <w:pPr>
        <w:ind w:left="720"/>
        <w:rPr>
          <w:rFonts w:ascii="Times New Roman" w:eastAsia="Calibri" w:hAnsi="Times New Roman" w:cs="Times New Roman"/>
        </w:rPr>
      </w:pPr>
      <w:r w:rsidRPr="0095560E">
        <w:rPr>
          <w:rFonts w:ascii="Times New Roman" w:eastAsia="Calibri" w:hAnsi="Times New Roman" w:cs="Times New Roman"/>
        </w:rPr>
        <w:t xml:space="preserve">No.  In accordance with CFR 24§ </w:t>
      </w:r>
      <w:r w:rsidR="00325CD1" w:rsidRPr="0095560E">
        <w:rPr>
          <w:rFonts w:ascii="Times New Roman" w:eastAsia="Calibri" w:hAnsi="Times New Roman" w:cs="Times New Roman"/>
        </w:rPr>
        <w:t>983.307</w:t>
      </w:r>
      <w:r w:rsidR="00C3572D" w:rsidRPr="0095560E">
        <w:rPr>
          <w:rFonts w:ascii="Times New Roman" w:eastAsia="Calibri" w:hAnsi="Times New Roman" w:cs="Times New Roman"/>
        </w:rPr>
        <w:t xml:space="preserve">, </w:t>
      </w:r>
      <w:r w:rsidR="007E2294" w:rsidRPr="0095560E">
        <w:rPr>
          <w:rFonts w:ascii="Times New Roman" w:eastAsia="Calibri" w:hAnsi="Times New Roman" w:cs="Times New Roman"/>
        </w:rPr>
        <w:t xml:space="preserve">the </w:t>
      </w:r>
      <w:hyperlink r:id="rId131" w:history="1">
        <w:r w:rsidR="007E2294" w:rsidRPr="0095560E">
          <w:rPr>
            <w:rFonts w:ascii="Times New Roman" w:eastAsia="Calibri" w:hAnsi="Times New Roman" w:cs="Times New Roman"/>
          </w:rPr>
          <w:t>owner</w:t>
        </w:r>
      </w:hyperlink>
      <w:r w:rsidR="007E2294" w:rsidRPr="0095560E">
        <w:rPr>
          <w:rFonts w:ascii="Times New Roman" w:eastAsia="Calibri" w:hAnsi="Times New Roman" w:cs="Times New Roman"/>
        </w:rPr>
        <w:t xml:space="preserve"> is responsible for screening and selection of the </w:t>
      </w:r>
      <w:hyperlink r:id="rId132" w:history="1">
        <w:r w:rsidR="007E2294" w:rsidRPr="0095560E">
          <w:rPr>
            <w:rFonts w:ascii="Times New Roman" w:eastAsia="Calibri" w:hAnsi="Times New Roman" w:cs="Times New Roman"/>
          </w:rPr>
          <w:t>family</w:t>
        </w:r>
      </w:hyperlink>
      <w:r w:rsidR="007E2294" w:rsidRPr="0095560E">
        <w:rPr>
          <w:rFonts w:ascii="Times New Roman" w:eastAsia="Calibri" w:hAnsi="Times New Roman" w:cs="Times New Roman"/>
        </w:rPr>
        <w:t xml:space="preserve"> to occupy the </w:t>
      </w:r>
      <w:hyperlink r:id="rId133" w:history="1">
        <w:r w:rsidR="007E2294" w:rsidRPr="0095560E">
          <w:rPr>
            <w:rFonts w:ascii="Times New Roman" w:eastAsia="Calibri" w:hAnsi="Times New Roman" w:cs="Times New Roman"/>
          </w:rPr>
          <w:t>owner</w:t>
        </w:r>
      </w:hyperlink>
      <w:r w:rsidR="007E2294" w:rsidRPr="0095560E">
        <w:rPr>
          <w:rFonts w:ascii="Times New Roman" w:eastAsia="Calibri" w:hAnsi="Times New Roman" w:cs="Times New Roman"/>
        </w:rPr>
        <w:t>'s unit.</w:t>
      </w:r>
      <w:r w:rsidR="00CF174A" w:rsidRPr="0095560E">
        <w:rPr>
          <w:rFonts w:ascii="Times New Roman" w:eastAsia="Calibri" w:hAnsi="Times New Roman" w:cs="Times New Roman"/>
        </w:rPr>
        <w:t xml:space="preserve"> </w:t>
      </w:r>
      <w:r w:rsidR="005B177B" w:rsidRPr="0095560E">
        <w:rPr>
          <w:rFonts w:ascii="Times New Roman" w:eastAsia="Calibri" w:hAnsi="Times New Roman" w:cs="Times New Roman"/>
        </w:rPr>
        <w:t>The P</w:t>
      </w:r>
      <w:r w:rsidR="003400A6" w:rsidRPr="0095560E">
        <w:rPr>
          <w:rFonts w:ascii="Times New Roman" w:eastAsia="Calibri" w:hAnsi="Times New Roman" w:cs="Times New Roman"/>
        </w:rPr>
        <w:t>HA</w:t>
      </w:r>
      <w:r w:rsidR="005B177B" w:rsidRPr="0095560E">
        <w:rPr>
          <w:rFonts w:ascii="Times New Roman" w:eastAsia="Calibri" w:hAnsi="Times New Roman" w:cs="Times New Roman"/>
        </w:rPr>
        <w:t xml:space="preserve"> </w:t>
      </w:r>
      <w:r w:rsidR="007E2294" w:rsidRPr="0095560E">
        <w:rPr>
          <w:rFonts w:ascii="Times New Roman" w:eastAsia="Calibri" w:hAnsi="Times New Roman" w:cs="Times New Roman"/>
        </w:rPr>
        <w:t xml:space="preserve">is responsible for </w:t>
      </w:r>
      <w:r w:rsidR="005B177B" w:rsidRPr="0095560E">
        <w:rPr>
          <w:rFonts w:ascii="Times New Roman" w:eastAsia="Calibri" w:hAnsi="Times New Roman" w:cs="Times New Roman"/>
        </w:rPr>
        <w:t>screen</w:t>
      </w:r>
      <w:r w:rsidR="00B74A5A" w:rsidRPr="0095560E">
        <w:rPr>
          <w:rFonts w:ascii="Times New Roman" w:eastAsia="Calibri" w:hAnsi="Times New Roman" w:cs="Times New Roman"/>
        </w:rPr>
        <w:t xml:space="preserve">ing </w:t>
      </w:r>
      <w:r w:rsidR="005B177B" w:rsidRPr="0095560E">
        <w:rPr>
          <w:rFonts w:ascii="Times New Roman" w:eastAsia="Calibri" w:hAnsi="Times New Roman" w:cs="Times New Roman"/>
        </w:rPr>
        <w:t xml:space="preserve">families to determine eligibility for the HCV program. </w:t>
      </w:r>
    </w:p>
    <w:p w14:paraId="305BDB79" w14:textId="6FFF7906" w:rsidR="00704511" w:rsidRPr="0095560E" w:rsidRDefault="00EC7765" w:rsidP="00EC7765">
      <w:pPr>
        <w:rPr>
          <w:rFonts w:ascii="Times New Roman" w:hAnsi="Times New Roman" w:cs="Times New Roman"/>
          <w:b/>
          <w:bCs/>
        </w:rPr>
      </w:pPr>
      <w:r w:rsidRPr="0095560E">
        <w:rPr>
          <w:rFonts w:ascii="Times New Roman" w:hAnsi="Times New Roman" w:cs="Times New Roman"/>
          <w:b/>
          <w:bCs/>
        </w:rPr>
        <w:t xml:space="preserve">     1</w:t>
      </w:r>
      <w:r w:rsidR="00CB7838" w:rsidRPr="0095560E">
        <w:rPr>
          <w:rFonts w:ascii="Times New Roman" w:hAnsi="Times New Roman" w:cs="Times New Roman"/>
          <w:b/>
          <w:bCs/>
        </w:rPr>
        <w:t>42</w:t>
      </w:r>
      <w:r w:rsidRPr="0095560E">
        <w:rPr>
          <w:rFonts w:ascii="Times New Roman" w:hAnsi="Times New Roman" w:cs="Times New Roman"/>
          <w:b/>
          <w:bCs/>
        </w:rPr>
        <w:t xml:space="preserve">.  </w:t>
      </w:r>
      <w:r w:rsidR="5A308C45" w:rsidRPr="0095560E">
        <w:rPr>
          <w:rFonts w:ascii="Times New Roman" w:hAnsi="Times New Roman" w:cs="Times New Roman"/>
          <w:b/>
          <w:bCs/>
        </w:rPr>
        <w:t xml:space="preserve">Can a security deposit be required?  </w:t>
      </w:r>
    </w:p>
    <w:p w14:paraId="07916849" w14:textId="177C4FC2" w:rsidR="006B48E9" w:rsidRPr="0095560E" w:rsidRDefault="00704511" w:rsidP="5693299F">
      <w:pPr>
        <w:spacing w:after="0"/>
        <w:rPr>
          <w:rFonts w:ascii="Times New Roman" w:hAnsi="Times New Roman" w:cs="Times New Roman"/>
        </w:rPr>
      </w:pPr>
      <w:r w:rsidRPr="0095560E">
        <w:rPr>
          <w:rFonts w:ascii="Times New Roman" w:hAnsi="Times New Roman" w:cs="Times New Roman"/>
          <w:b/>
          <w:bCs/>
        </w:rPr>
        <w:t xml:space="preserve"> </w:t>
      </w:r>
      <w:r w:rsidR="00C02BAB" w:rsidRPr="0095560E">
        <w:rPr>
          <w:rFonts w:ascii="Times New Roman" w:hAnsi="Times New Roman" w:cs="Times New Roman"/>
        </w:rPr>
        <w:tab/>
      </w:r>
      <w:r w:rsidRPr="0095560E">
        <w:rPr>
          <w:rFonts w:ascii="Times New Roman" w:hAnsi="Times New Roman" w:cs="Times New Roman"/>
        </w:rPr>
        <w:t>Yes</w:t>
      </w:r>
      <w:r w:rsidR="00C9518F" w:rsidRPr="0095560E">
        <w:rPr>
          <w:rFonts w:ascii="Times New Roman" w:hAnsi="Times New Roman" w:cs="Times New Roman"/>
        </w:rPr>
        <w:t>.</w:t>
      </w:r>
      <w:r w:rsidRPr="0095560E">
        <w:rPr>
          <w:rFonts w:ascii="Times New Roman" w:hAnsi="Times New Roman" w:cs="Times New Roman"/>
        </w:rPr>
        <w:t xml:space="preserve"> </w:t>
      </w:r>
      <w:r w:rsidR="00C9518F" w:rsidRPr="0095560E">
        <w:rPr>
          <w:rFonts w:ascii="Times New Roman" w:hAnsi="Times New Roman" w:cs="Times New Roman"/>
        </w:rPr>
        <w:t xml:space="preserve"> L</w:t>
      </w:r>
      <w:r w:rsidRPr="0095560E">
        <w:rPr>
          <w:rFonts w:ascii="Times New Roman" w:hAnsi="Times New Roman" w:cs="Times New Roman"/>
        </w:rPr>
        <w:t>andlords are permitted to collect a security deposit.</w:t>
      </w:r>
    </w:p>
    <w:p w14:paraId="70DB02D4" w14:textId="0E07D223" w:rsidR="00704511" w:rsidRPr="00125A6B" w:rsidRDefault="00704511" w:rsidP="5693299F">
      <w:pPr>
        <w:spacing w:after="0"/>
        <w:rPr>
          <w:rFonts w:ascii="Times New Roman" w:hAnsi="Times New Roman" w:cs="Times New Roman"/>
          <w:b/>
          <w:bCs/>
          <w:color w:val="000000" w:themeColor="text1"/>
        </w:rPr>
      </w:pPr>
    </w:p>
    <w:p w14:paraId="494F7EF0" w14:textId="7910661B" w:rsidR="00704511" w:rsidRPr="00125A6B" w:rsidRDefault="00393D3F" w:rsidP="00393D3F">
      <w:pPr>
        <w:rPr>
          <w:rFonts w:ascii="Times New Roman" w:hAnsi="Times New Roman" w:cs="Times New Roman"/>
          <w:b/>
          <w:bCs/>
        </w:rPr>
      </w:pPr>
      <w:r w:rsidRPr="00125A6B">
        <w:rPr>
          <w:rFonts w:ascii="Times New Roman" w:hAnsi="Times New Roman" w:cs="Times New Roman"/>
          <w:b/>
          <w:bCs/>
        </w:rPr>
        <w:t xml:space="preserve">     1</w:t>
      </w:r>
      <w:r w:rsidR="00CB7838" w:rsidRPr="00125A6B">
        <w:rPr>
          <w:rFonts w:ascii="Times New Roman" w:hAnsi="Times New Roman" w:cs="Times New Roman"/>
          <w:b/>
          <w:bCs/>
        </w:rPr>
        <w:t>43</w:t>
      </w:r>
      <w:r w:rsidRPr="00125A6B">
        <w:rPr>
          <w:rFonts w:ascii="Times New Roman" w:hAnsi="Times New Roman" w:cs="Times New Roman"/>
          <w:b/>
          <w:bCs/>
        </w:rPr>
        <w:t xml:space="preserve">.  </w:t>
      </w:r>
      <w:r w:rsidR="6D089DEE" w:rsidRPr="00125A6B">
        <w:rPr>
          <w:rFonts w:ascii="Times New Roman" w:hAnsi="Times New Roman" w:cs="Times New Roman"/>
          <w:b/>
          <w:bCs/>
        </w:rPr>
        <w:t>Who</w:t>
      </w:r>
      <w:r w:rsidR="5A308C45" w:rsidRPr="00125A6B">
        <w:rPr>
          <w:rFonts w:ascii="Times New Roman" w:hAnsi="Times New Roman" w:cs="Times New Roman"/>
          <w:b/>
          <w:bCs/>
        </w:rPr>
        <w:t xml:space="preserve"> is responsible for ensuring that the tenant pays </w:t>
      </w:r>
      <w:r w:rsidR="00E10D66" w:rsidRPr="00125A6B">
        <w:rPr>
          <w:rFonts w:ascii="Times New Roman" w:hAnsi="Times New Roman" w:cs="Times New Roman"/>
          <w:b/>
          <w:bCs/>
        </w:rPr>
        <w:t>their</w:t>
      </w:r>
      <w:r w:rsidR="2EE38FCE" w:rsidRPr="00125A6B">
        <w:rPr>
          <w:rFonts w:ascii="Times New Roman" w:hAnsi="Times New Roman" w:cs="Times New Roman"/>
          <w:b/>
          <w:bCs/>
        </w:rPr>
        <w:t xml:space="preserve"> required share of </w:t>
      </w:r>
      <w:r w:rsidR="5A308C45" w:rsidRPr="00125A6B">
        <w:rPr>
          <w:rFonts w:ascii="Times New Roman" w:hAnsi="Times New Roman" w:cs="Times New Roman"/>
          <w:b/>
          <w:bCs/>
        </w:rPr>
        <w:t xml:space="preserve">the rent? </w:t>
      </w:r>
    </w:p>
    <w:p w14:paraId="7E275A27" w14:textId="6CA99EA1" w:rsidR="001C287B" w:rsidRPr="00125A6B" w:rsidRDefault="5A308C45" w:rsidP="5693299F">
      <w:pPr>
        <w:spacing w:after="0"/>
        <w:ind w:left="720"/>
        <w:rPr>
          <w:rFonts w:ascii="Times New Roman" w:eastAsia="Yu Mincho" w:hAnsi="Times New Roman" w:cs="Times New Roman"/>
          <w:b/>
          <w:bCs/>
          <w:color w:val="000000" w:themeColor="text1"/>
        </w:rPr>
      </w:pPr>
      <w:r w:rsidRPr="00125A6B">
        <w:rPr>
          <w:rFonts w:ascii="Times New Roman" w:hAnsi="Times New Roman" w:cs="Times New Roman"/>
        </w:rPr>
        <w:t xml:space="preserve">The tenant is responsible for paying </w:t>
      </w:r>
      <w:r w:rsidR="05F4E076" w:rsidRPr="00125A6B">
        <w:rPr>
          <w:rFonts w:ascii="Times New Roman" w:hAnsi="Times New Roman" w:cs="Times New Roman"/>
        </w:rPr>
        <w:t xml:space="preserve">the family’s </w:t>
      </w:r>
      <w:r w:rsidR="59AF2C03" w:rsidRPr="00125A6B">
        <w:rPr>
          <w:rFonts w:ascii="Times New Roman" w:hAnsi="Times New Roman" w:cs="Times New Roman"/>
        </w:rPr>
        <w:t xml:space="preserve">share of </w:t>
      </w:r>
      <w:r w:rsidRPr="00125A6B">
        <w:rPr>
          <w:rFonts w:ascii="Times New Roman" w:hAnsi="Times New Roman" w:cs="Times New Roman"/>
        </w:rPr>
        <w:t>the rent</w:t>
      </w:r>
      <w:r w:rsidR="201C3C88" w:rsidRPr="00125A6B">
        <w:rPr>
          <w:rFonts w:ascii="Times New Roman" w:hAnsi="Times New Roman" w:cs="Times New Roman"/>
        </w:rPr>
        <w:t>,</w:t>
      </w:r>
      <w:r w:rsidRPr="00125A6B">
        <w:rPr>
          <w:rFonts w:ascii="Times New Roman" w:hAnsi="Times New Roman" w:cs="Times New Roman"/>
        </w:rPr>
        <w:t xml:space="preserve"> and the owner is responsible for enforcing the lease if the tenant fails to do so.  </w:t>
      </w:r>
      <w:r w:rsidR="201C3C88" w:rsidRPr="00125A6B">
        <w:rPr>
          <w:rFonts w:ascii="Times New Roman" w:hAnsi="Times New Roman" w:cs="Times New Roman"/>
        </w:rPr>
        <w:t>The landlord must also send a</w:t>
      </w:r>
      <w:r w:rsidRPr="00125A6B">
        <w:rPr>
          <w:rFonts w:ascii="Times New Roman" w:hAnsi="Times New Roman" w:cs="Times New Roman"/>
        </w:rPr>
        <w:t>ny notices issued</w:t>
      </w:r>
      <w:r w:rsidR="201C3C88" w:rsidRPr="00125A6B">
        <w:rPr>
          <w:rFonts w:ascii="Times New Roman" w:hAnsi="Times New Roman" w:cs="Times New Roman"/>
        </w:rPr>
        <w:t xml:space="preserve"> to the tenant</w:t>
      </w:r>
      <w:r w:rsidRPr="00125A6B">
        <w:rPr>
          <w:rFonts w:ascii="Times New Roman" w:hAnsi="Times New Roman" w:cs="Times New Roman"/>
        </w:rPr>
        <w:t xml:space="preserve"> for non-payment or noncompliance to the </w:t>
      </w:r>
      <w:r w:rsidR="201C3C88" w:rsidRPr="00125A6B">
        <w:rPr>
          <w:rFonts w:ascii="Times New Roman" w:hAnsi="Times New Roman" w:cs="Times New Roman"/>
        </w:rPr>
        <w:t>P</w:t>
      </w:r>
      <w:r w:rsidR="37C8535C" w:rsidRPr="00125A6B">
        <w:rPr>
          <w:rFonts w:ascii="Times New Roman" w:hAnsi="Times New Roman" w:cs="Times New Roman"/>
        </w:rPr>
        <w:t>HA</w:t>
      </w:r>
      <w:r w:rsidRPr="00125A6B">
        <w:rPr>
          <w:rFonts w:ascii="Times New Roman" w:hAnsi="Times New Roman" w:cs="Times New Roman"/>
        </w:rPr>
        <w:t>.</w:t>
      </w:r>
    </w:p>
    <w:p w14:paraId="27352D35" w14:textId="289DC959" w:rsidR="001C287B" w:rsidRPr="00125A6B" w:rsidRDefault="001C287B" w:rsidP="5693299F">
      <w:pPr>
        <w:spacing w:after="0"/>
        <w:ind w:left="720"/>
        <w:rPr>
          <w:rFonts w:ascii="Times New Roman" w:hAnsi="Times New Roman" w:cs="Times New Roman"/>
          <w:b/>
          <w:bCs/>
          <w:color w:val="000000" w:themeColor="text1"/>
        </w:rPr>
      </w:pPr>
    </w:p>
    <w:p w14:paraId="797265A8" w14:textId="044A602F" w:rsidR="001C287B" w:rsidRPr="00125A6B" w:rsidRDefault="00CB7838" w:rsidP="00CB7838">
      <w:pPr>
        <w:tabs>
          <w:tab w:val="left" w:pos="810"/>
        </w:tabs>
        <w:rPr>
          <w:rFonts w:ascii="Times New Roman" w:eastAsia="Times New Roman" w:hAnsi="Times New Roman" w:cs="Times New Roman"/>
          <w:b/>
          <w:bCs/>
        </w:rPr>
      </w:pPr>
      <w:r w:rsidRPr="00125A6B">
        <w:rPr>
          <w:rFonts w:ascii="Times New Roman" w:eastAsia="Times New Roman" w:hAnsi="Times New Roman" w:cs="Times New Roman"/>
          <w:b/>
          <w:bCs/>
        </w:rPr>
        <w:t xml:space="preserve">     144. </w:t>
      </w:r>
      <w:r w:rsidR="001C287B" w:rsidRPr="00125A6B">
        <w:rPr>
          <w:rFonts w:ascii="Times New Roman" w:eastAsia="Times New Roman" w:hAnsi="Times New Roman" w:cs="Times New Roman"/>
          <w:b/>
          <w:bCs/>
        </w:rPr>
        <w:t>W</w:t>
      </w:r>
      <w:r w:rsidR="5A308C45" w:rsidRPr="00125A6B">
        <w:rPr>
          <w:rFonts w:ascii="Times New Roman" w:eastAsia="Times New Roman" w:hAnsi="Times New Roman" w:cs="Times New Roman"/>
          <w:b/>
          <w:bCs/>
        </w:rPr>
        <w:t xml:space="preserve">hat is the purpose of Housing Quality Standards (HQS)? </w:t>
      </w:r>
    </w:p>
    <w:p w14:paraId="7280EC13" w14:textId="63062DD8" w:rsidR="00704511" w:rsidRPr="00125A6B" w:rsidRDefault="5A308C45" w:rsidP="001C287B">
      <w:pPr>
        <w:pStyle w:val="ListParagraph"/>
        <w:rPr>
          <w:rFonts w:ascii="Times New Roman" w:hAnsi="Times New Roman" w:cs="Times New Roman"/>
        </w:rPr>
      </w:pPr>
      <w:r w:rsidRPr="00125A6B">
        <w:rPr>
          <w:rFonts w:ascii="Times New Roman" w:hAnsi="Times New Roman" w:cs="Times New Roman"/>
        </w:rPr>
        <w:t>The goal of the Emergency Housing Voucher (EHV) program is to provide decent, safe, and sanitary housing at an affordable cost to low-income families</w:t>
      </w:r>
      <w:r w:rsidR="201C3C88" w:rsidRPr="00125A6B">
        <w:rPr>
          <w:rFonts w:ascii="Times New Roman" w:hAnsi="Times New Roman" w:cs="Times New Roman"/>
        </w:rPr>
        <w:t xml:space="preserve"> experiencing or at risk of homelessness</w:t>
      </w:r>
      <w:r w:rsidRPr="00125A6B">
        <w:rPr>
          <w:rFonts w:ascii="Times New Roman" w:hAnsi="Times New Roman" w:cs="Times New Roman"/>
        </w:rPr>
        <w:t xml:space="preserve">.  </w:t>
      </w:r>
      <w:r w:rsidR="201C3C88" w:rsidRPr="00125A6B">
        <w:rPr>
          <w:rFonts w:ascii="Times New Roman" w:hAnsi="Times New Roman" w:cs="Times New Roman"/>
        </w:rPr>
        <w:t>Housing Quality Standards (</w:t>
      </w:r>
      <w:r w:rsidR="66CFBC3C" w:rsidRPr="00125A6B">
        <w:rPr>
          <w:rFonts w:ascii="Times New Roman" w:hAnsi="Times New Roman" w:cs="Times New Roman"/>
        </w:rPr>
        <w:t>HQS</w:t>
      </w:r>
      <w:r w:rsidR="201C3C88" w:rsidRPr="00125A6B">
        <w:rPr>
          <w:rFonts w:ascii="Times New Roman" w:hAnsi="Times New Roman" w:cs="Times New Roman"/>
        </w:rPr>
        <w:t>)</w:t>
      </w:r>
      <w:r w:rsidR="66CFBC3C" w:rsidRPr="00125A6B">
        <w:rPr>
          <w:rFonts w:ascii="Times New Roman" w:hAnsi="Times New Roman" w:cs="Times New Roman"/>
        </w:rPr>
        <w:t xml:space="preserve"> </w:t>
      </w:r>
      <w:r w:rsidRPr="00125A6B">
        <w:rPr>
          <w:rFonts w:ascii="Times New Roman" w:hAnsi="Times New Roman" w:cs="Times New Roman"/>
        </w:rPr>
        <w:t xml:space="preserve">help accomplish that goal by establishing the minimum quality criteria necessary for the health and safety of program participants.  All housing units must meet </w:t>
      </w:r>
      <w:r w:rsidR="66CFBC3C" w:rsidRPr="00125A6B">
        <w:rPr>
          <w:rFonts w:ascii="Times New Roman" w:hAnsi="Times New Roman" w:cs="Times New Roman"/>
        </w:rPr>
        <w:t>HQS</w:t>
      </w:r>
      <w:r w:rsidRPr="00125A6B">
        <w:rPr>
          <w:rFonts w:ascii="Times New Roman" w:hAnsi="Times New Roman" w:cs="Times New Roman"/>
        </w:rPr>
        <w:t xml:space="preserve"> in order to participate in the EHV program.  </w:t>
      </w:r>
    </w:p>
    <w:p w14:paraId="7F19ACCE" w14:textId="77777777" w:rsidR="00393D3F" w:rsidRPr="00125A6B" w:rsidRDefault="00393D3F" w:rsidP="001C287B">
      <w:pPr>
        <w:pStyle w:val="ListParagraph"/>
        <w:rPr>
          <w:rFonts w:ascii="Times New Roman" w:hAnsi="Times New Roman" w:cs="Times New Roman"/>
        </w:rPr>
      </w:pPr>
    </w:p>
    <w:p w14:paraId="56ED9B2C" w14:textId="01998CB6" w:rsidR="00704511" w:rsidRPr="00125A6B" w:rsidRDefault="5A308C45" w:rsidP="00CB7838">
      <w:pPr>
        <w:pStyle w:val="ListParagraph"/>
        <w:numPr>
          <w:ilvl w:val="0"/>
          <w:numId w:val="35"/>
        </w:numPr>
        <w:tabs>
          <w:tab w:val="left" w:pos="810"/>
        </w:tabs>
        <w:rPr>
          <w:rFonts w:ascii="Times New Roman" w:eastAsia="Times New Roman" w:hAnsi="Times New Roman" w:cs="Times New Roman"/>
          <w:b/>
          <w:bCs/>
        </w:rPr>
      </w:pPr>
      <w:r w:rsidRPr="00125A6B">
        <w:rPr>
          <w:rFonts w:ascii="Times New Roman" w:eastAsia="Times New Roman" w:hAnsi="Times New Roman" w:cs="Times New Roman"/>
          <w:b/>
          <w:bCs/>
        </w:rPr>
        <w:t xml:space="preserve">What aspects of housing quality are covered in the HQS? </w:t>
      </w:r>
    </w:p>
    <w:p w14:paraId="7466D401" w14:textId="0A8597AF" w:rsidR="00704511" w:rsidRPr="00125A6B" w:rsidRDefault="00704511" w:rsidP="00704511">
      <w:pPr>
        <w:ind w:left="660"/>
        <w:rPr>
          <w:rFonts w:ascii="Times New Roman" w:hAnsi="Times New Roman" w:cs="Times New Roman"/>
        </w:rPr>
      </w:pPr>
      <w:r w:rsidRPr="00125A6B">
        <w:rPr>
          <w:rFonts w:ascii="Times New Roman" w:hAnsi="Times New Roman" w:cs="Times New Roman"/>
        </w:rPr>
        <w:t xml:space="preserve">The HCV program requirements at 24 CFR 982.401 set forth basic housing quality standards which all units must meet before </w:t>
      </w:r>
      <w:r w:rsidR="00C9518F" w:rsidRPr="00125A6B">
        <w:rPr>
          <w:rFonts w:ascii="Times New Roman" w:hAnsi="Times New Roman" w:cs="Times New Roman"/>
        </w:rPr>
        <w:t xml:space="preserve">the </w:t>
      </w:r>
      <w:r w:rsidR="2C30FAD8" w:rsidRPr="00125A6B">
        <w:rPr>
          <w:rFonts w:ascii="Times New Roman" w:hAnsi="Times New Roman" w:cs="Times New Roman"/>
        </w:rPr>
        <w:t>PHA</w:t>
      </w:r>
      <w:r w:rsidR="00C9518F" w:rsidRPr="00125A6B">
        <w:rPr>
          <w:rFonts w:ascii="Times New Roman" w:hAnsi="Times New Roman" w:cs="Times New Roman"/>
        </w:rPr>
        <w:t xml:space="preserve"> can pay </w:t>
      </w:r>
      <w:r w:rsidRPr="00125A6B">
        <w:rPr>
          <w:rFonts w:ascii="Times New Roman" w:hAnsi="Times New Roman" w:cs="Times New Roman"/>
        </w:rPr>
        <w:t>assistance on behalf of a family.  The key aspects of housing quality covered by HQS include:</w:t>
      </w:r>
    </w:p>
    <w:p w14:paraId="27E00F38" w14:textId="77777777"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Sanitation facilities</w:t>
      </w:r>
    </w:p>
    <w:p w14:paraId="59B49DB3" w14:textId="77777777"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Food preparation and refuse disposal</w:t>
      </w:r>
    </w:p>
    <w:p w14:paraId="0112CB60" w14:textId="77777777"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Space and security</w:t>
      </w:r>
    </w:p>
    <w:p w14:paraId="4910D234" w14:textId="77777777"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Thermal environment</w:t>
      </w:r>
    </w:p>
    <w:p w14:paraId="255CF4CD" w14:textId="77777777"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Illumination and electricity</w:t>
      </w:r>
    </w:p>
    <w:p w14:paraId="16C65E57" w14:textId="77777777" w:rsidR="002A113E"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Structure and materials</w:t>
      </w:r>
    </w:p>
    <w:p w14:paraId="72905A0D" w14:textId="3D1CD93A"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Interior air quality</w:t>
      </w:r>
    </w:p>
    <w:p w14:paraId="26DBA706" w14:textId="77777777"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Water supply</w:t>
      </w:r>
    </w:p>
    <w:p w14:paraId="53A36639" w14:textId="77777777"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Lead-based paint</w:t>
      </w:r>
    </w:p>
    <w:p w14:paraId="3E9578C4" w14:textId="77777777"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Access</w:t>
      </w:r>
    </w:p>
    <w:p w14:paraId="0746CBCD" w14:textId="77777777"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Site and neighborhood</w:t>
      </w:r>
    </w:p>
    <w:p w14:paraId="42052DB9" w14:textId="77777777"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Sanitary conditions</w:t>
      </w:r>
    </w:p>
    <w:p w14:paraId="5BB7D92A" w14:textId="76E64499" w:rsidR="00704511" w:rsidRPr="00125A6B" w:rsidRDefault="00704511" w:rsidP="00B86D98">
      <w:pPr>
        <w:pStyle w:val="ListParagraph"/>
        <w:numPr>
          <w:ilvl w:val="0"/>
          <w:numId w:val="9"/>
        </w:numPr>
        <w:ind w:left="1440"/>
        <w:rPr>
          <w:rFonts w:ascii="Times New Roman" w:hAnsi="Times New Roman" w:cs="Times New Roman"/>
        </w:rPr>
      </w:pPr>
      <w:r w:rsidRPr="00125A6B">
        <w:rPr>
          <w:rFonts w:ascii="Times New Roman" w:hAnsi="Times New Roman" w:cs="Times New Roman"/>
        </w:rPr>
        <w:t>Smoke detectors</w:t>
      </w:r>
    </w:p>
    <w:p w14:paraId="7AE2AAC6" w14:textId="77777777" w:rsidR="00704511" w:rsidRPr="00125A6B" w:rsidRDefault="00704511" w:rsidP="00704511">
      <w:pPr>
        <w:pStyle w:val="ListParagraph"/>
        <w:ind w:left="1020"/>
        <w:rPr>
          <w:rFonts w:ascii="Times New Roman" w:hAnsi="Times New Roman" w:cs="Times New Roman"/>
        </w:rPr>
      </w:pPr>
    </w:p>
    <w:p w14:paraId="3712FA9F" w14:textId="34ACF319" w:rsidR="00704511" w:rsidRPr="00125A6B" w:rsidRDefault="066DEB66" w:rsidP="00CB7838">
      <w:pPr>
        <w:pStyle w:val="ListParagraph"/>
        <w:numPr>
          <w:ilvl w:val="0"/>
          <w:numId w:val="35"/>
        </w:numPr>
        <w:tabs>
          <w:tab w:val="left" w:pos="810"/>
        </w:tabs>
        <w:rPr>
          <w:rFonts w:ascii="Times New Roman" w:eastAsia="Times New Roman" w:hAnsi="Times New Roman" w:cs="Times New Roman"/>
          <w:b/>
          <w:bCs/>
        </w:rPr>
      </w:pPr>
      <w:r w:rsidRPr="00125A6B">
        <w:rPr>
          <w:rFonts w:ascii="Times New Roman" w:eastAsia="Times New Roman" w:hAnsi="Times New Roman" w:cs="Times New Roman"/>
          <w:b/>
          <w:bCs/>
        </w:rPr>
        <w:t>Where can</w:t>
      </w:r>
      <w:r w:rsidR="0D8EB2FC" w:rsidRPr="00125A6B">
        <w:rPr>
          <w:rFonts w:ascii="Times New Roman" w:eastAsia="Times New Roman" w:hAnsi="Times New Roman" w:cs="Times New Roman"/>
          <w:b/>
          <w:bCs/>
        </w:rPr>
        <w:t xml:space="preserve"> owners</w:t>
      </w:r>
      <w:r w:rsidR="5A308C45" w:rsidRPr="00125A6B">
        <w:rPr>
          <w:rFonts w:ascii="Times New Roman" w:eastAsia="Times New Roman" w:hAnsi="Times New Roman" w:cs="Times New Roman"/>
          <w:b/>
          <w:bCs/>
        </w:rPr>
        <w:t xml:space="preserve"> advertise </w:t>
      </w:r>
      <w:r w:rsidR="0D8EB2FC" w:rsidRPr="00125A6B">
        <w:rPr>
          <w:rFonts w:ascii="Times New Roman" w:eastAsia="Times New Roman" w:hAnsi="Times New Roman" w:cs="Times New Roman"/>
          <w:b/>
          <w:bCs/>
        </w:rPr>
        <w:t xml:space="preserve">units </w:t>
      </w:r>
      <w:r w:rsidR="5A308C45" w:rsidRPr="00125A6B">
        <w:rPr>
          <w:rFonts w:ascii="Times New Roman" w:eastAsia="Times New Roman" w:hAnsi="Times New Roman" w:cs="Times New Roman"/>
          <w:b/>
          <w:bCs/>
        </w:rPr>
        <w:t xml:space="preserve">to </w:t>
      </w:r>
      <w:r w:rsidR="0D8EB2FC" w:rsidRPr="00125A6B">
        <w:rPr>
          <w:rFonts w:ascii="Times New Roman" w:eastAsia="Times New Roman" w:hAnsi="Times New Roman" w:cs="Times New Roman"/>
          <w:b/>
          <w:bCs/>
        </w:rPr>
        <w:t>EHV families</w:t>
      </w:r>
      <w:r w:rsidR="6AFB428E" w:rsidRPr="00125A6B">
        <w:rPr>
          <w:rFonts w:ascii="Times New Roman" w:eastAsia="Times New Roman" w:hAnsi="Times New Roman" w:cs="Times New Roman"/>
          <w:b/>
          <w:bCs/>
        </w:rPr>
        <w:t>?</w:t>
      </w:r>
      <w:r w:rsidR="00704511" w:rsidRPr="00125A6B">
        <w:rPr>
          <w:rFonts w:ascii="Times New Roman" w:eastAsia="Times New Roman" w:hAnsi="Times New Roman" w:cs="Times New Roman"/>
          <w:b/>
          <w:bCs/>
        </w:rPr>
        <w:t xml:space="preserve"> </w:t>
      </w:r>
      <w:r w:rsidR="5A308C45" w:rsidRPr="00125A6B">
        <w:rPr>
          <w:rFonts w:ascii="Times New Roman" w:eastAsia="Times New Roman" w:hAnsi="Times New Roman" w:cs="Times New Roman"/>
          <w:b/>
          <w:bCs/>
        </w:rPr>
        <w:t xml:space="preserve"> </w:t>
      </w:r>
    </w:p>
    <w:p w14:paraId="6E2581D9" w14:textId="71257C61" w:rsidR="00704511" w:rsidRPr="00125A6B" w:rsidRDefault="00704511" w:rsidP="00704511">
      <w:pPr>
        <w:ind w:left="720"/>
        <w:rPr>
          <w:rFonts w:ascii="Times New Roman" w:hAnsi="Times New Roman" w:cs="Times New Roman"/>
        </w:rPr>
      </w:pPr>
      <w:r w:rsidRPr="00125A6B">
        <w:rPr>
          <w:rFonts w:ascii="Times New Roman" w:hAnsi="Times New Roman" w:cs="Times New Roman"/>
        </w:rPr>
        <w:t xml:space="preserve">Voucher holders search for available units </w:t>
      </w:r>
      <w:r w:rsidR="006E0B36" w:rsidRPr="00125A6B">
        <w:rPr>
          <w:rFonts w:ascii="Times New Roman" w:hAnsi="Times New Roman" w:cs="Times New Roman"/>
        </w:rPr>
        <w:t>o</w:t>
      </w:r>
      <w:r w:rsidRPr="00125A6B">
        <w:rPr>
          <w:rFonts w:ascii="Times New Roman" w:hAnsi="Times New Roman" w:cs="Times New Roman"/>
        </w:rPr>
        <w:t xml:space="preserve">n the open market. </w:t>
      </w:r>
      <w:r w:rsidR="00AC183C" w:rsidRPr="00125A6B">
        <w:rPr>
          <w:rFonts w:ascii="Times New Roman" w:hAnsi="Times New Roman" w:cs="Times New Roman"/>
        </w:rPr>
        <w:t>Owners can</w:t>
      </w:r>
      <w:r w:rsidRPr="00125A6B">
        <w:rPr>
          <w:rFonts w:ascii="Times New Roman" w:hAnsi="Times New Roman" w:cs="Times New Roman"/>
        </w:rPr>
        <w:t xml:space="preserve"> </w:t>
      </w:r>
      <w:r w:rsidR="00AC183C" w:rsidRPr="00125A6B">
        <w:rPr>
          <w:rFonts w:ascii="Times New Roman" w:hAnsi="Times New Roman" w:cs="Times New Roman"/>
        </w:rPr>
        <w:t>c</w:t>
      </w:r>
      <w:r w:rsidRPr="00125A6B">
        <w:rPr>
          <w:rFonts w:ascii="Times New Roman" w:hAnsi="Times New Roman" w:cs="Times New Roman"/>
        </w:rPr>
        <w:t xml:space="preserve">onsider advertising </w:t>
      </w:r>
      <w:r w:rsidR="00852EEC" w:rsidRPr="00125A6B">
        <w:rPr>
          <w:rFonts w:ascii="Times New Roman" w:hAnsi="Times New Roman" w:cs="Times New Roman"/>
        </w:rPr>
        <w:t xml:space="preserve">their units </w:t>
      </w:r>
      <w:r w:rsidRPr="00125A6B">
        <w:rPr>
          <w:rFonts w:ascii="Times New Roman" w:hAnsi="Times New Roman" w:cs="Times New Roman"/>
        </w:rPr>
        <w:t>online, including the following websites</w:t>
      </w:r>
      <w:r w:rsidR="00C9518F" w:rsidRPr="00125A6B">
        <w:rPr>
          <w:rFonts w:ascii="Times New Roman" w:hAnsi="Times New Roman" w:cs="Times New Roman"/>
        </w:rPr>
        <w:t>:</w:t>
      </w:r>
    </w:p>
    <w:p w14:paraId="2FF344BD" w14:textId="77777777" w:rsidR="00704511" w:rsidRPr="00125A6B" w:rsidRDefault="00704511" w:rsidP="00B86D98">
      <w:pPr>
        <w:pStyle w:val="ListParagraph"/>
        <w:numPr>
          <w:ilvl w:val="0"/>
          <w:numId w:val="10"/>
        </w:numPr>
        <w:rPr>
          <w:rFonts w:ascii="Times New Roman" w:hAnsi="Times New Roman" w:cs="Times New Roman"/>
        </w:rPr>
      </w:pPr>
      <w:r w:rsidRPr="00125A6B">
        <w:rPr>
          <w:rFonts w:ascii="Times New Roman" w:hAnsi="Times New Roman" w:cs="Times New Roman"/>
        </w:rPr>
        <w:t>GoSection8.com</w:t>
      </w:r>
    </w:p>
    <w:p w14:paraId="22A0D783" w14:textId="77777777" w:rsidR="00704511" w:rsidRPr="00125A6B" w:rsidRDefault="00704511" w:rsidP="00B86D98">
      <w:pPr>
        <w:pStyle w:val="ListParagraph"/>
        <w:numPr>
          <w:ilvl w:val="0"/>
          <w:numId w:val="10"/>
        </w:numPr>
        <w:rPr>
          <w:rFonts w:ascii="Times New Roman" w:hAnsi="Times New Roman" w:cs="Times New Roman"/>
        </w:rPr>
      </w:pPr>
      <w:r w:rsidRPr="00125A6B">
        <w:rPr>
          <w:rFonts w:ascii="Times New Roman" w:hAnsi="Times New Roman" w:cs="Times New Roman"/>
        </w:rPr>
        <w:lastRenderedPageBreak/>
        <w:t>Apartments.com</w:t>
      </w:r>
    </w:p>
    <w:p w14:paraId="0F786FB2" w14:textId="2DE96711" w:rsidR="00704511" w:rsidRPr="00125A6B" w:rsidRDefault="00704511" w:rsidP="00B86D98">
      <w:pPr>
        <w:pStyle w:val="ListParagraph"/>
        <w:numPr>
          <w:ilvl w:val="0"/>
          <w:numId w:val="10"/>
        </w:numPr>
        <w:rPr>
          <w:rFonts w:ascii="Times New Roman" w:hAnsi="Times New Roman" w:cs="Times New Roman"/>
        </w:rPr>
      </w:pPr>
      <w:r w:rsidRPr="00125A6B">
        <w:rPr>
          <w:rFonts w:ascii="Times New Roman" w:hAnsi="Times New Roman" w:cs="Times New Roman"/>
        </w:rPr>
        <w:t>Craigslist</w:t>
      </w:r>
      <w:r w:rsidR="00594101" w:rsidRPr="00125A6B">
        <w:rPr>
          <w:rFonts w:ascii="Times New Roman" w:hAnsi="Times New Roman" w:cs="Times New Roman"/>
        </w:rPr>
        <w:t>.com</w:t>
      </w:r>
    </w:p>
    <w:p w14:paraId="1A61AE7F" w14:textId="77777777" w:rsidR="00704511" w:rsidRPr="00125A6B" w:rsidRDefault="00704511" w:rsidP="00B86D98">
      <w:pPr>
        <w:pStyle w:val="ListParagraph"/>
        <w:numPr>
          <w:ilvl w:val="0"/>
          <w:numId w:val="10"/>
        </w:numPr>
        <w:rPr>
          <w:rFonts w:ascii="Times New Roman" w:hAnsi="Times New Roman" w:cs="Times New Roman"/>
        </w:rPr>
      </w:pPr>
      <w:r w:rsidRPr="00125A6B">
        <w:rPr>
          <w:rFonts w:ascii="Times New Roman" w:hAnsi="Times New Roman" w:cs="Times New Roman"/>
        </w:rPr>
        <w:t>ForRent.com</w:t>
      </w:r>
    </w:p>
    <w:p w14:paraId="307005C5" w14:textId="54F3FC79" w:rsidR="00704511" w:rsidRPr="00125A6B" w:rsidRDefault="00704511" w:rsidP="00B86D98">
      <w:pPr>
        <w:pStyle w:val="ListParagraph"/>
        <w:numPr>
          <w:ilvl w:val="0"/>
          <w:numId w:val="10"/>
        </w:numPr>
        <w:rPr>
          <w:rFonts w:ascii="Times New Roman" w:hAnsi="Times New Roman" w:cs="Times New Roman"/>
        </w:rPr>
      </w:pPr>
      <w:r w:rsidRPr="00125A6B">
        <w:rPr>
          <w:rFonts w:ascii="Times New Roman" w:hAnsi="Times New Roman" w:cs="Times New Roman"/>
        </w:rPr>
        <w:t>Zillow.com</w:t>
      </w:r>
    </w:p>
    <w:sectPr w:rsidR="00704511" w:rsidRPr="00125A6B">
      <w:footerReference w:type="default" r:id="rId1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D145C" w14:textId="77777777" w:rsidR="00EE7DB8" w:rsidRDefault="00EE7DB8" w:rsidP="005B6F6A">
      <w:pPr>
        <w:spacing w:after="0" w:line="240" w:lineRule="auto"/>
      </w:pPr>
      <w:r>
        <w:separator/>
      </w:r>
    </w:p>
  </w:endnote>
  <w:endnote w:type="continuationSeparator" w:id="0">
    <w:p w14:paraId="7479DAAB" w14:textId="77777777" w:rsidR="00EE7DB8" w:rsidRDefault="00EE7DB8" w:rsidP="005B6F6A">
      <w:pPr>
        <w:spacing w:after="0" w:line="240" w:lineRule="auto"/>
      </w:pPr>
      <w:r>
        <w:continuationSeparator/>
      </w:r>
    </w:p>
  </w:endnote>
  <w:endnote w:type="continuationNotice" w:id="1">
    <w:p w14:paraId="3F91792A" w14:textId="77777777" w:rsidR="00EE7DB8" w:rsidRDefault="00EE7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435779"/>
      <w:docPartObj>
        <w:docPartGallery w:val="Page Numbers (Bottom of Page)"/>
        <w:docPartUnique/>
      </w:docPartObj>
    </w:sdtPr>
    <w:sdtContent>
      <w:sdt>
        <w:sdtPr>
          <w:id w:val="-1769616900"/>
          <w:docPartObj>
            <w:docPartGallery w:val="Page Numbers (Top of Page)"/>
            <w:docPartUnique/>
          </w:docPartObj>
        </w:sdtPr>
        <w:sdtContent>
          <w:p w14:paraId="228CBDD6" w14:textId="777BB895" w:rsidR="00EE7DB8" w:rsidRDefault="00EE7D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sdtContent>
  </w:sdt>
  <w:p w14:paraId="4146E8DF" w14:textId="0F4831D0" w:rsidR="00EE7DB8" w:rsidRPr="00A704E0" w:rsidRDefault="00EE7DB8" w:rsidP="00A704E0">
    <w:pPr>
      <w:pStyle w:val="Footer"/>
      <w:rPr>
        <w:i/>
        <w:iCs/>
      </w:rPr>
    </w:pPr>
    <w:r w:rsidRPr="00A704E0">
      <w:rPr>
        <w:i/>
        <w:iCs/>
      </w:rPr>
      <w:t>Updated as of</w:t>
    </w:r>
    <w:r>
      <w:rPr>
        <w:i/>
        <w:iCs/>
      </w:rPr>
      <w:t xml:space="preserve"> February </w:t>
    </w:r>
    <w:r w:rsidR="004E253A">
      <w:rPr>
        <w:i/>
        <w:iCs/>
      </w:rPr>
      <w:t>23</w:t>
    </w:r>
    <w:r>
      <w:rPr>
        <w:i/>
        <w:iCs/>
      </w:rPr>
      <w:t>, 2022</w:t>
    </w:r>
  </w:p>
  <w:p w14:paraId="21CCE2C9" w14:textId="6ED5FE61" w:rsidR="00EE7DB8" w:rsidRPr="00A704E0" w:rsidRDefault="00EE7DB8">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8B233" w14:textId="77777777" w:rsidR="00EE7DB8" w:rsidRDefault="00EE7DB8" w:rsidP="005B6F6A">
      <w:pPr>
        <w:spacing w:after="0" w:line="240" w:lineRule="auto"/>
      </w:pPr>
      <w:r>
        <w:separator/>
      </w:r>
    </w:p>
  </w:footnote>
  <w:footnote w:type="continuationSeparator" w:id="0">
    <w:p w14:paraId="0AA3836D" w14:textId="77777777" w:rsidR="00EE7DB8" w:rsidRDefault="00EE7DB8" w:rsidP="005B6F6A">
      <w:pPr>
        <w:spacing w:after="0" w:line="240" w:lineRule="auto"/>
      </w:pPr>
      <w:r>
        <w:continuationSeparator/>
      </w:r>
    </w:p>
  </w:footnote>
  <w:footnote w:type="continuationNotice" w:id="1">
    <w:p w14:paraId="122D7489" w14:textId="77777777" w:rsidR="00EE7DB8" w:rsidRDefault="00EE7DB8">
      <w:pPr>
        <w:spacing w:after="0" w:line="240" w:lineRule="auto"/>
      </w:pPr>
    </w:p>
  </w:footnote>
  <w:footnote w:id="2">
    <w:p w14:paraId="72BB805C" w14:textId="77777777" w:rsidR="00EE7DB8" w:rsidRDefault="00EE7DB8" w:rsidP="005B6F6A">
      <w:pPr>
        <w:pStyle w:val="FootnoteText"/>
      </w:pPr>
      <w:r>
        <w:rPr>
          <w:rStyle w:val="FootnoteReference"/>
        </w:rPr>
        <w:footnoteRef/>
      </w:r>
      <w:r>
        <w:t xml:space="preserve"> Balance of State CoC is defined as a CoC that covers all jurisdictions within a given state.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45D"/>
    <w:multiLevelType w:val="hybridMultilevel"/>
    <w:tmpl w:val="7404178A"/>
    <w:lvl w:ilvl="0" w:tplc="8564E16A">
      <w:start w:val="31"/>
      <w:numFmt w:val="decimal"/>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A3DDC"/>
    <w:multiLevelType w:val="hybridMultilevel"/>
    <w:tmpl w:val="C7AE0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B0647"/>
    <w:multiLevelType w:val="hybridMultilevel"/>
    <w:tmpl w:val="FBFA5E5C"/>
    <w:lvl w:ilvl="0" w:tplc="D1B4A02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396D"/>
    <w:multiLevelType w:val="hybridMultilevel"/>
    <w:tmpl w:val="2BEA26EE"/>
    <w:lvl w:ilvl="0" w:tplc="ED382DB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90193"/>
    <w:multiLevelType w:val="hybridMultilevel"/>
    <w:tmpl w:val="2C4A5858"/>
    <w:lvl w:ilvl="0" w:tplc="9E2A2D1A">
      <w:start w:val="1"/>
      <w:numFmt w:val="decimal"/>
      <w:lvlText w:val="%1."/>
      <w:lvlJc w:val="left"/>
      <w:pPr>
        <w:ind w:left="720" w:hanging="360"/>
      </w:pPr>
    </w:lvl>
    <w:lvl w:ilvl="1" w:tplc="BACEEACE">
      <w:start w:val="1"/>
      <w:numFmt w:val="lowerLetter"/>
      <w:lvlText w:val="%2."/>
      <w:lvlJc w:val="left"/>
      <w:pPr>
        <w:ind w:left="1440" w:hanging="360"/>
      </w:pPr>
    </w:lvl>
    <w:lvl w:ilvl="2" w:tplc="A3B87110">
      <w:start w:val="1"/>
      <w:numFmt w:val="lowerRoman"/>
      <w:lvlText w:val="%3."/>
      <w:lvlJc w:val="right"/>
      <w:pPr>
        <w:ind w:left="2160" w:hanging="180"/>
      </w:pPr>
    </w:lvl>
    <w:lvl w:ilvl="3" w:tplc="F634E07A">
      <w:start w:val="1"/>
      <w:numFmt w:val="decimal"/>
      <w:lvlText w:val="%4."/>
      <w:lvlJc w:val="left"/>
      <w:pPr>
        <w:ind w:left="2880" w:hanging="360"/>
      </w:pPr>
    </w:lvl>
    <w:lvl w:ilvl="4" w:tplc="5596BAB8">
      <w:start w:val="1"/>
      <w:numFmt w:val="lowerLetter"/>
      <w:lvlText w:val="%5."/>
      <w:lvlJc w:val="left"/>
      <w:pPr>
        <w:ind w:left="3600" w:hanging="360"/>
      </w:pPr>
    </w:lvl>
    <w:lvl w:ilvl="5" w:tplc="9ABA442C">
      <w:start w:val="1"/>
      <w:numFmt w:val="lowerRoman"/>
      <w:lvlText w:val="%6."/>
      <w:lvlJc w:val="right"/>
      <w:pPr>
        <w:ind w:left="4320" w:hanging="180"/>
      </w:pPr>
    </w:lvl>
    <w:lvl w:ilvl="6" w:tplc="D68C6A18">
      <w:start w:val="1"/>
      <w:numFmt w:val="decimal"/>
      <w:lvlText w:val="%7."/>
      <w:lvlJc w:val="left"/>
      <w:pPr>
        <w:ind w:left="5040" w:hanging="360"/>
      </w:pPr>
    </w:lvl>
    <w:lvl w:ilvl="7" w:tplc="8904C93C">
      <w:start w:val="1"/>
      <w:numFmt w:val="lowerLetter"/>
      <w:lvlText w:val="%8."/>
      <w:lvlJc w:val="left"/>
      <w:pPr>
        <w:ind w:left="5760" w:hanging="360"/>
      </w:pPr>
    </w:lvl>
    <w:lvl w:ilvl="8" w:tplc="B322BD24">
      <w:start w:val="1"/>
      <w:numFmt w:val="lowerRoman"/>
      <w:lvlText w:val="%9."/>
      <w:lvlJc w:val="right"/>
      <w:pPr>
        <w:ind w:left="6480" w:hanging="180"/>
      </w:pPr>
    </w:lvl>
  </w:abstractNum>
  <w:abstractNum w:abstractNumId="5" w15:restartNumberingAfterBreak="0">
    <w:nsid w:val="09B47CE5"/>
    <w:multiLevelType w:val="hybridMultilevel"/>
    <w:tmpl w:val="4604897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E574E"/>
    <w:multiLevelType w:val="hybridMultilevel"/>
    <w:tmpl w:val="50EA9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5700D"/>
    <w:multiLevelType w:val="hybridMultilevel"/>
    <w:tmpl w:val="CE0090EE"/>
    <w:lvl w:ilvl="0" w:tplc="606691BE">
      <w:start w:val="10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F17C7"/>
    <w:multiLevelType w:val="hybridMultilevel"/>
    <w:tmpl w:val="73E69FEC"/>
    <w:lvl w:ilvl="0" w:tplc="0409000F">
      <w:start w:val="48"/>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E630D7"/>
    <w:multiLevelType w:val="hybridMultilevel"/>
    <w:tmpl w:val="B92C59CE"/>
    <w:lvl w:ilvl="0" w:tplc="0FD854E6">
      <w:start w:val="139"/>
      <w:numFmt w:val="decimal"/>
      <w:suff w:val="space"/>
      <w:lvlText w:val="%1."/>
      <w:lvlJc w:val="left"/>
      <w:pPr>
        <w:ind w:left="720" w:hanging="360"/>
      </w:pPr>
      <w:rPr>
        <w:rFonts w:ascii="Times New Roman" w:eastAsiaTheme="minorEastAsia"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C6F27"/>
    <w:multiLevelType w:val="hybridMultilevel"/>
    <w:tmpl w:val="82789CDC"/>
    <w:lvl w:ilvl="0" w:tplc="B6847044">
      <w:start w:val="60"/>
      <w:numFmt w:val="decimal"/>
      <w:suff w:val="space"/>
      <w:lvlText w:val="%1."/>
      <w:lvlJc w:val="left"/>
      <w:pPr>
        <w:ind w:left="720" w:hanging="360"/>
      </w:pPr>
      <w:rPr>
        <w:rFonts w:ascii="Times New Roman" w:eastAsiaTheme="minorEastAsia"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476E3"/>
    <w:multiLevelType w:val="hybridMultilevel"/>
    <w:tmpl w:val="86669334"/>
    <w:lvl w:ilvl="0" w:tplc="68B6A506">
      <w:start w:val="106"/>
      <w:numFmt w:val="decimal"/>
      <w:lvlText w:val="%1."/>
      <w:lvlJc w:val="left"/>
      <w:pPr>
        <w:ind w:left="670" w:hanging="39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2" w15:restartNumberingAfterBreak="0">
    <w:nsid w:val="2E9721DB"/>
    <w:multiLevelType w:val="hybridMultilevel"/>
    <w:tmpl w:val="1C428BDC"/>
    <w:lvl w:ilvl="0" w:tplc="F02693C8">
      <w:start w:val="144"/>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66312"/>
    <w:multiLevelType w:val="hybridMultilevel"/>
    <w:tmpl w:val="FFFFFFFF"/>
    <w:lvl w:ilvl="0" w:tplc="4EC44C38">
      <w:start w:val="1"/>
      <w:numFmt w:val="bullet"/>
      <w:lvlText w:val=""/>
      <w:lvlJc w:val="left"/>
      <w:pPr>
        <w:ind w:left="1440" w:hanging="360"/>
      </w:pPr>
      <w:rPr>
        <w:rFonts w:ascii="Symbol" w:hAnsi="Symbol" w:hint="default"/>
      </w:rPr>
    </w:lvl>
    <w:lvl w:ilvl="1" w:tplc="758C1940">
      <w:start w:val="1"/>
      <w:numFmt w:val="bullet"/>
      <w:lvlText w:val="o"/>
      <w:lvlJc w:val="left"/>
      <w:pPr>
        <w:ind w:left="2160" w:hanging="360"/>
      </w:pPr>
      <w:rPr>
        <w:rFonts w:ascii="Courier New" w:hAnsi="Courier New" w:hint="default"/>
      </w:rPr>
    </w:lvl>
    <w:lvl w:ilvl="2" w:tplc="1624E130">
      <w:start w:val="1"/>
      <w:numFmt w:val="bullet"/>
      <w:lvlText w:val=""/>
      <w:lvlJc w:val="left"/>
      <w:pPr>
        <w:ind w:left="2880" w:hanging="360"/>
      </w:pPr>
      <w:rPr>
        <w:rFonts w:ascii="Wingdings" w:hAnsi="Wingdings" w:hint="default"/>
      </w:rPr>
    </w:lvl>
    <w:lvl w:ilvl="3" w:tplc="8DA21F6C">
      <w:start w:val="1"/>
      <w:numFmt w:val="bullet"/>
      <w:lvlText w:val=""/>
      <w:lvlJc w:val="left"/>
      <w:pPr>
        <w:ind w:left="3600" w:hanging="360"/>
      </w:pPr>
      <w:rPr>
        <w:rFonts w:ascii="Symbol" w:hAnsi="Symbol" w:hint="default"/>
      </w:rPr>
    </w:lvl>
    <w:lvl w:ilvl="4" w:tplc="ED7E9A00">
      <w:start w:val="1"/>
      <w:numFmt w:val="bullet"/>
      <w:lvlText w:val="o"/>
      <w:lvlJc w:val="left"/>
      <w:pPr>
        <w:ind w:left="4320" w:hanging="360"/>
      </w:pPr>
      <w:rPr>
        <w:rFonts w:ascii="Courier New" w:hAnsi="Courier New" w:hint="default"/>
      </w:rPr>
    </w:lvl>
    <w:lvl w:ilvl="5" w:tplc="5716484C">
      <w:start w:val="1"/>
      <w:numFmt w:val="bullet"/>
      <w:lvlText w:val=""/>
      <w:lvlJc w:val="left"/>
      <w:pPr>
        <w:ind w:left="5040" w:hanging="360"/>
      </w:pPr>
      <w:rPr>
        <w:rFonts w:ascii="Wingdings" w:hAnsi="Wingdings" w:hint="default"/>
      </w:rPr>
    </w:lvl>
    <w:lvl w:ilvl="6" w:tplc="0ED2D780">
      <w:start w:val="1"/>
      <w:numFmt w:val="bullet"/>
      <w:lvlText w:val=""/>
      <w:lvlJc w:val="left"/>
      <w:pPr>
        <w:ind w:left="5760" w:hanging="360"/>
      </w:pPr>
      <w:rPr>
        <w:rFonts w:ascii="Symbol" w:hAnsi="Symbol" w:hint="default"/>
      </w:rPr>
    </w:lvl>
    <w:lvl w:ilvl="7" w:tplc="C1822BF8">
      <w:start w:val="1"/>
      <w:numFmt w:val="bullet"/>
      <w:lvlText w:val="o"/>
      <w:lvlJc w:val="left"/>
      <w:pPr>
        <w:ind w:left="6480" w:hanging="360"/>
      </w:pPr>
      <w:rPr>
        <w:rFonts w:ascii="Courier New" w:hAnsi="Courier New" w:hint="default"/>
      </w:rPr>
    </w:lvl>
    <w:lvl w:ilvl="8" w:tplc="4CB05F48">
      <w:start w:val="1"/>
      <w:numFmt w:val="bullet"/>
      <w:lvlText w:val=""/>
      <w:lvlJc w:val="left"/>
      <w:pPr>
        <w:ind w:left="7200" w:hanging="360"/>
      </w:pPr>
      <w:rPr>
        <w:rFonts w:ascii="Wingdings" w:hAnsi="Wingdings" w:hint="default"/>
      </w:rPr>
    </w:lvl>
  </w:abstractNum>
  <w:abstractNum w:abstractNumId="14" w15:restartNumberingAfterBreak="0">
    <w:nsid w:val="39A405CB"/>
    <w:multiLevelType w:val="hybridMultilevel"/>
    <w:tmpl w:val="C776A61A"/>
    <w:lvl w:ilvl="0" w:tplc="A07099C0">
      <w:start w:val="1"/>
      <w:numFmt w:val="decimal"/>
      <w:lvlText w:val="%1."/>
      <w:lvlJc w:val="left"/>
      <w:pPr>
        <w:ind w:left="720" w:hanging="360"/>
      </w:pPr>
      <w:rPr>
        <w:rFonts w:ascii="Times New Roman" w:eastAsia="Calibri"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23FCF"/>
    <w:multiLevelType w:val="hybridMultilevel"/>
    <w:tmpl w:val="FFFFFFFF"/>
    <w:lvl w:ilvl="0" w:tplc="5B8A2E22">
      <w:start w:val="1"/>
      <w:numFmt w:val="bullet"/>
      <w:lvlText w:val=""/>
      <w:lvlJc w:val="left"/>
      <w:pPr>
        <w:ind w:left="1440" w:hanging="360"/>
      </w:pPr>
      <w:rPr>
        <w:rFonts w:ascii="Symbol" w:hAnsi="Symbol" w:hint="default"/>
      </w:rPr>
    </w:lvl>
    <w:lvl w:ilvl="1" w:tplc="2746F59A">
      <w:start w:val="1"/>
      <w:numFmt w:val="bullet"/>
      <w:lvlText w:val="o"/>
      <w:lvlJc w:val="left"/>
      <w:pPr>
        <w:ind w:left="2160" w:hanging="360"/>
      </w:pPr>
      <w:rPr>
        <w:rFonts w:ascii="Courier New" w:hAnsi="Courier New" w:hint="default"/>
      </w:rPr>
    </w:lvl>
    <w:lvl w:ilvl="2" w:tplc="CE0C3C52">
      <w:start w:val="1"/>
      <w:numFmt w:val="bullet"/>
      <w:lvlText w:val=""/>
      <w:lvlJc w:val="left"/>
      <w:pPr>
        <w:ind w:left="2880" w:hanging="360"/>
      </w:pPr>
      <w:rPr>
        <w:rFonts w:ascii="Wingdings" w:hAnsi="Wingdings" w:hint="default"/>
      </w:rPr>
    </w:lvl>
    <w:lvl w:ilvl="3" w:tplc="98CC5D16">
      <w:start w:val="1"/>
      <w:numFmt w:val="bullet"/>
      <w:lvlText w:val=""/>
      <w:lvlJc w:val="left"/>
      <w:pPr>
        <w:ind w:left="3600" w:hanging="360"/>
      </w:pPr>
      <w:rPr>
        <w:rFonts w:ascii="Symbol" w:hAnsi="Symbol" w:hint="default"/>
      </w:rPr>
    </w:lvl>
    <w:lvl w:ilvl="4" w:tplc="6DAA91F4">
      <w:start w:val="1"/>
      <w:numFmt w:val="bullet"/>
      <w:lvlText w:val="o"/>
      <w:lvlJc w:val="left"/>
      <w:pPr>
        <w:ind w:left="4320" w:hanging="360"/>
      </w:pPr>
      <w:rPr>
        <w:rFonts w:ascii="Courier New" w:hAnsi="Courier New" w:hint="default"/>
      </w:rPr>
    </w:lvl>
    <w:lvl w:ilvl="5" w:tplc="B2340E62">
      <w:start w:val="1"/>
      <w:numFmt w:val="bullet"/>
      <w:lvlText w:val=""/>
      <w:lvlJc w:val="left"/>
      <w:pPr>
        <w:ind w:left="5040" w:hanging="360"/>
      </w:pPr>
      <w:rPr>
        <w:rFonts w:ascii="Wingdings" w:hAnsi="Wingdings" w:hint="default"/>
      </w:rPr>
    </w:lvl>
    <w:lvl w:ilvl="6" w:tplc="08B43AA0">
      <w:start w:val="1"/>
      <w:numFmt w:val="bullet"/>
      <w:lvlText w:val=""/>
      <w:lvlJc w:val="left"/>
      <w:pPr>
        <w:ind w:left="5760" w:hanging="360"/>
      </w:pPr>
      <w:rPr>
        <w:rFonts w:ascii="Symbol" w:hAnsi="Symbol" w:hint="default"/>
      </w:rPr>
    </w:lvl>
    <w:lvl w:ilvl="7" w:tplc="736C6270">
      <w:start w:val="1"/>
      <w:numFmt w:val="bullet"/>
      <w:lvlText w:val="o"/>
      <w:lvlJc w:val="left"/>
      <w:pPr>
        <w:ind w:left="6480" w:hanging="360"/>
      </w:pPr>
      <w:rPr>
        <w:rFonts w:ascii="Courier New" w:hAnsi="Courier New" w:hint="default"/>
      </w:rPr>
    </w:lvl>
    <w:lvl w:ilvl="8" w:tplc="B9A4538A">
      <w:start w:val="1"/>
      <w:numFmt w:val="bullet"/>
      <w:lvlText w:val=""/>
      <w:lvlJc w:val="left"/>
      <w:pPr>
        <w:ind w:left="7200" w:hanging="360"/>
      </w:pPr>
      <w:rPr>
        <w:rFonts w:ascii="Wingdings" w:hAnsi="Wingdings" w:hint="default"/>
      </w:rPr>
    </w:lvl>
  </w:abstractNum>
  <w:abstractNum w:abstractNumId="16" w15:restartNumberingAfterBreak="0">
    <w:nsid w:val="40966A7C"/>
    <w:multiLevelType w:val="hybridMultilevel"/>
    <w:tmpl w:val="E294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8007A3"/>
    <w:multiLevelType w:val="hybridMultilevel"/>
    <w:tmpl w:val="07A238F4"/>
    <w:lvl w:ilvl="0" w:tplc="66F67B44">
      <w:start w:val="24"/>
      <w:numFmt w:val="decimal"/>
      <w:lvlText w:val="%1."/>
      <w:lvlJc w:val="left"/>
      <w:pPr>
        <w:ind w:left="720" w:hanging="360"/>
      </w:pPr>
      <w:rPr>
        <w:rFonts w:ascii="Times New Roman" w:hAnsi="Times New Roman" w:cs="Times New Roman"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41989"/>
    <w:multiLevelType w:val="hybridMultilevel"/>
    <w:tmpl w:val="91F880D0"/>
    <w:lvl w:ilvl="0" w:tplc="286AB99E">
      <w:start w:val="14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43401"/>
    <w:multiLevelType w:val="hybridMultilevel"/>
    <w:tmpl w:val="9C12F438"/>
    <w:lvl w:ilvl="0" w:tplc="CBDC4AE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4728A"/>
    <w:multiLevelType w:val="hybridMultilevel"/>
    <w:tmpl w:val="DC261F3C"/>
    <w:lvl w:ilvl="0" w:tplc="203ABAAC">
      <w:start w:val="40"/>
      <w:numFmt w:val="decimal"/>
      <w:suff w:val="space"/>
      <w:lvlText w:val="%1."/>
      <w:lvlJc w:val="left"/>
      <w:pPr>
        <w:ind w:left="720" w:hanging="360"/>
      </w:pPr>
      <w:rPr>
        <w:rFonts w:ascii="Times New Roman" w:eastAsiaTheme="minorEastAsia" w:hAnsi="Times New Roman" w:cs="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A6876"/>
    <w:multiLevelType w:val="hybridMultilevel"/>
    <w:tmpl w:val="E8860A42"/>
    <w:lvl w:ilvl="0" w:tplc="F02693C8">
      <w:start w:val="144"/>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B4AF1"/>
    <w:multiLevelType w:val="hybridMultilevel"/>
    <w:tmpl w:val="FCA87978"/>
    <w:lvl w:ilvl="0" w:tplc="35E4C610">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97861"/>
    <w:multiLevelType w:val="multilevel"/>
    <w:tmpl w:val="3EDA8FCC"/>
    <w:lvl w:ilvl="0">
      <w:start w:val="5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8F3228F"/>
    <w:multiLevelType w:val="multilevel"/>
    <w:tmpl w:val="C1486A36"/>
    <w:lvl w:ilvl="0">
      <w:start w:val="40"/>
      <w:numFmt w:val="decimal"/>
      <w:lvlText w:val="%1."/>
      <w:lvlJc w:val="left"/>
      <w:pPr>
        <w:ind w:left="720" w:hanging="360"/>
      </w:pPr>
      <w:rPr>
        <w:rFonts w:ascii="Times New Roman" w:eastAsiaTheme="minorEastAsia" w:hAnsi="Times New Roman" w:cs="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745E60"/>
    <w:multiLevelType w:val="hybridMultilevel"/>
    <w:tmpl w:val="D72415F6"/>
    <w:lvl w:ilvl="0" w:tplc="BEEA9738">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14EC4"/>
    <w:multiLevelType w:val="hybridMultilevel"/>
    <w:tmpl w:val="1996E714"/>
    <w:lvl w:ilvl="0" w:tplc="80F6D2AC">
      <w:start w:val="1"/>
      <w:numFmt w:val="bullet"/>
      <w:lvlText w:val=""/>
      <w:lvlJc w:val="left"/>
      <w:pPr>
        <w:ind w:left="1440" w:hanging="360"/>
      </w:pPr>
      <w:rPr>
        <w:rFonts w:ascii="Symbol" w:hAnsi="Symbol" w:hint="default"/>
      </w:rPr>
    </w:lvl>
    <w:lvl w:ilvl="1" w:tplc="C2221794">
      <w:start w:val="1"/>
      <w:numFmt w:val="bullet"/>
      <w:lvlText w:val="o"/>
      <w:lvlJc w:val="left"/>
      <w:pPr>
        <w:ind w:left="2160" w:hanging="360"/>
      </w:pPr>
      <w:rPr>
        <w:rFonts w:ascii="Courier New" w:hAnsi="Courier New" w:hint="default"/>
      </w:rPr>
    </w:lvl>
    <w:lvl w:ilvl="2" w:tplc="10CCA2E4">
      <w:start w:val="1"/>
      <w:numFmt w:val="bullet"/>
      <w:lvlText w:val=""/>
      <w:lvlJc w:val="left"/>
      <w:pPr>
        <w:ind w:left="2880" w:hanging="360"/>
      </w:pPr>
      <w:rPr>
        <w:rFonts w:ascii="Wingdings" w:hAnsi="Wingdings" w:hint="default"/>
      </w:rPr>
    </w:lvl>
    <w:lvl w:ilvl="3" w:tplc="734A59BE">
      <w:start w:val="1"/>
      <w:numFmt w:val="bullet"/>
      <w:lvlText w:val=""/>
      <w:lvlJc w:val="left"/>
      <w:pPr>
        <w:ind w:left="3600" w:hanging="360"/>
      </w:pPr>
      <w:rPr>
        <w:rFonts w:ascii="Symbol" w:hAnsi="Symbol" w:hint="default"/>
      </w:rPr>
    </w:lvl>
    <w:lvl w:ilvl="4" w:tplc="6ACC7B62">
      <w:start w:val="1"/>
      <w:numFmt w:val="bullet"/>
      <w:lvlText w:val="o"/>
      <w:lvlJc w:val="left"/>
      <w:pPr>
        <w:ind w:left="4320" w:hanging="360"/>
      </w:pPr>
      <w:rPr>
        <w:rFonts w:ascii="Courier New" w:hAnsi="Courier New" w:hint="default"/>
      </w:rPr>
    </w:lvl>
    <w:lvl w:ilvl="5" w:tplc="D600526A">
      <w:start w:val="1"/>
      <w:numFmt w:val="bullet"/>
      <w:lvlText w:val=""/>
      <w:lvlJc w:val="left"/>
      <w:pPr>
        <w:ind w:left="5040" w:hanging="360"/>
      </w:pPr>
      <w:rPr>
        <w:rFonts w:ascii="Wingdings" w:hAnsi="Wingdings" w:hint="default"/>
      </w:rPr>
    </w:lvl>
    <w:lvl w:ilvl="6" w:tplc="1BF26478">
      <w:start w:val="1"/>
      <w:numFmt w:val="bullet"/>
      <w:lvlText w:val=""/>
      <w:lvlJc w:val="left"/>
      <w:pPr>
        <w:ind w:left="5760" w:hanging="360"/>
      </w:pPr>
      <w:rPr>
        <w:rFonts w:ascii="Symbol" w:hAnsi="Symbol" w:hint="default"/>
      </w:rPr>
    </w:lvl>
    <w:lvl w:ilvl="7" w:tplc="B8C055A2">
      <w:start w:val="1"/>
      <w:numFmt w:val="bullet"/>
      <w:lvlText w:val="o"/>
      <w:lvlJc w:val="left"/>
      <w:pPr>
        <w:ind w:left="6480" w:hanging="360"/>
      </w:pPr>
      <w:rPr>
        <w:rFonts w:ascii="Courier New" w:hAnsi="Courier New" w:hint="default"/>
      </w:rPr>
    </w:lvl>
    <w:lvl w:ilvl="8" w:tplc="9C6432BE">
      <w:start w:val="1"/>
      <w:numFmt w:val="bullet"/>
      <w:lvlText w:val=""/>
      <w:lvlJc w:val="left"/>
      <w:pPr>
        <w:ind w:left="7200" w:hanging="360"/>
      </w:pPr>
      <w:rPr>
        <w:rFonts w:ascii="Wingdings" w:hAnsi="Wingdings" w:hint="default"/>
      </w:rPr>
    </w:lvl>
  </w:abstractNum>
  <w:abstractNum w:abstractNumId="27" w15:restartNumberingAfterBreak="0">
    <w:nsid w:val="6445664C"/>
    <w:multiLevelType w:val="hybridMultilevel"/>
    <w:tmpl w:val="8834C86C"/>
    <w:lvl w:ilvl="0" w:tplc="F02693C8">
      <w:start w:val="144"/>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E7B39"/>
    <w:multiLevelType w:val="hybridMultilevel"/>
    <w:tmpl w:val="D494E068"/>
    <w:lvl w:ilvl="0" w:tplc="3F724C3A">
      <w:start w:val="1"/>
      <w:numFmt w:val="decimal"/>
      <w:lvlText w:val="%1."/>
      <w:lvlJc w:val="left"/>
      <w:pPr>
        <w:ind w:left="720" w:hanging="360"/>
      </w:pPr>
      <w:rPr>
        <w:rFonts w:ascii="Times New Roman" w:hAnsi="Times New Roman" w:cs="Times New Roman" w:hint="default"/>
        <w:b/>
        <w:bCs/>
        <w:i w:val="0"/>
        <w:iCs w:val="0"/>
        <w:color w:val="auto"/>
      </w:rPr>
    </w:lvl>
    <w:lvl w:ilvl="1" w:tplc="AFB2B440">
      <w:start w:val="1"/>
      <w:numFmt w:val="lowerLetter"/>
      <w:lvlText w:val="%2."/>
      <w:lvlJc w:val="left"/>
      <w:pPr>
        <w:ind w:left="1440" w:hanging="360"/>
      </w:pPr>
    </w:lvl>
    <w:lvl w:ilvl="2" w:tplc="897E0C66">
      <w:start w:val="1"/>
      <w:numFmt w:val="lowerRoman"/>
      <w:lvlText w:val="%3."/>
      <w:lvlJc w:val="right"/>
      <w:pPr>
        <w:ind w:left="2160" w:hanging="180"/>
      </w:pPr>
    </w:lvl>
    <w:lvl w:ilvl="3" w:tplc="27125AA6">
      <w:start w:val="1"/>
      <w:numFmt w:val="decimal"/>
      <w:lvlText w:val="%4."/>
      <w:lvlJc w:val="left"/>
      <w:pPr>
        <w:ind w:left="2880" w:hanging="360"/>
      </w:pPr>
    </w:lvl>
    <w:lvl w:ilvl="4" w:tplc="E6A026AE">
      <w:start w:val="1"/>
      <w:numFmt w:val="lowerLetter"/>
      <w:lvlText w:val="%5."/>
      <w:lvlJc w:val="left"/>
      <w:pPr>
        <w:ind w:left="3600" w:hanging="360"/>
      </w:pPr>
    </w:lvl>
    <w:lvl w:ilvl="5" w:tplc="4FF255CE">
      <w:start w:val="1"/>
      <w:numFmt w:val="lowerRoman"/>
      <w:lvlText w:val="%6."/>
      <w:lvlJc w:val="right"/>
      <w:pPr>
        <w:ind w:left="4320" w:hanging="180"/>
      </w:pPr>
    </w:lvl>
    <w:lvl w:ilvl="6" w:tplc="5264481C">
      <w:start w:val="1"/>
      <w:numFmt w:val="decimal"/>
      <w:lvlText w:val="%7."/>
      <w:lvlJc w:val="left"/>
      <w:pPr>
        <w:ind w:left="5040" w:hanging="360"/>
      </w:pPr>
    </w:lvl>
    <w:lvl w:ilvl="7" w:tplc="B53A29D0">
      <w:start w:val="1"/>
      <w:numFmt w:val="lowerLetter"/>
      <w:lvlText w:val="%8."/>
      <w:lvlJc w:val="left"/>
      <w:pPr>
        <w:ind w:left="5760" w:hanging="360"/>
      </w:pPr>
    </w:lvl>
    <w:lvl w:ilvl="8" w:tplc="6C266EF4">
      <w:start w:val="1"/>
      <w:numFmt w:val="lowerRoman"/>
      <w:lvlText w:val="%9."/>
      <w:lvlJc w:val="right"/>
      <w:pPr>
        <w:ind w:left="6480" w:hanging="180"/>
      </w:pPr>
    </w:lvl>
  </w:abstractNum>
  <w:abstractNum w:abstractNumId="29" w15:restartNumberingAfterBreak="0">
    <w:nsid w:val="674937B6"/>
    <w:multiLevelType w:val="hybridMultilevel"/>
    <w:tmpl w:val="13C84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9093E12"/>
    <w:multiLevelType w:val="hybridMultilevel"/>
    <w:tmpl w:val="203ACC0E"/>
    <w:lvl w:ilvl="0" w:tplc="B8B0BC30">
      <w:start w:val="49"/>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65869"/>
    <w:multiLevelType w:val="hybridMultilevel"/>
    <w:tmpl w:val="FBCE95AE"/>
    <w:lvl w:ilvl="0" w:tplc="BAB4285E">
      <w:start w:val="1"/>
      <w:numFmt w:val="bullet"/>
      <w:lvlText w:val=""/>
      <w:lvlJc w:val="left"/>
      <w:pPr>
        <w:ind w:left="1440" w:hanging="360"/>
      </w:pPr>
      <w:rPr>
        <w:rFonts w:ascii="Symbol" w:hAnsi="Symbol" w:hint="default"/>
      </w:rPr>
    </w:lvl>
    <w:lvl w:ilvl="1" w:tplc="EBC8F1A4">
      <w:start w:val="1"/>
      <w:numFmt w:val="bullet"/>
      <w:lvlText w:val="o"/>
      <w:lvlJc w:val="left"/>
      <w:pPr>
        <w:ind w:left="2160" w:hanging="360"/>
      </w:pPr>
      <w:rPr>
        <w:rFonts w:ascii="Courier New" w:hAnsi="Courier New" w:hint="default"/>
      </w:rPr>
    </w:lvl>
    <w:lvl w:ilvl="2" w:tplc="E9D06C88">
      <w:start w:val="1"/>
      <w:numFmt w:val="bullet"/>
      <w:lvlText w:val=""/>
      <w:lvlJc w:val="left"/>
      <w:pPr>
        <w:ind w:left="2880" w:hanging="360"/>
      </w:pPr>
      <w:rPr>
        <w:rFonts w:ascii="Wingdings" w:hAnsi="Wingdings" w:hint="default"/>
      </w:rPr>
    </w:lvl>
    <w:lvl w:ilvl="3" w:tplc="0582BABE">
      <w:start w:val="1"/>
      <w:numFmt w:val="bullet"/>
      <w:lvlText w:val=""/>
      <w:lvlJc w:val="left"/>
      <w:pPr>
        <w:ind w:left="3600" w:hanging="360"/>
      </w:pPr>
      <w:rPr>
        <w:rFonts w:ascii="Symbol" w:hAnsi="Symbol" w:hint="default"/>
      </w:rPr>
    </w:lvl>
    <w:lvl w:ilvl="4" w:tplc="8BD28540">
      <w:start w:val="1"/>
      <w:numFmt w:val="bullet"/>
      <w:lvlText w:val="o"/>
      <w:lvlJc w:val="left"/>
      <w:pPr>
        <w:ind w:left="4320" w:hanging="360"/>
      </w:pPr>
      <w:rPr>
        <w:rFonts w:ascii="Courier New" w:hAnsi="Courier New" w:hint="default"/>
      </w:rPr>
    </w:lvl>
    <w:lvl w:ilvl="5" w:tplc="7D187FCA">
      <w:start w:val="1"/>
      <w:numFmt w:val="bullet"/>
      <w:lvlText w:val=""/>
      <w:lvlJc w:val="left"/>
      <w:pPr>
        <w:ind w:left="5040" w:hanging="360"/>
      </w:pPr>
      <w:rPr>
        <w:rFonts w:ascii="Wingdings" w:hAnsi="Wingdings" w:hint="default"/>
      </w:rPr>
    </w:lvl>
    <w:lvl w:ilvl="6" w:tplc="0F885374">
      <w:start w:val="1"/>
      <w:numFmt w:val="bullet"/>
      <w:lvlText w:val=""/>
      <w:lvlJc w:val="left"/>
      <w:pPr>
        <w:ind w:left="5760" w:hanging="360"/>
      </w:pPr>
      <w:rPr>
        <w:rFonts w:ascii="Symbol" w:hAnsi="Symbol" w:hint="default"/>
      </w:rPr>
    </w:lvl>
    <w:lvl w:ilvl="7" w:tplc="1AE4F422">
      <w:start w:val="1"/>
      <w:numFmt w:val="bullet"/>
      <w:lvlText w:val="o"/>
      <w:lvlJc w:val="left"/>
      <w:pPr>
        <w:ind w:left="6480" w:hanging="360"/>
      </w:pPr>
      <w:rPr>
        <w:rFonts w:ascii="Courier New" w:hAnsi="Courier New" w:hint="default"/>
      </w:rPr>
    </w:lvl>
    <w:lvl w:ilvl="8" w:tplc="593CDB06">
      <w:start w:val="1"/>
      <w:numFmt w:val="bullet"/>
      <w:lvlText w:val=""/>
      <w:lvlJc w:val="left"/>
      <w:pPr>
        <w:ind w:left="7200" w:hanging="360"/>
      </w:pPr>
      <w:rPr>
        <w:rFonts w:ascii="Wingdings" w:hAnsi="Wingdings" w:hint="default"/>
      </w:rPr>
    </w:lvl>
  </w:abstractNum>
  <w:abstractNum w:abstractNumId="32" w15:restartNumberingAfterBreak="0">
    <w:nsid w:val="6D5360F9"/>
    <w:multiLevelType w:val="hybridMultilevel"/>
    <w:tmpl w:val="900C9202"/>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007E7"/>
    <w:multiLevelType w:val="hybridMultilevel"/>
    <w:tmpl w:val="B57E11B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4" w15:restartNumberingAfterBreak="0">
    <w:nsid w:val="6ED10602"/>
    <w:multiLevelType w:val="hybridMultilevel"/>
    <w:tmpl w:val="60229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DA1398"/>
    <w:multiLevelType w:val="hybridMultilevel"/>
    <w:tmpl w:val="B0402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7C47C15"/>
    <w:multiLevelType w:val="multilevel"/>
    <w:tmpl w:val="ECD8DF7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77EE3ACF"/>
    <w:multiLevelType w:val="hybridMultilevel"/>
    <w:tmpl w:val="FB8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5B8A2E22">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23CDE"/>
    <w:multiLevelType w:val="hybridMultilevel"/>
    <w:tmpl w:val="87E4C5C2"/>
    <w:lvl w:ilvl="0" w:tplc="69F8EF5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28"/>
  </w:num>
  <w:num w:numId="4">
    <w:abstractNumId w:val="34"/>
  </w:num>
  <w:num w:numId="5">
    <w:abstractNumId w:val="29"/>
  </w:num>
  <w:num w:numId="6">
    <w:abstractNumId w:val="6"/>
  </w:num>
  <w:num w:numId="7">
    <w:abstractNumId w:val="31"/>
  </w:num>
  <w:num w:numId="8">
    <w:abstractNumId w:val="26"/>
  </w:num>
  <w:num w:numId="9">
    <w:abstractNumId w:val="33"/>
  </w:num>
  <w:num w:numId="10">
    <w:abstractNumId w:val="16"/>
  </w:num>
  <w:num w:numId="11">
    <w:abstractNumId w:val="37"/>
  </w:num>
  <w:num w:numId="12">
    <w:abstractNumId w:val="17"/>
  </w:num>
  <w:num w:numId="13">
    <w:abstractNumId w:val="5"/>
  </w:num>
  <w:num w:numId="14">
    <w:abstractNumId w:val="32"/>
  </w:num>
  <w:num w:numId="15">
    <w:abstractNumId w:val="20"/>
  </w:num>
  <w:num w:numId="16">
    <w:abstractNumId w:val="23"/>
  </w:num>
  <w:num w:numId="17">
    <w:abstractNumId w:val="1"/>
  </w:num>
  <w:num w:numId="18">
    <w:abstractNumId w:val="11"/>
  </w:num>
  <w:num w:numId="19">
    <w:abstractNumId w:val="22"/>
  </w:num>
  <w:num w:numId="20">
    <w:abstractNumId w:val="3"/>
  </w:num>
  <w:num w:numId="21">
    <w:abstractNumId w:val="25"/>
  </w:num>
  <w:num w:numId="22">
    <w:abstractNumId w:val="2"/>
  </w:num>
  <w:num w:numId="23">
    <w:abstractNumId w:val="38"/>
  </w:num>
  <w:num w:numId="24">
    <w:abstractNumId w:val="7"/>
  </w:num>
  <w:num w:numId="25">
    <w:abstractNumId w:val="24"/>
  </w:num>
  <w:num w:numId="26">
    <w:abstractNumId w:val="14"/>
  </w:num>
  <w:num w:numId="27">
    <w:abstractNumId w:val="35"/>
  </w:num>
  <w:num w:numId="28">
    <w:abstractNumId w:val="19"/>
  </w:num>
  <w:num w:numId="29">
    <w:abstractNumId w:val="0"/>
  </w:num>
  <w:num w:numId="30">
    <w:abstractNumId w:val="10"/>
  </w:num>
  <w:num w:numId="31">
    <w:abstractNumId w:val="9"/>
  </w:num>
  <w:num w:numId="32">
    <w:abstractNumId w:val="27"/>
  </w:num>
  <w:num w:numId="33">
    <w:abstractNumId w:val="21"/>
  </w:num>
  <w:num w:numId="34">
    <w:abstractNumId w:val="12"/>
  </w:num>
  <w:num w:numId="35">
    <w:abstractNumId w:val="18"/>
  </w:num>
  <w:num w:numId="36">
    <w:abstractNumId w:val="8"/>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0"/>
  </w:num>
  <w:num w:numId="39">
    <w:abstractNumId w:val="35"/>
  </w:num>
  <w:num w:numId="40">
    <w:abstractNumId w:val="4"/>
  </w:num>
  <w:num w:numId="41">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6A"/>
    <w:rsid w:val="00000270"/>
    <w:rsid w:val="00001031"/>
    <w:rsid w:val="000034BE"/>
    <w:rsid w:val="0000542C"/>
    <w:rsid w:val="00005596"/>
    <w:rsid w:val="00007A2B"/>
    <w:rsid w:val="00011A2B"/>
    <w:rsid w:val="00011EF8"/>
    <w:rsid w:val="00013216"/>
    <w:rsid w:val="000143BD"/>
    <w:rsid w:val="00020E27"/>
    <w:rsid w:val="000210BD"/>
    <w:rsid w:val="00022B2F"/>
    <w:rsid w:val="0002429B"/>
    <w:rsid w:val="00025EE2"/>
    <w:rsid w:val="00026097"/>
    <w:rsid w:val="0002654E"/>
    <w:rsid w:val="00027530"/>
    <w:rsid w:val="000303A0"/>
    <w:rsid w:val="00033C51"/>
    <w:rsid w:val="0003648D"/>
    <w:rsid w:val="00037380"/>
    <w:rsid w:val="00037AE6"/>
    <w:rsid w:val="00040355"/>
    <w:rsid w:val="0004195C"/>
    <w:rsid w:val="00042641"/>
    <w:rsid w:val="000452D2"/>
    <w:rsid w:val="000513A6"/>
    <w:rsid w:val="00051E63"/>
    <w:rsid w:val="00061DF9"/>
    <w:rsid w:val="0006357C"/>
    <w:rsid w:val="000648A4"/>
    <w:rsid w:val="00064F5E"/>
    <w:rsid w:val="00065EC9"/>
    <w:rsid w:val="00067737"/>
    <w:rsid w:val="00071F86"/>
    <w:rsid w:val="00072012"/>
    <w:rsid w:val="00073125"/>
    <w:rsid w:val="00073AE1"/>
    <w:rsid w:val="000762E4"/>
    <w:rsid w:val="000764A6"/>
    <w:rsid w:val="0007671D"/>
    <w:rsid w:val="00076EFA"/>
    <w:rsid w:val="000775AF"/>
    <w:rsid w:val="00077B00"/>
    <w:rsid w:val="00082308"/>
    <w:rsid w:val="000832A1"/>
    <w:rsid w:val="0008521E"/>
    <w:rsid w:val="0008569C"/>
    <w:rsid w:val="00085B90"/>
    <w:rsid w:val="000910D8"/>
    <w:rsid w:val="00092A49"/>
    <w:rsid w:val="000938E1"/>
    <w:rsid w:val="00095D70"/>
    <w:rsid w:val="00096204"/>
    <w:rsid w:val="000A0188"/>
    <w:rsid w:val="000A14FA"/>
    <w:rsid w:val="000A272B"/>
    <w:rsid w:val="000A2B8D"/>
    <w:rsid w:val="000A414A"/>
    <w:rsid w:val="000A5154"/>
    <w:rsid w:val="000B0961"/>
    <w:rsid w:val="000B117D"/>
    <w:rsid w:val="000B1340"/>
    <w:rsid w:val="000B6F87"/>
    <w:rsid w:val="000C0249"/>
    <w:rsid w:val="000C2308"/>
    <w:rsid w:val="000C3070"/>
    <w:rsid w:val="000C34AC"/>
    <w:rsid w:val="000C3930"/>
    <w:rsid w:val="000C5309"/>
    <w:rsid w:val="000C657A"/>
    <w:rsid w:val="000C68DF"/>
    <w:rsid w:val="000C6BE0"/>
    <w:rsid w:val="000C6C4E"/>
    <w:rsid w:val="000C6DE4"/>
    <w:rsid w:val="000D0985"/>
    <w:rsid w:val="000D186D"/>
    <w:rsid w:val="000D37BF"/>
    <w:rsid w:val="000D4D47"/>
    <w:rsid w:val="000D5562"/>
    <w:rsid w:val="000D59D8"/>
    <w:rsid w:val="000D7A46"/>
    <w:rsid w:val="000E0FFB"/>
    <w:rsid w:val="000E1665"/>
    <w:rsid w:val="000E43EE"/>
    <w:rsid w:val="000F0F0C"/>
    <w:rsid w:val="000F1E75"/>
    <w:rsid w:val="000F1F4F"/>
    <w:rsid w:val="000F34A9"/>
    <w:rsid w:val="000F361B"/>
    <w:rsid w:val="000F36FC"/>
    <w:rsid w:val="0010000E"/>
    <w:rsid w:val="00100557"/>
    <w:rsid w:val="00100FE3"/>
    <w:rsid w:val="00102656"/>
    <w:rsid w:val="00102BAD"/>
    <w:rsid w:val="00105175"/>
    <w:rsid w:val="0010747B"/>
    <w:rsid w:val="001079F1"/>
    <w:rsid w:val="00107FC3"/>
    <w:rsid w:val="00110449"/>
    <w:rsid w:val="001115E0"/>
    <w:rsid w:val="001125AB"/>
    <w:rsid w:val="00113D0C"/>
    <w:rsid w:val="001175D6"/>
    <w:rsid w:val="00117DCD"/>
    <w:rsid w:val="00120226"/>
    <w:rsid w:val="00123AE2"/>
    <w:rsid w:val="001243F0"/>
    <w:rsid w:val="00125168"/>
    <w:rsid w:val="00125A6B"/>
    <w:rsid w:val="00125B13"/>
    <w:rsid w:val="00125B4B"/>
    <w:rsid w:val="00126B92"/>
    <w:rsid w:val="00126FD5"/>
    <w:rsid w:val="00130636"/>
    <w:rsid w:val="001320D9"/>
    <w:rsid w:val="00132142"/>
    <w:rsid w:val="001344E7"/>
    <w:rsid w:val="001356D5"/>
    <w:rsid w:val="00136A39"/>
    <w:rsid w:val="00137205"/>
    <w:rsid w:val="00143F80"/>
    <w:rsid w:val="001447DA"/>
    <w:rsid w:val="00145A08"/>
    <w:rsid w:val="00145A97"/>
    <w:rsid w:val="00147328"/>
    <w:rsid w:val="001529B0"/>
    <w:rsid w:val="0015312C"/>
    <w:rsid w:val="00154812"/>
    <w:rsid w:val="0015716B"/>
    <w:rsid w:val="001622C4"/>
    <w:rsid w:val="00163A98"/>
    <w:rsid w:val="00166381"/>
    <w:rsid w:val="00170973"/>
    <w:rsid w:val="00170D4F"/>
    <w:rsid w:val="00171312"/>
    <w:rsid w:val="00171884"/>
    <w:rsid w:val="00173605"/>
    <w:rsid w:val="00173B2E"/>
    <w:rsid w:val="001751DF"/>
    <w:rsid w:val="00181D4F"/>
    <w:rsid w:val="00182EDD"/>
    <w:rsid w:val="00183258"/>
    <w:rsid w:val="00185FCC"/>
    <w:rsid w:val="00190495"/>
    <w:rsid w:val="00192514"/>
    <w:rsid w:val="001929BC"/>
    <w:rsid w:val="00193925"/>
    <w:rsid w:val="00193CDE"/>
    <w:rsid w:val="00195919"/>
    <w:rsid w:val="00195E51"/>
    <w:rsid w:val="001A24BF"/>
    <w:rsid w:val="001A301C"/>
    <w:rsid w:val="001A406F"/>
    <w:rsid w:val="001A5783"/>
    <w:rsid w:val="001A64A0"/>
    <w:rsid w:val="001B028D"/>
    <w:rsid w:val="001B1F92"/>
    <w:rsid w:val="001B1FE3"/>
    <w:rsid w:val="001B397E"/>
    <w:rsid w:val="001B3F02"/>
    <w:rsid w:val="001B559A"/>
    <w:rsid w:val="001B7297"/>
    <w:rsid w:val="001C0AA7"/>
    <w:rsid w:val="001C0D04"/>
    <w:rsid w:val="001C1B54"/>
    <w:rsid w:val="001C287B"/>
    <w:rsid w:val="001C28F0"/>
    <w:rsid w:val="001C3867"/>
    <w:rsid w:val="001C3BBE"/>
    <w:rsid w:val="001C56CE"/>
    <w:rsid w:val="001C7C79"/>
    <w:rsid w:val="001D03DC"/>
    <w:rsid w:val="001D13C2"/>
    <w:rsid w:val="001D27F5"/>
    <w:rsid w:val="001D3D78"/>
    <w:rsid w:val="001D5441"/>
    <w:rsid w:val="001D5C22"/>
    <w:rsid w:val="001E166F"/>
    <w:rsid w:val="001E25F4"/>
    <w:rsid w:val="001E3D41"/>
    <w:rsid w:val="001E4030"/>
    <w:rsid w:val="001E53F0"/>
    <w:rsid w:val="001E54EF"/>
    <w:rsid w:val="001F009C"/>
    <w:rsid w:val="001F2E50"/>
    <w:rsid w:val="001F3F4E"/>
    <w:rsid w:val="00200E12"/>
    <w:rsid w:val="00201435"/>
    <w:rsid w:val="00201C60"/>
    <w:rsid w:val="00203859"/>
    <w:rsid w:val="00204FD9"/>
    <w:rsid w:val="00205416"/>
    <w:rsid w:val="002056EF"/>
    <w:rsid w:val="002064A6"/>
    <w:rsid w:val="00207553"/>
    <w:rsid w:val="00210E60"/>
    <w:rsid w:val="002118C1"/>
    <w:rsid w:val="002118EF"/>
    <w:rsid w:val="00211963"/>
    <w:rsid w:val="00212C91"/>
    <w:rsid w:val="002132F3"/>
    <w:rsid w:val="00213ED9"/>
    <w:rsid w:val="00215516"/>
    <w:rsid w:val="002161F0"/>
    <w:rsid w:val="002166AD"/>
    <w:rsid w:val="00217842"/>
    <w:rsid w:val="00221FAE"/>
    <w:rsid w:val="00222F67"/>
    <w:rsid w:val="00223EDE"/>
    <w:rsid w:val="00234BB3"/>
    <w:rsid w:val="002353B7"/>
    <w:rsid w:val="002357EF"/>
    <w:rsid w:val="002364D1"/>
    <w:rsid w:val="00236EB1"/>
    <w:rsid w:val="002372EC"/>
    <w:rsid w:val="0024047C"/>
    <w:rsid w:val="002404AA"/>
    <w:rsid w:val="00240806"/>
    <w:rsid w:val="00243334"/>
    <w:rsid w:val="0024589E"/>
    <w:rsid w:val="00245F67"/>
    <w:rsid w:val="00247208"/>
    <w:rsid w:val="0024727C"/>
    <w:rsid w:val="002505E1"/>
    <w:rsid w:val="00251EA6"/>
    <w:rsid w:val="00251F60"/>
    <w:rsid w:val="00253C28"/>
    <w:rsid w:val="00255D5B"/>
    <w:rsid w:val="0026072A"/>
    <w:rsid w:val="002610C4"/>
    <w:rsid w:val="00262D9D"/>
    <w:rsid w:val="002642C7"/>
    <w:rsid w:val="00264BCA"/>
    <w:rsid w:val="00266529"/>
    <w:rsid w:val="00266FF5"/>
    <w:rsid w:val="00271213"/>
    <w:rsid w:val="0027197C"/>
    <w:rsid w:val="00273EF1"/>
    <w:rsid w:val="00281DAD"/>
    <w:rsid w:val="00282614"/>
    <w:rsid w:val="00282B64"/>
    <w:rsid w:val="002833C7"/>
    <w:rsid w:val="002837AF"/>
    <w:rsid w:val="002848FC"/>
    <w:rsid w:val="00293986"/>
    <w:rsid w:val="0029588C"/>
    <w:rsid w:val="00296A5F"/>
    <w:rsid w:val="00297494"/>
    <w:rsid w:val="002A113E"/>
    <w:rsid w:val="002A35E8"/>
    <w:rsid w:val="002A3802"/>
    <w:rsid w:val="002A418D"/>
    <w:rsid w:val="002A46EC"/>
    <w:rsid w:val="002A5086"/>
    <w:rsid w:val="002A77F5"/>
    <w:rsid w:val="002B13C0"/>
    <w:rsid w:val="002B3F1B"/>
    <w:rsid w:val="002B45FC"/>
    <w:rsid w:val="002B4BC7"/>
    <w:rsid w:val="002B516F"/>
    <w:rsid w:val="002B52E3"/>
    <w:rsid w:val="002B55FC"/>
    <w:rsid w:val="002B61B7"/>
    <w:rsid w:val="002B6324"/>
    <w:rsid w:val="002BE042"/>
    <w:rsid w:val="002C1E13"/>
    <w:rsid w:val="002C4EEF"/>
    <w:rsid w:val="002C5049"/>
    <w:rsid w:val="002C79FA"/>
    <w:rsid w:val="002D0C09"/>
    <w:rsid w:val="002D1561"/>
    <w:rsid w:val="002D2712"/>
    <w:rsid w:val="002D379F"/>
    <w:rsid w:val="002D3C96"/>
    <w:rsid w:val="002D4ECF"/>
    <w:rsid w:val="002D7FB2"/>
    <w:rsid w:val="002E0212"/>
    <w:rsid w:val="002E1044"/>
    <w:rsid w:val="002E1819"/>
    <w:rsid w:val="002E1D30"/>
    <w:rsid w:val="002E1EC2"/>
    <w:rsid w:val="002E2C69"/>
    <w:rsid w:val="002E2FCA"/>
    <w:rsid w:val="002E31CF"/>
    <w:rsid w:val="002E495A"/>
    <w:rsid w:val="002E53FA"/>
    <w:rsid w:val="002E5FB2"/>
    <w:rsid w:val="002E616B"/>
    <w:rsid w:val="002E7E44"/>
    <w:rsid w:val="002F0BA3"/>
    <w:rsid w:val="002F2325"/>
    <w:rsid w:val="002F3446"/>
    <w:rsid w:val="002F3FDD"/>
    <w:rsid w:val="002F5907"/>
    <w:rsid w:val="002F609C"/>
    <w:rsid w:val="003049D0"/>
    <w:rsid w:val="003058AF"/>
    <w:rsid w:val="003068C8"/>
    <w:rsid w:val="00307418"/>
    <w:rsid w:val="0031007D"/>
    <w:rsid w:val="00310E24"/>
    <w:rsid w:val="00312DC0"/>
    <w:rsid w:val="00313660"/>
    <w:rsid w:val="003136CD"/>
    <w:rsid w:val="00313847"/>
    <w:rsid w:val="003142FD"/>
    <w:rsid w:val="00315A3E"/>
    <w:rsid w:val="00323539"/>
    <w:rsid w:val="00324A68"/>
    <w:rsid w:val="0032571C"/>
    <w:rsid w:val="00325CD1"/>
    <w:rsid w:val="00325F78"/>
    <w:rsid w:val="00326D31"/>
    <w:rsid w:val="003276E6"/>
    <w:rsid w:val="00330CAE"/>
    <w:rsid w:val="003315A9"/>
    <w:rsid w:val="0033367A"/>
    <w:rsid w:val="00333751"/>
    <w:rsid w:val="003370B8"/>
    <w:rsid w:val="003400A6"/>
    <w:rsid w:val="00340A31"/>
    <w:rsid w:val="00341187"/>
    <w:rsid w:val="003411FF"/>
    <w:rsid w:val="0034187E"/>
    <w:rsid w:val="00343118"/>
    <w:rsid w:val="00344FD1"/>
    <w:rsid w:val="00346951"/>
    <w:rsid w:val="00347ED0"/>
    <w:rsid w:val="003500EA"/>
    <w:rsid w:val="003524C4"/>
    <w:rsid w:val="00356069"/>
    <w:rsid w:val="00360D75"/>
    <w:rsid w:val="00361E0A"/>
    <w:rsid w:val="00362FE0"/>
    <w:rsid w:val="00365D56"/>
    <w:rsid w:val="00366007"/>
    <w:rsid w:val="003701A6"/>
    <w:rsid w:val="0037061B"/>
    <w:rsid w:val="00371EA2"/>
    <w:rsid w:val="00374462"/>
    <w:rsid w:val="00377141"/>
    <w:rsid w:val="003812E0"/>
    <w:rsid w:val="00381CFF"/>
    <w:rsid w:val="00386904"/>
    <w:rsid w:val="00387A1A"/>
    <w:rsid w:val="0039370E"/>
    <w:rsid w:val="00393A22"/>
    <w:rsid w:val="00393D3F"/>
    <w:rsid w:val="00396067"/>
    <w:rsid w:val="00397654"/>
    <w:rsid w:val="00397917"/>
    <w:rsid w:val="00397F3C"/>
    <w:rsid w:val="003A0A8A"/>
    <w:rsid w:val="003A1622"/>
    <w:rsid w:val="003A1692"/>
    <w:rsid w:val="003A1EC5"/>
    <w:rsid w:val="003A454A"/>
    <w:rsid w:val="003A5C81"/>
    <w:rsid w:val="003A66E6"/>
    <w:rsid w:val="003A6D33"/>
    <w:rsid w:val="003B00BA"/>
    <w:rsid w:val="003B1D92"/>
    <w:rsid w:val="003B22DB"/>
    <w:rsid w:val="003B2938"/>
    <w:rsid w:val="003B3A75"/>
    <w:rsid w:val="003B45B0"/>
    <w:rsid w:val="003B58DE"/>
    <w:rsid w:val="003B68F3"/>
    <w:rsid w:val="003B71D2"/>
    <w:rsid w:val="003C0D03"/>
    <w:rsid w:val="003C0F3B"/>
    <w:rsid w:val="003C3DD1"/>
    <w:rsid w:val="003C3F2F"/>
    <w:rsid w:val="003C4F30"/>
    <w:rsid w:val="003C7F0A"/>
    <w:rsid w:val="003D1E89"/>
    <w:rsid w:val="003D3A13"/>
    <w:rsid w:val="003D5B96"/>
    <w:rsid w:val="003D5CCF"/>
    <w:rsid w:val="003E25E8"/>
    <w:rsid w:val="003E27BF"/>
    <w:rsid w:val="003E2CDF"/>
    <w:rsid w:val="003E360B"/>
    <w:rsid w:val="003E37AC"/>
    <w:rsid w:val="003E47ED"/>
    <w:rsid w:val="003E488A"/>
    <w:rsid w:val="003E5B03"/>
    <w:rsid w:val="003E5FFD"/>
    <w:rsid w:val="003E6485"/>
    <w:rsid w:val="003E6A27"/>
    <w:rsid w:val="003E7B76"/>
    <w:rsid w:val="003F0073"/>
    <w:rsid w:val="003F0F89"/>
    <w:rsid w:val="003F363C"/>
    <w:rsid w:val="003F4E48"/>
    <w:rsid w:val="003F59B9"/>
    <w:rsid w:val="003F6D00"/>
    <w:rsid w:val="003F7532"/>
    <w:rsid w:val="003F7B59"/>
    <w:rsid w:val="004015FE"/>
    <w:rsid w:val="004016B0"/>
    <w:rsid w:val="00401A9A"/>
    <w:rsid w:val="004029F4"/>
    <w:rsid w:val="0040410E"/>
    <w:rsid w:val="00404EA2"/>
    <w:rsid w:val="00405082"/>
    <w:rsid w:val="00405164"/>
    <w:rsid w:val="004062DC"/>
    <w:rsid w:val="00410A42"/>
    <w:rsid w:val="00410B4D"/>
    <w:rsid w:val="00412373"/>
    <w:rsid w:val="00414DFB"/>
    <w:rsid w:val="004150E7"/>
    <w:rsid w:val="004151DE"/>
    <w:rsid w:val="00415210"/>
    <w:rsid w:val="004157FA"/>
    <w:rsid w:val="0041585F"/>
    <w:rsid w:val="00415A08"/>
    <w:rsid w:val="00415CD0"/>
    <w:rsid w:val="00416228"/>
    <w:rsid w:val="00416E42"/>
    <w:rsid w:val="00417193"/>
    <w:rsid w:val="00423706"/>
    <w:rsid w:val="00423FF3"/>
    <w:rsid w:val="00425010"/>
    <w:rsid w:val="00430555"/>
    <w:rsid w:val="00430D70"/>
    <w:rsid w:val="00430E6F"/>
    <w:rsid w:val="0043354D"/>
    <w:rsid w:val="004337C5"/>
    <w:rsid w:val="004341C3"/>
    <w:rsid w:val="00434425"/>
    <w:rsid w:val="00434A34"/>
    <w:rsid w:val="0043648F"/>
    <w:rsid w:val="004400DF"/>
    <w:rsid w:val="004432C1"/>
    <w:rsid w:val="00443ACF"/>
    <w:rsid w:val="00445EAC"/>
    <w:rsid w:val="00450DA8"/>
    <w:rsid w:val="00451089"/>
    <w:rsid w:val="00452A27"/>
    <w:rsid w:val="00453248"/>
    <w:rsid w:val="004574BC"/>
    <w:rsid w:val="00462574"/>
    <w:rsid w:val="00463E0E"/>
    <w:rsid w:val="004657B3"/>
    <w:rsid w:val="004664E6"/>
    <w:rsid w:val="0046653D"/>
    <w:rsid w:val="00466557"/>
    <w:rsid w:val="0046698A"/>
    <w:rsid w:val="00466B0E"/>
    <w:rsid w:val="00467A1D"/>
    <w:rsid w:val="00471A1F"/>
    <w:rsid w:val="00474FF4"/>
    <w:rsid w:val="00475349"/>
    <w:rsid w:val="004803A5"/>
    <w:rsid w:val="004816EE"/>
    <w:rsid w:val="00481ADC"/>
    <w:rsid w:val="0048383D"/>
    <w:rsid w:val="004849B0"/>
    <w:rsid w:val="004869EE"/>
    <w:rsid w:val="00491669"/>
    <w:rsid w:val="004918B1"/>
    <w:rsid w:val="00491AFC"/>
    <w:rsid w:val="004923CB"/>
    <w:rsid w:val="004934ED"/>
    <w:rsid w:val="004950F2"/>
    <w:rsid w:val="00495825"/>
    <w:rsid w:val="0049629D"/>
    <w:rsid w:val="00496E33"/>
    <w:rsid w:val="00497295"/>
    <w:rsid w:val="00497315"/>
    <w:rsid w:val="004A18BE"/>
    <w:rsid w:val="004A43FE"/>
    <w:rsid w:val="004A5425"/>
    <w:rsid w:val="004A56A6"/>
    <w:rsid w:val="004A5D50"/>
    <w:rsid w:val="004A6599"/>
    <w:rsid w:val="004B1A07"/>
    <w:rsid w:val="004B351C"/>
    <w:rsid w:val="004B35C5"/>
    <w:rsid w:val="004B5515"/>
    <w:rsid w:val="004B5BA4"/>
    <w:rsid w:val="004B5C8D"/>
    <w:rsid w:val="004B67CB"/>
    <w:rsid w:val="004C23DF"/>
    <w:rsid w:val="004C29BB"/>
    <w:rsid w:val="004C33D7"/>
    <w:rsid w:val="004C54BB"/>
    <w:rsid w:val="004C567C"/>
    <w:rsid w:val="004D490A"/>
    <w:rsid w:val="004D5173"/>
    <w:rsid w:val="004D58A9"/>
    <w:rsid w:val="004D77B2"/>
    <w:rsid w:val="004E0049"/>
    <w:rsid w:val="004E1B6C"/>
    <w:rsid w:val="004E1ED1"/>
    <w:rsid w:val="004E24F2"/>
    <w:rsid w:val="004E253A"/>
    <w:rsid w:val="004E303F"/>
    <w:rsid w:val="004E3713"/>
    <w:rsid w:val="004E4366"/>
    <w:rsid w:val="004E4C61"/>
    <w:rsid w:val="004E5F5C"/>
    <w:rsid w:val="004E7483"/>
    <w:rsid w:val="004E7E57"/>
    <w:rsid w:val="004F1B97"/>
    <w:rsid w:val="004F2E15"/>
    <w:rsid w:val="004F346E"/>
    <w:rsid w:val="004F40D2"/>
    <w:rsid w:val="004F4187"/>
    <w:rsid w:val="004F4D2D"/>
    <w:rsid w:val="004F5C56"/>
    <w:rsid w:val="004F738A"/>
    <w:rsid w:val="005062C6"/>
    <w:rsid w:val="00506F34"/>
    <w:rsid w:val="005076F6"/>
    <w:rsid w:val="0051071A"/>
    <w:rsid w:val="00510CE2"/>
    <w:rsid w:val="00512718"/>
    <w:rsid w:val="00512EF4"/>
    <w:rsid w:val="005137C2"/>
    <w:rsid w:val="005148FD"/>
    <w:rsid w:val="00515570"/>
    <w:rsid w:val="005156BD"/>
    <w:rsid w:val="00515944"/>
    <w:rsid w:val="00516330"/>
    <w:rsid w:val="0051736C"/>
    <w:rsid w:val="00517CB6"/>
    <w:rsid w:val="005214E3"/>
    <w:rsid w:val="00521E20"/>
    <w:rsid w:val="00524719"/>
    <w:rsid w:val="005251B3"/>
    <w:rsid w:val="0052655F"/>
    <w:rsid w:val="0052744E"/>
    <w:rsid w:val="0053191D"/>
    <w:rsid w:val="0053243D"/>
    <w:rsid w:val="00532B80"/>
    <w:rsid w:val="00532F39"/>
    <w:rsid w:val="00533130"/>
    <w:rsid w:val="0053494B"/>
    <w:rsid w:val="00534C3D"/>
    <w:rsid w:val="00534D1A"/>
    <w:rsid w:val="0053620B"/>
    <w:rsid w:val="00536CAA"/>
    <w:rsid w:val="00537C0C"/>
    <w:rsid w:val="00540D74"/>
    <w:rsid w:val="005446F3"/>
    <w:rsid w:val="005447C3"/>
    <w:rsid w:val="00546F32"/>
    <w:rsid w:val="00547BC9"/>
    <w:rsid w:val="00550434"/>
    <w:rsid w:val="0055281E"/>
    <w:rsid w:val="00554D99"/>
    <w:rsid w:val="00556470"/>
    <w:rsid w:val="00557074"/>
    <w:rsid w:val="00557C34"/>
    <w:rsid w:val="005608B5"/>
    <w:rsid w:val="00560D07"/>
    <w:rsid w:val="00561586"/>
    <w:rsid w:val="00561980"/>
    <w:rsid w:val="00563432"/>
    <w:rsid w:val="00564C75"/>
    <w:rsid w:val="00566944"/>
    <w:rsid w:val="00567777"/>
    <w:rsid w:val="00570784"/>
    <w:rsid w:val="005725B7"/>
    <w:rsid w:val="005732B6"/>
    <w:rsid w:val="005742CD"/>
    <w:rsid w:val="00575C77"/>
    <w:rsid w:val="00577DC0"/>
    <w:rsid w:val="00583822"/>
    <w:rsid w:val="00587DF5"/>
    <w:rsid w:val="005900F1"/>
    <w:rsid w:val="00590A71"/>
    <w:rsid w:val="00592CEF"/>
    <w:rsid w:val="0059341E"/>
    <w:rsid w:val="00593445"/>
    <w:rsid w:val="00593A83"/>
    <w:rsid w:val="00594101"/>
    <w:rsid w:val="00594B11"/>
    <w:rsid w:val="00597761"/>
    <w:rsid w:val="005A419A"/>
    <w:rsid w:val="005A427C"/>
    <w:rsid w:val="005A5172"/>
    <w:rsid w:val="005A5B8A"/>
    <w:rsid w:val="005A7092"/>
    <w:rsid w:val="005A7774"/>
    <w:rsid w:val="005B0878"/>
    <w:rsid w:val="005B177B"/>
    <w:rsid w:val="005B3103"/>
    <w:rsid w:val="005B53F9"/>
    <w:rsid w:val="005B6BB7"/>
    <w:rsid w:val="005B6F6A"/>
    <w:rsid w:val="005C1EC5"/>
    <w:rsid w:val="005C2ACD"/>
    <w:rsid w:val="005C2D42"/>
    <w:rsid w:val="005C4538"/>
    <w:rsid w:val="005C6068"/>
    <w:rsid w:val="005C6072"/>
    <w:rsid w:val="005C6F72"/>
    <w:rsid w:val="005C6FE7"/>
    <w:rsid w:val="005D0287"/>
    <w:rsid w:val="005D0F9B"/>
    <w:rsid w:val="005D3997"/>
    <w:rsid w:val="005D4234"/>
    <w:rsid w:val="005D6FD3"/>
    <w:rsid w:val="005E1619"/>
    <w:rsid w:val="005E4B78"/>
    <w:rsid w:val="005E7D30"/>
    <w:rsid w:val="005F00DC"/>
    <w:rsid w:val="005F0522"/>
    <w:rsid w:val="005F20E6"/>
    <w:rsid w:val="005F2C90"/>
    <w:rsid w:val="005F5DD5"/>
    <w:rsid w:val="005F7931"/>
    <w:rsid w:val="00602139"/>
    <w:rsid w:val="0060311E"/>
    <w:rsid w:val="00604F0A"/>
    <w:rsid w:val="00604F4F"/>
    <w:rsid w:val="00605544"/>
    <w:rsid w:val="00605AF0"/>
    <w:rsid w:val="00606818"/>
    <w:rsid w:val="00607EB3"/>
    <w:rsid w:val="006109FB"/>
    <w:rsid w:val="00610D05"/>
    <w:rsid w:val="00611EBE"/>
    <w:rsid w:val="00611EFD"/>
    <w:rsid w:val="006125C6"/>
    <w:rsid w:val="006131C9"/>
    <w:rsid w:val="00613E5C"/>
    <w:rsid w:val="00613FFE"/>
    <w:rsid w:val="0062005F"/>
    <w:rsid w:val="00621429"/>
    <w:rsid w:val="006249F5"/>
    <w:rsid w:val="00625083"/>
    <w:rsid w:val="00625AA6"/>
    <w:rsid w:val="00626A55"/>
    <w:rsid w:val="00626C56"/>
    <w:rsid w:val="00627E8E"/>
    <w:rsid w:val="00630F34"/>
    <w:rsid w:val="0063134C"/>
    <w:rsid w:val="006345C3"/>
    <w:rsid w:val="0064038D"/>
    <w:rsid w:val="006403EB"/>
    <w:rsid w:val="00640A99"/>
    <w:rsid w:val="006414A8"/>
    <w:rsid w:val="0064383B"/>
    <w:rsid w:val="00644292"/>
    <w:rsid w:val="0064452D"/>
    <w:rsid w:val="00644BAA"/>
    <w:rsid w:val="00651690"/>
    <w:rsid w:val="0065688A"/>
    <w:rsid w:val="00656F2B"/>
    <w:rsid w:val="00657FE7"/>
    <w:rsid w:val="00661307"/>
    <w:rsid w:val="00661946"/>
    <w:rsid w:val="00661D60"/>
    <w:rsid w:val="00662D0F"/>
    <w:rsid w:val="00663F0E"/>
    <w:rsid w:val="00664747"/>
    <w:rsid w:val="00665223"/>
    <w:rsid w:val="00665F44"/>
    <w:rsid w:val="00670B10"/>
    <w:rsid w:val="00672E81"/>
    <w:rsid w:val="0067531A"/>
    <w:rsid w:val="00675C8F"/>
    <w:rsid w:val="00676E1F"/>
    <w:rsid w:val="00677669"/>
    <w:rsid w:val="00682657"/>
    <w:rsid w:val="006853CE"/>
    <w:rsid w:val="006864BA"/>
    <w:rsid w:val="00687BF7"/>
    <w:rsid w:val="00690491"/>
    <w:rsid w:val="006904B9"/>
    <w:rsid w:val="00691C43"/>
    <w:rsid w:val="00691E2E"/>
    <w:rsid w:val="006921D3"/>
    <w:rsid w:val="006938C0"/>
    <w:rsid w:val="00693C4E"/>
    <w:rsid w:val="00697D8E"/>
    <w:rsid w:val="006A2CAA"/>
    <w:rsid w:val="006A381C"/>
    <w:rsid w:val="006A3AA7"/>
    <w:rsid w:val="006A3CED"/>
    <w:rsid w:val="006A5E35"/>
    <w:rsid w:val="006A7D2C"/>
    <w:rsid w:val="006B0FE4"/>
    <w:rsid w:val="006B1804"/>
    <w:rsid w:val="006B1A99"/>
    <w:rsid w:val="006B1C9F"/>
    <w:rsid w:val="006B3C24"/>
    <w:rsid w:val="006B48E9"/>
    <w:rsid w:val="006B4BD0"/>
    <w:rsid w:val="006B5619"/>
    <w:rsid w:val="006B67D7"/>
    <w:rsid w:val="006B765C"/>
    <w:rsid w:val="006B7E22"/>
    <w:rsid w:val="006B7FE6"/>
    <w:rsid w:val="006C0DE4"/>
    <w:rsid w:val="006C1EDE"/>
    <w:rsid w:val="006C1FC4"/>
    <w:rsid w:val="006C38D7"/>
    <w:rsid w:val="006C5C0B"/>
    <w:rsid w:val="006C7862"/>
    <w:rsid w:val="006D03A5"/>
    <w:rsid w:val="006D075F"/>
    <w:rsid w:val="006D0C4E"/>
    <w:rsid w:val="006D13D9"/>
    <w:rsid w:val="006D4999"/>
    <w:rsid w:val="006D4EC7"/>
    <w:rsid w:val="006D98C5"/>
    <w:rsid w:val="006E0B36"/>
    <w:rsid w:val="006E3D47"/>
    <w:rsid w:val="006E5277"/>
    <w:rsid w:val="006E5BBC"/>
    <w:rsid w:val="006E66DF"/>
    <w:rsid w:val="006E7787"/>
    <w:rsid w:val="006F013B"/>
    <w:rsid w:val="006F14AD"/>
    <w:rsid w:val="006F1786"/>
    <w:rsid w:val="006F215C"/>
    <w:rsid w:val="006F2E33"/>
    <w:rsid w:val="006F5749"/>
    <w:rsid w:val="006F620B"/>
    <w:rsid w:val="007004D8"/>
    <w:rsid w:val="007006F5"/>
    <w:rsid w:val="00700916"/>
    <w:rsid w:val="00701FC0"/>
    <w:rsid w:val="00702047"/>
    <w:rsid w:val="007043DB"/>
    <w:rsid w:val="00704511"/>
    <w:rsid w:val="0070589C"/>
    <w:rsid w:val="0070613F"/>
    <w:rsid w:val="00706D29"/>
    <w:rsid w:val="00707CFA"/>
    <w:rsid w:val="00710534"/>
    <w:rsid w:val="007106F1"/>
    <w:rsid w:val="00710DEC"/>
    <w:rsid w:val="007110CA"/>
    <w:rsid w:val="007124A1"/>
    <w:rsid w:val="00712F64"/>
    <w:rsid w:val="00717349"/>
    <w:rsid w:val="0072027D"/>
    <w:rsid w:val="00722B71"/>
    <w:rsid w:val="00722F82"/>
    <w:rsid w:val="007236B7"/>
    <w:rsid w:val="0072399B"/>
    <w:rsid w:val="007241D5"/>
    <w:rsid w:val="00724ABF"/>
    <w:rsid w:val="00725543"/>
    <w:rsid w:val="007259C6"/>
    <w:rsid w:val="00727A0B"/>
    <w:rsid w:val="007303FC"/>
    <w:rsid w:val="00731105"/>
    <w:rsid w:val="00731ED3"/>
    <w:rsid w:val="00731FFC"/>
    <w:rsid w:val="0073250C"/>
    <w:rsid w:val="00732626"/>
    <w:rsid w:val="007329E1"/>
    <w:rsid w:val="00733207"/>
    <w:rsid w:val="007342D8"/>
    <w:rsid w:val="00734A63"/>
    <w:rsid w:val="0074119D"/>
    <w:rsid w:val="0074128F"/>
    <w:rsid w:val="00742446"/>
    <w:rsid w:val="00743337"/>
    <w:rsid w:val="007461A1"/>
    <w:rsid w:val="00747A42"/>
    <w:rsid w:val="00751678"/>
    <w:rsid w:val="00752F4D"/>
    <w:rsid w:val="007546AF"/>
    <w:rsid w:val="00754D4B"/>
    <w:rsid w:val="007550C8"/>
    <w:rsid w:val="007565BD"/>
    <w:rsid w:val="007575C6"/>
    <w:rsid w:val="007576F4"/>
    <w:rsid w:val="00763838"/>
    <w:rsid w:val="007648D6"/>
    <w:rsid w:val="00765DAC"/>
    <w:rsid w:val="007674DC"/>
    <w:rsid w:val="0077219A"/>
    <w:rsid w:val="0077255E"/>
    <w:rsid w:val="007735FE"/>
    <w:rsid w:val="00774DFA"/>
    <w:rsid w:val="00774F1C"/>
    <w:rsid w:val="0077566E"/>
    <w:rsid w:val="007758E3"/>
    <w:rsid w:val="00775D38"/>
    <w:rsid w:val="00775F9B"/>
    <w:rsid w:val="0077765B"/>
    <w:rsid w:val="007814DC"/>
    <w:rsid w:val="00783702"/>
    <w:rsid w:val="00784D20"/>
    <w:rsid w:val="00784E41"/>
    <w:rsid w:val="0078505B"/>
    <w:rsid w:val="007874A7"/>
    <w:rsid w:val="007905F4"/>
    <w:rsid w:val="00790C9B"/>
    <w:rsid w:val="00792C68"/>
    <w:rsid w:val="0079355A"/>
    <w:rsid w:val="007939A5"/>
    <w:rsid w:val="007957DA"/>
    <w:rsid w:val="0079590C"/>
    <w:rsid w:val="00797690"/>
    <w:rsid w:val="00797EE2"/>
    <w:rsid w:val="007A1E06"/>
    <w:rsid w:val="007A3423"/>
    <w:rsid w:val="007A476C"/>
    <w:rsid w:val="007A535F"/>
    <w:rsid w:val="007A7E68"/>
    <w:rsid w:val="007B2454"/>
    <w:rsid w:val="007B6B83"/>
    <w:rsid w:val="007B777C"/>
    <w:rsid w:val="007B78BE"/>
    <w:rsid w:val="007C025F"/>
    <w:rsid w:val="007C1A8D"/>
    <w:rsid w:val="007C3FB3"/>
    <w:rsid w:val="007C400F"/>
    <w:rsid w:val="007C4204"/>
    <w:rsid w:val="007D022B"/>
    <w:rsid w:val="007D0C71"/>
    <w:rsid w:val="007D3AAF"/>
    <w:rsid w:val="007D6F8A"/>
    <w:rsid w:val="007D7C4C"/>
    <w:rsid w:val="007E0D3E"/>
    <w:rsid w:val="007E151C"/>
    <w:rsid w:val="007E2294"/>
    <w:rsid w:val="007E2C2A"/>
    <w:rsid w:val="007E4D7B"/>
    <w:rsid w:val="007E5B64"/>
    <w:rsid w:val="007E5FB9"/>
    <w:rsid w:val="007E6CD4"/>
    <w:rsid w:val="007F120E"/>
    <w:rsid w:val="007F2080"/>
    <w:rsid w:val="007F24D7"/>
    <w:rsid w:val="007F2EC7"/>
    <w:rsid w:val="007F36B3"/>
    <w:rsid w:val="007F3912"/>
    <w:rsid w:val="007F3B3F"/>
    <w:rsid w:val="007F4FAF"/>
    <w:rsid w:val="007F5C24"/>
    <w:rsid w:val="007F6292"/>
    <w:rsid w:val="007F63BD"/>
    <w:rsid w:val="007F6BCF"/>
    <w:rsid w:val="007F761D"/>
    <w:rsid w:val="0080051B"/>
    <w:rsid w:val="0080052D"/>
    <w:rsid w:val="00801640"/>
    <w:rsid w:val="00802493"/>
    <w:rsid w:val="00803AD3"/>
    <w:rsid w:val="00803CE3"/>
    <w:rsid w:val="00804ADA"/>
    <w:rsid w:val="00804BD0"/>
    <w:rsid w:val="008072CB"/>
    <w:rsid w:val="00811675"/>
    <w:rsid w:val="008127B9"/>
    <w:rsid w:val="00812E38"/>
    <w:rsid w:val="00815298"/>
    <w:rsid w:val="00816D8B"/>
    <w:rsid w:val="0081708E"/>
    <w:rsid w:val="00817609"/>
    <w:rsid w:val="00823E03"/>
    <w:rsid w:val="00824DDF"/>
    <w:rsid w:val="00825CFD"/>
    <w:rsid w:val="008273D6"/>
    <w:rsid w:val="008274CD"/>
    <w:rsid w:val="008314D5"/>
    <w:rsid w:val="00832585"/>
    <w:rsid w:val="00832BBD"/>
    <w:rsid w:val="00832E31"/>
    <w:rsid w:val="008339A7"/>
    <w:rsid w:val="008339DC"/>
    <w:rsid w:val="00833DB7"/>
    <w:rsid w:val="00833EA9"/>
    <w:rsid w:val="008364DC"/>
    <w:rsid w:val="0083708F"/>
    <w:rsid w:val="008370E4"/>
    <w:rsid w:val="00837CF1"/>
    <w:rsid w:val="00841623"/>
    <w:rsid w:val="0084210D"/>
    <w:rsid w:val="00842B4C"/>
    <w:rsid w:val="00847035"/>
    <w:rsid w:val="00851E09"/>
    <w:rsid w:val="00852EEC"/>
    <w:rsid w:val="00854A33"/>
    <w:rsid w:val="00864065"/>
    <w:rsid w:val="00871B6E"/>
    <w:rsid w:val="00871F85"/>
    <w:rsid w:val="00872BE1"/>
    <w:rsid w:val="00873F88"/>
    <w:rsid w:val="00876083"/>
    <w:rsid w:val="00876419"/>
    <w:rsid w:val="0087666B"/>
    <w:rsid w:val="00876AD0"/>
    <w:rsid w:val="008773E5"/>
    <w:rsid w:val="00877BD2"/>
    <w:rsid w:val="0088006D"/>
    <w:rsid w:val="008811C9"/>
    <w:rsid w:val="00882225"/>
    <w:rsid w:val="00883117"/>
    <w:rsid w:val="00885125"/>
    <w:rsid w:val="008860F4"/>
    <w:rsid w:val="00886E68"/>
    <w:rsid w:val="008871A6"/>
    <w:rsid w:val="00887565"/>
    <w:rsid w:val="008903EE"/>
    <w:rsid w:val="00891767"/>
    <w:rsid w:val="00892669"/>
    <w:rsid w:val="00892BC3"/>
    <w:rsid w:val="0089322E"/>
    <w:rsid w:val="008941F2"/>
    <w:rsid w:val="00895A00"/>
    <w:rsid w:val="00895F46"/>
    <w:rsid w:val="0089782A"/>
    <w:rsid w:val="008A2891"/>
    <w:rsid w:val="008A28AB"/>
    <w:rsid w:val="008A3724"/>
    <w:rsid w:val="008A3D73"/>
    <w:rsid w:val="008A3F37"/>
    <w:rsid w:val="008A4E0A"/>
    <w:rsid w:val="008A4E12"/>
    <w:rsid w:val="008A5E8E"/>
    <w:rsid w:val="008A642C"/>
    <w:rsid w:val="008A690D"/>
    <w:rsid w:val="008A6B25"/>
    <w:rsid w:val="008A6C58"/>
    <w:rsid w:val="008A7E93"/>
    <w:rsid w:val="008B0927"/>
    <w:rsid w:val="008B4588"/>
    <w:rsid w:val="008B52FD"/>
    <w:rsid w:val="008B6455"/>
    <w:rsid w:val="008C0084"/>
    <w:rsid w:val="008C0345"/>
    <w:rsid w:val="008C2B85"/>
    <w:rsid w:val="008C743D"/>
    <w:rsid w:val="008D1319"/>
    <w:rsid w:val="008D750B"/>
    <w:rsid w:val="008D7D00"/>
    <w:rsid w:val="008E21E5"/>
    <w:rsid w:val="008E2DAC"/>
    <w:rsid w:val="008E2F88"/>
    <w:rsid w:val="008E4912"/>
    <w:rsid w:val="008E69F9"/>
    <w:rsid w:val="008E7414"/>
    <w:rsid w:val="008F1EFB"/>
    <w:rsid w:val="008F3381"/>
    <w:rsid w:val="008F4027"/>
    <w:rsid w:val="00901183"/>
    <w:rsid w:val="009012D4"/>
    <w:rsid w:val="009014E5"/>
    <w:rsid w:val="0090193E"/>
    <w:rsid w:val="00902436"/>
    <w:rsid w:val="0090248F"/>
    <w:rsid w:val="00902ECB"/>
    <w:rsid w:val="00907647"/>
    <w:rsid w:val="009076B4"/>
    <w:rsid w:val="00912327"/>
    <w:rsid w:val="009143DA"/>
    <w:rsid w:val="009144F4"/>
    <w:rsid w:val="00916031"/>
    <w:rsid w:val="0091768B"/>
    <w:rsid w:val="00920DC6"/>
    <w:rsid w:val="009231AA"/>
    <w:rsid w:val="00923E59"/>
    <w:rsid w:val="0092489D"/>
    <w:rsid w:val="00931B38"/>
    <w:rsid w:val="0093275A"/>
    <w:rsid w:val="00932E3E"/>
    <w:rsid w:val="009346F0"/>
    <w:rsid w:val="00935A1F"/>
    <w:rsid w:val="00935BF9"/>
    <w:rsid w:val="00936AF2"/>
    <w:rsid w:val="00941A33"/>
    <w:rsid w:val="00943F26"/>
    <w:rsid w:val="0094562B"/>
    <w:rsid w:val="0094717B"/>
    <w:rsid w:val="00952314"/>
    <w:rsid w:val="0095296B"/>
    <w:rsid w:val="00953889"/>
    <w:rsid w:val="0095560E"/>
    <w:rsid w:val="009569AE"/>
    <w:rsid w:val="00956DDC"/>
    <w:rsid w:val="00957442"/>
    <w:rsid w:val="00960F49"/>
    <w:rsid w:val="009612F2"/>
    <w:rsid w:val="00962C00"/>
    <w:rsid w:val="0096739E"/>
    <w:rsid w:val="0097184F"/>
    <w:rsid w:val="00972131"/>
    <w:rsid w:val="00973386"/>
    <w:rsid w:val="00973C1F"/>
    <w:rsid w:val="00974DF2"/>
    <w:rsid w:val="00975C7E"/>
    <w:rsid w:val="00980103"/>
    <w:rsid w:val="009802AE"/>
    <w:rsid w:val="0098048D"/>
    <w:rsid w:val="00982065"/>
    <w:rsid w:val="009828A6"/>
    <w:rsid w:val="009831EE"/>
    <w:rsid w:val="00983E0F"/>
    <w:rsid w:val="00985554"/>
    <w:rsid w:val="0098680D"/>
    <w:rsid w:val="00986A3D"/>
    <w:rsid w:val="00987448"/>
    <w:rsid w:val="0099233E"/>
    <w:rsid w:val="00992878"/>
    <w:rsid w:val="00992F30"/>
    <w:rsid w:val="00994392"/>
    <w:rsid w:val="00996474"/>
    <w:rsid w:val="00996800"/>
    <w:rsid w:val="00996F3E"/>
    <w:rsid w:val="009A1949"/>
    <w:rsid w:val="009A1C0D"/>
    <w:rsid w:val="009A28C9"/>
    <w:rsid w:val="009A2B42"/>
    <w:rsid w:val="009A5F61"/>
    <w:rsid w:val="009A78B3"/>
    <w:rsid w:val="009B14EB"/>
    <w:rsid w:val="009B1C92"/>
    <w:rsid w:val="009B1F26"/>
    <w:rsid w:val="009B210A"/>
    <w:rsid w:val="009B23BD"/>
    <w:rsid w:val="009B275A"/>
    <w:rsid w:val="009B42B7"/>
    <w:rsid w:val="009B4FF2"/>
    <w:rsid w:val="009B53AC"/>
    <w:rsid w:val="009C0850"/>
    <w:rsid w:val="009C1964"/>
    <w:rsid w:val="009C1C7C"/>
    <w:rsid w:val="009C28CE"/>
    <w:rsid w:val="009C2902"/>
    <w:rsid w:val="009C394C"/>
    <w:rsid w:val="009C3B92"/>
    <w:rsid w:val="009C5CA7"/>
    <w:rsid w:val="009C659C"/>
    <w:rsid w:val="009C735A"/>
    <w:rsid w:val="009D27D5"/>
    <w:rsid w:val="009D494D"/>
    <w:rsid w:val="009D508D"/>
    <w:rsid w:val="009D6382"/>
    <w:rsid w:val="009D6C6D"/>
    <w:rsid w:val="009D7C29"/>
    <w:rsid w:val="009E09FC"/>
    <w:rsid w:val="009E0B32"/>
    <w:rsid w:val="009E0D4F"/>
    <w:rsid w:val="009E1734"/>
    <w:rsid w:val="009E2FCD"/>
    <w:rsid w:val="009E4E35"/>
    <w:rsid w:val="009E60BD"/>
    <w:rsid w:val="009E6EA6"/>
    <w:rsid w:val="009E7597"/>
    <w:rsid w:val="009F1CDE"/>
    <w:rsid w:val="009F6141"/>
    <w:rsid w:val="00A024BB"/>
    <w:rsid w:val="00A02996"/>
    <w:rsid w:val="00A0389F"/>
    <w:rsid w:val="00A04EE8"/>
    <w:rsid w:val="00A1257B"/>
    <w:rsid w:val="00A125C8"/>
    <w:rsid w:val="00A13A3F"/>
    <w:rsid w:val="00A1400E"/>
    <w:rsid w:val="00A144BD"/>
    <w:rsid w:val="00A15AED"/>
    <w:rsid w:val="00A213C2"/>
    <w:rsid w:val="00A21E26"/>
    <w:rsid w:val="00A2386E"/>
    <w:rsid w:val="00A259A8"/>
    <w:rsid w:val="00A25CFA"/>
    <w:rsid w:val="00A25F3A"/>
    <w:rsid w:val="00A26EFF"/>
    <w:rsid w:val="00A30970"/>
    <w:rsid w:val="00A30AD5"/>
    <w:rsid w:val="00A30F9A"/>
    <w:rsid w:val="00A314E3"/>
    <w:rsid w:val="00A35761"/>
    <w:rsid w:val="00A36804"/>
    <w:rsid w:val="00A40695"/>
    <w:rsid w:val="00A42BAF"/>
    <w:rsid w:val="00A43B5B"/>
    <w:rsid w:val="00A441D6"/>
    <w:rsid w:val="00A44AAB"/>
    <w:rsid w:val="00A462FC"/>
    <w:rsid w:val="00A471BB"/>
    <w:rsid w:val="00A51F63"/>
    <w:rsid w:val="00A5230A"/>
    <w:rsid w:val="00A5272D"/>
    <w:rsid w:val="00A53F70"/>
    <w:rsid w:val="00A546DC"/>
    <w:rsid w:val="00A54781"/>
    <w:rsid w:val="00A54ABE"/>
    <w:rsid w:val="00A5631A"/>
    <w:rsid w:val="00A57206"/>
    <w:rsid w:val="00A62CA8"/>
    <w:rsid w:val="00A64313"/>
    <w:rsid w:val="00A704AD"/>
    <w:rsid w:val="00A704E0"/>
    <w:rsid w:val="00A71550"/>
    <w:rsid w:val="00A735F0"/>
    <w:rsid w:val="00A74302"/>
    <w:rsid w:val="00A74665"/>
    <w:rsid w:val="00A75534"/>
    <w:rsid w:val="00A75C79"/>
    <w:rsid w:val="00A75E4E"/>
    <w:rsid w:val="00A77714"/>
    <w:rsid w:val="00A83626"/>
    <w:rsid w:val="00A83CE0"/>
    <w:rsid w:val="00A90904"/>
    <w:rsid w:val="00A90F89"/>
    <w:rsid w:val="00A91E89"/>
    <w:rsid w:val="00A92FEB"/>
    <w:rsid w:val="00A931C8"/>
    <w:rsid w:val="00A93ECC"/>
    <w:rsid w:val="00A93F5A"/>
    <w:rsid w:val="00A95204"/>
    <w:rsid w:val="00A95670"/>
    <w:rsid w:val="00A96D77"/>
    <w:rsid w:val="00AA132E"/>
    <w:rsid w:val="00AA1C73"/>
    <w:rsid w:val="00AA33DD"/>
    <w:rsid w:val="00AA58A5"/>
    <w:rsid w:val="00AA763E"/>
    <w:rsid w:val="00AA7A1E"/>
    <w:rsid w:val="00AB08D9"/>
    <w:rsid w:val="00AB14CE"/>
    <w:rsid w:val="00AB1A5D"/>
    <w:rsid w:val="00AB1BA3"/>
    <w:rsid w:val="00AB4772"/>
    <w:rsid w:val="00AB51C8"/>
    <w:rsid w:val="00AB54A2"/>
    <w:rsid w:val="00AC002D"/>
    <w:rsid w:val="00AC0AD3"/>
    <w:rsid w:val="00AC0C40"/>
    <w:rsid w:val="00AC150C"/>
    <w:rsid w:val="00AC183C"/>
    <w:rsid w:val="00AC2C98"/>
    <w:rsid w:val="00AC644A"/>
    <w:rsid w:val="00AC6C0F"/>
    <w:rsid w:val="00AD174F"/>
    <w:rsid w:val="00AD1F0D"/>
    <w:rsid w:val="00AD236F"/>
    <w:rsid w:val="00AD2AC6"/>
    <w:rsid w:val="00AD2D25"/>
    <w:rsid w:val="00AD5FE4"/>
    <w:rsid w:val="00AD6E1C"/>
    <w:rsid w:val="00AE141A"/>
    <w:rsid w:val="00AE2A20"/>
    <w:rsid w:val="00AE3467"/>
    <w:rsid w:val="00AE3EB1"/>
    <w:rsid w:val="00AE43A2"/>
    <w:rsid w:val="00AE5C08"/>
    <w:rsid w:val="00AE5E1F"/>
    <w:rsid w:val="00AE5F3F"/>
    <w:rsid w:val="00AF0A48"/>
    <w:rsid w:val="00AF26F0"/>
    <w:rsid w:val="00AF406B"/>
    <w:rsid w:val="00AF534F"/>
    <w:rsid w:val="00AF6FC9"/>
    <w:rsid w:val="00AF7B07"/>
    <w:rsid w:val="00B003FA"/>
    <w:rsid w:val="00B01B17"/>
    <w:rsid w:val="00B02706"/>
    <w:rsid w:val="00B03E38"/>
    <w:rsid w:val="00B07BFC"/>
    <w:rsid w:val="00B07F42"/>
    <w:rsid w:val="00B1119D"/>
    <w:rsid w:val="00B11CB9"/>
    <w:rsid w:val="00B11FBC"/>
    <w:rsid w:val="00B125E8"/>
    <w:rsid w:val="00B12FF8"/>
    <w:rsid w:val="00B13D2C"/>
    <w:rsid w:val="00B20643"/>
    <w:rsid w:val="00B2181F"/>
    <w:rsid w:val="00B22517"/>
    <w:rsid w:val="00B22989"/>
    <w:rsid w:val="00B25E27"/>
    <w:rsid w:val="00B26D8B"/>
    <w:rsid w:val="00B303D7"/>
    <w:rsid w:val="00B32514"/>
    <w:rsid w:val="00B332A7"/>
    <w:rsid w:val="00B35C76"/>
    <w:rsid w:val="00B36F27"/>
    <w:rsid w:val="00B40701"/>
    <w:rsid w:val="00B40786"/>
    <w:rsid w:val="00B4084C"/>
    <w:rsid w:val="00B42669"/>
    <w:rsid w:val="00B443E4"/>
    <w:rsid w:val="00B46F50"/>
    <w:rsid w:val="00B47479"/>
    <w:rsid w:val="00B50668"/>
    <w:rsid w:val="00B51889"/>
    <w:rsid w:val="00B53138"/>
    <w:rsid w:val="00B53DD7"/>
    <w:rsid w:val="00B54202"/>
    <w:rsid w:val="00B54BD6"/>
    <w:rsid w:val="00B553AC"/>
    <w:rsid w:val="00B55E9A"/>
    <w:rsid w:val="00B562F4"/>
    <w:rsid w:val="00B60C61"/>
    <w:rsid w:val="00B63E99"/>
    <w:rsid w:val="00B666E1"/>
    <w:rsid w:val="00B672A9"/>
    <w:rsid w:val="00B67A00"/>
    <w:rsid w:val="00B70074"/>
    <w:rsid w:val="00B735E3"/>
    <w:rsid w:val="00B745A5"/>
    <w:rsid w:val="00B74A5A"/>
    <w:rsid w:val="00B752AE"/>
    <w:rsid w:val="00B805AB"/>
    <w:rsid w:val="00B81B0D"/>
    <w:rsid w:val="00B82A12"/>
    <w:rsid w:val="00B82EB1"/>
    <w:rsid w:val="00B831BC"/>
    <w:rsid w:val="00B83BFD"/>
    <w:rsid w:val="00B845E7"/>
    <w:rsid w:val="00B84924"/>
    <w:rsid w:val="00B84C7E"/>
    <w:rsid w:val="00B85DE5"/>
    <w:rsid w:val="00B86685"/>
    <w:rsid w:val="00B86D98"/>
    <w:rsid w:val="00B90B15"/>
    <w:rsid w:val="00B91B61"/>
    <w:rsid w:val="00B91C20"/>
    <w:rsid w:val="00B91EF0"/>
    <w:rsid w:val="00B9273A"/>
    <w:rsid w:val="00B92DF3"/>
    <w:rsid w:val="00B968CF"/>
    <w:rsid w:val="00B97641"/>
    <w:rsid w:val="00B9769E"/>
    <w:rsid w:val="00BA1B32"/>
    <w:rsid w:val="00BA1DD4"/>
    <w:rsid w:val="00BA3824"/>
    <w:rsid w:val="00BA42E9"/>
    <w:rsid w:val="00BA4B08"/>
    <w:rsid w:val="00BB2F9C"/>
    <w:rsid w:val="00BB37BF"/>
    <w:rsid w:val="00BB474D"/>
    <w:rsid w:val="00BB6E02"/>
    <w:rsid w:val="00BB7811"/>
    <w:rsid w:val="00BC12D1"/>
    <w:rsid w:val="00BC210B"/>
    <w:rsid w:val="00BC36A7"/>
    <w:rsid w:val="00BC6FAB"/>
    <w:rsid w:val="00BD288C"/>
    <w:rsid w:val="00BD30EE"/>
    <w:rsid w:val="00BD39AE"/>
    <w:rsid w:val="00BD495F"/>
    <w:rsid w:val="00BD64CD"/>
    <w:rsid w:val="00BD67EB"/>
    <w:rsid w:val="00BE2B56"/>
    <w:rsid w:val="00BE4B23"/>
    <w:rsid w:val="00BE4F98"/>
    <w:rsid w:val="00BE5554"/>
    <w:rsid w:val="00BE7DFB"/>
    <w:rsid w:val="00BF223B"/>
    <w:rsid w:val="00BF2A79"/>
    <w:rsid w:val="00BF58CA"/>
    <w:rsid w:val="00C000F3"/>
    <w:rsid w:val="00C00B24"/>
    <w:rsid w:val="00C02BAB"/>
    <w:rsid w:val="00C02C7C"/>
    <w:rsid w:val="00C03661"/>
    <w:rsid w:val="00C04EFF"/>
    <w:rsid w:val="00C05959"/>
    <w:rsid w:val="00C062C9"/>
    <w:rsid w:val="00C077B6"/>
    <w:rsid w:val="00C10302"/>
    <w:rsid w:val="00C10B19"/>
    <w:rsid w:val="00C10B5D"/>
    <w:rsid w:val="00C110F6"/>
    <w:rsid w:val="00C11382"/>
    <w:rsid w:val="00C11580"/>
    <w:rsid w:val="00C1305F"/>
    <w:rsid w:val="00C13FF9"/>
    <w:rsid w:val="00C15946"/>
    <w:rsid w:val="00C1727D"/>
    <w:rsid w:val="00C17338"/>
    <w:rsid w:val="00C212FE"/>
    <w:rsid w:val="00C22621"/>
    <w:rsid w:val="00C25649"/>
    <w:rsid w:val="00C25691"/>
    <w:rsid w:val="00C25BA9"/>
    <w:rsid w:val="00C27701"/>
    <w:rsid w:val="00C2DED3"/>
    <w:rsid w:val="00C32405"/>
    <w:rsid w:val="00C3572D"/>
    <w:rsid w:val="00C36146"/>
    <w:rsid w:val="00C36E6A"/>
    <w:rsid w:val="00C37FC2"/>
    <w:rsid w:val="00C42AB6"/>
    <w:rsid w:val="00C4375E"/>
    <w:rsid w:val="00C44837"/>
    <w:rsid w:val="00C45437"/>
    <w:rsid w:val="00C47577"/>
    <w:rsid w:val="00C51FF9"/>
    <w:rsid w:val="00C5366D"/>
    <w:rsid w:val="00C53BDF"/>
    <w:rsid w:val="00C5491B"/>
    <w:rsid w:val="00C54CA6"/>
    <w:rsid w:val="00C556EC"/>
    <w:rsid w:val="00C566DF"/>
    <w:rsid w:val="00C567FA"/>
    <w:rsid w:val="00C57030"/>
    <w:rsid w:val="00C60484"/>
    <w:rsid w:val="00C61E98"/>
    <w:rsid w:val="00C626FF"/>
    <w:rsid w:val="00C63FA9"/>
    <w:rsid w:val="00C64B23"/>
    <w:rsid w:val="00C678E5"/>
    <w:rsid w:val="00C67CF1"/>
    <w:rsid w:val="00C70A4C"/>
    <w:rsid w:val="00C73A7B"/>
    <w:rsid w:val="00C73C72"/>
    <w:rsid w:val="00C73F42"/>
    <w:rsid w:val="00C73F9C"/>
    <w:rsid w:val="00C76370"/>
    <w:rsid w:val="00C77131"/>
    <w:rsid w:val="00C773DF"/>
    <w:rsid w:val="00C8171B"/>
    <w:rsid w:val="00C81E7B"/>
    <w:rsid w:val="00C84C0D"/>
    <w:rsid w:val="00C85197"/>
    <w:rsid w:val="00C85F40"/>
    <w:rsid w:val="00C8764F"/>
    <w:rsid w:val="00C91A9F"/>
    <w:rsid w:val="00C91C20"/>
    <w:rsid w:val="00C925B8"/>
    <w:rsid w:val="00C9518F"/>
    <w:rsid w:val="00C96814"/>
    <w:rsid w:val="00C97C9D"/>
    <w:rsid w:val="00CA0E3C"/>
    <w:rsid w:val="00CA2132"/>
    <w:rsid w:val="00CA30D4"/>
    <w:rsid w:val="00CA4719"/>
    <w:rsid w:val="00CA683C"/>
    <w:rsid w:val="00CB0152"/>
    <w:rsid w:val="00CB0F85"/>
    <w:rsid w:val="00CB13A9"/>
    <w:rsid w:val="00CB50EA"/>
    <w:rsid w:val="00CB5DCD"/>
    <w:rsid w:val="00CB7838"/>
    <w:rsid w:val="00CB7B12"/>
    <w:rsid w:val="00CBD271"/>
    <w:rsid w:val="00CC0988"/>
    <w:rsid w:val="00CC1C81"/>
    <w:rsid w:val="00CC20A5"/>
    <w:rsid w:val="00CC3AAD"/>
    <w:rsid w:val="00CC3F5B"/>
    <w:rsid w:val="00CC4429"/>
    <w:rsid w:val="00CC5EFA"/>
    <w:rsid w:val="00CC6D77"/>
    <w:rsid w:val="00CC7076"/>
    <w:rsid w:val="00CC79D0"/>
    <w:rsid w:val="00CD1D1C"/>
    <w:rsid w:val="00CD30E4"/>
    <w:rsid w:val="00CD3501"/>
    <w:rsid w:val="00CD4ABE"/>
    <w:rsid w:val="00CD5A62"/>
    <w:rsid w:val="00CD60EC"/>
    <w:rsid w:val="00CD6F87"/>
    <w:rsid w:val="00CD7601"/>
    <w:rsid w:val="00CD7783"/>
    <w:rsid w:val="00CE06F0"/>
    <w:rsid w:val="00CE095B"/>
    <w:rsid w:val="00CE411B"/>
    <w:rsid w:val="00CE63AA"/>
    <w:rsid w:val="00CE697C"/>
    <w:rsid w:val="00CF106E"/>
    <w:rsid w:val="00CF174A"/>
    <w:rsid w:val="00CF30AF"/>
    <w:rsid w:val="00CF36F0"/>
    <w:rsid w:val="00CF3C60"/>
    <w:rsid w:val="00CF41F3"/>
    <w:rsid w:val="00CF55E9"/>
    <w:rsid w:val="00CF64C3"/>
    <w:rsid w:val="00CF7839"/>
    <w:rsid w:val="00D000D6"/>
    <w:rsid w:val="00D02769"/>
    <w:rsid w:val="00D02C61"/>
    <w:rsid w:val="00D0375C"/>
    <w:rsid w:val="00D043CA"/>
    <w:rsid w:val="00D04434"/>
    <w:rsid w:val="00D04B46"/>
    <w:rsid w:val="00D07031"/>
    <w:rsid w:val="00D073D6"/>
    <w:rsid w:val="00D07779"/>
    <w:rsid w:val="00D10C08"/>
    <w:rsid w:val="00D11718"/>
    <w:rsid w:val="00D11CE3"/>
    <w:rsid w:val="00D15E9C"/>
    <w:rsid w:val="00D162CB"/>
    <w:rsid w:val="00D16FCE"/>
    <w:rsid w:val="00D17756"/>
    <w:rsid w:val="00D20108"/>
    <w:rsid w:val="00D22B58"/>
    <w:rsid w:val="00D230D4"/>
    <w:rsid w:val="00D237D6"/>
    <w:rsid w:val="00D238AA"/>
    <w:rsid w:val="00D238DA"/>
    <w:rsid w:val="00D25A07"/>
    <w:rsid w:val="00D30126"/>
    <w:rsid w:val="00D31C61"/>
    <w:rsid w:val="00D31CB2"/>
    <w:rsid w:val="00D31DF0"/>
    <w:rsid w:val="00D33EF4"/>
    <w:rsid w:val="00D357DA"/>
    <w:rsid w:val="00D35E99"/>
    <w:rsid w:val="00D405EF"/>
    <w:rsid w:val="00D4160F"/>
    <w:rsid w:val="00D4161F"/>
    <w:rsid w:val="00D433DA"/>
    <w:rsid w:val="00D44B67"/>
    <w:rsid w:val="00D50EB5"/>
    <w:rsid w:val="00D51CC5"/>
    <w:rsid w:val="00D52751"/>
    <w:rsid w:val="00D55B7A"/>
    <w:rsid w:val="00D55D6F"/>
    <w:rsid w:val="00D60686"/>
    <w:rsid w:val="00D60F26"/>
    <w:rsid w:val="00D624E9"/>
    <w:rsid w:val="00D66510"/>
    <w:rsid w:val="00D66C70"/>
    <w:rsid w:val="00D70A73"/>
    <w:rsid w:val="00D70D99"/>
    <w:rsid w:val="00D71893"/>
    <w:rsid w:val="00D72732"/>
    <w:rsid w:val="00D82508"/>
    <w:rsid w:val="00D82A30"/>
    <w:rsid w:val="00D83B6F"/>
    <w:rsid w:val="00D83EA9"/>
    <w:rsid w:val="00D85CDE"/>
    <w:rsid w:val="00D86F68"/>
    <w:rsid w:val="00D8735B"/>
    <w:rsid w:val="00D87E90"/>
    <w:rsid w:val="00D908CE"/>
    <w:rsid w:val="00D91D02"/>
    <w:rsid w:val="00D92A8D"/>
    <w:rsid w:val="00D92D8F"/>
    <w:rsid w:val="00DA061F"/>
    <w:rsid w:val="00DA0D1F"/>
    <w:rsid w:val="00DA2243"/>
    <w:rsid w:val="00DA321E"/>
    <w:rsid w:val="00DA33D8"/>
    <w:rsid w:val="00DA42D5"/>
    <w:rsid w:val="00DA5065"/>
    <w:rsid w:val="00DA5ED8"/>
    <w:rsid w:val="00DB106C"/>
    <w:rsid w:val="00DB2944"/>
    <w:rsid w:val="00DB2B35"/>
    <w:rsid w:val="00DB51C0"/>
    <w:rsid w:val="00DB5F8E"/>
    <w:rsid w:val="00DB7237"/>
    <w:rsid w:val="00DC2A38"/>
    <w:rsid w:val="00DC3805"/>
    <w:rsid w:val="00DC4494"/>
    <w:rsid w:val="00DC60A3"/>
    <w:rsid w:val="00DD06B0"/>
    <w:rsid w:val="00DD10C3"/>
    <w:rsid w:val="00DD238F"/>
    <w:rsid w:val="00DD36B6"/>
    <w:rsid w:val="00DD4211"/>
    <w:rsid w:val="00DD5A6A"/>
    <w:rsid w:val="00DD69D0"/>
    <w:rsid w:val="00DD6EB5"/>
    <w:rsid w:val="00DE0773"/>
    <w:rsid w:val="00DE1AAD"/>
    <w:rsid w:val="00DE424F"/>
    <w:rsid w:val="00DE47B3"/>
    <w:rsid w:val="00DF05A5"/>
    <w:rsid w:val="00DF079E"/>
    <w:rsid w:val="00DF0803"/>
    <w:rsid w:val="00DF391A"/>
    <w:rsid w:val="00DF3FCE"/>
    <w:rsid w:val="00DF42D6"/>
    <w:rsid w:val="00DF5790"/>
    <w:rsid w:val="00DF7468"/>
    <w:rsid w:val="00E01ACF"/>
    <w:rsid w:val="00E01E0D"/>
    <w:rsid w:val="00E02890"/>
    <w:rsid w:val="00E0475F"/>
    <w:rsid w:val="00E06D41"/>
    <w:rsid w:val="00E06EC3"/>
    <w:rsid w:val="00E06FF8"/>
    <w:rsid w:val="00E07256"/>
    <w:rsid w:val="00E07B4F"/>
    <w:rsid w:val="00E100CD"/>
    <w:rsid w:val="00E10575"/>
    <w:rsid w:val="00E10D66"/>
    <w:rsid w:val="00E122B6"/>
    <w:rsid w:val="00E14E92"/>
    <w:rsid w:val="00E21CC3"/>
    <w:rsid w:val="00E223B2"/>
    <w:rsid w:val="00E22626"/>
    <w:rsid w:val="00E228B5"/>
    <w:rsid w:val="00E22BB2"/>
    <w:rsid w:val="00E2397F"/>
    <w:rsid w:val="00E23E0A"/>
    <w:rsid w:val="00E250D4"/>
    <w:rsid w:val="00E25813"/>
    <w:rsid w:val="00E308B5"/>
    <w:rsid w:val="00E33F19"/>
    <w:rsid w:val="00E34B5C"/>
    <w:rsid w:val="00E35208"/>
    <w:rsid w:val="00E3773F"/>
    <w:rsid w:val="00E400BD"/>
    <w:rsid w:val="00E41EE9"/>
    <w:rsid w:val="00E4273D"/>
    <w:rsid w:val="00E51806"/>
    <w:rsid w:val="00E51DD4"/>
    <w:rsid w:val="00E530AF"/>
    <w:rsid w:val="00E56878"/>
    <w:rsid w:val="00E56DEC"/>
    <w:rsid w:val="00E6146C"/>
    <w:rsid w:val="00E62332"/>
    <w:rsid w:val="00E62B76"/>
    <w:rsid w:val="00E66497"/>
    <w:rsid w:val="00E70853"/>
    <w:rsid w:val="00E70F53"/>
    <w:rsid w:val="00E71657"/>
    <w:rsid w:val="00E72003"/>
    <w:rsid w:val="00E73D17"/>
    <w:rsid w:val="00E745C7"/>
    <w:rsid w:val="00E745E4"/>
    <w:rsid w:val="00E750CA"/>
    <w:rsid w:val="00E77EF2"/>
    <w:rsid w:val="00E81A49"/>
    <w:rsid w:val="00E81D28"/>
    <w:rsid w:val="00E82320"/>
    <w:rsid w:val="00E828A6"/>
    <w:rsid w:val="00E83DB5"/>
    <w:rsid w:val="00E8606D"/>
    <w:rsid w:val="00E90C8C"/>
    <w:rsid w:val="00E91D8C"/>
    <w:rsid w:val="00E92284"/>
    <w:rsid w:val="00E92A95"/>
    <w:rsid w:val="00E93ED1"/>
    <w:rsid w:val="00E94210"/>
    <w:rsid w:val="00E9440E"/>
    <w:rsid w:val="00EA0201"/>
    <w:rsid w:val="00EA2A6D"/>
    <w:rsid w:val="00EA2BED"/>
    <w:rsid w:val="00EA425C"/>
    <w:rsid w:val="00EA4A5D"/>
    <w:rsid w:val="00EA56E9"/>
    <w:rsid w:val="00EA5E0E"/>
    <w:rsid w:val="00EA72FF"/>
    <w:rsid w:val="00EB10E4"/>
    <w:rsid w:val="00EB30B8"/>
    <w:rsid w:val="00EB3936"/>
    <w:rsid w:val="00EB3CB5"/>
    <w:rsid w:val="00EB5049"/>
    <w:rsid w:val="00EB505E"/>
    <w:rsid w:val="00EB54ED"/>
    <w:rsid w:val="00EB58BB"/>
    <w:rsid w:val="00EB7B41"/>
    <w:rsid w:val="00EC1943"/>
    <w:rsid w:val="00EC1B21"/>
    <w:rsid w:val="00EC2583"/>
    <w:rsid w:val="00EC33E6"/>
    <w:rsid w:val="00EC37CD"/>
    <w:rsid w:val="00EC4EF8"/>
    <w:rsid w:val="00EC6045"/>
    <w:rsid w:val="00EC6B76"/>
    <w:rsid w:val="00EC7765"/>
    <w:rsid w:val="00EC7DC6"/>
    <w:rsid w:val="00ED00D8"/>
    <w:rsid w:val="00ED0583"/>
    <w:rsid w:val="00ED0A47"/>
    <w:rsid w:val="00ED33A7"/>
    <w:rsid w:val="00ED469B"/>
    <w:rsid w:val="00ED6600"/>
    <w:rsid w:val="00ED668A"/>
    <w:rsid w:val="00EE181A"/>
    <w:rsid w:val="00EE2207"/>
    <w:rsid w:val="00EE222E"/>
    <w:rsid w:val="00EE2682"/>
    <w:rsid w:val="00EE2BCD"/>
    <w:rsid w:val="00EE347B"/>
    <w:rsid w:val="00EE3695"/>
    <w:rsid w:val="00EE39CD"/>
    <w:rsid w:val="00EE3B42"/>
    <w:rsid w:val="00EE3C41"/>
    <w:rsid w:val="00EE3EC8"/>
    <w:rsid w:val="00EE4E55"/>
    <w:rsid w:val="00EE60A4"/>
    <w:rsid w:val="00EE664A"/>
    <w:rsid w:val="00EE66D5"/>
    <w:rsid w:val="00EE6701"/>
    <w:rsid w:val="00EE6831"/>
    <w:rsid w:val="00EE7379"/>
    <w:rsid w:val="00EE7DB8"/>
    <w:rsid w:val="00EE9601"/>
    <w:rsid w:val="00EF4257"/>
    <w:rsid w:val="00EF4F51"/>
    <w:rsid w:val="00EF5992"/>
    <w:rsid w:val="00F00179"/>
    <w:rsid w:val="00F024D9"/>
    <w:rsid w:val="00F024FD"/>
    <w:rsid w:val="00F02986"/>
    <w:rsid w:val="00F0356A"/>
    <w:rsid w:val="00F03DB5"/>
    <w:rsid w:val="00F04132"/>
    <w:rsid w:val="00F0460D"/>
    <w:rsid w:val="00F06164"/>
    <w:rsid w:val="00F10D0B"/>
    <w:rsid w:val="00F139B8"/>
    <w:rsid w:val="00F157DC"/>
    <w:rsid w:val="00F17950"/>
    <w:rsid w:val="00F20864"/>
    <w:rsid w:val="00F20AF1"/>
    <w:rsid w:val="00F2145B"/>
    <w:rsid w:val="00F23CF2"/>
    <w:rsid w:val="00F24426"/>
    <w:rsid w:val="00F253AC"/>
    <w:rsid w:val="00F26444"/>
    <w:rsid w:val="00F26E06"/>
    <w:rsid w:val="00F3194C"/>
    <w:rsid w:val="00F31BE5"/>
    <w:rsid w:val="00F31FD2"/>
    <w:rsid w:val="00F32985"/>
    <w:rsid w:val="00F33D76"/>
    <w:rsid w:val="00F34F03"/>
    <w:rsid w:val="00F35848"/>
    <w:rsid w:val="00F360F5"/>
    <w:rsid w:val="00F37962"/>
    <w:rsid w:val="00F40A47"/>
    <w:rsid w:val="00F41F3F"/>
    <w:rsid w:val="00F43129"/>
    <w:rsid w:val="00F43D7F"/>
    <w:rsid w:val="00F457EC"/>
    <w:rsid w:val="00F4692B"/>
    <w:rsid w:val="00F4704C"/>
    <w:rsid w:val="00F47AA3"/>
    <w:rsid w:val="00F57F6C"/>
    <w:rsid w:val="00F60095"/>
    <w:rsid w:val="00F619F8"/>
    <w:rsid w:val="00F61F94"/>
    <w:rsid w:val="00F62A91"/>
    <w:rsid w:val="00F6326E"/>
    <w:rsid w:val="00F63F0A"/>
    <w:rsid w:val="00F64225"/>
    <w:rsid w:val="00F65755"/>
    <w:rsid w:val="00F66944"/>
    <w:rsid w:val="00F70313"/>
    <w:rsid w:val="00F7486D"/>
    <w:rsid w:val="00F75156"/>
    <w:rsid w:val="00F75FF2"/>
    <w:rsid w:val="00F779F5"/>
    <w:rsid w:val="00F77E5F"/>
    <w:rsid w:val="00F811F7"/>
    <w:rsid w:val="00F81A5E"/>
    <w:rsid w:val="00F8212C"/>
    <w:rsid w:val="00F82890"/>
    <w:rsid w:val="00F83B51"/>
    <w:rsid w:val="00F8441A"/>
    <w:rsid w:val="00F856F4"/>
    <w:rsid w:val="00F90759"/>
    <w:rsid w:val="00F92111"/>
    <w:rsid w:val="00F934C6"/>
    <w:rsid w:val="00F93606"/>
    <w:rsid w:val="00F94186"/>
    <w:rsid w:val="00F946C4"/>
    <w:rsid w:val="00F94826"/>
    <w:rsid w:val="00F948CF"/>
    <w:rsid w:val="00F952BE"/>
    <w:rsid w:val="00F95359"/>
    <w:rsid w:val="00F95CFA"/>
    <w:rsid w:val="00F965F4"/>
    <w:rsid w:val="00F97AD5"/>
    <w:rsid w:val="00FA11F7"/>
    <w:rsid w:val="00FA265D"/>
    <w:rsid w:val="00FA2CC6"/>
    <w:rsid w:val="00FA3A23"/>
    <w:rsid w:val="00FA5062"/>
    <w:rsid w:val="00FA7C1C"/>
    <w:rsid w:val="00FB1589"/>
    <w:rsid w:val="00FB248E"/>
    <w:rsid w:val="00FB2DE7"/>
    <w:rsid w:val="00FB31D6"/>
    <w:rsid w:val="00FB3391"/>
    <w:rsid w:val="00FB6BDF"/>
    <w:rsid w:val="00FB7DE1"/>
    <w:rsid w:val="00FC2FD1"/>
    <w:rsid w:val="00FC3011"/>
    <w:rsid w:val="00FC393D"/>
    <w:rsid w:val="00FC3E48"/>
    <w:rsid w:val="00FC475B"/>
    <w:rsid w:val="00FC5B40"/>
    <w:rsid w:val="00FC5D6B"/>
    <w:rsid w:val="00FC6C78"/>
    <w:rsid w:val="00FC709F"/>
    <w:rsid w:val="00FC745D"/>
    <w:rsid w:val="00FC7CFA"/>
    <w:rsid w:val="00FD1EA9"/>
    <w:rsid w:val="00FD2779"/>
    <w:rsid w:val="00FD303C"/>
    <w:rsid w:val="00FD3288"/>
    <w:rsid w:val="00FD3B06"/>
    <w:rsid w:val="00FE1C51"/>
    <w:rsid w:val="00FE2BAE"/>
    <w:rsid w:val="00FE2ED2"/>
    <w:rsid w:val="00FE32A5"/>
    <w:rsid w:val="00FE3A24"/>
    <w:rsid w:val="00FE5921"/>
    <w:rsid w:val="00FE63BD"/>
    <w:rsid w:val="00FE65CA"/>
    <w:rsid w:val="00FE6F04"/>
    <w:rsid w:val="00FF0003"/>
    <w:rsid w:val="00FF15A6"/>
    <w:rsid w:val="00FF1D20"/>
    <w:rsid w:val="00FF2912"/>
    <w:rsid w:val="00FF62B7"/>
    <w:rsid w:val="00FF6921"/>
    <w:rsid w:val="00FF73C4"/>
    <w:rsid w:val="00FF7661"/>
    <w:rsid w:val="0106154D"/>
    <w:rsid w:val="0131650B"/>
    <w:rsid w:val="0158BEB0"/>
    <w:rsid w:val="01874247"/>
    <w:rsid w:val="018FA206"/>
    <w:rsid w:val="01B54F1C"/>
    <w:rsid w:val="01B7B7A7"/>
    <w:rsid w:val="01C552BB"/>
    <w:rsid w:val="01D6192F"/>
    <w:rsid w:val="01DC850A"/>
    <w:rsid w:val="01F20034"/>
    <w:rsid w:val="01F23137"/>
    <w:rsid w:val="0208E92F"/>
    <w:rsid w:val="021646E2"/>
    <w:rsid w:val="02762AEB"/>
    <w:rsid w:val="0284AA1D"/>
    <w:rsid w:val="02C8C7EC"/>
    <w:rsid w:val="0319382F"/>
    <w:rsid w:val="033DF88B"/>
    <w:rsid w:val="03732C84"/>
    <w:rsid w:val="03B8AB1A"/>
    <w:rsid w:val="04A13357"/>
    <w:rsid w:val="04C2B73B"/>
    <w:rsid w:val="05869ECE"/>
    <w:rsid w:val="059D9C1C"/>
    <w:rsid w:val="05F37D35"/>
    <w:rsid w:val="05F4E076"/>
    <w:rsid w:val="060DFCC1"/>
    <w:rsid w:val="06464AEA"/>
    <w:rsid w:val="065C668B"/>
    <w:rsid w:val="066DEB66"/>
    <w:rsid w:val="06715E27"/>
    <w:rsid w:val="06762CF8"/>
    <w:rsid w:val="0689486D"/>
    <w:rsid w:val="06CD4FD4"/>
    <w:rsid w:val="06CF5ECF"/>
    <w:rsid w:val="06DA6A24"/>
    <w:rsid w:val="06DE3412"/>
    <w:rsid w:val="06ED5BE6"/>
    <w:rsid w:val="06F65652"/>
    <w:rsid w:val="070084DE"/>
    <w:rsid w:val="0704CBE1"/>
    <w:rsid w:val="07096620"/>
    <w:rsid w:val="0742142A"/>
    <w:rsid w:val="07582E8F"/>
    <w:rsid w:val="07762539"/>
    <w:rsid w:val="07A92249"/>
    <w:rsid w:val="07B72776"/>
    <w:rsid w:val="07E0D34C"/>
    <w:rsid w:val="080618C3"/>
    <w:rsid w:val="081EE8F6"/>
    <w:rsid w:val="088314A6"/>
    <w:rsid w:val="088CF9F1"/>
    <w:rsid w:val="08998239"/>
    <w:rsid w:val="08D78705"/>
    <w:rsid w:val="08F961BD"/>
    <w:rsid w:val="09029F07"/>
    <w:rsid w:val="096258B0"/>
    <w:rsid w:val="0971C375"/>
    <w:rsid w:val="09A9E222"/>
    <w:rsid w:val="09D84456"/>
    <w:rsid w:val="0A16E952"/>
    <w:rsid w:val="0A171BCF"/>
    <w:rsid w:val="0A889758"/>
    <w:rsid w:val="0AB1AFA7"/>
    <w:rsid w:val="0AD7287E"/>
    <w:rsid w:val="0AFAC284"/>
    <w:rsid w:val="0B07A4DD"/>
    <w:rsid w:val="0B3AFAD4"/>
    <w:rsid w:val="0B59E0F5"/>
    <w:rsid w:val="0B70DD26"/>
    <w:rsid w:val="0B8A5B86"/>
    <w:rsid w:val="0BB68C82"/>
    <w:rsid w:val="0BE697F1"/>
    <w:rsid w:val="0BF50C3A"/>
    <w:rsid w:val="0BFBF469"/>
    <w:rsid w:val="0C3E453A"/>
    <w:rsid w:val="0C5EA360"/>
    <w:rsid w:val="0C7A65FF"/>
    <w:rsid w:val="0CF31440"/>
    <w:rsid w:val="0D1B7068"/>
    <w:rsid w:val="0D37232A"/>
    <w:rsid w:val="0D38CEC3"/>
    <w:rsid w:val="0D3C1A16"/>
    <w:rsid w:val="0D4E8A14"/>
    <w:rsid w:val="0D6EA256"/>
    <w:rsid w:val="0D8EB2FC"/>
    <w:rsid w:val="0DFF20C7"/>
    <w:rsid w:val="0E172EB4"/>
    <w:rsid w:val="0E91D7C5"/>
    <w:rsid w:val="0EC3ABFF"/>
    <w:rsid w:val="0ECCEB24"/>
    <w:rsid w:val="0EE8D1A1"/>
    <w:rsid w:val="0EF077AB"/>
    <w:rsid w:val="0EFE5A87"/>
    <w:rsid w:val="0F071F60"/>
    <w:rsid w:val="0F22539C"/>
    <w:rsid w:val="0F5AF3FC"/>
    <w:rsid w:val="0F61E6CF"/>
    <w:rsid w:val="0FCBB628"/>
    <w:rsid w:val="0FE055B6"/>
    <w:rsid w:val="10432808"/>
    <w:rsid w:val="104B356F"/>
    <w:rsid w:val="108C50F9"/>
    <w:rsid w:val="10979074"/>
    <w:rsid w:val="10985263"/>
    <w:rsid w:val="10B83129"/>
    <w:rsid w:val="10F13322"/>
    <w:rsid w:val="112416C2"/>
    <w:rsid w:val="11305E02"/>
    <w:rsid w:val="11B49024"/>
    <w:rsid w:val="11D76822"/>
    <w:rsid w:val="11D88728"/>
    <w:rsid w:val="1235C674"/>
    <w:rsid w:val="123DF0DA"/>
    <w:rsid w:val="128DE24C"/>
    <w:rsid w:val="12B111E0"/>
    <w:rsid w:val="12C106EC"/>
    <w:rsid w:val="12C8A295"/>
    <w:rsid w:val="12CBECDD"/>
    <w:rsid w:val="13083E28"/>
    <w:rsid w:val="132621EC"/>
    <w:rsid w:val="1346BDDA"/>
    <w:rsid w:val="13711280"/>
    <w:rsid w:val="137B828E"/>
    <w:rsid w:val="13BDF3CC"/>
    <w:rsid w:val="13C00816"/>
    <w:rsid w:val="13D2611E"/>
    <w:rsid w:val="140A436A"/>
    <w:rsid w:val="14173E4E"/>
    <w:rsid w:val="141BEDEF"/>
    <w:rsid w:val="14549447"/>
    <w:rsid w:val="148245D3"/>
    <w:rsid w:val="1482EE69"/>
    <w:rsid w:val="1506F784"/>
    <w:rsid w:val="1559C42D"/>
    <w:rsid w:val="1566B95F"/>
    <w:rsid w:val="15787ED1"/>
    <w:rsid w:val="158878B0"/>
    <w:rsid w:val="15992947"/>
    <w:rsid w:val="15B516DD"/>
    <w:rsid w:val="15E3BB22"/>
    <w:rsid w:val="16060035"/>
    <w:rsid w:val="1621C8AB"/>
    <w:rsid w:val="1634C1F5"/>
    <w:rsid w:val="163DFC24"/>
    <w:rsid w:val="16733800"/>
    <w:rsid w:val="167604B8"/>
    <w:rsid w:val="16CCA06C"/>
    <w:rsid w:val="16DB8552"/>
    <w:rsid w:val="17619188"/>
    <w:rsid w:val="17709F67"/>
    <w:rsid w:val="1770D1DE"/>
    <w:rsid w:val="17C17591"/>
    <w:rsid w:val="180BEF37"/>
    <w:rsid w:val="182004CC"/>
    <w:rsid w:val="18399F4C"/>
    <w:rsid w:val="183BB7F2"/>
    <w:rsid w:val="184B636F"/>
    <w:rsid w:val="18698F42"/>
    <w:rsid w:val="18789A9C"/>
    <w:rsid w:val="189A5D78"/>
    <w:rsid w:val="18B85D7E"/>
    <w:rsid w:val="18EEAB80"/>
    <w:rsid w:val="19298E2F"/>
    <w:rsid w:val="19475DD2"/>
    <w:rsid w:val="1977A887"/>
    <w:rsid w:val="198D6AA2"/>
    <w:rsid w:val="19A085A0"/>
    <w:rsid w:val="19BD76A7"/>
    <w:rsid w:val="19CEBBFA"/>
    <w:rsid w:val="1A091B49"/>
    <w:rsid w:val="1A0BFAC2"/>
    <w:rsid w:val="1A0EAD88"/>
    <w:rsid w:val="1A140064"/>
    <w:rsid w:val="1A1BDC57"/>
    <w:rsid w:val="1A4AD72F"/>
    <w:rsid w:val="1A4BEFF4"/>
    <w:rsid w:val="1A6E90FD"/>
    <w:rsid w:val="1A84175B"/>
    <w:rsid w:val="1B17DFE7"/>
    <w:rsid w:val="1B48CACF"/>
    <w:rsid w:val="1B7003A2"/>
    <w:rsid w:val="1BA290CA"/>
    <w:rsid w:val="1BB28916"/>
    <w:rsid w:val="1BC4E21E"/>
    <w:rsid w:val="1BEF4BAD"/>
    <w:rsid w:val="1C212D86"/>
    <w:rsid w:val="1C565CA0"/>
    <w:rsid w:val="1C85FE2A"/>
    <w:rsid w:val="1CF1691B"/>
    <w:rsid w:val="1D84CD22"/>
    <w:rsid w:val="1DAB29ED"/>
    <w:rsid w:val="1DC251BF"/>
    <w:rsid w:val="1E03559C"/>
    <w:rsid w:val="1E0EEC1A"/>
    <w:rsid w:val="1E1C55C0"/>
    <w:rsid w:val="1E288D21"/>
    <w:rsid w:val="1E33C3A8"/>
    <w:rsid w:val="1E44C0B6"/>
    <w:rsid w:val="1E75CED3"/>
    <w:rsid w:val="1E7B9B18"/>
    <w:rsid w:val="1E9311B3"/>
    <w:rsid w:val="1F377680"/>
    <w:rsid w:val="1F3D4518"/>
    <w:rsid w:val="1F3DF3F9"/>
    <w:rsid w:val="1F9FDAE9"/>
    <w:rsid w:val="1FF20E27"/>
    <w:rsid w:val="2014B1D6"/>
    <w:rsid w:val="201C3C88"/>
    <w:rsid w:val="20280326"/>
    <w:rsid w:val="204FD91F"/>
    <w:rsid w:val="20B370F8"/>
    <w:rsid w:val="20C6EE42"/>
    <w:rsid w:val="20ED16C5"/>
    <w:rsid w:val="214642E8"/>
    <w:rsid w:val="2195C35F"/>
    <w:rsid w:val="21BC58A3"/>
    <w:rsid w:val="21D1BD2C"/>
    <w:rsid w:val="2215014D"/>
    <w:rsid w:val="2217BB53"/>
    <w:rsid w:val="22361CDB"/>
    <w:rsid w:val="2242229A"/>
    <w:rsid w:val="2274DC56"/>
    <w:rsid w:val="227EC349"/>
    <w:rsid w:val="22A9C2F7"/>
    <w:rsid w:val="22FFB8B4"/>
    <w:rsid w:val="2301E887"/>
    <w:rsid w:val="232267F1"/>
    <w:rsid w:val="2327601F"/>
    <w:rsid w:val="2362825B"/>
    <w:rsid w:val="238716A7"/>
    <w:rsid w:val="2389BD10"/>
    <w:rsid w:val="23AF3829"/>
    <w:rsid w:val="23D9A9DD"/>
    <w:rsid w:val="23DC051C"/>
    <w:rsid w:val="24022736"/>
    <w:rsid w:val="241E7FF0"/>
    <w:rsid w:val="243F697D"/>
    <w:rsid w:val="24521900"/>
    <w:rsid w:val="245D9027"/>
    <w:rsid w:val="2490B3FD"/>
    <w:rsid w:val="24B94686"/>
    <w:rsid w:val="24C0E6F3"/>
    <w:rsid w:val="2577A31D"/>
    <w:rsid w:val="25A5E2D2"/>
    <w:rsid w:val="25EB43EA"/>
    <w:rsid w:val="25F30E94"/>
    <w:rsid w:val="265F79DB"/>
    <w:rsid w:val="266A4B45"/>
    <w:rsid w:val="2676BF2A"/>
    <w:rsid w:val="26BAAB83"/>
    <w:rsid w:val="26FBEF2E"/>
    <w:rsid w:val="2717C544"/>
    <w:rsid w:val="27872E35"/>
    <w:rsid w:val="27A384DF"/>
    <w:rsid w:val="27B4DDEC"/>
    <w:rsid w:val="27C48D35"/>
    <w:rsid w:val="27F24177"/>
    <w:rsid w:val="27F8682B"/>
    <w:rsid w:val="2848B0E5"/>
    <w:rsid w:val="288352AA"/>
    <w:rsid w:val="2883D472"/>
    <w:rsid w:val="288DBE25"/>
    <w:rsid w:val="2894ECD6"/>
    <w:rsid w:val="2897C6DA"/>
    <w:rsid w:val="28A39FF7"/>
    <w:rsid w:val="28F3382C"/>
    <w:rsid w:val="292B2ADC"/>
    <w:rsid w:val="292FDFD6"/>
    <w:rsid w:val="29584ACC"/>
    <w:rsid w:val="299B593A"/>
    <w:rsid w:val="29FEDC63"/>
    <w:rsid w:val="29FEEDCA"/>
    <w:rsid w:val="2A2C802B"/>
    <w:rsid w:val="2A50A04B"/>
    <w:rsid w:val="2A5C8D11"/>
    <w:rsid w:val="2AC75D9E"/>
    <w:rsid w:val="2AC8D2B8"/>
    <w:rsid w:val="2B70DC18"/>
    <w:rsid w:val="2B8EDD90"/>
    <w:rsid w:val="2BC0A508"/>
    <w:rsid w:val="2BD08DE5"/>
    <w:rsid w:val="2BDD8226"/>
    <w:rsid w:val="2BE5F82E"/>
    <w:rsid w:val="2BE71701"/>
    <w:rsid w:val="2BFF3B1C"/>
    <w:rsid w:val="2C2ECD4D"/>
    <w:rsid w:val="2C30FAD8"/>
    <w:rsid w:val="2C4219FE"/>
    <w:rsid w:val="2C5EDE2B"/>
    <w:rsid w:val="2C6D59D4"/>
    <w:rsid w:val="2C79A6A7"/>
    <w:rsid w:val="2CAA5A67"/>
    <w:rsid w:val="2D6FF25C"/>
    <w:rsid w:val="2D73AA4E"/>
    <w:rsid w:val="2D81C88F"/>
    <w:rsid w:val="2D82E762"/>
    <w:rsid w:val="2D92D379"/>
    <w:rsid w:val="2DBD51A8"/>
    <w:rsid w:val="2DCBAA30"/>
    <w:rsid w:val="2DE99503"/>
    <w:rsid w:val="2E04726D"/>
    <w:rsid w:val="2E2451F6"/>
    <w:rsid w:val="2E356EE2"/>
    <w:rsid w:val="2E6913FC"/>
    <w:rsid w:val="2E89856B"/>
    <w:rsid w:val="2EB529E0"/>
    <w:rsid w:val="2EC9E56C"/>
    <w:rsid w:val="2ED379E6"/>
    <w:rsid w:val="2EE38FCE"/>
    <w:rsid w:val="2F186A5A"/>
    <w:rsid w:val="2F2158C1"/>
    <w:rsid w:val="2F4A9996"/>
    <w:rsid w:val="2F52319D"/>
    <w:rsid w:val="2FB69A46"/>
    <w:rsid w:val="2FC19216"/>
    <w:rsid w:val="2FC68BED"/>
    <w:rsid w:val="2FD81442"/>
    <w:rsid w:val="2FE7BCDB"/>
    <w:rsid w:val="30622B09"/>
    <w:rsid w:val="30C6FFAA"/>
    <w:rsid w:val="310E775E"/>
    <w:rsid w:val="311B79EE"/>
    <w:rsid w:val="312AD13E"/>
    <w:rsid w:val="312D2910"/>
    <w:rsid w:val="3173B406"/>
    <w:rsid w:val="31A584D6"/>
    <w:rsid w:val="31E54063"/>
    <w:rsid w:val="325539B2"/>
    <w:rsid w:val="32AA73A8"/>
    <w:rsid w:val="32AD5023"/>
    <w:rsid w:val="32BF66CD"/>
    <w:rsid w:val="32CCACE3"/>
    <w:rsid w:val="330CA943"/>
    <w:rsid w:val="3315297B"/>
    <w:rsid w:val="3322630B"/>
    <w:rsid w:val="33431CB8"/>
    <w:rsid w:val="3352CF8D"/>
    <w:rsid w:val="33543D64"/>
    <w:rsid w:val="335C48B5"/>
    <w:rsid w:val="337EEB80"/>
    <w:rsid w:val="33C37671"/>
    <w:rsid w:val="3422D8F4"/>
    <w:rsid w:val="348E8B75"/>
    <w:rsid w:val="34CF82D9"/>
    <w:rsid w:val="34EA6FF3"/>
    <w:rsid w:val="3534902A"/>
    <w:rsid w:val="35892F15"/>
    <w:rsid w:val="35C89810"/>
    <w:rsid w:val="35E6EA6A"/>
    <w:rsid w:val="35EC878C"/>
    <w:rsid w:val="35F39BAF"/>
    <w:rsid w:val="360327E7"/>
    <w:rsid w:val="364DCFF2"/>
    <w:rsid w:val="3668504F"/>
    <w:rsid w:val="36987402"/>
    <w:rsid w:val="36C11EAE"/>
    <w:rsid w:val="36DF8036"/>
    <w:rsid w:val="36EA5E4A"/>
    <w:rsid w:val="372FE159"/>
    <w:rsid w:val="375D8C4A"/>
    <w:rsid w:val="378043AF"/>
    <w:rsid w:val="37C19534"/>
    <w:rsid w:val="37C8535C"/>
    <w:rsid w:val="3859744D"/>
    <w:rsid w:val="387751A4"/>
    <w:rsid w:val="388E7AB6"/>
    <w:rsid w:val="38D3DD59"/>
    <w:rsid w:val="38ECDB4C"/>
    <w:rsid w:val="3934FE7E"/>
    <w:rsid w:val="394B9A89"/>
    <w:rsid w:val="39898533"/>
    <w:rsid w:val="3993B6C9"/>
    <w:rsid w:val="39B1C473"/>
    <w:rsid w:val="3A1D9D9D"/>
    <w:rsid w:val="3A2F56D0"/>
    <w:rsid w:val="3A3A3F7A"/>
    <w:rsid w:val="3A81B391"/>
    <w:rsid w:val="3AA15BA5"/>
    <w:rsid w:val="3ABD1699"/>
    <w:rsid w:val="3B0E5433"/>
    <w:rsid w:val="3B1CF45C"/>
    <w:rsid w:val="3B55A2C5"/>
    <w:rsid w:val="3B8F7793"/>
    <w:rsid w:val="3BAB6975"/>
    <w:rsid w:val="3BAE690F"/>
    <w:rsid w:val="3BB89916"/>
    <w:rsid w:val="3BC0D4E6"/>
    <w:rsid w:val="3C087254"/>
    <w:rsid w:val="3C14A9F9"/>
    <w:rsid w:val="3C19EB18"/>
    <w:rsid w:val="3C29C300"/>
    <w:rsid w:val="3C38ABA8"/>
    <w:rsid w:val="3C3DB63F"/>
    <w:rsid w:val="3C97D65A"/>
    <w:rsid w:val="3CA063A2"/>
    <w:rsid w:val="3CA4C13A"/>
    <w:rsid w:val="3CDDD350"/>
    <w:rsid w:val="3CFF34CB"/>
    <w:rsid w:val="3D09ECEF"/>
    <w:rsid w:val="3D27AB09"/>
    <w:rsid w:val="3D6E89D6"/>
    <w:rsid w:val="3D89BB52"/>
    <w:rsid w:val="3DAD42C9"/>
    <w:rsid w:val="3E7B2A7C"/>
    <w:rsid w:val="3E85BAFF"/>
    <w:rsid w:val="3E9AD93C"/>
    <w:rsid w:val="3EA47533"/>
    <w:rsid w:val="3EF93774"/>
    <w:rsid w:val="3F08525F"/>
    <w:rsid w:val="3F224CCD"/>
    <w:rsid w:val="3F378D67"/>
    <w:rsid w:val="3F64E87D"/>
    <w:rsid w:val="3F971DF0"/>
    <w:rsid w:val="3FB4C585"/>
    <w:rsid w:val="400B1FBF"/>
    <w:rsid w:val="402AF49E"/>
    <w:rsid w:val="403A0803"/>
    <w:rsid w:val="4042CD4E"/>
    <w:rsid w:val="4045CCDB"/>
    <w:rsid w:val="405A5E35"/>
    <w:rsid w:val="4071FBA7"/>
    <w:rsid w:val="40BF7117"/>
    <w:rsid w:val="40E44C0A"/>
    <w:rsid w:val="4104F011"/>
    <w:rsid w:val="420ADBF2"/>
    <w:rsid w:val="42307957"/>
    <w:rsid w:val="42342083"/>
    <w:rsid w:val="42581D9D"/>
    <w:rsid w:val="426555E8"/>
    <w:rsid w:val="4284458C"/>
    <w:rsid w:val="42DEE650"/>
    <w:rsid w:val="42F6747F"/>
    <w:rsid w:val="4302FA5C"/>
    <w:rsid w:val="432FE238"/>
    <w:rsid w:val="43380231"/>
    <w:rsid w:val="434FAF7F"/>
    <w:rsid w:val="436B4A51"/>
    <w:rsid w:val="437781AE"/>
    <w:rsid w:val="438C0AAA"/>
    <w:rsid w:val="440AE88C"/>
    <w:rsid w:val="443F2CCC"/>
    <w:rsid w:val="446D4EFA"/>
    <w:rsid w:val="4486A608"/>
    <w:rsid w:val="44967D09"/>
    <w:rsid w:val="44A568D2"/>
    <w:rsid w:val="44A8570A"/>
    <w:rsid w:val="45078B14"/>
    <w:rsid w:val="4514C7A0"/>
    <w:rsid w:val="451ED078"/>
    <w:rsid w:val="4533986B"/>
    <w:rsid w:val="4536ACBA"/>
    <w:rsid w:val="4571AE7D"/>
    <w:rsid w:val="457BA3A9"/>
    <w:rsid w:val="45BCC10D"/>
    <w:rsid w:val="45D0A546"/>
    <w:rsid w:val="45D9523F"/>
    <w:rsid w:val="45ECF84F"/>
    <w:rsid w:val="460EF897"/>
    <w:rsid w:val="4646A626"/>
    <w:rsid w:val="46629544"/>
    <w:rsid w:val="46AFB6BD"/>
    <w:rsid w:val="46BF7D87"/>
    <w:rsid w:val="46CF468E"/>
    <w:rsid w:val="46E914C7"/>
    <w:rsid w:val="4719EAAE"/>
    <w:rsid w:val="471B66CE"/>
    <w:rsid w:val="47C49DC9"/>
    <w:rsid w:val="47E19980"/>
    <w:rsid w:val="47EFB26B"/>
    <w:rsid w:val="480B4AF4"/>
    <w:rsid w:val="4822A19D"/>
    <w:rsid w:val="4826EAA5"/>
    <w:rsid w:val="48383FC7"/>
    <w:rsid w:val="4874D0EE"/>
    <w:rsid w:val="4884C3E5"/>
    <w:rsid w:val="492AC882"/>
    <w:rsid w:val="4933CAB0"/>
    <w:rsid w:val="49592828"/>
    <w:rsid w:val="4964DEEE"/>
    <w:rsid w:val="49763750"/>
    <w:rsid w:val="498355A0"/>
    <w:rsid w:val="4986A8D9"/>
    <w:rsid w:val="499280B4"/>
    <w:rsid w:val="49AF97A4"/>
    <w:rsid w:val="49C8D531"/>
    <w:rsid w:val="49E2E1D7"/>
    <w:rsid w:val="4A252566"/>
    <w:rsid w:val="4A65348A"/>
    <w:rsid w:val="4A999A66"/>
    <w:rsid w:val="4AE9BD4C"/>
    <w:rsid w:val="4AF59AE6"/>
    <w:rsid w:val="4B1091E0"/>
    <w:rsid w:val="4B428C93"/>
    <w:rsid w:val="4B45645D"/>
    <w:rsid w:val="4B4DF610"/>
    <w:rsid w:val="4B787166"/>
    <w:rsid w:val="4B7AB79C"/>
    <w:rsid w:val="4B89F5C8"/>
    <w:rsid w:val="4BBCB8BB"/>
    <w:rsid w:val="4BEC691E"/>
    <w:rsid w:val="4BFCAB13"/>
    <w:rsid w:val="4C1C6E4A"/>
    <w:rsid w:val="4C1CDADD"/>
    <w:rsid w:val="4C49FF9D"/>
    <w:rsid w:val="4C4AA074"/>
    <w:rsid w:val="4C80DD35"/>
    <w:rsid w:val="4C89E075"/>
    <w:rsid w:val="4CECDA58"/>
    <w:rsid w:val="4D4414C9"/>
    <w:rsid w:val="4D4FC3E1"/>
    <w:rsid w:val="4D73123F"/>
    <w:rsid w:val="4D7B8599"/>
    <w:rsid w:val="4DCE5FDA"/>
    <w:rsid w:val="4F0F8845"/>
    <w:rsid w:val="4F687B42"/>
    <w:rsid w:val="4F7F6CFD"/>
    <w:rsid w:val="4F9A6114"/>
    <w:rsid w:val="4FAF1E4A"/>
    <w:rsid w:val="4FCC13D0"/>
    <w:rsid w:val="50F6B41B"/>
    <w:rsid w:val="51395AEF"/>
    <w:rsid w:val="516C6778"/>
    <w:rsid w:val="517BD8BD"/>
    <w:rsid w:val="5195733D"/>
    <w:rsid w:val="51A6F3B4"/>
    <w:rsid w:val="51B5275F"/>
    <w:rsid w:val="51FE1F2D"/>
    <w:rsid w:val="52342FF8"/>
    <w:rsid w:val="5289F179"/>
    <w:rsid w:val="52E78FE2"/>
    <w:rsid w:val="52F5FA32"/>
    <w:rsid w:val="530801DE"/>
    <w:rsid w:val="5338EF2C"/>
    <w:rsid w:val="533AA7AD"/>
    <w:rsid w:val="534539A6"/>
    <w:rsid w:val="5355AFA1"/>
    <w:rsid w:val="535D47E8"/>
    <w:rsid w:val="53B2E71A"/>
    <w:rsid w:val="53B44110"/>
    <w:rsid w:val="53C67522"/>
    <w:rsid w:val="53D443DE"/>
    <w:rsid w:val="53F90815"/>
    <w:rsid w:val="5449EA82"/>
    <w:rsid w:val="545FF9B6"/>
    <w:rsid w:val="54748A83"/>
    <w:rsid w:val="54B7758E"/>
    <w:rsid w:val="55006496"/>
    <w:rsid w:val="55026EA2"/>
    <w:rsid w:val="5510E1C9"/>
    <w:rsid w:val="5537566A"/>
    <w:rsid w:val="55A04C06"/>
    <w:rsid w:val="55C1102A"/>
    <w:rsid w:val="55EB9576"/>
    <w:rsid w:val="565E460D"/>
    <w:rsid w:val="56641C1F"/>
    <w:rsid w:val="5681109E"/>
    <w:rsid w:val="5687D3A5"/>
    <w:rsid w:val="5693299F"/>
    <w:rsid w:val="56ACB22A"/>
    <w:rsid w:val="56B4C437"/>
    <w:rsid w:val="571A550F"/>
    <w:rsid w:val="572B31A1"/>
    <w:rsid w:val="57421587"/>
    <w:rsid w:val="5743FB76"/>
    <w:rsid w:val="5751B7F4"/>
    <w:rsid w:val="5753A4EA"/>
    <w:rsid w:val="575CAD1E"/>
    <w:rsid w:val="579F166A"/>
    <w:rsid w:val="57B0B592"/>
    <w:rsid w:val="57D7DB84"/>
    <w:rsid w:val="57E1F283"/>
    <w:rsid w:val="57FBCD50"/>
    <w:rsid w:val="5806ADFA"/>
    <w:rsid w:val="5848E976"/>
    <w:rsid w:val="587241D5"/>
    <w:rsid w:val="58D9F282"/>
    <w:rsid w:val="592977CF"/>
    <w:rsid w:val="59667D38"/>
    <w:rsid w:val="59A45025"/>
    <w:rsid w:val="59AF2C03"/>
    <w:rsid w:val="59BEF377"/>
    <w:rsid w:val="59DBA4C4"/>
    <w:rsid w:val="59F90468"/>
    <w:rsid w:val="5A11F2C2"/>
    <w:rsid w:val="5A1334B5"/>
    <w:rsid w:val="5A153652"/>
    <w:rsid w:val="5A308C45"/>
    <w:rsid w:val="5A30E469"/>
    <w:rsid w:val="5A43CA4F"/>
    <w:rsid w:val="5A51DAF4"/>
    <w:rsid w:val="5A534533"/>
    <w:rsid w:val="5A8DC638"/>
    <w:rsid w:val="5B5B28DD"/>
    <w:rsid w:val="5BC967AB"/>
    <w:rsid w:val="5C3D5555"/>
    <w:rsid w:val="5C42E400"/>
    <w:rsid w:val="5C48F5FC"/>
    <w:rsid w:val="5C4AF96D"/>
    <w:rsid w:val="5C58C93C"/>
    <w:rsid w:val="5C5BAA8C"/>
    <w:rsid w:val="5C73D0B7"/>
    <w:rsid w:val="5CC6C39D"/>
    <w:rsid w:val="5CE742B5"/>
    <w:rsid w:val="5CF8D5B1"/>
    <w:rsid w:val="5D0A3BC6"/>
    <w:rsid w:val="5D185DC3"/>
    <w:rsid w:val="5D1F37F1"/>
    <w:rsid w:val="5D350F2F"/>
    <w:rsid w:val="5D9A0D35"/>
    <w:rsid w:val="5DAB0837"/>
    <w:rsid w:val="5DD7A46B"/>
    <w:rsid w:val="5E05BD96"/>
    <w:rsid w:val="5E6F95A8"/>
    <w:rsid w:val="5E8214F8"/>
    <w:rsid w:val="5E89345F"/>
    <w:rsid w:val="5E8EB27F"/>
    <w:rsid w:val="5EB3B977"/>
    <w:rsid w:val="5EC430DA"/>
    <w:rsid w:val="5ED30ECC"/>
    <w:rsid w:val="5ED9F2F5"/>
    <w:rsid w:val="5EFD7F7C"/>
    <w:rsid w:val="5F3E8986"/>
    <w:rsid w:val="5F79316C"/>
    <w:rsid w:val="5F9903CC"/>
    <w:rsid w:val="5F9C3E9E"/>
    <w:rsid w:val="5FB5ABC6"/>
    <w:rsid w:val="602A82E0"/>
    <w:rsid w:val="60331AD1"/>
    <w:rsid w:val="60681F6D"/>
    <w:rsid w:val="61444E1A"/>
    <w:rsid w:val="6167EBB8"/>
    <w:rsid w:val="61C2A6D9"/>
    <w:rsid w:val="61D1ACCC"/>
    <w:rsid w:val="61EA822F"/>
    <w:rsid w:val="62309BE1"/>
    <w:rsid w:val="6265BE71"/>
    <w:rsid w:val="62AF8C60"/>
    <w:rsid w:val="62C22623"/>
    <w:rsid w:val="62DBFEBC"/>
    <w:rsid w:val="62DCF75C"/>
    <w:rsid w:val="6306B56C"/>
    <w:rsid w:val="637A2D2C"/>
    <w:rsid w:val="6386BE51"/>
    <w:rsid w:val="63901A19"/>
    <w:rsid w:val="63AEF1BA"/>
    <w:rsid w:val="63DB2390"/>
    <w:rsid w:val="63DDD83F"/>
    <w:rsid w:val="63EC3E8D"/>
    <w:rsid w:val="64018ED2"/>
    <w:rsid w:val="642B7D53"/>
    <w:rsid w:val="645B98A4"/>
    <w:rsid w:val="648EBD44"/>
    <w:rsid w:val="64E1A432"/>
    <w:rsid w:val="64F215BB"/>
    <w:rsid w:val="650A01AC"/>
    <w:rsid w:val="6515FD8D"/>
    <w:rsid w:val="6569A4D4"/>
    <w:rsid w:val="65B6AF16"/>
    <w:rsid w:val="6637C9BD"/>
    <w:rsid w:val="665AB255"/>
    <w:rsid w:val="66666532"/>
    <w:rsid w:val="66789ED6"/>
    <w:rsid w:val="66BE5F13"/>
    <w:rsid w:val="66CFBC3C"/>
    <w:rsid w:val="66E44855"/>
    <w:rsid w:val="67083439"/>
    <w:rsid w:val="676B3D71"/>
    <w:rsid w:val="677440D8"/>
    <w:rsid w:val="6777CCD3"/>
    <w:rsid w:val="6784C2C1"/>
    <w:rsid w:val="678A4624"/>
    <w:rsid w:val="67A9DE50"/>
    <w:rsid w:val="67DBBE5D"/>
    <w:rsid w:val="685A2F74"/>
    <w:rsid w:val="686693DB"/>
    <w:rsid w:val="68728ED5"/>
    <w:rsid w:val="68CCD915"/>
    <w:rsid w:val="69101139"/>
    <w:rsid w:val="692957B8"/>
    <w:rsid w:val="696BD28C"/>
    <w:rsid w:val="69766AD9"/>
    <w:rsid w:val="69814D92"/>
    <w:rsid w:val="69B32679"/>
    <w:rsid w:val="69B96012"/>
    <w:rsid w:val="69C7BB66"/>
    <w:rsid w:val="6A1919C7"/>
    <w:rsid w:val="6A2A646A"/>
    <w:rsid w:val="6A2E00B9"/>
    <w:rsid w:val="6A3D94F1"/>
    <w:rsid w:val="6ABD1E82"/>
    <w:rsid w:val="6ACCD361"/>
    <w:rsid w:val="6ADFEE5F"/>
    <w:rsid w:val="6AFB428E"/>
    <w:rsid w:val="6B24F440"/>
    <w:rsid w:val="6B39446F"/>
    <w:rsid w:val="6B7C8A83"/>
    <w:rsid w:val="6B81F006"/>
    <w:rsid w:val="6BC7D750"/>
    <w:rsid w:val="6C1D2A52"/>
    <w:rsid w:val="6C25FF06"/>
    <w:rsid w:val="6CE3EB2A"/>
    <w:rsid w:val="6CE78F9D"/>
    <w:rsid w:val="6CED7487"/>
    <w:rsid w:val="6D089DEE"/>
    <w:rsid w:val="6D0D3E91"/>
    <w:rsid w:val="6D273A7D"/>
    <w:rsid w:val="6D2E6A9C"/>
    <w:rsid w:val="6D2FA74C"/>
    <w:rsid w:val="6D382D0A"/>
    <w:rsid w:val="6D3FC209"/>
    <w:rsid w:val="6D58034B"/>
    <w:rsid w:val="6D9F1D1A"/>
    <w:rsid w:val="6DF9F8FB"/>
    <w:rsid w:val="6E02B9FE"/>
    <w:rsid w:val="6E1D27B4"/>
    <w:rsid w:val="6E92FDEC"/>
    <w:rsid w:val="6E9519C0"/>
    <w:rsid w:val="6EB845FD"/>
    <w:rsid w:val="6ECFDE2E"/>
    <w:rsid w:val="6EDC6568"/>
    <w:rsid w:val="6F3578B4"/>
    <w:rsid w:val="6F4EE17A"/>
    <w:rsid w:val="6F7B37D8"/>
    <w:rsid w:val="6FB8F815"/>
    <w:rsid w:val="700455D3"/>
    <w:rsid w:val="70308ABC"/>
    <w:rsid w:val="704638F1"/>
    <w:rsid w:val="70803157"/>
    <w:rsid w:val="708713BB"/>
    <w:rsid w:val="70A5C505"/>
    <w:rsid w:val="70AAB657"/>
    <w:rsid w:val="70AD62E9"/>
    <w:rsid w:val="70CC2D25"/>
    <w:rsid w:val="70CF59D5"/>
    <w:rsid w:val="70D6DD9B"/>
    <w:rsid w:val="70F5348B"/>
    <w:rsid w:val="710702BC"/>
    <w:rsid w:val="717F8AD5"/>
    <w:rsid w:val="71AA8E94"/>
    <w:rsid w:val="71BA8208"/>
    <w:rsid w:val="71DC4023"/>
    <w:rsid w:val="71DF66C2"/>
    <w:rsid w:val="71E45524"/>
    <w:rsid w:val="71F576E9"/>
    <w:rsid w:val="71FE40A0"/>
    <w:rsid w:val="7231525F"/>
    <w:rsid w:val="72375769"/>
    <w:rsid w:val="723F76ED"/>
    <w:rsid w:val="728CBCC9"/>
    <w:rsid w:val="72A0DB72"/>
    <w:rsid w:val="72A18592"/>
    <w:rsid w:val="72B799AC"/>
    <w:rsid w:val="72E356E6"/>
    <w:rsid w:val="72F5C350"/>
    <w:rsid w:val="72F698C6"/>
    <w:rsid w:val="73503456"/>
    <w:rsid w:val="738D4857"/>
    <w:rsid w:val="73A4CFA1"/>
    <w:rsid w:val="73B355D5"/>
    <w:rsid w:val="73C0158D"/>
    <w:rsid w:val="741A2063"/>
    <w:rsid w:val="74304A92"/>
    <w:rsid w:val="743A0D09"/>
    <w:rsid w:val="74DB6ED4"/>
    <w:rsid w:val="74E78944"/>
    <w:rsid w:val="74E99677"/>
    <w:rsid w:val="75267227"/>
    <w:rsid w:val="75579E89"/>
    <w:rsid w:val="758EAA95"/>
    <w:rsid w:val="75A5FC88"/>
    <w:rsid w:val="75AFAFD8"/>
    <w:rsid w:val="75F1D667"/>
    <w:rsid w:val="769F5EED"/>
    <w:rsid w:val="76ABC62D"/>
    <w:rsid w:val="76E1144A"/>
    <w:rsid w:val="77065717"/>
    <w:rsid w:val="772DFAAB"/>
    <w:rsid w:val="775D0F13"/>
    <w:rsid w:val="77678AC4"/>
    <w:rsid w:val="7772E8E1"/>
    <w:rsid w:val="7778A1F9"/>
    <w:rsid w:val="77918E41"/>
    <w:rsid w:val="77A28C4E"/>
    <w:rsid w:val="77DAEE39"/>
    <w:rsid w:val="77DE142E"/>
    <w:rsid w:val="77E7B18B"/>
    <w:rsid w:val="780D70C9"/>
    <w:rsid w:val="7824B52D"/>
    <w:rsid w:val="78384D41"/>
    <w:rsid w:val="78446052"/>
    <w:rsid w:val="787E751E"/>
    <w:rsid w:val="7895F696"/>
    <w:rsid w:val="789DF6AF"/>
    <w:rsid w:val="78C6937B"/>
    <w:rsid w:val="78CCE32F"/>
    <w:rsid w:val="791932E5"/>
    <w:rsid w:val="79652116"/>
    <w:rsid w:val="79766C2D"/>
    <w:rsid w:val="7999D803"/>
    <w:rsid w:val="79C5BE55"/>
    <w:rsid w:val="79DE5ED6"/>
    <w:rsid w:val="7A0F6662"/>
    <w:rsid w:val="7A65568E"/>
    <w:rsid w:val="7A9423D7"/>
    <w:rsid w:val="7AA3CDFB"/>
    <w:rsid w:val="7ABFC847"/>
    <w:rsid w:val="7AC4403C"/>
    <w:rsid w:val="7B3EC3A1"/>
    <w:rsid w:val="7B7B7ECC"/>
    <w:rsid w:val="7B8FB53B"/>
    <w:rsid w:val="7C3F1695"/>
    <w:rsid w:val="7C5B98A8"/>
    <w:rsid w:val="7C90B39A"/>
    <w:rsid w:val="7C964015"/>
    <w:rsid w:val="7CB0C223"/>
    <w:rsid w:val="7CBAAE50"/>
    <w:rsid w:val="7CBC15F6"/>
    <w:rsid w:val="7CE1DCD2"/>
    <w:rsid w:val="7CFF9CA4"/>
    <w:rsid w:val="7D218468"/>
    <w:rsid w:val="7D45A48F"/>
    <w:rsid w:val="7D49EF06"/>
    <w:rsid w:val="7D5A96DC"/>
    <w:rsid w:val="7D7EE82D"/>
    <w:rsid w:val="7D83AC44"/>
    <w:rsid w:val="7D89C5E6"/>
    <w:rsid w:val="7D8FA3D8"/>
    <w:rsid w:val="7DB94B79"/>
    <w:rsid w:val="7DD40D67"/>
    <w:rsid w:val="7DE97E2F"/>
    <w:rsid w:val="7E2DCCA0"/>
    <w:rsid w:val="7ECFE2A0"/>
    <w:rsid w:val="7EF1BDF0"/>
    <w:rsid w:val="7F03AC7E"/>
    <w:rsid w:val="7F0D77E2"/>
    <w:rsid w:val="7F31FD39"/>
    <w:rsid w:val="7F360870"/>
    <w:rsid w:val="7F5B88BC"/>
    <w:rsid w:val="7F84188F"/>
    <w:rsid w:val="7F883C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3E72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6A"/>
    <w:rPr>
      <w:rFonts w:eastAsiaTheme="minorEastAsia"/>
    </w:rPr>
  </w:style>
  <w:style w:type="paragraph" w:styleId="Heading1">
    <w:name w:val="heading 1"/>
    <w:basedOn w:val="Normal"/>
    <w:next w:val="Normal"/>
    <w:link w:val="Heading1Char"/>
    <w:uiPriority w:val="9"/>
    <w:qFormat/>
    <w:rsid w:val="005B6F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14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F6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B6F6A"/>
    <w:rPr>
      <w:sz w:val="16"/>
      <w:szCs w:val="16"/>
    </w:rPr>
  </w:style>
  <w:style w:type="paragraph" w:styleId="CommentText">
    <w:name w:val="annotation text"/>
    <w:basedOn w:val="Normal"/>
    <w:link w:val="CommentTextChar"/>
    <w:uiPriority w:val="99"/>
    <w:unhideWhenUsed/>
    <w:rsid w:val="005B6F6A"/>
    <w:pPr>
      <w:spacing w:line="240" w:lineRule="auto"/>
    </w:pPr>
    <w:rPr>
      <w:sz w:val="20"/>
      <w:szCs w:val="20"/>
    </w:rPr>
  </w:style>
  <w:style w:type="character" w:customStyle="1" w:styleId="CommentTextChar">
    <w:name w:val="Comment Text Char"/>
    <w:basedOn w:val="DefaultParagraphFont"/>
    <w:link w:val="CommentText"/>
    <w:uiPriority w:val="99"/>
    <w:rsid w:val="005B6F6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6F6A"/>
    <w:rPr>
      <w:b/>
      <w:bCs/>
    </w:rPr>
  </w:style>
  <w:style w:type="character" w:customStyle="1" w:styleId="CommentSubjectChar">
    <w:name w:val="Comment Subject Char"/>
    <w:basedOn w:val="CommentTextChar"/>
    <w:link w:val="CommentSubject"/>
    <w:uiPriority w:val="99"/>
    <w:semiHidden/>
    <w:rsid w:val="005B6F6A"/>
    <w:rPr>
      <w:rFonts w:eastAsiaTheme="minorEastAsia"/>
      <w:b/>
      <w:bCs/>
      <w:sz w:val="20"/>
      <w:szCs w:val="20"/>
    </w:rPr>
  </w:style>
  <w:style w:type="paragraph" w:styleId="BalloonText">
    <w:name w:val="Balloon Text"/>
    <w:basedOn w:val="Normal"/>
    <w:link w:val="BalloonTextChar"/>
    <w:uiPriority w:val="99"/>
    <w:semiHidden/>
    <w:unhideWhenUsed/>
    <w:rsid w:val="005B6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F6A"/>
    <w:rPr>
      <w:rFonts w:ascii="Segoe UI" w:eastAsiaTheme="minorEastAsia" w:hAnsi="Segoe UI" w:cs="Segoe UI"/>
      <w:sz w:val="18"/>
      <w:szCs w:val="18"/>
    </w:rPr>
  </w:style>
  <w:style w:type="paragraph" w:customStyle="1" w:styleId="Default">
    <w:name w:val="Default"/>
    <w:rsid w:val="005B6F6A"/>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0">
    <w:name w:val="Pa0"/>
    <w:basedOn w:val="Default"/>
    <w:next w:val="Default"/>
    <w:uiPriority w:val="99"/>
    <w:rsid w:val="005B6F6A"/>
    <w:pPr>
      <w:spacing w:line="241" w:lineRule="atLeast"/>
    </w:pPr>
    <w:rPr>
      <w:rFonts w:ascii="DINPro-Light" w:hAnsi="DINPro-Light" w:cstheme="minorBidi"/>
      <w:color w:val="auto"/>
    </w:rPr>
  </w:style>
  <w:style w:type="character" w:customStyle="1" w:styleId="A2">
    <w:name w:val="A2"/>
    <w:uiPriority w:val="99"/>
    <w:rsid w:val="005B6F6A"/>
    <w:rPr>
      <w:rFonts w:cs="DINPro-Light"/>
      <w:color w:val="000000"/>
    </w:rPr>
  </w:style>
  <w:style w:type="paragraph" w:customStyle="1" w:styleId="Pa3">
    <w:name w:val="Pa3"/>
    <w:basedOn w:val="Default"/>
    <w:next w:val="Default"/>
    <w:uiPriority w:val="99"/>
    <w:rsid w:val="005B6F6A"/>
    <w:pPr>
      <w:spacing w:line="241" w:lineRule="atLeast"/>
    </w:pPr>
    <w:rPr>
      <w:rFonts w:ascii="DINPro-Light" w:hAnsi="DINPro-Light" w:cstheme="minorBidi"/>
      <w:color w:val="auto"/>
    </w:rPr>
  </w:style>
  <w:style w:type="paragraph" w:styleId="ListParagraph">
    <w:name w:val="List Paragraph"/>
    <w:aliases w:val="LAR NOFA"/>
    <w:basedOn w:val="Normal"/>
    <w:link w:val="ListParagraphChar"/>
    <w:uiPriority w:val="34"/>
    <w:qFormat/>
    <w:rsid w:val="005B6F6A"/>
    <w:pPr>
      <w:ind w:left="720"/>
      <w:contextualSpacing/>
    </w:pPr>
  </w:style>
  <w:style w:type="character" w:styleId="Hyperlink">
    <w:name w:val="Hyperlink"/>
    <w:basedOn w:val="DefaultParagraphFont"/>
    <w:uiPriority w:val="99"/>
    <w:unhideWhenUsed/>
    <w:rsid w:val="005B6F6A"/>
    <w:rPr>
      <w:color w:val="0563C1" w:themeColor="hyperlink"/>
      <w:u w:val="single"/>
    </w:rPr>
  </w:style>
  <w:style w:type="character" w:customStyle="1" w:styleId="UnresolvedMention1">
    <w:name w:val="Unresolved Mention1"/>
    <w:basedOn w:val="DefaultParagraphFont"/>
    <w:uiPriority w:val="99"/>
    <w:unhideWhenUsed/>
    <w:rsid w:val="005B6F6A"/>
    <w:rPr>
      <w:color w:val="605E5C"/>
      <w:shd w:val="clear" w:color="auto" w:fill="E1DFDD"/>
    </w:rPr>
  </w:style>
  <w:style w:type="character" w:customStyle="1" w:styleId="Mention1">
    <w:name w:val="Mention1"/>
    <w:basedOn w:val="DefaultParagraphFont"/>
    <w:uiPriority w:val="99"/>
    <w:unhideWhenUsed/>
    <w:rsid w:val="005B6F6A"/>
    <w:rPr>
      <w:color w:val="2B579A"/>
      <w:shd w:val="clear" w:color="auto" w:fill="E1DFDD"/>
    </w:rPr>
  </w:style>
  <w:style w:type="table" w:styleId="TableGrid">
    <w:name w:val="Table Grid"/>
    <w:basedOn w:val="TableNormal"/>
    <w:uiPriority w:val="39"/>
    <w:rsid w:val="005B6F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6F6A"/>
    <w:pPr>
      <w:spacing w:after="0" w:line="240" w:lineRule="auto"/>
    </w:pPr>
    <w:rPr>
      <w:rFonts w:eastAsiaTheme="minorEastAsia"/>
    </w:rPr>
  </w:style>
  <w:style w:type="paragraph" w:styleId="Header">
    <w:name w:val="header"/>
    <w:basedOn w:val="Normal"/>
    <w:link w:val="HeaderChar"/>
    <w:uiPriority w:val="99"/>
    <w:unhideWhenUsed/>
    <w:rsid w:val="005B6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F6A"/>
    <w:rPr>
      <w:rFonts w:eastAsiaTheme="minorEastAsia"/>
    </w:rPr>
  </w:style>
  <w:style w:type="paragraph" w:styleId="Footer">
    <w:name w:val="footer"/>
    <w:basedOn w:val="Normal"/>
    <w:link w:val="FooterChar"/>
    <w:uiPriority w:val="99"/>
    <w:unhideWhenUsed/>
    <w:rsid w:val="005B6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F6A"/>
    <w:rPr>
      <w:rFonts w:eastAsiaTheme="minorEastAsia"/>
    </w:rPr>
  </w:style>
  <w:style w:type="paragraph" w:customStyle="1" w:styleId="paragraph">
    <w:name w:val="paragraph"/>
    <w:basedOn w:val="Normal"/>
    <w:rsid w:val="005B6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6F6A"/>
  </w:style>
  <w:style w:type="character" w:customStyle="1" w:styleId="eop">
    <w:name w:val="eop"/>
    <w:basedOn w:val="DefaultParagraphFont"/>
    <w:rsid w:val="005B6F6A"/>
  </w:style>
  <w:style w:type="character" w:customStyle="1" w:styleId="tabchar">
    <w:name w:val="tabchar"/>
    <w:basedOn w:val="DefaultParagraphFont"/>
    <w:rsid w:val="005B6F6A"/>
  </w:style>
  <w:style w:type="character" w:customStyle="1" w:styleId="scxw5572307">
    <w:name w:val="scxw5572307"/>
    <w:basedOn w:val="DefaultParagraphFont"/>
    <w:rsid w:val="005B6F6A"/>
  </w:style>
  <w:style w:type="character" w:customStyle="1" w:styleId="scxw60234348">
    <w:name w:val="scxw60234348"/>
    <w:basedOn w:val="DefaultParagraphFont"/>
    <w:rsid w:val="005B6F6A"/>
  </w:style>
  <w:style w:type="paragraph" w:styleId="TOCHeading">
    <w:name w:val="TOC Heading"/>
    <w:basedOn w:val="Heading1"/>
    <w:next w:val="Normal"/>
    <w:uiPriority w:val="39"/>
    <w:unhideWhenUsed/>
    <w:qFormat/>
    <w:rsid w:val="005B6F6A"/>
    <w:pPr>
      <w:outlineLvl w:val="9"/>
    </w:pPr>
  </w:style>
  <w:style w:type="paragraph" w:styleId="TOC1">
    <w:name w:val="toc 1"/>
    <w:basedOn w:val="Normal"/>
    <w:next w:val="Normal"/>
    <w:autoRedefine/>
    <w:uiPriority w:val="39"/>
    <w:unhideWhenUsed/>
    <w:rsid w:val="005B6F6A"/>
    <w:pPr>
      <w:spacing w:after="100"/>
    </w:pPr>
  </w:style>
  <w:style w:type="character" w:styleId="FollowedHyperlink">
    <w:name w:val="FollowedHyperlink"/>
    <w:basedOn w:val="DefaultParagraphFont"/>
    <w:uiPriority w:val="99"/>
    <w:semiHidden/>
    <w:unhideWhenUsed/>
    <w:rsid w:val="005B6F6A"/>
    <w:rPr>
      <w:color w:val="954F72" w:themeColor="followedHyperlink"/>
      <w:u w:val="single"/>
    </w:rPr>
  </w:style>
  <w:style w:type="paragraph" w:styleId="FootnoteText">
    <w:name w:val="footnote text"/>
    <w:basedOn w:val="Normal"/>
    <w:link w:val="FootnoteTextChar"/>
    <w:uiPriority w:val="99"/>
    <w:semiHidden/>
    <w:unhideWhenUsed/>
    <w:rsid w:val="005B6F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6F6A"/>
    <w:rPr>
      <w:rFonts w:eastAsiaTheme="minorEastAsia"/>
      <w:sz w:val="20"/>
      <w:szCs w:val="20"/>
    </w:rPr>
  </w:style>
  <w:style w:type="character" w:styleId="FootnoteReference">
    <w:name w:val="footnote reference"/>
    <w:basedOn w:val="DefaultParagraphFont"/>
    <w:uiPriority w:val="99"/>
    <w:semiHidden/>
    <w:unhideWhenUsed/>
    <w:rsid w:val="005B6F6A"/>
    <w:rPr>
      <w:vertAlign w:val="superscript"/>
    </w:rPr>
  </w:style>
  <w:style w:type="paragraph" w:customStyle="1" w:styleId="xparagraph">
    <w:name w:val="x_paragraph"/>
    <w:basedOn w:val="Normal"/>
    <w:rsid w:val="005B6F6A"/>
    <w:pPr>
      <w:spacing w:before="100" w:beforeAutospacing="1" w:after="100" w:afterAutospacing="1" w:line="240" w:lineRule="auto"/>
    </w:pPr>
    <w:rPr>
      <w:rFonts w:ascii="Calibri" w:eastAsiaTheme="minorHAnsi" w:hAnsi="Calibri" w:cs="Calibri"/>
    </w:rPr>
  </w:style>
  <w:style w:type="character" w:customStyle="1" w:styleId="xnormaltextrun">
    <w:name w:val="x_normaltextrun"/>
    <w:basedOn w:val="DefaultParagraphFont"/>
    <w:rsid w:val="005B6F6A"/>
  </w:style>
  <w:style w:type="paragraph" w:customStyle="1" w:styleId="xmsonormal">
    <w:name w:val="x_msonormal"/>
    <w:basedOn w:val="Normal"/>
    <w:rsid w:val="00A64313"/>
    <w:pPr>
      <w:spacing w:after="0" w:line="240" w:lineRule="auto"/>
    </w:pPr>
    <w:rPr>
      <w:rFonts w:ascii="Calibri" w:eastAsiaTheme="minorHAnsi" w:hAnsi="Calibri" w:cs="Calibri"/>
    </w:rPr>
  </w:style>
  <w:style w:type="character" w:customStyle="1" w:styleId="ListParagraphChar">
    <w:name w:val="List Paragraph Char"/>
    <w:aliases w:val="LAR NOFA Char"/>
    <w:basedOn w:val="DefaultParagraphFont"/>
    <w:link w:val="ListParagraph"/>
    <w:uiPriority w:val="34"/>
    <w:locked/>
    <w:rsid w:val="00F70313"/>
    <w:rPr>
      <w:rFonts w:eastAsiaTheme="minorEastAsia"/>
    </w:rPr>
  </w:style>
  <w:style w:type="paragraph" w:customStyle="1" w:styleId="xmsolistparagraph">
    <w:name w:val="x_msolistparagraph"/>
    <w:basedOn w:val="Normal"/>
    <w:rsid w:val="00EA72FF"/>
    <w:pPr>
      <w:spacing w:after="0" w:line="240" w:lineRule="auto"/>
    </w:pPr>
    <w:rPr>
      <w:rFonts w:ascii="Calibri" w:eastAsiaTheme="minorHAnsi" w:hAnsi="Calibri" w:cs="Calibri"/>
    </w:rPr>
  </w:style>
  <w:style w:type="character" w:customStyle="1" w:styleId="Heading2Char">
    <w:name w:val="Heading 2 Char"/>
    <w:basedOn w:val="DefaultParagraphFont"/>
    <w:link w:val="Heading2"/>
    <w:uiPriority w:val="9"/>
    <w:rsid w:val="00621429"/>
    <w:rPr>
      <w:rFonts w:asciiTheme="majorHAnsi" w:eastAsiaTheme="majorEastAsia" w:hAnsiTheme="majorHAnsi" w:cstheme="majorBidi"/>
      <w:color w:val="2F5496" w:themeColor="accent1" w:themeShade="BF"/>
      <w:sz w:val="26"/>
      <w:szCs w:val="26"/>
    </w:rPr>
  </w:style>
  <w:style w:type="paragraph" w:customStyle="1" w:styleId="xxmsonormal">
    <w:name w:val="x_xmsonormal"/>
    <w:basedOn w:val="Normal"/>
    <w:rsid w:val="00567777"/>
    <w:pPr>
      <w:spacing w:after="0" w:line="240" w:lineRule="auto"/>
    </w:pPr>
    <w:rPr>
      <w:rFonts w:ascii="Calibri" w:eastAsiaTheme="minorHAnsi" w:hAnsi="Calibri" w:cs="Calibri"/>
    </w:rPr>
  </w:style>
  <w:style w:type="paragraph" w:styleId="NormalWeb">
    <w:name w:val="Normal (Web)"/>
    <w:basedOn w:val="Normal"/>
    <w:uiPriority w:val="99"/>
    <w:unhideWhenUsed/>
    <w:rsid w:val="00D82A3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A02996"/>
    <w:rPr>
      <w:color w:val="605E5C"/>
      <w:shd w:val="clear" w:color="auto" w:fill="E1DFDD"/>
    </w:rPr>
  </w:style>
  <w:style w:type="paragraph" w:styleId="BodyText">
    <w:name w:val="Body Text"/>
    <w:basedOn w:val="Normal"/>
    <w:link w:val="BodyTextChar"/>
    <w:semiHidden/>
    <w:rsid w:val="009B42B7"/>
    <w:pPr>
      <w:widowControl w:val="0"/>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b/>
      <w:sz w:val="24"/>
      <w:szCs w:val="20"/>
    </w:rPr>
  </w:style>
  <w:style w:type="character" w:customStyle="1" w:styleId="BodyTextChar">
    <w:name w:val="Body Text Char"/>
    <w:basedOn w:val="DefaultParagraphFont"/>
    <w:link w:val="BodyText"/>
    <w:semiHidden/>
    <w:rsid w:val="009B42B7"/>
    <w:rPr>
      <w:rFonts w:ascii="Courier" w:eastAsia="Times New Roman" w:hAnsi="Courier" w:cs="Times New Roman"/>
      <w:b/>
      <w:sz w:val="24"/>
      <w:szCs w:val="20"/>
    </w:rPr>
  </w:style>
  <w:style w:type="character" w:styleId="Mention">
    <w:name w:val="Mention"/>
    <w:basedOn w:val="DefaultParagraphFont"/>
    <w:uiPriority w:val="99"/>
    <w:unhideWhenUsed/>
    <w:rsid w:val="008A6C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3362">
      <w:bodyDiv w:val="1"/>
      <w:marLeft w:val="0"/>
      <w:marRight w:val="0"/>
      <w:marTop w:val="0"/>
      <w:marBottom w:val="0"/>
      <w:divBdr>
        <w:top w:val="none" w:sz="0" w:space="0" w:color="auto"/>
        <w:left w:val="none" w:sz="0" w:space="0" w:color="auto"/>
        <w:bottom w:val="none" w:sz="0" w:space="0" w:color="auto"/>
        <w:right w:val="none" w:sz="0" w:space="0" w:color="auto"/>
      </w:divBdr>
    </w:div>
    <w:div w:id="54938613">
      <w:bodyDiv w:val="1"/>
      <w:marLeft w:val="0"/>
      <w:marRight w:val="0"/>
      <w:marTop w:val="0"/>
      <w:marBottom w:val="0"/>
      <w:divBdr>
        <w:top w:val="none" w:sz="0" w:space="0" w:color="auto"/>
        <w:left w:val="none" w:sz="0" w:space="0" w:color="auto"/>
        <w:bottom w:val="none" w:sz="0" w:space="0" w:color="auto"/>
        <w:right w:val="none" w:sz="0" w:space="0" w:color="auto"/>
      </w:divBdr>
    </w:div>
    <w:div w:id="69230209">
      <w:bodyDiv w:val="1"/>
      <w:marLeft w:val="0"/>
      <w:marRight w:val="0"/>
      <w:marTop w:val="0"/>
      <w:marBottom w:val="0"/>
      <w:divBdr>
        <w:top w:val="none" w:sz="0" w:space="0" w:color="auto"/>
        <w:left w:val="none" w:sz="0" w:space="0" w:color="auto"/>
        <w:bottom w:val="none" w:sz="0" w:space="0" w:color="auto"/>
        <w:right w:val="none" w:sz="0" w:space="0" w:color="auto"/>
      </w:divBdr>
    </w:div>
    <w:div w:id="391387242">
      <w:bodyDiv w:val="1"/>
      <w:marLeft w:val="0"/>
      <w:marRight w:val="0"/>
      <w:marTop w:val="0"/>
      <w:marBottom w:val="0"/>
      <w:divBdr>
        <w:top w:val="none" w:sz="0" w:space="0" w:color="auto"/>
        <w:left w:val="none" w:sz="0" w:space="0" w:color="auto"/>
        <w:bottom w:val="none" w:sz="0" w:space="0" w:color="auto"/>
        <w:right w:val="none" w:sz="0" w:space="0" w:color="auto"/>
      </w:divBdr>
    </w:div>
    <w:div w:id="444084233">
      <w:bodyDiv w:val="1"/>
      <w:marLeft w:val="0"/>
      <w:marRight w:val="0"/>
      <w:marTop w:val="0"/>
      <w:marBottom w:val="0"/>
      <w:divBdr>
        <w:top w:val="none" w:sz="0" w:space="0" w:color="auto"/>
        <w:left w:val="none" w:sz="0" w:space="0" w:color="auto"/>
        <w:bottom w:val="none" w:sz="0" w:space="0" w:color="auto"/>
        <w:right w:val="none" w:sz="0" w:space="0" w:color="auto"/>
      </w:divBdr>
      <w:divsChild>
        <w:div w:id="152110238">
          <w:marLeft w:val="0"/>
          <w:marRight w:val="0"/>
          <w:marTop w:val="0"/>
          <w:marBottom w:val="0"/>
          <w:divBdr>
            <w:top w:val="none" w:sz="0" w:space="0" w:color="auto"/>
            <w:left w:val="none" w:sz="0" w:space="0" w:color="auto"/>
            <w:bottom w:val="none" w:sz="0" w:space="0" w:color="auto"/>
            <w:right w:val="none" w:sz="0" w:space="0" w:color="auto"/>
          </w:divBdr>
        </w:div>
      </w:divsChild>
    </w:div>
    <w:div w:id="628361417">
      <w:bodyDiv w:val="1"/>
      <w:marLeft w:val="0"/>
      <w:marRight w:val="0"/>
      <w:marTop w:val="0"/>
      <w:marBottom w:val="0"/>
      <w:divBdr>
        <w:top w:val="none" w:sz="0" w:space="0" w:color="auto"/>
        <w:left w:val="none" w:sz="0" w:space="0" w:color="auto"/>
        <w:bottom w:val="none" w:sz="0" w:space="0" w:color="auto"/>
        <w:right w:val="none" w:sz="0" w:space="0" w:color="auto"/>
      </w:divBdr>
    </w:div>
    <w:div w:id="635916702">
      <w:bodyDiv w:val="1"/>
      <w:marLeft w:val="0"/>
      <w:marRight w:val="0"/>
      <w:marTop w:val="0"/>
      <w:marBottom w:val="0"/>
      <w:divBdr>
        <w:top w:val="none" w:sz="0" w:space="0" w:color="auto"/>
        <w:left w:val="none" w:sz="0" w:space="0" w:color="auto"/>
        <w:bottom w:val="none" w:sz="0" w:space="0" w:color="auto"/>
        <w:right w:val="none" w:sz="0" w:space="0" w:color="auto"/>
      </w:divBdr>
    </w:div>
    <w:div w:id="768355850">
      <w:bodyDiv w:val="1"/>
      <w:marLeft w:val="0"/>
      <w:marRight w:val="0"/>
      <w:marTop w:val="0"/>
      <w:marBottom w:val="0"/>
      <w:divBdr>
        <w:top w:val="none" w:sz="0" w:space="0" w:color="auto"/>
        <w:left w:val="none" w:sz="0" w:space="0" w:color="auto"/>
        <w:bottom w:val="none" w:sz="0" w:space="0" w:color="auto"/>
        <w:right w:val="none" w:sz="0" w:space="0" w:color="auto"/>
      </w:divBdr>
    </w:div>
    <w:div w:id="785657649">
      <w:bodyDiv w:val="1"/>
      <w:marLeft w:val="0"/>
      <w:marRight w:val="0"/>
      <w:marTop w:val="0"/>
      <w:marBottom w:val="0"/>
      <w:divBdr>
        <w:top w:val="none" w:sz="0" w:space="0" w:color="auto"/>
        <w:left w:val="none" w:sz="0" w:space="0" w:color="auto"/>
        <w:bottom w:val="none" w:sz="0" w:space="0" w:color="auto"/>
        <w:right w:val="none" w:sz="0" w:space="0" w:color="auto"/>
      </w:divBdr>
    </w:div>
    <w:div w:id="793645275">
      <w:bodyDiv w:val="1"/>
      <w:marLeft w:val="0"/>
      <w:marRight w:val="0"/>
      <w:marTop w:val="0"/>
      <w:marBottom w:val="0"/>
      <w:divBdr>
        <w:top w:val="none" w:sz="0" w:space="0" w:color="auto"/>
        <w:left w:val="none" w:sz="0" w:space="0" w:color="auto"/>
        <w:bottom w:val="none" w:sz="0" w:space="0" w:color="auto"/>
        <w:right w:val="none" w:sz="0" w:space="0" w:color="auto"/>
      </w:divBdr>
    </w:div>
    <w:div w:id="854152024">
      <w:bodyDiv w:val="1"/>
      <w:marLeft w:val="0"/>
      <w:marRight w:val="0"/>
      <w:marTop w:val="0"/>
      <w:marBottom w:val="0"/>
      <w:divBdr>
        <w:top w:val="none" w:sz="0" w:space="0" w:color="auto"/>
        <w:left w:val="none" w:sz="0" w:space="0" w:color="auto"/>
        <w:bottom w:val="none" w:sz="0" w:space="0" w:color="auto"/>
        <w:right w:val="none" w:sz="0" w:space="0" w:color="auto"/>
      </w:divBdr>
    </w:div>
    <w:div w:id="908006620">
      <w:bodyDiv w:val="1"/>
      <w:marLeft w:val="0"/>
      <w:marRight w:val="0"/>
      <w:marTop w:val="0"/>
      <w:marBottom w:val="0"/>
      <w:divBdr>
        <w:top w:val="none" w:sz="0" w:space="0" w:color="auto"/>
        <w:left w:val="none" w:sz="0" w:space="0" w:color="auto"/>
        <w:bottom w:val="none" w:sz="0" w:space="0" w:color="auto"/>
        <w:right w:val="none" w:sz="0" w:space="0" w:color="auto"/>
      </w:divBdr>
    </w:div>
    <w:div w:id="929433465">
      <w:bodyDiv w:val="1"/>
      <w:marLeft w:val="0"/>
      <w:marRight w:val="0"/>
      <w:marTop w:val="0"/>
      <w:marBottom w:val="0"/>
      <w:divBdr>
        <w:top w:val="none" w:sz="0" w:space="0" w:color="auto"/>
        <w:left w:val="none" w:sz="0" w:space="0" w:color="auto"/>
        <w:bottom w:val="none" w:sz="0" w:space="0" w:color="auto"/>
        <w:right w:val="none" w:sz="0" w:space="0" w:color="auto"/>
      </w:divBdr>
    </w:div>
    <w:div w:id="1035277690">
      <w:bodyDiv w:val="1"/>
      <w:marLeft w:val="0"/>
      <w:marRight w:val="0"/>
      <w:marTop w:val="0"/>
      <w:marBottom w:val="0"/>
      <w:divBdr>
        <w:top w:val="none" w:sz="0" w:space="0" w:color="auto"/>
        <w:left w:val="none" w:sz="0" w:space="0" w:color="auto"/>
        <w:bottom w:val="none" w:sz="0" w:space="0" w:color="auto"/>
        <w:right w:val="none" w:sz="0" w:space="0" w:color="auto"/>
      </w:divBdr>
    </w:div>
    <w:div w:id="1055550098">
      <w:bodyDiv w:val="1"/>
      <w:marLeft w:val="0"/>
      <w:marRight w:val="0"/>
      <w:marTop w:val="0"/>
      <w:marBottom w:val="0"/>
      <w:divBdr>
        <w:top w:val="none" w:sz="0" w:space="0" w:color="auto"/>
        <w:left w:val="none" w:sz="0" w:space="0" w:color="auto"/>
        <w:bottom w:val="none" w:sz="0" w:space="0" w:color="auto"/>
        <w:right w:val="none" w:sz="0" w:space="0" w:color="auto"/>
      </w:divBdr>
    </w:div>
    <w:div w:id="1127312450">
      <w:bodyDiv w:val="1"/>
      <w:marLeft w:val="0"/>
      <w:marRight w:val="0"/>
      <w:marTop w:val="0"/>
      <w:marBottom w:val="0"/>
      <w:divBdr>
        <w:top w:val="none" w:sz="0" w:space="0" w:color="auto"/>
        <w:left w:val="none" w:sz="0" w:space="0" w:color="auto"/>
        <w:bottom w:val="none" w:sz="0" w:space="0" w:color="auto"/>
        <w:right w:val="none" w:sz="0" w:space="0" w:color="auto"/>
      </w:divBdr>
    </w:div>
    <w:div w:id="1184708374">
      <w:bodyDiv w:val="1"/>
      <w:marLeft w:val="0"/>
      <w:marRight w:val="0"/>
      <w:marTop w:val="0"/>
      <w:marBottom w:val="0"/>
      <w:divBdr>
        <w:top w:val="none" w:sz="0" w:space="0" w:color="auto"/>
        <w:left w:val="none" w:sz="0" w:space="0" w:color="auto"/>
        <w:bottom w:val="none" w:sz="0" w:space="0" w:color="auto"/>
        <w:right w:val="none" w:sz="0" w:space="0" w:color="auto"/>
      </w:divBdr>
    </w:div>
    <w:div w:id="1203011029">
      <w:bodyDiv w:val="1"/>
      <w:marLeft w:val="0"/>
      <w:marRight w:val="0"/>
      <w:marTop w:val="0"/>
      <w:marBottom w:val="0"/>
      <w:divBdr>
        <w:top w:val="none" w:sz="0" w:space="0" w:color="auto"/>
        <w:left w:val="none" w:sz="0" w:space="0" w:color="auto"/>
        <w:bottom w:val="none" w:sz="0" w:space="0" w:color="auto"/>
        <w:right w:val="none" w:sz="0" w:space="0" w:color="auto"/>
      </w:divBdr>
    </w:div>
    <w:div w:id="1415979352">
      <w:bodyDiv w:val="1"/>
      <w:marLeft w:val="0"/>
      <w:marRight w:val="0"/>
      <w:marTop w:val="0"/>
      <w:marBottom w:val="0"/>
      <w:divBdr>
        <w:top w:val="none" w:sz="0" w:space="0" w:color="auto"/>
        <w:left w:val="none" w:sz="0" w:space="0" w:color="auto"/>
        <w:bottom w:val="none" w:sz="0" w:space="0" w:color="auto"/>
        <w:right w:val="none" w:sz="0" w:space="0" w:color="auto"/>
      </w:divBdr>
    </w:div>
    <w:div w:id="1713843533">
      <w:bodyDiv w:val="1"/>
      <w:marLeft w:val="0"/>
      <w:marRight w:val="0"/>
      <w:marTop w:val="0"/>
      <w:marBottom w:val="0"/>
      <w:divBdr>
        <w:top w:val="none" w:sz="0" w:space="0" w:color="auto"/>
        <w:left w:val="none" w:sz="0" w:space="0" w:color="auto"/>
        <w:bottom w:val="none" w:sz="0" w:space="0" w:color="auto"/>
        <w:right w:val="none" w:sz="0" w:space="0" w:color="auto"/>
      </w:divBdr>
      <w:divsChild>
        <w:div w:id="1357922061">
          <w:marLeft w:val="0"/>
          <w:marRight w:val="0"/>
          <w:marTop w:val="0"/>
          <w:marBottom w:val="0"/>
          <w:divBdr>
            <w:top w:val="none" w:sz="0" w:space="0" w:color="auto"/>
            <w:left w:val="none" w:sz="0" w:space="0" w:color="auto"/>
            <w:bottom w:val="none" w:sz="0" w:space="0" w:color="auto"/>
            <w:right w:val="none" w:sz="0" w:space="0" w:color="auto"/>
          </w:divBdr>
        </w:div>
      </w:divsChild>
    </w:div>
    <w:div w:id="2001227545">
      <w:bodyDiv w:val="1"/>
      <w:marLeft w:val="0"/>
      <w:marRight w:val="0"/>
      <w:marTop w:val="0"/>
      <w:marBottom w:val="0"/>
      <w:divBdr>
        <w:top w:val="none" w:sz="0" w:space="0" w:color="auto"/>
        <w:left w:val="none" w:sz="0" w:space="0" w:color="auto"/>
        <w:bottom w:val="none" w:sz="0" w:space="0" w:color="auto"/>
        <w:right w:val="none" w:sz="0" w:space="0" w:color="auto"/>
      </w:divBdr>
    </w:div>
    <w:div w:id="2038961812">
      <w:bodyDiv w:val="1"/>
      <w:marLeft w:val="0"/>
      <w:marRight w:val="0"/>
      <w:marTop w:val="0"/>
      <w:marBottom w:val="0"/>
      <w:divBdr>
        <w:top w:val="none" w:sz="0" w:space="0" w:color="auto"/>
        <w:left w:val="none" w:sz="0" w:space="0" w:color="auto"/>
        <w:bottom w:val="none" w:sz="0" w:space="0" w:color="auto"/>
        <w:right w:val="none" w:sz="0" w:space="0" w:color="auto"/>
      </w:divBdr>
    </w:div>
    <w:div w:id="20708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ud.gov/sites/documents/17-01CPDN.PDF" TargetMode="External"/><Relationship Id="rId117" Type="http://schemas.openxmlformats.org/officeDocument/2006/relationships/hyperlink" Target="https://www.hud.gov/sites/documents/ACCTBRIEF18PORT.PDF" TargetMode="External"/><Relationship Id="rId21" Type="http://schemas.openxmlformats.org/officeDocument/2006/relationships/hyperlink" Target="https://www.hud.gov/sites/dfiles/PIH/documents/PIH2021-25.pdf" TargetMode="External"/><Relationship Id="rId42" Type="http://schemas.openxmlformats.org/officeDocument/2006/relationships/hyperlink" Target="https://www.acf.hhs.gov/otip/map/domestic-victims-human-trafficking-program-grantees" TargetMode="External"/><Relationship Id="rId47" Type="http://schemas.openxmlformats.org/officeDocument/2006/relationships/hyperlink" Target="https://www.hudexchange.info/resource/6433/covid19-ehv-referral-packet-template-example-forms-for-ehv-program/" TargetMode="External"/><Relationship Id="rId63" Type="http://schemas.openxmlformats.org/officeDocument/2006/relationships/hyperlink" Target="https://www.hud.gov/sites/dfiles/PIH/documents/PIH2021-15.pdf" TargetMode="External"/><Relationship Id="rId68" Type="http://schemas.openxmlformats.org/officeDocument/2006/relationships/hyperlink" Target="https://www.govinfo.gov/content/pkg/FR-2016-11-16/pdf/2016-25888.pdf" TargetMode="External"/><Relationship Id="rId84" Type="http://schemas.openxmlformats.org/officeDocument/2006/relationships/hyperlink" Target="https://www.hud.gov/sites/dfiles/PIH/documents/PIH2021-15.pdf" TargetMode="External"/><Relationship Id="rId89" Type="http://schemas.openxmlformats.org/officeDocument/2006/relationships/hyperlink" Target="https://www.hud.gov/sites/dfiles/PIH/documents/PIH2021-15.pdf" TargetMode="External"/><Relationship Id="rId112" Type="http://schemas.openxmlformats.org/officeDocument/2006/relationships/hyperlink" Target="https://www.hud.gov/sites/dfiles/PIH/documents/PIH2021-15.pdf" TargetMode="External"/><Relationship Id="rId133" Type="http://schemas.openxmlformats.org/officeDocument/2006/relationships/hyperlink" Target="https://www.law.cornell.edu/definitions/index.php?width=840&amp;height=800&amp;iframe=true&amp;def_id=9d649778ebbf57e8c7796ad6c83632dd&amp;term_occur=999&amp;term_src=Title:24:Subtitle:B:Chapter:IX:Part:982:Subpart:G:982.307" TargetMode="External"/><Relationship Id="rId16" Type="http://schemas.openxmlformats.org/officeDocument/2006/relationships/hyperlink" Target="https://williamsinstitute.law.ucla.edu/wp-content/uploads/LGBT-Housing-Apr-2020.pdf" TargetMode="External"/><Relationship Id="rId107" Type="http://schemas.openxmlformats.org/officeDocument/2006/relationships/hyperlink" Target="https://www.hud.gov/sites/dfiles/PIH/documents/PIH2021-15.pdf" TargetMode="External"/><Relationship Id="rId11" Type="http://schemas.openxmlformats.org/officeDocument/2006/relationships/hyperlink" Target="https://www.hud.gov/sites/dfiles/PIH/documents/PIH2021-15.pdf" TargetMode="External"/><Relationship Id="rId32" Type="http://schemas.openxmlformats.org/officeDocument/2006/relationships/hyperlink" Target="mailto:EHV@hud.gov" TargetMode="External"/><Relationship Id="rId37" Type="http://schemas.openxmlformats.org/officeDocument/2006/relationships/hyperlink" Target="mailto:EHV@hud.gov" TargetMode="External"/><Relationship Id="rId53" Type="http://schemas.openxmlformats.org/officeDocument/2006/relationships/hyperlink" Target="https://www.hudexchange.info/program-support/technical-assistance" TargetMode="External"/><Relationship Id="rId58" Type="http://schemas.openxmlformats.org/officeDocument/2006/relationships/hyperlink" Target="https://files.hudexchange.info/resources/documents/COVID-19-EHV-Waiver-and-Alternative-Requirements-Summary-Table" TargetMode="External"/><Relationship Id="rId74" Type="http://schemas.openxmlformats.org/officeDocument/2006/relationships/hyperlink" Target="https://www.hud.gov/sites/documents/HUD_OGCGUIDAPPFHASTANDCR.PDF" TargetMode="External"/><Relationship Id="rId79" Type="http://schemas.openxmlformats.org/officeDocument/2006/relationships/hyperlink" Target="https://www.hud.gov/sites/dfiles/PIH/documents/PIH2021-15.pdf" TargetMode="External"/><Relationship Id="rId102" Type="http://schemas.openxmlformats.org/officeDocument/2006/relationships/hyperlink" Target="https://www.hud.gov/sites/dfiles/PIH/documents/PIH2021-15.pdf" TargetMode="External"/><Relationship Id="rId123" Type="http://schemas.openxmlformats.org/officeDocument/2006/relationships/hyperlink" Target="https://www.hud.gov/sites/documents/INSTRUCTIONS.PDF" TargetMode="External"/><Relationship Id="rId128" Type="http://schemas.openxmlformats.org/officeDocument/2006/relationships/hyperlink" Target="https://www.hud.gov/sites/dfiles/PIH/documents/PIH2021-15.pdf" TargetMode="External"/><Relationship Id="rId5" Type="http://schemas.openxmlformats.org/officeDocument/2006/relationships/webSettings" Target="webSettings.xml"/><Relationship Id="rId90" Type="http://schemas.openxmlformats.org/officeDocument/2006/relationships/hyperlink" Target="https://www.hud.gov/sites/dfiles/PIH/documents/PIH2021-15.pdf" TargetMode="External"/><Relationship Id="rId95" Type="http://schemas.openxmlformats.org/officeDocument/2006/relationships/hyperlink" Target="https://www.hud.gov/sites/dfiles/OCHCO/documents/2020-24pihn.pdf" TargetMode="External"/><Relationship Id="rId14" Type="http://schemas.openxmlformats.org/officeDocument/2006/relationships/hyperlink" Target="https://www.hud.gov/sites/dfiles/PIH/documents/PIH2021-15.pdf" TargetMode="External"/><Relationship Id="rId22" Type="http://schemas.openxmlformats.org/officeDocument/2006/relationships/hyperlink" Target="https://www.hud.gov/sites/dfiles/PIH/documents/PIH2021-15.pdf" TargetMode="External"/><Relationship Id="rId27" Type="http://schemas.openxmlformats.org/officeDocument/2006/relationships/hyperlink" Target="https://www.hud.gov/sites/dfiles/PIH/documents/PIH2021-15.pdf" TargetMode="External"/><Relationship Id="rId30" Type="http://schemas.openxmlformats.org/officeDocument/2006/relationships/hyperlink" Target="https://www.hud.gov/sites/dfiles/PIH/documents/PIH2021-15.pdf" TargetMode="External"/><Relationship Id="rId35" Type="http://schemas.openxmlformats.org/officeDocument/2006/relationships/hyperlink" Target="https://www.hud.gov/sites/dfiles/PIH/documents/PIH2021-15.pdf" TargetMode="External"/><Relationship Id="rId43" Type="http://schemas.openxmlformats.org/officeDocument/2006/relationships/hyperlink" Target="https://www.acf.hhs.gov/otip/map/traffickingvictim-assistance-program" TargetMode="External"/><Relationship Id="rId48" Type="http://schemas.openxmlformats.org/officeDocument/2006/relationships/hyperlink" Target="https://www.hudexchange.info/program-support/technical-assistance/" TargetMode="External"/><Relationship Id="rId56" Type="http://schemas.openxmlformats.org/officeDocument/2006/relationships/hyperlink" Target="https://www.hud.gov/sites/dfiles/PIH/documents/PIH2021-15.pdf" TargetMode="External"/><Relationship Id="rId64" Type="http://schemas.openxmlformats.org/officeDocument/2006/relationships/hyperlink" Target="https://www.hud.gov/sites/dfiles/PIH/documents/PIH2021-15.pdf" TargetMode="External"/><Relationship Id="rId69" Type="http://schemas.openxmlformats.org/officeDocument/2006/relationships/hyperlink" Target="https://www.hud.gov/sites/documents/PIH-2017-08VAWRA2013.PDF" TargetMode="External"/><Relationship Id="rId77" Type="http://schemas.openxmlformats.org/officeDocument/2006/relationships/hyperlink" Target="https://www.hud.gov/sites/dfiles/PIH/documents/PIH2021-15.pdf" TargetMode="External"/><Relationship Id="rId100" Type="http://schemas.openxmlformats.org/officeDocument/2006/relationships/hyperlink" Target="https://www.hud.gov/sites/dfiles/PIH/documents/PIH2021-15.pdf" TargetMode="External"/><Relationship Id="rId105" Type="http://schemas.openxmlformats.org/officeDocument/2006/relationships/hyperlink" Target="https://www.hud.gov/sites/dfiles/PIH/documents/PIH2021-15.pdf" TargetMode="External"/><Relationship Id="rId113" Type="http://schemas.openxmlformats.org/officeDocument/2006/relationships/hyperlink" Target="https://www.hud.gov/sites/dfiles/PIH/documents/PIH2021-15.pdf" TargetMode="External"/><Relationship Id="rId118" Type="http://schemas.openxmlformats.org/officeDocument/2006/relationships/hyperlink" Target="https://www.hud.gov/sites/dfiles/PIH/documents/PIH2021-15.pdf" TargetMode="External"/><Relationship Id="rId126" Type="http://schemas.openxmlformats.org/officeDocument/2006/relationships/hyperlink" Target="https://www.hud.gov/sites/dfiles/PIH/documents/PIH2021-15.pdf" TargetMode="External"/><Relationship Id="rId134" Type="http://schemas.openxmlformats.org/officeDocument/2006/relationships/footer" Target="footer1.xml"/><Relationship Id="rId8" Type="http://schemas.openxmlformats.org/officeDocument/2006/relationships/hyperlink" Target="https://www.hud.gov/sites/dfiles/PIH/documents/PIH2021-15.pdf" TargetMode="External"/><Relationship Id="rId51" Type="http://schemas.openxmlformats.org/officeDocument/2006/relationships/hyperlink" Target="https://www.hud.gov/sites/dfiles/PIH/documents/Eviction_Prevention_Stability_Toolkit_Summary_Sheet.pdf" TargetMode="External"/><Relationship Id="rId72" Type="http://schemas.openxmlformats.org/officeDocument/2006/relationships/hyperlink" Target="https://www.hud.gov/sites/documents/PIH-2017-08VAWRA2013.PDF" TargetMode="External"/><Relationship Id="rId80" Type="http://schemas.openxmlformats.org/officeDocument/2006/relationships/hyperlink" Target="https://www.hudexchange.info/programs/coc/moving-on/" TargetMode="External"/><Relationship Id="rId85" Type="http://schemas.openxmlformats.org/officeDocument/2006/relationships/hyperlink" Target="https://www.hud.gov/sites/dfiles/PIH/documents/PIH2021-15.pdf" TargetMode="External"/><Relationship Id="rId93" Type="http://schemas.openxmlformats.org/officeDocument/2006/relationships/hyperlink" Target="https://www.hud.gov/sites/dfiles/PIH/documents/PIH2021-15.pdf" TargetMode="External"/><Relationship Id="rId98" Type="http://schemas.openxmlformats.org/officeDocument/2006/relationships/hyperlink" Target="https://www.hud.gov/sites/dfiles/PIH/documents/PIH2021-15.pdf" TargetMode="External"/><Relationship Id="rId121" Type="http://schemas.openxmlformats.org/officeDocument/2006/relationships/hyperlink" Target="https://www.hud.gov/sites/dfiles/PIH/documents/PIH2021-15.pdf" TargetMode="External"/><Relationship Id="rId3" Type="http://schemas.openxmlformats.org/officeDocument/2006/relationships/styles" Target="styles.xml"/><Relationship Id="rId12" Type="http://schemas.openxmlformats.org/officeDocument/2006/relationships/hyperlink" Target="https://www.hud.gov/sites/dfiles/PIH/documents/PIH2021-15.pdf" TargetMode="External"/><Relationship Id="rId17" Type="http://schemas.openxmlformats.org/officeDocument/2006/relationships/hyperlink" Target="https://www.hudexchange.info/homelessness-assistance/resources-for-lgbt-homelessness/" TargetMode="External"/><Relationship Id="rId25" Type="http://schemas.openxmlformats.org/officeDocument/2006/relationships/hyperlink" Target="https://files.hudexchange.info/resources/documents/Coordinated-Entry-and-Victim-Service-Providers-FAQs.pdf" TargetMode="External"/><Relationship Id="rId33" Type="http://schemas.openxmlformats.org/officeDocument/2006/relationships/hyperlink" Target="https://www.hud.gov/sites/dfiles/PIH/documents/PIH2021-15.pdf" TargetMode="External"/><Relationship Id="rId38" Type="http://schemas.openxmlformats.org/officeDocument/2006/relationships/hyperlink" Target="https://www.hud.gov/sites/dfiles/PIH/documents/PIH2021-15.pdf" TargetMode="External"/><Relationship Id="rId46" Type="http://schemas.openxmlformats.org/officeDocument/2006/relationships/hyperlink" Target="https://www.hud.gov/sites/dfiles/PIH/documents/PIH2021-15.pdf" TargetMode="External"/><Relationship Id="rId59" Type="http://schemas.openxmlformats.org/officeDocument/2006/relationships/hyperlink" Target="https://www.hud.gov/program_offices/public_indian_housing/covid_19_resources/navigating_waiver_expiration?utm_medium=email&amp;utm_source=govdelivery" TargetMode="External"/><Relationship Id="rId67" Type="http://schemas.openxmlformats.org/officeDocument/2006/relationships/hyperlink" Target="https://www.hud.gov/sites/dfiles/PIH/documents/PIH2021-25.pdf" TargetMode="External"/><Relationship Id="rId103" Type="http://schemas.openxmlformats.org/officeDocument/2006/relationships/hyperlink" Target="https://www.hud.gov/program_offices/public_indian_housing/programs/hcv" TargetMode="External"/><Relationship Id="rId108" Type="http://schemas.openxmlformats.org/officeDocument/2006/relationships/hyperlink" Target="mailto:ehv@hud.gov" TargetMode="External"/><Relationship Id="rId116" Type="http://schemas.openxmlformats.org/officeDocument/2006/relationships/hyperlink" Target="https://www.hud.gov/sites/dfiles/PIH/documents/PIH2021-15.pdf" TargetMode="External"/><Relationship Id="rId124" Type="http://schemas.openxmlformats.org/officeDocument/2006/relationships/hyperlink" Target="https://www.hud.gov/sites/dfiles/PIH/documents/PIH2021-20.pdf" TargetMode="External"/><Relationship Id="rId129" Type="http://schemas.openxmlformats.org/officeDocument/2006/relationships/hyperlink" Target="https://www.hud.gov/program_offices/public_indian_housing/programs/hcv/landlord" TargetMode="External"/><Relationship Id="rId20" Type="http://schemas.openxmlformats.org/officeDocument/2006/relationships/hyperlink" Target="https://www.hud.gov/sites/dfiles/PIH/documents/PIH2021-15.pdf" TargetMode="External"/><Relationship Id="rId41" Type="http://schemas.openxmlformats.org/officeDocument/2006/relationships/hyperlink" Target="https://ovc.ojp.gov/states" TargetMode="External"/><Relationship Id="rId54" Type="http://schemas.openxmlformats.org/officeDocument/2006/relationships/hyperlink" Target="https://www.hudexchange.info/program-support/technical-assistance/" TargetMode="External"/><Relationship Id="rId62" Type="http://schemas.openxmlformats.org/officeDocument/2006/relationships/hyperlink" Target="https://www.hud.gov/sites/dfiles/PIH/documents/PIH2021-15.pdf" TargetMode="External"/><Relationship Id="rId70" Type="http://schemas.openxmlformats.org/officeDocument/2006/relationships/hyperlink" Target="https://www.hud.gov/sites/documents/PIH-2017-08VAWRA2013.PDF" TargetMode="External"/><Relationship Id="rId75" Type="http://schemas.openxmlformats.org/officeDocument/2006/relationships/hyperlink" Target="https://www.hud.gov/sites/dfiles/PIH/documents/PIH2021-15.pdf" TargetMode="External"/><Relationship Id="rId83" Type="http://schemas.openxmlformats.org/officeDocument/2006/relationships/hyperlink" Target="https://www.hud.gov/sites/dfiles/PIH/documents/PIH2021-15.pdf" TargetMode="External"/><Relationship Id="rId88" Type="http://schemas.openxmlformats.org/officeDocument/2006/relationships/hyperlink" Target="https://www.hud.gov/sites/dfiles/PIH/documents/PIH2021-15.pdf" TargetMode="External"/><Relationship Id="rId91" Type="http://schemas.openxmlformats.org/officeDocument/2006/relationships/hyperlink" Target="https://www.hud.gov/sites/dfiles/PIH/documents/PIH-2018-18_EIV_Admin_Notice_PIH_2012-10_FINAL.pdf" TargetMode="External"/><Relationship Id="rId96" Type="http://schemas.openxmlformats.org/officeDocument/2006/relationships/hyperlink" Target="https://www.hud.gov/sites/dfiles/PIH/documents/PIH2021-15.pdf" TargetMode="External"/><Relationship Id="rId111" Type="http://schemas.openxmlformats.org/officeDocument/2006/relationships/hyperlink" Target="https://www.hud.gov/sites/dfiles/PIH/documents/PIH2021-15.pdf" TargetMode="External"/><Relationship Id="rId132" Type="http://schemas.openxmlformats.org/officeDocument/2006/relationships/hyperlink" Target="https://www.law.cornell.edu/definitions/index.php?width=840&amp;height=800&amp;iframe=true&amp;def_id=c53cf78cbf206c9ab3ef77db1a2fe6f6&amp;term_occur=999&amp;term_src=Title:24:Subtitle:B:Chapter:IX:Part:982:Subpart:G:982.3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info.gov/content/pkg/FR-2016-11-16/pdf/2016-25888.pdf" TargetMode="External"/><Relationship Id="rId23" Type="http://schemas.openxmlformats.org/officeDocument/2006/relationships/hyperlink" Target="https://www.hud.gov/sites/dfiles/PIH/documents/PIH2021-15.pdf" TargetMode="External"/><Relationship Id="rId28" Type="http://schemas.openxmlformats.org/officeDocument/2006/relationships/hyperlink" Target="https://www.hud.gov/sites/dfiles/PIH/documents/PIH2021-15.pdf" TargetMode="External"/><Relationship Id="rId36" Type="http://schemas.openxmlformats.org/officeDocument/2006/relationships/hyperlink" Target="https://www.hud.gov/sites/dfiles/PIH/documents/PIH2021-15.pdf" TargetMode="External"/><Relationship Id="rId49" Type="http://schemas.openxmlformats.org/officeDocument/2006/relationships/hyperlink" Target="https://www.hud.gov/sites/dfiles/PIH/documents/PIH2021-15.pdf" TargetMode="External"/><Relationship Id="rId57" Type="http://schemas.openxmlformats.org/officeDocument/2006/relationships/hyperlink" Target="https://www.hud.gov/sites/dfiles/PIH/documents/PIH2021-15.pdf" TargetMode="External"/><Relationship Id="rId106" Type="http://schemas.openxmlformats.org/officeDocument/2006/relationships/hyperlink" Target="https://www.hud.gov/sites/dfiles/PIH/documents/ERAP_PIH_ERAP_FAQs.pdf" TargetMode="External"/><Relationship Id="rId114" Type="http://schemas.openxmlformats.org/officeDocument/2006/relationships/hyperlink" Target="https://www.hud.gov/sites/dfiles/OCHCO/documents/52665.pdf" TargetMode="External"/><Relationship Id="rId119" Type="http://schemas.openxmlformats.org/officeDocument/2006/relationships/hyperlink" Target="https://www.hud.gov/sites/dfiles/PIH/documents/PIH2021-15.pdf" TargetMode="External"/><Relationship Id="rId127" Type="http://schemas.openxmlformats.org/officeDocument/2006/relationships/hyperlink" Target="https://www.hud.gov/sites/dfiles/PIH/documents/PIH2021-15.pdf" TargetMode="External"/><Relationship Id="rId10" Type="http://schemas.openxmlformats.org/officeDocument/2006/relationships/hyperlink" Target="https://www.hud.gov/sites/dfiles/PIH/documents/PIH2021-15.pdf" TargetMode="External"/><Relationship Id="rId31" Type="http://schemas.openxmlformats.org/officeDocument/2006/relationships/hyperlink" Target="https://files.hudexchange.info/resources/documents/FY-2020-CoC-PHA-Crosswalk-Report.pdf" TargetMode="External"/><Relationship Id="rId44" Type="http://schemas.openxmlformats.org/officeDocument/2006/relationships/hyperlink" Target="https://www.nsvrc.org/organizations" TargetMode="External"/><Relationship Id="rId52" Type="http://schemas.openxmlformats.org/officeDocument/2006/relationships/hyperlink" Target="https://www.hud.gov/sites/dfiles/PIH/documents/PIH2021-15.pdf" TargetMode="External"/><Relationship Id="rId60" Type="http://schemas.openxmlformats.org/officeDocument/2006/relationships/hyperlink" Target="https://www.hud.gov/sites/dfiles/PIH/documents/PIH2021-15.pdf" TargetMode="External"/><Relationship Id="rId65" Type="http://schemas.openxmlformats.org/officeDocument/2006/relationships/hyperlink" Target="mailto:EHV@hud.gov" TargetMode="External"/><Relationship Id="rId73" Type="http://schemas.openxmlformats.org/officeDocument/2006/relationships/hyperlink" Target="https://www.hud.gov/sites/documents/PIH2015-19.PDF" TargetMode="External"/><Relationship Id="rId78" Type="http://schemas.openxmlformats.org/officeDocument/2006/relationships/hyperlink" Target="https://www.hud.gov/sites/dfiles/PIH/documents/PIH2021-15.pdf" TargetMode="External"/><Relationship Id="rId81" Type="http://schemas.openxmlformats.org/officeDocument/2006/relationships/hyperlink" Target="https://www.hud.gov/sites/dfiles/PIH/documents/PIH2021-15.pdf" TargetMode="External"/><Relationship Id="rId86" Type="http://schemas.openxmlformats.org/officeDocument/2006/relationships/hyperlink" Target="https://www.hud.gov/sites/dfiles/PIH/documents/PIH2021-15.pdf" TargetMode="External"/><Relationship Id="rId94" Type="http://schemas.openxmlformats.org/officeDocument/2006/relationships/hyperlink" Target="https://www.hud.gov/sites/dfiles/PIH/documents/PIH2021-15.pdf" TargetMode="External"/><Relationship Id="rId99" Type="http://schemas.openxmlformats.org/officeDocument/2006/relationships/hyperlink" Target="https://www.hud.gov/sites/dfiles/PIH/documents/PIH2021-15.pdf" TargetMode="External"/><Relationship Id="rId101" Type="http://schemas.openxmlformats.org/officeDocument/2006/relationships/hyperlink" Target="https://www.hud.gov/sites/dfiles/PIH/documents/PIH2021-15.pdf" TargetMode="External"/><Relationship Id="rId122" Type="http://schemas.openxmlformats.org/officeDocument/2006/relationships/hyperlink" Target="https://www.hud.gov/sites/dfiles/PIH/documents/PIH2021-15.pdf" TargetMode="External"/><Relationship Id="rId130" Type="http://schemas.openxmlformats.org/officeDocument/2006/relationships/hyperlink" Target="https://files.hudexchange.info/resources/documents/PIH-HCV-Landlord-Interested-In-Becoming-a-HCV-Landlord-Handout.pdf"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les.hudexchange.info/resources/documents/AtRiskofHomelessnessDefinition_Criteria.pdf" TargetMode="External"/><Relationship Id="rId13" Type="http://schemas.openxmlformats.org/officeDocument/2006/relationships/hyperlink" Target="https://www.hud.gov/sites/documents/PIH2017-02.PDF" TargetMode="External"/><Relationship Id="rId18" Type="http://schemas.openxmlformats.org/officeDocument/2006/relationships/hyperlink" Target="mailto:ehv@hud.gov" TargetMode="External"/><Relationship Id="rId39" Type="http://schemas.openxmlformats.org/officeDocument/2006/relationships/hyperlink" Target="https://www.hud.gov/sites/dfiles/PIH/documents/PIH2021-15.pdf" TargetMode="External"/><Relationship Id="rId109" Type="http://schemas.openxmlformats.org/officeDocument/2006/relationships/hyperlink" Target="https://www.hud.gov/sites/dfiles/PIH/documents/PIH2021-15.pdf" TargetMode="External"/><Relationship Id="rId34" Type="http://schemas.openxmlformats.org/officeDocument/2006/relationships/hyperlink" Target="https://www.hud.gov/sites/dfiles/PIH/documents/PIH2021-15.pdf" TargetMode="External"/><Relationship Id="rId50" Type="http://schemas.openxmlformats.org/officeDocument/2006/relationships/hyperlink" Target="https://www.hud.gov/sites/dfiles/PIH/documents/PIH-2018-18_EIV_Admin_Notice_PIH_2012-10_FINAL.pdf" TargetMode="External"/><Relationship Id="rId55" Type="http://schemas.openxmlformats.org/officeDocument/2006/relationships/hyperlink" Target="https://www.hud.gov/sites/dfiles/PIH/documents/PIH-2020-24.pdf" TargetMode="External"/><Relationship Id="rId76" Type="http://schemas.openxmlformats.org/officeDocument/2006/relationships/hyperlink" Target="https://www.hud.gov/sites/dfiles/PIH/documents/PIH2021-15.pdf" TargetMode="External"/><Relationship Id="rId97" Type="http://schemas.openxmlformats.org/officeDocument/2006/relationships/hyperlink" Target="https://www.hud.gov/sites/dfiles/PIH/documents/PIH2021-15.pdf" TargetMode="External"/><Relationship Id="rId104" Type="http://schemas.openxmlformats.org/officeDocument/2006/relationships/hyperlink" Target="https://www.hud.gov/sites/dfiles/PIH/documents/PIH2021-15.pdf" TargetMode="External"/><Relationship Id="rId120" Type="http://schemas.openxmlformats.org/officeDocument/2006/relationships/hyperlink" Target="https://www.hud.gov/sites/dfiles/PIH/documents/PIH2021-15.pdf" TargetMode="External"/><Relationship Id="rId125" Type="http://schemas.openxmlformats.org/officeDocument/2006/relationships/hyperlink" Target="https://www.hud.gov/ehv" TargetMode="External"/><Relationship Id="rId7" Type="http://schemas.openxmlformats.org/officeDocument/2006/relationships/endnotes" Target="endnotes.xml"/><Relationship Id="rId71" Type="http://schemas.openxmlformats.org/officeDocument/2006/relationships/hyperlink" Target="https://www.hud.gov/sites/documents/PIH-2017-08VAWRA2013.PDF" TargetMode="External"/><Relationship Id="rId92" Type="http://schemas.openxmlformats.org/officeDocument/2006/relationships/hyperlink" Target="https://www.hud.gov/sites/dfiles/PIH/documents/PIH2021-15.pdf" TargetMode="External"/><Relationship Id="rId2" Type="http://schemas.openxmlformats.org/officeDocument/2006/relationships/numbering" Target="numbering.xml"/><Relationship Id="rId29" Type="http://schemas.openxmlformats.org/officeDocument/2006/relationships/hyperlink" Target="https://www.hud.gov/sites/dfiles/PIH/documents/PIH2021-15.pdf" TargetMode="External"/><Relationship Id="rId24" Type="http://schemas.openxmlformats.org/officeDocument/2006/relationships/hyperlink" Target="https://www.hud.gov/program_offices/comm_planning/coc" TargetMode="External"/><Relationship Id="rId40" Type="http://schemas.openxmlformats.org/officeDocument/2006/relationships/hyperlink" Target="https://ovc.ojp.gov/matrix-ovc-fundedhuman-trafficking-services-grantees-and-task-forces" TargetMode="External"/><Relationship Id="rId45" Type="http://schemas.openxmlformats.org/officeDocument/2006/relationships/hyperlink" Target="http://www.ujimacommunity.org" TargetMode="External"/><Relationship Id="rId66" Type="http://schemas.openxmlformats.org/officeDocument/2006/relationships/hyperlink" Target="https://www.hud.gov/sites/dfiles/PIH/documents/PIH2021-15.pdf" TargetMode="External"/><Relationship Id="rId87" Type="http://schemas.openxmlformats.org/officeDocument/2006/relationships/hyperlink" Target="https://www.hud.gov/sites/dfiles/PIH/documents/PIH2021-15.pdf" TargetMode="External"/><Relationship Id="rId110" Type="http://schemas.openxmlformats.org/officeDocument/2006/relationships/hyperlink" Target="https://www.hud.gov/sites/dfiles/PIH/documents/PIH2021-15.pdf" TargetMode="External"/><Relationship Id="rId115" Type="http://schemas.openxmlformats.org/officeDocument/2006/relationships/image" Target="media/image1.png"/><Relationship Id="rId131" Type="http://schemas.openxmlformats.org/officeDocument/2006/relationships/hyperlink" Target="https://www.law.cornell.edu/definitions/index.php?width=840&amp;height=800&amp;iframe=true&amp;def_id=9d649778ebbf57e8c7796ad6c83632dd&amp;term_occur=999&amp;term_src=Title:24:Subtitle:B:Chapter:IX:Part:982:Subpart:G:982.307" TargetMode="External"/><Relationship Id="rId136" Type="http://schemas.openxmlformats.org/officeDocument/2006/relationships/theme" Target="theme/theme1.xml"/><Relationship Id="rId61" Type="http://schemas.openxmlformats.org/officeDocument/2006/relationships/hyperlink" Target="https://www.hud.gov/sites/dfiles/PIH/documents/PIH2021-15.pdf" TargetMode="External"/><Relationship Id="rId82" Type="http://schemas.openxmlformats.org/officeDocument/2006/relationships/hyperlink" Target="https://www.hud.gov/sites/dfiles/PIH/documents/PIH2021-15.pdf" TargetMode="External"/><Relationship Id="rId19" Type="http://schemas.openxmlformats.org/officeDocument/2006/relationships/hyperlink" Target="https://www.hudexchange.info/program-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7D6EF-908B-459C-9B94-E11B712D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19843</Words>
  <Characters>113111</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2022-02-23T16:16:00Z</dcterms:created>
  <dcterms:modified xsi:type="dcterms:W3CDTF">2022-02-23T16:16:00Z</dcterms:modified>
</cp:coreProperties>
</file>