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B5F70" w14:textId="77777777" w:rsidR="000607F7" w:rsidRDefault="00BC2BDC">
      <w:pPr>
        <w:spacing w:before="17" w:line="216" w:lineRule="exact"/>
        <w:jc w:val="right"/>
        <w:textAlignment w:val="baseline"/>
        <w:rPr>
          <w:rFonts w:eastAsia="Times New Roman"/>
          <w:i/>
          <w:color w:val="000000"/>
          <w:spacing w:val="-1"/>
          <w:sz w:val="19"/>
        </w:rPr>
      </w:pPr>
      <w:r>
        <w:rPr>
          <w:rFonts w:eastAsia="Times New Roman"/>
          <w:i/>
          <w:color w:val="000000"/>
          <w:spacing w:val="-1"/>
          <w:sz w:val="19"/>
        </w:rPr>
        <w:t>Handbook 7855.1</w:t>
      </w:r>
    </w:p>
    <w:p w14:paraId="2CDB5F71" w14:textId="77777777" w:rsidR="000607F7" w:rsidRDefault="00BC2BDC">
      <w:pPr>
        <w:spacing w:before="11" w:line="248" w:lineRule="exact"/>
        <w:jc w:val="center"/>
        <w:textAlignment w:val="baseline"/>
        <w:rPr>
          <w:rFonts w:eastAsia="Times New Roman"/>
          <w:i/>
          <w:color w:val="000000"/>
          <w:spacing w:val="7"/>
          <w:sz w:val="23"/>
          <w:u w:val="single"/>
        </w:rPr>
      </w:pPr>
      <w:r>
        <w:rPr>
          <w:rFonts w:eastAsia="Times New Roman"/>
          <w:i/>
          <w:color w:val="000000"/>
          <w:spacing w:val="7"/>
          <w:sz w:val="23"/>
          <w:u w:val="single"/>
        </w:rPr>
        <w:t xml:space="preserve">Procedures for Providing Reasonable Accommodation for Individuals with Disabilities </w:t>
      </w:r>
    </w:p>
    <w:p w14:paraId="2CDB5F72" w14:textId="77777777" w:rsidR="000607F7" w:rsidRDefault="00BC2BDC">
      <w:pPr>
        <w:spacing w:before="1095" w:line="261" w:lineRule="exact"/>
        <w:jc w:val="center"/>
        <w:textAlignment w:val="baseline"/>
        <w:rPr>
          <w:rFonts w:ascii="Arial" w:eastAsia="Arial" w:hAnsi="Arial"/>
          <w:b/>
          <w:color w:val="000000"/>
          <w:spacing w:val="6"/>
          <w:sz w:val="24"/>
        </w:rPr>
      </w:pPr>
      <w:r>
        <w:rPr>
          <w:rFonts w:ascii="Arial" w:eastAsia="Arial" w:hAnsi="Arial"/>
          <w:b/>
          <w:color w:val="000000"/>
          <w:spacing w:val="6"/>
          <w:sz w:val="24"/>
        </w:rPr>
        <w:t>CHAPTER 13. INQUIRIES, DISTRIBUTION AND POSTINGS</w:t>
      </w:r>
    </w:p>
    <w:p w14:paraId="2CDB5F73" w14:textId="77777777" w:rsidR="000607F7" w:rsidRDefault="00BC2BDC">
      <w:pPr>
        <w:spacing w:before="598" w:line="276" w:lineRule="exact"/>
        <w:textAlignment w:val="baseline"/>
        <w:rPr>
          <w:rFonts w:ascii="Arial" w:eastAsia="Arial" w:hAnsi="Arial"/>
          <w:b/>
          <w:color w:val="000000"/>
          <w:spacing w:val="5"/>
          <w:sz w:val="24"/>
        </w:rPr>
      </w:pPr>
      <w:r>
        <w:rPr>
          <w:rFonts w:ascii="Arial" w:eastAsia="Arial" w:hAnsi="Arial"/>
          <w:b/>
          <w:color w:val="000000"/>
          <w:spacing w:val="5"/>
          <w:sz w:val="24"/>
        </w:rPr>
        <w:t xml:space="preserve">13-1. </w:t>
      </w:r>
      <w:r>
        <w:rPr>
          <w:rFonts w:ascii="Arial" w:eastAsia="Arial" w:hAnsi="Arial"/>
          <w:b/>
          <w:color w:val="000000"/>
          <w:spacing w:val="5"/>
          <w:sz w:val="24"/>
          <w:u w:val="single"/>
        </w:rPr>
        <w:t xml:space="preserve">FURTHER INFORMATION REGARDING PROCEDURES </w:t>
      </w:r>
    </w:p>
    <w:p w14:paraId="2CDB5F74" w14:textId="77777777" w:rsidR="000607F7" w:rsidRDefault="00BC2BDC">
      <w:pPr>
        <w:spacing w:before="280" w:line="283" w:lineRule="exact"/>
        <w:ind w:left="936" w:right="792"/>
        <w:textAlignment w:val="baseline"/>
        <w:rPr>
          <w:rFonts w:eastAsia="Times New Roman"/>
          <w:color w:val="000000"/>
          <w:sz w:val="23"/>
        </w:rPr>
      </w:pPr>
      <w:r>
        <w:rPr>
          <w:rFonts w:eastAsia="Times New Roman"/>
          <w:color w:val="000000"/>
          <w:sz w:val="23"/>
        </w:rPr>
        <w:t>Any person wanting further information concerning these Procedures may contact the Disability Program Manager at (202) 708-2000, or the Office of Departmental Equal Employment Opportunity at (202) 708-5921. Individuals with hearing or speech impairments ma</w:t>
      </w:r>
      <w:r>
        <w:rPr>
          <w:rFonts w:eastAsia="Times New Roman"/>
          <w:color w:val="000000"/>
          <w:sz w:val="23"/>
        </w:rPr>
        <w:t>y reach the ADR Program staff through the Federal Relay Information Service at (800) 877-8339 (toll free).</w:t>
      </w:r>
    </w:p>
    <w:p w14:paraId="2CDB5F75" w14:textId="77777777" w:rsidR="000607F7" w:rsidRDefault="00BC2BDC">
      <w:pPr>
        <w:spacing w:before="587" w:line="276" w:lineRule="exact"/>
        <w:textAlignment w:val="baseline"/>
        <w:rPr>
          <w:rFonts w:ascii="Arial" w:eastAsia="Arial" w:hAnsi="Arial"/>
          <w:b/>
          <w:color w:val="000000"/>
          <w:spacing w:val="8"/>
          <w:sz w:val="24"/>
        </w:rPr>
      </w:pPr>
      <w:r>
        <w:rPr>
          <w:rFonts w:ascii="Arial" w:eastAsia="Arial" w:hAnsi="Arial"/>
          <w:b/>
          <w:color w:val="000000"/>
          <w:spacing w:val="8"/>
          <w:sz w:val="24"/>
        </w:rPr>
        <w:t xml:space="preserve">13-2. </w:t>
      </w:r>
      <w:r>
        <w:rPr>
          <w:rFonts w:ascii="Arial" w:eastAsia="Arial" w:hAnsi="Arial"/>
          <w:b/>
          <w:color w:val="000000"/>
          <w:spacing w:val="8"/>
          <w:sz w:val="24"/>
          <w:u w:val="single"/>
        </w:rPr>
        <w:t xml:space="preserve">DISTRIBUTION AND POSTINGS </w:t>
      </w:r>
    </w:p>
    <w:p w14:paraId="2CDB5F76" w14:textId="77777777" w:rsidR="000607F7" w:rsidRDefault="00BC2BDC">
      <w:pPr>
        <w:numPr>
          <w:ilvl w:val="0"/>
          <w:numId w:val="1"/>
        </w:numPr>
        <w:tabs>
          <w:tab w:val="clear" w:pos="360"/>
          <w:tab w:val="left" w:pos="1296"/>
        </w:tabs>
        <w:spacing w:before="310" w:line="276" w:lineRule="exact"/>
        <w:ind w:left="936"/>
        <w:textAlignment w:val="baseline"/>
        <w:rPr>
          <w:rFonts w:ascii="Arial" w:eastAsia="Arial" w:hAnsi="Arial"/>
          <w:b/>
          <w:color w:val="000000"/>
          <w:sz w:val="24"/>
          <w:u w:val="single"/>
        </w:rPr>
      </w:pPr>
      <w:r>
        <w:rPr>
          <w:rFonts w:ascii="Arial" w:eastAsia="Arial" w:hAnsi="Arial"/>
          <w:b/>
          <w:color w:val="000000"/>
          <w:sz w:val="24"/>
          <w:u w:val="single"/>
        </w:rPr>
        <w:t>Distribution</w:t>
      </w:r>
      <w:r>
        <w:rPr>
          <w:rFonts w:ascii="Arial" w:eastAsia="Arial" w:hAnsi="Arial"/>
          <w:b/>
          <w:color w:val="000000"/>
          <w:sz w:val="24"/>
        </w:rPr>
        <w:t xml:space="preserve"> </w:t>
      </w:r>
    </w:p>
    <w:p w14:paraId="2CDB5F77" w14:textId="77777777" w:rsidR="000607F7" w:rsidRDefault="00BC2BDC">
      <w:pPr>
        <w:spacing w:before="266" w:after="331" w:line="283" w:lineRule="exact"/>
        <w:ind w:left="1152" w:right="432"/>
        <w:textAlignment w:val="baseline"/>
        <w:rPr>
          <w:rFonts w:eastAsia="Times New Roman"/>
          <w:color w:val="000000"/>
          <w:spacing w:val="3"/>
          <w:sz w:val="23"/>
        </w:rPr>
      </w:pPr>
      <w:r>
        <w:rPr>
          <w:rFonts w:eastAsia="Times New Roman"/>
          <w:color w:val="000000"/>
          <w:spacing w:val="3"/>
          <w:sz w:val="23"/>
        </w:rPr>
        <w:t xml:space="preserve">These procedures shall be distributed to all employees upon issuance, and annually thereafter. They shall also be distributed to all new employees as part of their orientation on their first day of work in the Department. These procedures will be provided </w:t>
      </w:r>
      <w:r>
        <w:rPr>
          <w:rFonts w:eastAsia="Times New Roman"/>
          <w:color w:val="000000"/>
          <w:spacing w:val="3"/>
          <w:sz w:val="23"/>
        </w:rPr>
        <w:t>in alternative formats, including simplified format, when requested from the Disability Program Manager by, or on behalf of, any HUD employee or applicant for employment.</w:t>
      </w:r>
    </w:p>
    <w:p w14:paraId="2CDB5F78" w14:textId="77777777" w:rsidR="000607F7" w:rsidRDefault="00BC2BDC">
      <w:pPr>
        <w:numPr>
          <w:ilvl w:val="0"/>
          <w:numId w:val="1"/>
        </w:numPr>
        <w:tabs>
          <w:tab w:val="clear" w:pos="360"/>
          <w:tab w:val="left" w:pos="1296"/>
        </w:tabs>
        <w:spacing w:line="234" w:lineRule="exact"/>
        <w:ind w:left="936"/>
        <w:textAlignment w:val="baseline"/>
        <w:rPr>
          <w:rFonts w:ascii="Arial" w:eastAsia="Arial" w:hAnsi="Arial"/>
          <w:b/>
          <w:color w:val="000000"/>
          <w:sz w:val="24"/>
          <w:u w:val="single"/>
        </w:rPr>
      </w:pPr>
      <w:r>
        <w:pict w14:anchorId="2CDB5F7F">
          <v:shapetype id="_x0000_t202" coordsize="21600,21600" o:spt="202" path="m,l,21600r21600,l21600,xe">
            <v:stroke joinstyle="miter"/>
            <v:path gradientshapeok="t" o:connecttype="rect"/>
          </v:shapetype>
          <v:shape id="_x0000_s0" o:spid="_x0000_s1027" type="#_x0000_t202" style="position:absolute;left:0;text-align:left;margin-left:111.6pt;margin-top:434.4pt;width:12pt;height:1.45pt;z-index:-251659264;mso-wrap-distance-left:0;mso-wrap-distance-right:0;mso-position-horizontal-relative:page;mso-position-vertical-relative:page" filled="f" stroked="f">
            <v:textbox inset="0,0,0,0">
              <w:txbxContent>
                <w:p w14:paraId="2CDB5F83" w14:textId="77777777" w:rsidR="000607F7" w:rsidRDefault="00BC2BDC">
                  <w:pPr>
                    <w:spacing w:line="29" w:lineRule="exact"/>
                    <w:textAlignment w:val="baseline"/>
                  </w:pPr>
                  <w:r>
                    <w:rPr>
                      <w:noProof/>
                    </w:rPr>
                    <w:drawing>
                      <wp:inline distT="0" distB="0" distL="0" distR="0" wp14:anchorId="2CDB5F84" wp14:editId="2CDB5F85">
                        <wp:extent cx="152400" cy="1841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52400" cy="18415"/>
                                </a:xfrm>
                                <a:prstGeom prst="rect">
                                  <a:avLst/>
                                </a:prstGeom>
                              </pic:spPr>
                            </pic:pic>
                          </a:graphicData>
                        </a:graphic>
                      </wp:inline>
                    </w:drawing>
                  </w:r>
                </w:p>
              </w:txbxContent>
            </v:textbox>
            <w10:wrap anchorx="page" anchory="page"/>
          </v:shape>
        </w:pict>
      </w:r>
      <w:r>
        <w:rPr>
          <w:rFonts w:ascii="Arial" w:eastAsia="Arial" w:hAnsi="Arial"/>
          <w:b/>
          <w:color w:val="000000"/>
          <w:sz w:val="24"/>
          <w:u w:val="single"/>
        </w:rPr>
        <w:t xml:space="preserve">Postings </w:t>
      </w:r>
      <w:r>
        <w:rPr>
          <w:rFonts w:ascii="Arial" w:eastAsia="Arial" w:hAnsi="Arial"/>
          <w:b/>
          <w:color w:val="000000"/>
          <w:sz w:val="24"/>
        </w:rPr>
        <w:t xml:space="preserve"> </w:t>
      </w:r>
    </w:p>
    <w:p w14:paraId="2CDB5F79" w14:textId="77777777" w:rsidR="000607F7" w:rsidRDefault="00BC2BDC">
      <w:pPr>
        <w:spacing w:before="284" w:line="283" w:lineRule="exact"/>
        <w:ind w:left="1152"/>
        <w:textAlignment w:val="baseline"/>
        <w:rPr>
          <w:rFonts w:eastAsia="Times New Roman"/>
          <w:color w:val="000000"/>
          <w:sz w:val="23"/>
        </w:rPr>
      </w:pPr>
      <w:r>
        <w:rPr>
          <w:rFonts w:eastAsia="Times New Roman"/>
          <w:color w:val="000000"/>
          <w:sz w:val="23"/>
        </w:rPr>
        <w:t>.</w:t>
      </w:r>
    </w:p>
    <w:p w14:paraId="2CDB5F7A" w14:textId="77777777" w:rsidR="000607F7" w:rsidRDefault="00BC2BDC">
      <w:pPr>
        <w:spacing w:before="289" w:after="3888" w:line="283" w:lineRule="exact"/>
        <w:ind w:left="1152"/>
        <w:textAlignment w:val="baseline"/>
        <w:rPr>
          <w:rFonts w:eastAsia="Times New Roman"/>
          <w:color w:val="000000"/>
          <w:sz w:val="23"/>
        </w:rPr>
      </w:pPr>
      <w:r>
        <w:rPr>
          <w:rFonts w:eastAsia="Times New Roman"/>
          <w:color w:val="000000"/>
          <w:sz w:val="23"/>
        </w:rPr>
        <w:t>The procedures are posted on HUD's public and internal websites in accessible formats.</w:t>
      </w:r>
    </w:p>
    <w:p w14:paraId="2CDB5F7B" w14:textId="77777777" w:rsidR="000607F7" w:rsidRDefault="000607F7">
      <w:pPr>
        <w:spacing w:before="289" w:after="3888" w:line="283" w:lineRule="exact"/>
        <w:sectPr w:rsidR="000607F7">
          <w:pgSz w:w="12120" w:h="15802"/>
          <w:pgMar w:top="320" w:right="1064" w:bottom="1206" w:left="1296" w:header="720" w:footer="720" w:gutter="0"/>
          <w:cols w:space="720"/>
        </w:sectPr>
      </w:pPr>
    </w:p>
    <w:p w14:paraId="2CDB5F7C" w14:textId="77777777" w:rsidR="000607F7" w:rsidRDefault="00BC2BDC">
      <w:pPr>
        <w:spacing w:line="204" w:lineRule="exact"/>
        <w:jc w:val="center"/>
        <w:textAlignment w:val="baseline"/>
        <w:rPr>
          <w:rFonts w:eastAsia="Times New Roman"/>
          <w:color w:val="000000"/>
          <w:sz w:val="20"/>
        </w:rPr>
      </w:pPr>
      <w:r>
        <w:pict w14:anchorId="2CDB5F80">
          <v:line id="_x0000_s1026" style="position:absolute;left:0;text-align:left;z-index:251658240;mso-position-horizontal-relative:page;mso-position-vertical-relative:page" from="64.8pt,688.55pt" to="552.85pt,688.55pt" strokeweight=".7pt">
            <w10:wrap anchorx="page" anchory="page"/>
          </v:line>
        </w:pict>
      </w:r>
      <w:r>
        <w:rPr>
          <w:rFonts w:eastAsia="Times New Roman"/>
          <w:color w:val="000000"/>
          <w:sz w:val="20"/>
        </w:rPr>
        <w:t>1-1</w:t>
      </w:r>
    </w:p>
    <w:p w14:paraId="2CDB5F7D" w14:textId="77777777" w:rsidR="000607F7" w:rsidRDefault="00BC2BDC">
      <w:pPr>
        <w:spacing w:line="213" w:lineRule="exact"/>
        <w:ind w:left="8640"/>
        <w:textAlignment w:val="baseline"/>
        <w:rPr>
          <w:rFonts w:eastAsia="Times New Roman"/>
          <w:i/>
          <w:color w:val="000000"/>
          <w:sz w:val="19"/>
        </w:rPr>
      </w:pPr>
      <w:r>
        <w:rPr>
          <w:rFonts w:eastAsia="Times New Roman"/>
          <w:i/>
          <w:color w:val="000000"/>
          <w:sz w:val="19"/>
        </w:rPr>
        <w:t>04/2003</w:t>
      </w:r>
    </w:p>
    <w:sectPr w:rsidR="000607F7">
      <w:type w:val="continuous"/>
      <w:pgSz w:w="12120" w:h="15802"/>
      <w:pgMar w:top="320" w:right="1064" w:bottom="120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B5F85" w14:textId="77777777" w:rsidR="00000000" w:rsidRDefault="00BC2BDC">
      <w:r>
        <w:separator/>
      </w:r>
    </w:p>
  </w:endnote>
  <w:endnote w:type="continuationSeparator" w:id="0">
    <w:p w14:paraId="2CDB5F87" w14:textId="77777777" w:rsidR="00000000" w:rsidRDefault="00BC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B5F81" w14:textId="77777777" w:rsidR="000607F7" w:rsidRDefault="000607F7"/>
  </w:footnote>
  <w:footnote w:type="continuationSeparator" w:id="0">
    <w:p w14:paraId="2CDB5F82" w14:textId="77777777" w:rsidR="000607F7" w:rsidRDefault="00BC2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86448"/>
    <w:multiLevelType w:val="multilevel"/>
    <w:tmpl w:val="F62C9594"/>
    <w:lvl w:ilvl="0">
      <w:start w:val="1"/>
      <w:numFmt w:val="upperLetter"/>
      <w:lvlText w:val="%1."/>
      <w:lvlJc w:val="left"/>
      <w:pPr>
        <w:tabs>
          <w:tab w:val="left" w:pos="360"/>
        </w:tabs>
      </w:pPr>
      <w:rPr>
        <w:rFonts w:ascii="Arial" w:eastAsia="Arial" w:hAnsi="Arial"/>
        <w:b/>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37338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7F7"/>
    <w:rsid w:val="000607F7"/>
    <w:rsid w:val="00BC2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CDB5F70"/>
  <w15:docId w15:val="{BAB85963-9A10-4B4F-9A86-EA8E3F71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fId" Type="http://schemas.openxmlformats.org/wordprocessingml/2006/fontTable" Target="fontTable0.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D36427BAEEB458A3B905FCAAB0919" ma:contentTypeVersion="0" ma:contentTypeDescription="Create a new document." ma:contentTypeScope="" ma:versionID="4365459053af2fcb8e3838cda9257893">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8E81BA-FEF7-494F-B468-266D4970FF1D}"/>
</file>

<file path=customXml/itemProps2.xml><?xml version="1.0" encoding="utf-8"?>
<ds:datastoreItem xmlns:ds="http://schemas.openxmlformats.org/officeDocument/2006/customXml" ds:itemID="{EB9B6CEC-82D5-410E-A74E-9572BA976BE7}"/>
</file>

<file path=customXml/itemProps3.xml><?xml version="1.0" encoding="utf-8"?>
<ds:datastoreItem xmlns:ds="http://schemas.openxmlformats.org/officeDocument/2006/customXml" ds:itemID="{3FED5F2A-DC72-498E-A4A8-3B4B643E5E49}"/>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979</Characters>
  <Application>Microsoft Office Word</Application>
  <DocSecurity>0</DocSecurity>
  <Lines>8</Lines>
  <Paragraphs>2</Paragraphs>
  <ScaleCrop>false</ScaleCrop>
  <Company>U.S. Department of Housing and Urban Development</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 Handbook -Procedures For Providing Reasonable Accommodation (7855.1)</dc:title>
  <dc:creator>Spadacino, Sophia L</dc:creator>
  <cp:lastModifiedBy>Spadacino, Sophia L</cp:lastModifiedBy>
  <cp:revision>2</cp:revision>
  <dcterms:created xsi:type="dcterms:W3CDTF">2022-05-23T13:42:00Z</dcterms:created>
  <dcterms:modified xsi:type="dcterms:W3CDTF">2022-05-23T13:42:00Z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0x010100948D36427BAEEB458A3B905FCAAB0919</vt:lpwstr>
  </property>
</Properties>
</file>