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606D0" w14:textId="2A2BCC19" w:rsidR="00DD30EC" w:rsidRPr="002953B6" w:rsidRDefault="008C44CF">
      <w:pPr>
        <w:pStyle w:val="Level1"/>
        <w:numPr>
          <w:ilvl w:val="0"/>
          <w:numId w:val="0"/>
        </w:numPr>
        <w:tabs>
          <w:tab w:val="left" w:pos="2160"/>
        </w:tabs>
        <w:jc w:val="center"/>
        <w:rPr>
          <w:b/>
          <w:bCs/>
        </w:rPr>
      </w:pPr>
      <w:r w:rsidRPr="002953B6">
        <w:rPr>
          <w:b/>
          <w:bCs/>
        </w:rPr>
        <w:t xml:space="preserve">CHAPTER </w:t>
      </w:r>
      <w:r w:rsidR="009D617B">
        <w:rPr>
          <w:b/>
          <w:bCs/>
        </w:rPr>
        <w:t>3</w:t>
      </w:r>
      <w:r w:rsidR="006B1EC8">
        <w:rPr>
          <w:b/>
          <w:bCs/>
        </w:rPr>
        <w:t>6</w:t>
      </w:r>
    </w:p>
    <w:p w14:paraId="38501AE7" w14:textId="77777777" w:rsidR="00DD30EC" w:rsidRPr="002953B6" w:rsidRDefault="00DD30EC">
      <w:pPr>
        <w:pStyle w:val="Level1"/>
        <w:numPr>
          <w:ilvl w:val="0"/>
          <w:numId w:val="0"/>
        </w:numPr>
        <w:tabs>
          <w:tab w:val="left" w:pos="2160"/>
        </w:tabs>
        <w:jc w:val="center"/>
        <w:rPr>
          <w:b/>
          <w:bCs/>
        </w:rPr>
      </w:pPr>
    </w:p>
    <w:p w14:paraId="7424D260" w14:textId="644C3C3D" w:rsidR="00DD30EC" w:rsidRPr="002953B6" w:rsidRDefault="000703FA">
      <w:pPr>
        <w:pStyle w:val="Level1"/>
        <w:numPr>
          <w:ilvl w:val="0"/>
          <w:numId w:val="0"/>
        </w:numPr>
        <w:tabs>
          <w:tab w:val="left" w:pos="2160"/>
        </w:tabs>
        <w:jc w:val="center"/>
        <w:rPr>
          <w:b/>
          <w:bCs/>
        </w:rPr>
      </w:pPr>
      <w:r w:rsidRPr="000703FA">
        <w:rPr>
          <w:b/>
          <w:bCs/>
        </w:rPr>
        <w:t>Coronavirus Aid, Relief, and Economic Security supplemental funding</w:t>
      </w:r>
      <w:r w:rsidRPr="000703FA" w:rsidDel="000703FA">
        <w:rPr>
          <w:b/>
          <w:bCs/>
        </w:rPr>
        <w:t xml:space="preserve"> </w:t>
      </w:r>
      <w:r w:rsidR="00E62B20" w:rsidRPr="002953B6">
        <w:rPr>
          <w:b/>
          <w:bCs/>
        </w:rPr>
        <w:t>– CARES ACT (</w:t>
      </w:r>
      <w:r>
        <w:rPr>
          <w:b/>
          <w:bCs/>
        </w:rPr>
        <w:t>CDBG-CV, HOPWA-CV</w:t>
      </w:r>
      <w:r w:rsidR="24687667" w:rsidRPr="05E2499F">
        <w:rPr>
          <w:b/>
          <w:bCs/>
        </w:rPr>
        <w:t>, HOPWA-C-CV</w:t>
      </w:r>
      <w:r w:rsidR="00B96217">
        <w:rPr>
          <w:b/>
          <w:bCs/>
        </w:rPr>
        <w:t>, ESG-CV</w:t>
      </w:r>
      <w:r w:rsidR="00E62B20" w:rsidRPr="002953B6">
        <w:rPr>
          <w:b/>
          <w:bCs/>
        </w:rPr>
        <w:t>)</w:t>
      </w:r>
    </w:p>
    <w:p w14:paraId="43A7B180" w14:textId="77777777" w:rsidR="00DD30EC" w:rsidRPr="002953B6" w:rsidRDefault="00DD30EC">
      <w:pPr>
        <w:pStyle w:val="Level1"/>
        <w:numPr>
          <w:ilvl w:val="0"/>
          <w:numId w:val="0"/>
        </w:numPr>
        <w:tabs>
          <w:tab w:val="left" w:pos="2160"/>
        </w:tabs>
        <w:jc w:val="center"/>
        <w:rPr>
          <w:b/>
          <w:bCs/>
        </w:rPr>
      </w:pPr>
      <w:r w:rsidRPr="002953B6">
        <w:rPr>
          <w:b/>
          <w:bCs/>
        </w:rPr>
        <w:t xml:space="preserve"> </w:t>
      </w:r>
    </w:p>
    <w:p w14:paraId="13514276" w14:textId="77777777" w:rsidR="00DD30EC" w:rsidRPr="002953B6" w:rsidRDefault="00DD30EC">
      <w:pPr>
        <w:pStyle w:val="Level1"/>
        <w:numPr>
          <w:ilvl w:val="0"/>
          <w:numId w:val="0"/>
        </w:numPr>
        <w:tabs>
          <w:tab w:val="left" w:pos="2160"/>
        </w:tabs>
      </w:pPr>
    </w:p>
    <w:p w14:paraId="7EEA23E8" w14:textId="59B87033" w:rsidR="00C77230" w:rsidRDefault="009536EF" w:rsidP="00BA0116">
      <w:pPr>
        <w:pStyle w:val="NormalWeb"/>
        <w:ind w:left="720" w:hanging="720"/>
      </w:pPr>
      <w:r>
        <w:t>36</w:t>
      </w:r>
      <w:r w:rsidR="00FD2092">
        <w:t xml:space="preserve">-1 </w:t>
      </w:r>
      <w:r w:rsidR="00546BC9">
        <w:t xml:space="preserve">    </w:t>
      </w:r>
      <w:r w:rsidR="00DD30EC" w:rsidRPr="5A82E117">
        <w:rPr>
          <w:u w:val="single"/>
        </w:rPr>
        <w:t>APPLICABILITY</w:t>
      </w:r>
      <w:r w:rsidR="005564ED">
        <w:t xml:space="preserve"> </w:t>
      </w:r>
      <w:r w:rsidR="0020112B">
        <w:t xml:space="preserve">This chapter is applicable to monitoring </w:t>
      </w:r>
      <w:r w:rsidR="00062564" w:rsidRPr="00903070">
        <w:t xml:space="preserve">Coronavirus Aid, Relief, and Economic Security </w:t>
      </w:r>
      <w:r w:rsidR="00062564">
        <w:t>(</w:t>
      </w:r>
      <w:r w:rsidR="00620A74">
        <w:t>CARES Act</w:t>
      </w:r>
      <w:r w:rsidR="00062564">
        <w:t>)</w:t>
      </w:r>
      <w:r w:rsidR="00620A74">
        <w:t xml:space="preserve"> </w:t>
      </w:r>
      <w:r w:rsidR="00A42B3B">
        <w:t>funding</w:t>
      </w:r>
      <w:r w:rsidR="004C1046">
        <w:t>.</w:t>
      </w:r>
      <w:r w:rsidR="00D72E62">
        <w:t xml:space="preserve"> </w:t>
      </w:r>
      <w:r w:rsidR="00E1051C">
        <w:t>The C</w:t>
      </w:r>
      <w:r w:rsidR="00285DCF">
        <w:t>ARES</w:t>
      </w:r>
      <w:r w:rsidR="00E1051C">
        <w:t xml:space="preserve"> Act provided </w:t>
      </w:r>
      <w:r w:rsidR="0098768E">
        <w:t>supplemental</w:t>
      </w:r>
      <w:r w:rsidR="00E1051C">
        <w:t xml:space="preserve"> funding to existing programs</w:t>
      </w:r>
      <w:r w:rsidR="005405CE">
        <w:t xml:space="preserve"> including the</w:t>
      </w:r>
      <w:r w:rsidR="00E1051C">
        <w:t xml:space="preserve"> Community Development Block Grant, </w:t>
      </w:r>
      <w:r w:rsidR="007B29B0">
        <w:t>Housing Opportunities for Persons with Aids</w:t>
      </w:r>
      <w:r w:rsidR="005405CE">
        <w:t>,</w:t>
      </w:r>
      <w:r w:rsidR="007B29B0">
        <w:t xml:space="preserve"> and Emergency </w:t>
      </w:r>
      <w:r w:rsidR="0043366F">
        <w:t xml:space="preserve">Solutions </w:t>
      </w:r>
      <w:r w:rsidR="007B29B0">
        <w:t>Grant</w:t>
      </w:r>
      <w:r w:rsidR="005405CE">
        <w:t>.</w:t>
      </w:r>
      <w:r w:rsidR="007B29B0">
        <w:t xml:space="preserve"> </w:t>
      </w:r>
      <w:r w:rsidR="00272D6A">
        <w:t xml:space="preserve">While these programs have existing </w:t>
      </w:r>
      <w:r w:rsidR="0035225F">
        <w:t>E</w:t>
      </w:r>
      <w:r w:rsidR="00272D6A">
        <w:t>xhibits</w:t>
      </w:r>
      <w:r w:rsidR="00355356">
        <w:t>,</w:t>
      </w:r>
      <w:r w:rsidR="00630B64">
        <w:t xml:space="preserve"> new </w:t>
      </w:r>
      <w:r w:rsidR="0035225F">
        <w:t>E</w:t>
      </w:r>
      <w:r w:rsidR="00630B64">
        <w:t xml:space="preserve">xhibits were needed to address unique monitoring priorities </w:t>
      </w:r>
      <w:r w:rsidR="00C20E00">
        <w:t xml:space="preserve">for </w:t>
      </w:r>
      <w:r w:rsidR="00371DEA" w:rsidRPr="00371DEA">
        <w:t>funds used to prevent, prepare for, and respond to coronavirus.</w:t>
      </w:r>
    </w:p>
    <w:p w14:paraId="37CB79B7" w14:textId="469F0479" w:rsidR="001C1B7C" w:rsidRDefault="001C1B7C" w:rsidP="00CE68F3">
      <w:pPr>
        <w:pStyle w:val="NormalWeb"/>
        <w:spacing w:before="0" w:beforeAutospacing="0" w:after="0" w:afterAutospacing="0"/>
        <w:ind w:left="1440" w:hanging="720"/>
      </w:pPr>
      <w:r>
        <w:t>The</w:t>
      </w:r>
      <w:r w:rsidR="003B1A5D">
        <w:t>se</w:t>
      </w:r>
      <w:r>
        <w:t xml:space="preserve"> </w:t>
      </w:r>
      <w:r w:rsidR="00355356">
        <w:t xml:space="preserve">existing </w:t>
      </w:r>
      <w:r>
        <w:t xml:space="preserve">programs have </w:t>
      </w:r>
      <w:r w:rsidR="00355356">
        <w:t xml:space="preserve">CARES Act </w:t>
      </w:r>
      <w:r w:rsidR="0035225F">
        <w:t>E</w:t>
      </w:r>
      <w:r>
        <w:t xml:space="preserve">xhibits in </w:t>
      </w:r>
      <w:r w:rsidR="00176625">
        <w:t>C</w:t>
      </w:r>
      <w:r>
        <w:t>hapter</w:t>
      </w:r>
      <w:r w:rsidR="00176625">
        <w:t xml:space="preserve"> 36</w:t>
      </w:r>
      <w:r>
        <w:t>:</w:t>
      </w:r>
    </w:p>
    <w:p w14:paraId="6A043DD1" w14:textId="5F32C163" w:rsidR="00C77230" w:rsidRDefault="00C77230" w:rsidP="00CE68F3">
      <w:pPr>
        <w:pStyle w:val="NormalWeb"/>
        <w:numPr>
          <w:ilvl w:val="0"/>
          <w:numId w:val="14"/>
        </w:numPr>
        <w:spacing w:before="0" w:beforeAutospacing="0" w:after="0" w:afterAutospacing="0"/>
      </w:pPr>
      <w:r w:rsidRPr="00CB7917">
        <w:t xml:space="preserve">Community Development Block Grants (CDBG) </w:t>
      </w:r>
      <w:r>
        <w:t>(Entitlement)</w:t>
      </w:r>
    </w:p>
    <w:p w14:paraId="052BE48D" w14:textId="4D697529" w:rsidR="00290762" w:rsidRPr="00290762" w:rsidRDefault="00290762" w:rsidP="00CE68F3">
      <w:pPr>
        <w:pStyle w:val="ListParagraph"/>
        <w:numPr>
          <w:ilvl w:val="0"/>
          <w:numId w:val="14"/>
        </w:numPr>
      </w:pPr>
      <w:r w:rsidRPr="00290762">
        <w:t>Community Development Block Grants (CDBG) (</w:t>
      </w:r>
      <w:r>
        <w:t>State</w:t>
      </w:r>
      <w:r w:rsidRPr="00290762">
        <w:t>)</w:t>
      </w:r>
    </w:p>
    <w:p w14:paraId="68EC01D8" w14:textId="1CBA418A" w:rsidR="00C77230" w:rsidRDefault="00C77230" w:rsidP="0EC93A6C">
      <w:pPr>
        <w:pStyle w:val="NormalWeb"/>
        <w:numPr>
          <w:ilvl w:val="0"/>
          <w:numId w:val="14"/>
        </w:numPr>
        <w:spacing w:before="0" w:beforeAutospacing="0" w:after="0" w:afterAutospacing="0"/>
      </w:pPr>
      <w:r>
        <w:t>Housing Opportunities for Persons with AIDS (HOPWA)</w:t>
      </w:r>
      <w:r w:rsidR="511F2775">
        <w:t>/Housing Opportunities for Persons with AIDS Competitive (HOPWA-C)</w:t>
      </w:r>
    </w:p>
    <w:p w14:paraId="4292AEC9" w14:textId="77777777" w:rsidR="0050298E" w:rsidRPr="0050298E" w:rsidRDefault="0050298E" w:rsidP="0050298E">
      <w:pPr>
        <w:pStyle w:val="ListParagraph"/>
        <w:numPr>
          <w:ilvl w:val="0"/>
          <w:numId w:val="14"/>
        </w:numPr>
      </w:pPr>
      <w:r w:rsidRPr="0050298E">
        <w:t xml:space="preserve">Emergency Solutions Grants (ESG) </w:t>
      </w:r>
    </w:p>
    <w:p w14:paraId="6032F533" w14:textId="77777777" w:rsidR="0050298E" w:rsidRDefault="0050298E" w:rsidP="0050298E">
      <w:pPr>
        <w:pStyle w:val="NormalWeb"/>
        <w:spacing w:before="0" w:beforeAutospacing="0" w:after="0" w:afterAutospacing="0"/>
        <w:ind w:left="1080"/>
      </w:pPr>
    </w:p>
    <w:p w14:paraId="59C17FA9" w14:textId="3639CBEA" w:rsidR="004B3879" w:rsidRDefault="006166E2" w:rsidP="00CC2938">
      <w:pPr>
        <w:pStyle w:val="NormalWeb"/>
        <w:numPr>
          <w:ilvl w:val="0"/>
          <w:numId w:val="13"/>
        </w:numPr>
      </w:pPr>
      <w:r w:rsidRPr="0017315C">
        <w:rPr>
          <w:u w:val="single"/>
        </w:rPr>
        <w:t xml:space="preserve">APPLICABILITY TO </w:t>
      </w:r>
      <w:r>
        <w:rPr>
          <w:u w:val="single"/>
        </w:rPr>
        <w:t>CDBG</w:t>
      </w:r>
      <w:r w:rsidRPr="00BA0116">
        <w:t xml:space="preserve"> </w:t>
      </w:r>
      <w:r w:rsidR="004B3879">
        <w:t xml:space="preserve">The procedures in this Chapter will apply to CDBG-CV and annual formula program funds for fiscal years 2019 and 2020 used to prevent, prepare for, and respond to coronavirus. Monitors are instructed to use the </w:t>
      </w:r>
      <w:r w:rsidR="0035225F">
        <w:t>E</w:t>
      </w:r>
      <w:r w:rsidR="004B3879">
        <w:t xml:space="preserve">xhibits in Chapter 36 to monitor the unique requirements for CDBG funded activities designated for coronavirus response. The basic requirements for the CDBG-CV </w:t>
      </w:r>
      <w:r w:rsidR="003A29AD">
        <w:t>are generally similar</w:t>
      </w:r>
      <w:r w:rsidR="004B3879">
        <w:t xml:space="preserve"> for annual formula CDBG Entitlement and State programs. However, the Exhibits in Chapter 36 are necessary to address unique requirements of the CARES Act and changes to program rules, waivers, and alternative requirements provided by HUD.</w:t>
      </w:r>
    </w:p>
    <w:p w14:paraId="6F4B5CAB" w14:textId="4BBEB96F" w:rsidR="004B3879" w:rsidRDefault="004B3879" w:rsidP="00CC2938">
      <w:pPr>
        <w:pStyle w:val="NormalWeb"/>
        <w:ind w:left="720"/>
      </w:pPr>
      <w:r>
        <w:t xml:space="preserve">CDBG Exhibits are split into two main </w:t>
      </w:r>
      <w:r w:rsidR="009E10C0">
        <w:t>chapters</w:t>
      </w:r>
      <w:r>
        <w:t>: The base Exhibits are contained in Chapters 3 (CDBG</w:t>
      </w:r>
      <w:r w:rsidR="009E10C0">
        <w:t xml:space="preserve"> Entitlement</w:t>
      </w:r>
      <w:r>
        <w:t>) and 4 (CDBG</w:t>
      </w:r>
      <w:r w:rsidR="009E10C0">
        <w:t xml:space="preserve"> State</w:t>
      </w:r>
      <w:r>
        <w:t xml:space="preserve">) and the Addendums for coronavirus related activities are in Chapter 36. </w:t>
      </w:r>
      <w:r w:rsidR="00221980">
        <w:t>Because</w:t>
      </w:r>
      <w:r>
        <w:t xml:space="preserve"> HUD granted several waivers and alternative requirements to support coronavirus related activities</w:t>
      </w:r>
      <w:r w:rsidR="00221980">
        <w:t>,</w:t>
      </w:r>
      <w:r>
        <w:t xml:space="preserve"> these changes have been incorporated in the Addendums</w:t>
      </w:r>
      <w:r w:rsidR="00EC7867">
        <w:t xml:space="preserve"> found in Chapter 36</w:t>
      </w:r>
      <w:r>
        <w:t xml:space="preserve">. The Exhibits in Chapters 3 and 4 are completed, where appropriate, and may be modified or supplemented by relevant sections of the Addendum. Both should be completed to ensure </w:t>
      </w:r>
      <w:r w:rsidR="00CC2938">
        <w:t xml:space="preserve">that </w:t>
      </w:r>
      <w:r>
        <w:t xml:space="preserve">both common and unique program requirements are reviewed.   </w:t>
      </w:r>
    </w:p>
    <w:p w14:paraId="622C1145" w14:textId="1BFCAFB0" w:rsidR="00776A2A" w:rsidRPr="00CB659A" w:rsidRDefault="00D039D2" w:rsidP="00776A2A">
      <w:pPr>
        <w:pStyle w:val="NormalWeb"/>
        <w:numPr>
          <w:ilvl w:val="0"/>
          <w:numId w:val="13"/>
        </w:numPr>
        <w:spacing w:before="0" w:beforeAutospacing="0" w:after="0" w:afterAutospacing="0"/>
        <w:rPr>
          <w:u w:val="single"/>
        </w:rPr>
      </w:pPr>
      <w:r w:rsidRPr="00171B97">
        <w:rPr>
          <w:u w:val="single"/>
        </w:rPr>
        <w:t>APPLICABILITY TO HOPWA</w:t>
      </w:r>
      <w:r w:rsidR="3329A7D7" w:rsidRPr="00171B97">
        <w:rPr>
          <w:u w:val="single"/>
        </w:rPr>
        <w:t xml:space="preserve"> and HOPWA Competitive</w:t>
      </w:r>
      <w:r w:rsidR="003126BD">
        <w:t xml:space="preserve"> The procedures in this Chapter will apply to </w:t>
      </w:r>
      <w:r w:rsidR="00994F86">
        <w:t>HOPWA</w:t>
      </w:r>
      <w:r w:rsidR="003126BD">
        <w:t>-CV</w:t>
      </w:r>
      <w:r w:rsidR="7B842814">
        <w:t xml:space="preserve"> and HOPWA-C-CV</w:t>
      </w:r>
      <w:r w:rsidR="003126BD">
        <w:t xml:space="preserve">. </w:t>
      </w:r>
      <w:r w:rsidR="00A41EFB">
        <w:t xml:space="preserve">As described in Notice CPD-20-05, </w:t>
      </w:r>
      <w:r w:rsidR="1BC58965">
        <w:t xml:space="preserve">HUD </w:t>
      </w:r>
      <w:r w:rsidR="00366900">
        <w:t>modified</w:t>
      </w:r>
      <w:r w:rsidR="001F7B45">
        <w:t xml:space="preserve"> the</w:t>
      </w:r>
      <w:r w:rsidR="00D827F7">
        <w:t xml:space="preserve"> eligible activities </w:t>
      </w:r>
      <w:r w:rsidR="004A15D5">
        <w:t>as provided</w:t>
      </w:r>
      <w:r w:rsidR="00A41EFB">
        <w:t xml:space="preserve"> </w:t>
      </w:r>
      <w:r w:rsidR="00756A48">
        <w:t xml:space="preserve">by </w:t>
      </w:r>
      <w:r w:rsidR="00A41EFB">
        <w:t>the CARES Act</w:t>
      </w:r>
      <w:r w:rsidR="00D827F7">
        <w:t xml:space="preserve"> </w:t>
      </w:r>
      <w:r w:rsidR="00366900">
        <w:t>and</w:t>
      </w:r>
      <w:r w:rsidR="00A41EFB">
        <w:t xml:space="preserve"> </w:t>
      </w:r>
      <w:r w:rsidR="1BC58965">
        <w:t xml:space="preserve">granted several waivers to support coronavirus related activities and these changes have been incorporated in Chapter 36.  </w:t>
      </w:r>
      <w:r w:rsidR="006A22D0" w:rsidRPr="006A22D0">
        <w:t xml:space="preserve">Monitors are instructed to use the HOPWA monitoring </w:t>
      </w:r>
      <w:r w:rsidR="00E05F66">
        <w:t>E</w:t>
      </w:r>
      <w:r w:rsidR="006A22D0" w:rsidRPr="006A22D0">
        <w:t>xhibits in chapter 36 should be used for assistance provided with</w:t>
      </w:r>
      <w:r w:rsidR="1BC58965">
        <w:t xml:space="preserve"> HOPWA-CV or </w:t>
      </w:r>
      <w:r w:rsidR="1BC58965">
        <w:lastRenderedPageBreak/>
        <w:t>HOPWA-C-CV funds</w:t>
      </w:r>
      <w:r w:rsidR="008628BD">
        <w:t xml:space="preserve"> </w:t>
      </w:r>
      <w:r w:rsidR="008628BD" w:rsidRPr="008628BD">
        <w:t xml:space="preserve">or FY2020 HOPWA grants for activities that were designated for </w:t>
      </w:r>
      <w:r w:rsidR="00350334" w:rsidRPr="008628BD">
        <w:t>coronavirus</w:t>
      </w:r>
      <w:r w:rsidR="008628BD" w:rsidRPr="008628BD">
        <w:t xml:space="preserve"> response.</w:t>
      </w:r>
    </w:p>
    <w:p w14:paraId="73EA1C59" w14:textId="77777777" w:rsidR="00002CC7" w:rsidRPr="00171B97" w:rsidRDefault="00002CC7" w:rsidP="00776A2A">
      <w:pPr>
        <w:pStyle w:val="NormalWeb"/>
        <w:spacing w:before="0" w:beforeAutospacing="0" w:after="0" w:afterAutospacing="0"/>
        <w:ind w:left="720"/>
        <w:rPr>
          <w:u w:val="single"/>
        </w:rPr>
      </w:pPr>
    </w:p>
    <w:p w14:paraId="73AB23B8" w14:textId="47ECAF54" w:rsidR="00002CC7" w:rsidRPr="00D43E3A" w:rsidRDefault="00002CC7" w:rsidP="00D62DFA">
      <w:pPr>
        <w:pStyle w:val="NormalWeb"/>
        <w:numPr>
          <w:ilvl w:val="0"/>
          <w:numId w:val="13"/>
        </w:numPr>
      </w:pPr>
      <w:r w:rsidRPr="00002CC7">
        <w:rPr>
          <w:u w:val="single"/>
        </w:rPr>
        <w:t>APPLICABILITY</w:t>
      </w:r>
      <w:r w:rsidR="0004545F">
        <w:rPr>
          <w:u w:val="single"/>
        </w:rPr>
        <w:t xml:space="preserve"> TO ESG</w:t>
      </w:r>
      <w:r w:rsidRPr="00002CC7">
        <w:rPr>
          <w:u w:val="single"/>
        </w:rPr>
        <w:t xml:space="preserve">.  </w:t>
      </w:r>
      <w:r w:rsidR="00CB659A" w:rsidRPr="00D43E3A">
        <w:t xml:space="preserve">The procedures in this Chapter will apply </w:t>
      </w:r>
      <w:proofErr w:type="gramStart"/>
      <w:r w:rsidR="00A67CEA" w:rsidRPr="00D43E3A">
        <w:t>to</w:t>
      </w:r>
      <w:r w:rsidR="00C06F54" w:rsidRPr="00D43E3A">
        <w:t>:</w:t>
      </w:r>
      <w:proofErr w:type="gramEnd"/>
      <w:r w:rsidR="00C06F54" w:rsidRPr="00D43E3A">
        <w:t xml:space="preserve"> 1) </w:t>
      </w:r>
      <w:r w:rsidRPr="00D43E3A">
        <w:t xml:space="preserve">the Emergency Solutions Grants (ESG) Program as funded and modified under the Coronavirus Aid, Relief, and Economic Security Act (CARES Act), otherwise known as ESG-CV; and 2) recipient and subrecipient activities funded with annual ESG grants (FY 2020 and older) used to prevent, prepare for, and respond to coronavirus (PPR). A recipient may have expended annual ESG funds both for activities used to PPR as well as activities not specifically designated for coronavirus response. In those cases, monitors are instructed to use the </w:t>
      </w:r>
      <w:r w:rsidR="00776A2A">
        <w:t>E</w:t>
      </w:r>
      <w:r w:rsidRPr="00D43E3A">
        <w:t xml:space="preserve">xhibits in Chapter </w:t>
      </w:r>
      <w:r w:rsidR="00D62DFA" w:rsidRPr="00D43E3A">
        <w:t>36</w:t>
      </w:r>
      <w:r w:rsidRPr="00D43E3A">
        <w:t xml:space="preserve"> to monitor annual ESG-funded activities designated for coronavirus response; Exhibits in Chapter 28 are to be used to monitor annual ESG-funded activities not designated for coronavirus response. </w:t>
      </w:r>
    </w:p>
    <w:p w14:paraId="462135C6" w14:textId="7B2ABF6B" w:rsidR="00002CC7" w:rsidRPr="00D43E3A" w:rsidRDefault="00002CC7" w:rsidP="00493915">
      <w:pPr>
        <w:pStyle w:val="NormalWeb"/>
        <w:ind w:left="720"/>
      </w:pPr>
      <w:r w:rsidRPr="00D43E3A">
        <w:t>Requirements at 24 CFR Part 576 apply to the use of ESG-CV funds and annual ESG funds designated to PPR, unless otherwise provided by the alternative requirements and flexibilities established under the CARES Act, Notice CPD-21-</w:t>
      </w:r>
      <w:r w:rsidR="007D5361" w:rsidRPr="00D43E3A">
        <w:t>08</w:t>
      </w:r>
      <w:r w:rsidR="007D5361">
        <w:t xml:space="preserve">, </w:t>
      </w:r>
      <w:r w:rsidR="007D5361" w:rsidRPr="00D43E3A">
        <w:t>Notice</w:t>
      </w:r>
      <w:r w:rsidR="00AA0B6F">
        <w:t xml:space="preserve"> </w:t>
      </w:r>
      <w:r w:rsidR="007A2B6A" w:rsidRPr="00D43E3A">
        <w:t>CPD-22</w:t>
      </w:r>
      <w:r w:rsidR="00230D55" w:rsidRPr="00D43E3A">
        <w:t>-</w:t>
      </w:r>
      <w:r w:rsidR="00230D55">
        <w:t>06</w:t>
      </w:r>
      <w:r w:rsidR="00230D55" w:rsidRPr="00D43E3A">
        <w:t xml:space="preserve">, </w:t>
      </w:r>
      <w:r w:rsidRPr="00D43E3A">
        <w:t xml:space="preserve">or other HUD waivers or CPD Notices. Notice CPD-21-08 supersedes Notice CPD-20-08, published on September 1, 2020, and reestablishes the allocation formula and amounts and reestablishes and announces new requirements for ESG-CV funding. </w:t>
      </w:r>
      <w:r w:rsidRPr="00D43E3A">
        <w:tab/>
      </w:r>
    </w:p>
    <w:p w14:paraId="35222BA9" w14:textId="6B3D0E01" w:rsidR="00002CC7" w:rsidRPr="00D43E3A" w:rsidRDefault="00002CC7" w:rsidP="00493915">
      <w:pPr>
        <w:pStyle w:val="NormalWeb"/>
        <w:ind w:left="720"/>
      </w:pPr>
      <w:r w:rsidRPr="00D43E3A">
        <w:t xml:space="preserve">States, </w:t>
      </w:r>
      <w:r w:rsidR="0088575B" w:rsidRPr="00D43E3A">
        <w:t>territories,</w:t>
      </w:r>
      <w:r w:rsidRPr="00D43E3A">
        <w:t xml:space="preserve"> and local governments receiving ESG-CV funds may carry out the program directly and/or subgrant all or part of their ESG funds to private nonprofit organizations to carry out eligible program activities. States receiving ESG-CV funds may subgrant to units of general-purpose local government to carry out the program. Urban counties may also subgrant to member governments.</w:t>
      </w:r>
      <w:r w:rsidR="00D76CE7" w:rsidRPr="00D76CE7">
        <w:t xml:space="preserve"> Additional eligible subrecipients are described in Section III.A of Notice CPD-21-08.</w:t>
      </w:r>
    </w:p>
    <w:p w14:paraId="7AF1BF45" w14:textId="67D7F236" w:rsidR="00002CC7" w:rsidRPr="00D43E3A" w:rsidRDefault="00002CC7" w:rsidP="00493915">
      <w:pPr>
        <w:pStyle w:val="NormalWeb"/>
        <w:ind w:left="720"/>
      </w:pPr>
      <w:r>
        <w:t xml:space="preserve">Part 576 generally incorporates the uniform administrative requirements, cost principles, and audit requirements, which were recently revised and codified at 2 CFR part 200. ESG-CV </w:t>
      </w:r>
      <w:r w:rsidR="00E05F66">
        <w:t>E</w:t>
      </w:r>
      <w:r>
        <w:t xml:space="preserve">xhibits contain (or incorporate) both questions to monitor compliance with 2 CFR part 200. For </w:t>
      </w:r>
      <w:r w:rsidR="002961A4">
        <w:t>instructions</w:t>
      </w:r>
      <w:r>
        <w:t xml:space="preserve"> on monitoring for compliance with the uniform administrative requirements, cost principles, and audit requirements </w:t>
      </w:r>
      <w:r w:rsidR="002961A4">
        <w:t xml:space="preserve">while HUD works to update its rules, guidance, and monitoring </w:t>
      </w:r>
      <w:r w:rsidR="00E05F66">
        <w:t>E</w:t>
      </w:r>
      <w:r w:rsidR="002961A4">
        <w:t>xhibits in response to OMB’s most recent changes</w:t>
      </w:r>
      <w:r>
        <w:t xml:space="preserve"> to 2 CFR part 200, please see </w:t>
      </w:r>
      <w:r w:rsidR="00355917">
        <w:t xml:space="preserve">the revised introduction to Chapter 34 of this monitoring handbook. </w:t>
      </w:r>
    </w:p>
    <w:p w14:paraId="1ECB42B9" w14:textId="5EBA7042" w:rsidR="00002CC7" w:rsidRPr="00D43E3A" w:rsidRDefault="00167237" w:rsidP="00493915">
      <w:pPr>
        <w:pStyle w:val="NormalWeb"/>
        <w:spacing w:before="0" w:beforeAutospacing="0" w:after="0" w:afterAutospacing="0"/>
        <w:ind w:left="720"/>
      </w:pPr>
      <w:r w:rsidRPr="00167237">
        <w:t xml:space="preserve">Where ESG funds were used for acquisition, rehabilitation, shelter operations costs, leasing, rental assistance, or support services in connection with </w:t>
      </w:r>
      <w:proofErr w:type="gramStart"/>
      <w:r w:rsidRPr="00167237">
        <w:t>particular shelter(s)</w:t>
      </w:r>
      <w:proofErr w:type="gramEnd"/>
      <w:r w:rsidRPr="00167237">
        <w:t xml:space="preserve"> or housing</w:t>
      </w:r>
      <w:r w:rsidR="00002CC7" w:rsidRPr="00D43E3A">
        <w:t xml:space="preserve">, the HUD reviewer MUST complete the applicable Exhibits in Chapter 24 of this Handbook, Lead-Based Paint Compliance. NOTE:  See </w:t>
      </w:r>
      <w:r w:rsidR="00C3548A">
        <w:t>Exhibit 24-1 (</w:t>
      </w:r>
      <w:r w:rsidR="00356AD1" w:rsidRPr="00356AD1">
        <w:t>Properties Receiving Federal Rehabilitation Assistance</w:t>
      </w:r>
      <w:r w:rsidR="00C3548A">
        <w:t xml:space="preserve">), </w:t>
      </w:r>
      <w:r w:rsidR="00002CC7" w:rsidRPr="00D43E3A">
        <w:t>Exhibit 24-2 (</w:t>
      </w:r>
      <w:r w:rsidR="00F34D34" w:rsidRPr="00F34D34">
        <w:t xml:space="preserve">Properties Receiving </w:t>
      </w:r>
      <w:r w:rsidR="00F863AB" w:rsidRPr="00F863AB">
        <w:t>Acquisition, Leasing, Support Services, or Operations Assistance</w:t>
      </w:r>
      <w:r w:rsidR="00002CC7" w:rsidRPr="00D43E3A">
        <w:t>), Exhibit 24-3 (</w:t>
      </w:r>
      <w:r w:rsidR="007E656C" w:rsidRPr="007E656C">
        <w:t xml:space="preserve">Properties Receiving </w:t>
      </w:r>
      <w:r w:rsidR="00002CC7" w:rsidRPr="00D43E3A">
        <w:t>Tenant-Based Rental Assistance), or Exhibit 24-4 (</w:t>
      </w:r>
      <w:r w:rsidR="007E656C" w:rsidRPr="007E656C">
        <w:t xml:space="preserve">Properties Receiving </w:t>
      </w:r>
      <w:r w:rsidR="00002CC7" w:rsidRPr="00D43E3A">
        <w:t>Project-Based Rental Assistance).</w:t>
      </w:r>
    </w:p>
    <w:p w14:paraId="5DB46376" w14:textId="77777777" w:rsidR="00A6226F" w:rsidRDefault="00A6226F" w:rsidP="00CE68F3">
      <w:pPr>
        <w:pStyle w:val="Level1"/>
        <w:numPr>
          <w:ilvl w:val="0"/>
          <w:numId w:val="0"/>
        </w:numPr>
      </w:pPr>
    </w:p>
    <w:p w14:paraId="4FB6C1FF" w14:textId="0DD953DA" w:rsidR="00F312E6" w:rsidRDefault="00015A46" w:rsidP="00CE68F3">
      <w:pPr>
        <w:pStyle w:val="Level1"/>
        <w:numPr>
          <w:ilvl w:val="0"/>
          <w:numId w:val="0"/>
        </w:numPr>
        <w:tabs>
          <w:tab w:val="clear" w:pos="4320"/>
          <w:tab w:val="center" w:pos="-90"/>
        </w:tabs>
        <w:ind w:left="720" w:hanging="720"/>
      </w:pPr>
      <w:r>
        <w:t>36</w:t>
      </w:r>
      <w:r w:rsidR="00910D3C">
        <w:t xml:space="preserve">-2 </w:t>
      </w:r>
      <w:r w:rsidR="00DD30EC">
        <w:tab/>
      </w:r>
      <w:r w:rsidR="00DD30EC">
        <w:rPr>
          <w:u w:val="single"/>
        </w:rPr>
        <w:t>PREPARING FOR MONITORING.</w:t>
      </w:r>
      <w:r w:rsidR="00DD30EC">
        <w:t xml:space="preserve">  The specific program areas or requirements to be monitored are determined as part of the risk a</w:t>
      </w:r>
      <w:r w:rsidR="006503AC">
        <w:t>nalysis</w:t>
      </w:r>
      <w:r w:rsidR="00DD30EC">
        <w:t xml:space="preserve"> process (see additional guidance provided in Chapter 2). Before monitoring, the </w:t>
      </w:r>
      <w:r w:rsidR="003E60F0">
        <w:t xml:space="preserve">HUD </w:t>
      </w:r>
      <w:r w:rsidR="00DD30EC">
        <w:t>reviewer should be familiar with both the program requirements</w:t>
      </w:r>
      <w:r w:rsidR="00B769FD">
        <w:t>, including waivers and alternative requirements,</w:t>
      </w:r>
      <w:r w:rsidR="00DD30EC">
        <w:t xml:space="preserve"> and the design and operation of the participant’s program, particularly any areas th</w:t>
      </w:r>
      <w:r w:rsidR="00F312E6">
        <w:t>at have been identified as high-</w:t>
      </w:r>
      <w:r w:rsidR="00DD30EC">
        <w:t xml:space="preserve">risk or that are the subject of the monitoring. Whether monitoring on-site or assembling materials for a remote </w:t>
      </w:r>
      <w:r w:rsidR="00F3545E">
        <w:t>monitoring, reviewers</w:t>
      </w:r>
      <w:r w:rsidR="00DD30EC">
        <w:t xml:space="preserve"> will need specific items to successfully monitor a participant’s </w:t>
      </w:r>
      <w:r w:rsidR="00DE0A58">
        <w:t>p</w:t>
      </w:r>
      <w:r w:rsidR="00DD30EC">
        <w:t>rogram</w:t>
      </w:r>
      <w:r w:rsidR="00F312E6">
        <w:t>.</w:t>
      </w:r>
      <w:r w:rsidR="00DD30EC">
        <w:t xml:space="preserve"> </w:t>
      </w:r>
      <w:r w:rsidR="006E2B5A" w:rsidRPr="006E2B5A">
        <w:t xml:space="preserve">Information that will assist in Program monitoring </w:t>
      </w:r>
      <w:r w:rsidR="0079777E" w:rsidRPr="006E2B5A">
        <w:t>includes</w:t>
      </w:r>
      <w:r w:rsidR="006E2B5A" w:rsidRPr="006E2B5A">
        <w:t xml:space="preserve">: </w:t>
      </w:r>
    </w:p>
    <w:p w14:paraId="313D441B" w14:textId="77777777" w:rsidR="00F312E6" w:rsidRDefault="00F312E6" w:rsidP="00CE68F3">
      <w:pPr>
        <w:pStyle w:val="Level1"/>
        <w:numPr>
          <w:ilvl w:val="0"/>
          <w:numId w:val="0"/>
        </w:numPr>
        <w:tabs>
          <w:tab w:val="clear" w:pos="4320"/>
          <w:tab w:val="center" w:pos="-90"/>
        </w:tabs>
        <w:spacing w:line="120" w:lineRule="auto"/>
        <w:ind w:left="720" w:hanging="720"/>
      </w:pPr>
    </w:p>
    <w:p w14:paraId="51C3E45E" w14:textId="690F9512" w:rsidR="00B769FD" w:rsidRPr="004721CE" w:rsidRDefault="00B769FD" w:rsidP="00CE68F3">
      <w:pPr>
        <w:pStyle w:val="Level1"/>
        <w:numPr>
          <w:ilvl w:val="0"/>
          <w:numId w:val="11"/>
        </w:numPr>
        <w:tabs>
          <w:tab w:val="clear" w:pos="4320"/>
          <w:tab w:val="center" w:pos="-90"/>
        </w:tabs>
        <w:rPr>
          <w:color w:val="161E0D"/>
          <w:szCs w:val="20"/>
        </w:rPr>
      </w:pPr>
      <w:r>
        <w:t>Coronavirus Aid, Relief, and Economic Security Act (CARES Act), Public Law 116-136 (2020)</w:t>
      </w:r>
    </w:p>
    <w:p w14:paraId="3A941656" w14:textId="7AD7CF96" w:rsidR="004721CE" w:rsidRDefault="004721CE" w:rsidP="004721CE">
      <w:pPr>
        <w:pStyle w:val="ListParagraph"/>
        <w:numPr>
          <w:ilvl w:val="0"/>
          <w:numId w:val="11"/>
        </w:numPr>
        <w:rPr>
          <w:color w:val="161E0D"/>
          <w:szCs w:val="20"/>
        </w:rPr>
      </w:pPr>
      <w:r w:rsidRPr="004721CE">
        <w:rPr>
          <w:color w:val="161E0D"/>
          <w:szCs w:val="20"/>
        </w:rPr>
        <w:t>Notice of Program Rules, Waivers, and Alternative Requirements Under the CARES Act for Community Development Block Grant Program Coronavirus Response Grants, Fiscal Year 2019 and 2020 Community Development Block Grants, and for Other Formula Programs (85 FR 51457, August 7, 2020</w:t>
      </w:r>
      <w:r w:rsidR="00253CBD">
        <w:rPr>
          <w:color w:val="161E0D"/>
          <w:szCs w:val="20"/>
        </w:rPr>
        <w:t>)</w:t>
      </w:r>
    </w:p>
    <w:p w14:paraId="768EFD9A" w14:textId="5D2339EB" w:rsidR="0036283E" w:rsidRDefault="006834F5" w:rsidP="00CE68F3">
      <w:pPr>
        <w:pStyle w:val="Level1"/>
        <w:numPr>
          <w:ilvl w:val="0"/>
          <w:numId w:val="11"/>
        </w:numPr>
        <w:tabs>
          <w:tab w:val="clear" w:pos="4320"/>
          <w:tab w:val="center" w:pos="-90"/>
        </w:tabs>
        <w:rPr>
          <w:color w:val="161E0D"/>
          <w:szCs w:val="20"/>
        </w:rPr>
      </w:pPr>
      <w:r w:rsidRPr="006834F5">
        <w:rPr>
          <w:color w:val="161E0D"/>
          <w:szCs w:val="20"/>
        </w:rPr>
        <w:t xml:space="preserve">Notice CPD-20-05: Coronavirus Aid, Relief, and Economic Security Act Implementation Instructions and Related Flexibilities for the Housing Opportunities for Persons </w:t>
      </w:r>
      <w:proofErr w:type="gramStart"/>
      <w:r w:rsidRPr="006834F5">
        <w:rPr>
          <w:color w:val="161E0D"/>
          <w:szCs w:val="20"/>
        </w:rPr>
        <w:t>With</w:t>
      </w:r>
      <w:proofErr w:type="gramEnd"/>
      <w:r w:rsidRPr="006834F5">
        <w:rPr>
          <w:color w:val="161E0D"/>
          <w:szCs w:val="20"/>
        </w:rPr>
        <w:t xml:space="preserve"> AIDS Program</w:t>
      </w:r>
    </w:p>
    <w:p w14:paraId="182CB8EE" w14:textId="281D509E" w:rsidR="00932C6D" w:rsidRPr="00FD72B1" w:rsidRDefault="00932C6D" w:rsidP="00FD72B1">
      <w:pPr>
        <w:pStyle w:val="Level1"/>
        <w:numPr>
          <w:ilvl w:val="0"/>
          <w:numId w:val="11"/>
        </w:numPr>
        <w:tabs>
          <w:tab w:val="center" w:pos="-90"/>
        </w:tabs>
        <w:rPr>
          <w:color w:val="161E0D"/>
          <w:szCs w:val="20"/>
        </w:rPr>
      </w:pPr>
      <w:r w:rsidRPr="00FD72B1">
        <w:rPr>
          <w:color w:val="161E0D"/>
          <w:szCs w:val="20"/>
        </w:rPr>
        <w:t xml:space="preserve">Notice CPD-21-08: </w:t>
      </w:r>
      <w:bookmarkStart w:id="0" w:name="_Hlk100590282"/>
      <w:r w:rsidRPr="00FD72B1">
        <w:rPr>
          <w:color w:val="161E0D"/>
          <w:szCs w:val="20"/>
        </w:rPr>
        <w:t xml:space="preserve">Waivers and Alternative Requirements for the Emergency Solutions Grants (ESG) Program Under the CARES Act </w:t>
      </w:r>
      <w:bookmarkEnd w:id="0"/>
      <w:r w:rsidRPr="00FD72B1">
        <w:rPr>
          <w:color w:val="161E0D"/>
          <w:szCs w:val="20"/>
        </w:rPr>
        <w:t>(July 19, 2021)</w:t>
      </w:r>
    </w:p>
    <w:p w14:paraId="34AD5550" w14:textId="4FD5C866" w:rsidR="00AA23BA" w:rsidRPr="000814A8" w:rsidRDefault="00AA23BA" w:rsidP="00AE6200">
      <w:pPr>
        <w:pStyle w:val="Level1"/>
        <w:numPr>
          <w:ilvl w:val="0"/>
          <w:numId w:val="11"/>
        </w:numPr>
        <w:tabs>
          <w:tab w:val="center" w:pos="-90"/>
        </w:tabs>
        <w:rPr>
          <w:color w:val="161E0D"/>
          <w:szCs w:val="20"/>
        </w:rPr>
      </w:pPr>
      <w:r w:rsidRPr="00AE6200">
        <w:rPr>
          <w:color w:val="161E0D"/>
          <w:szCs w:val="20"/>
        </w:rPr>
        <w:t>Notice CPD-22</w:t>
      </w:r>
      <w:r w:rsidR="00706E1B" w:rsidRPr="00AE6200">
        <w:rPr>
          <w:color w:val="161E0D"/>
          <w:szCs w:val="20"/>
        </w:rPr>
        <w:t>-</w:t>
      </w:r>
      <w:r w:rsidR="00706E1B">
        <w:rPr>
          <w:color w:val="161E0D"/>
          <w:szCs w:val="20"/>
        </w:rPr>
        <w:t>06</w:t>
      </w:r>
      <w:r w:rsidR="00706E1B" w:rsidRPr="00AE6200">
        <w:rPr>
          <w:color w:val="161E0D"/>
          <w:szCs w:val="20"/>
        </w:rPr>
        <w:t xml:space="preserve"> </w:t>
      </w:r>
      <w:r w:rsidR="00AE6200" w:rsidRPr="000814A8">
        <w:rPr>
          <w:color w:val="161E0D"/>
          <w:szCs w:val="20"/>
        </w:rPr>
        <w:t>Waivers and Alternative Requirements for the Emergency Solutions Grants</w:t>
      </w:r>
      <w:r w:rsidR="00AE6200">
        <w:rPr>
          <w:color w:val="161E0D"/>
          <w:szCs w:val="20"/>
        </w:rPr>
        <w:t xml:space="preserve"> </w:t>
      </w:r>
      <w:r w:rsidR="00AE6200" w:rsidRPr="00AE6200">
        <w:rPr>
          <w:color w:val="161E0D"/>
          <w:szCs w:val="20"/>
        </w:rPr>
        <w:tab/>
        <w:t xml:space="preserve">Program Under the CARES Act (ESG-CV); Amendments and Clarifications </w:t>
      </w:r>
      <w:r w:rsidR="00901838" w:rsidRPr="00AE6200">
        <w:rPr>
          <w:color w:val="161E0D"/>
          <w:szCs w:val="20"/>
        </w:rPr>
        <w:t>(</w:t>
      </w:r>
      <w:r w:rsidR="00706E1B">
        <w:rPr>
          <w:color w:val="161E0D"/>
          <w:szCs w:val="20"/>
        </w:rPr>
        <w:t xml:space="preserve">April </w:t>
      </w:r>
      <w:r w:rsidR="00AD3861">
        <w:rPr>
          <w:color w:val="161E0D"/>
          <w:szCs w:val="20"/>
        </w:rPr>
        <w:t>18, 2022</w:t>
      </w:r>
      <w:r w:rsidR="00901838" w:rsidRPr="000814A8">
        <w:rPr>
          <w:color w:val="161E0D"/>
          <w:szCs w:val="20"/>
        </w:rPr>
        <w:t>)</w:t>
      </w:r>
    </w:p>
    <w:p w14:paraId="06BF4C1F" w14:textId="77777777" w:rsidR="00932C6D" w:rsidRPr="00932C6D" w:rsidRDefault="00932C6D" w:rsidP="00932C6D">
      <w:pPr>
        <w:pStyle w:val="Level1"/>
        <w:numPr>
          <w:ilvl w:val="0"/>
          <w:numId w:val="11"/>
        </w:numPr>
        <w:tabs>
          <w:tab w:val="center" w:pos="-90"/>
        </w:tabs>
        <w:rPr>
          <w:color w:val="161E0D"/>
          <w:szCs w:val="20"/>
        </w:rPr>
      </w:pPr>
      <w:r w:rsidRPr="00932C6D">
        <w:rPr>
          <w:color w:val="161E0D"/>
          <w:szCs w:val="20"/>
        </w:rPr>
        <w:t>Notice CPD-21-05: Waiver and Alternative Requirements for the ESG Program Under the CARES Act (April 14, 2021)</w:t>
      </w:r>
    </w:p>
    <w:p w14:paraId="2F7B0C38" w14:textId="4BC12C7F" w:rsidR="00DD30EC" w:rsidRPr="00073990" w:rsidRDefault="001046DD" w:rsidP="00CE68F3">
      <w:pPr>
        <w:pStyle w:val="Level1"/>
        <w:numPr>
          <w:ilvl w:val="0"/>
          <w:numId w:val="11"/>
        </w:numPr>
        <w:tabs>
          <w:tab w:val="clear" w:pos="4320"/>
          <w:tab w:val="center" w:pos="-90"/>
        </w:tabs>
        <w:rPr>
          <w:color w:val="161E0D"/>
          <w:szCs w:val="20"/>
        </w:rPr>
      </w:pPr>
      <w:r>
        <w:t xml:space="preserve">the </w:t>
      </w:r>
      <w:r w:rsidR="00DD30EC" w:rsidRPr="005C1782">
        <w:t>most recent approved Consolidated Plan Annual Action Plan</w:t>
      </w:r>
    </w:p>
    <w:p w14:paraId="1E9096BD" w14:textId="4CD4E41F" w:rsidR="005C1782" w:rsidRPr="00073990" w:rsidRDefault="001046DD" w:rsidP="00CE68F3">
      <w:pPr>
        <w:pStyle w:val="Level1"/>
        <w:numPr>
          <w:ilvl w:val="0"/>
          <w:numId w:val="11"/>
        </w:numPr>
        <w:tabs>
          <w:tab w:val="clear" w:pos="4320"/>
          <w:tab w:val="center" w:pos="-90"/>
        </w:tabs>
        <w:rPr>
          <w:color w:val="161E0D"/>
          <w:szCs w:val="20"/>
        </w:rPr>
      </w:pPr>
      <w:r>
        <w:t xml:space="preserve">the </w:t>
      </w:r>
      <w:r w:rsidR="00DD30EC" w:rsidRPr="005C1782">
        <w:t xml:space="preserve">grant agreement </w:t>
      </w:r>
      <w:r w:rsidR="005C1782" w:rsidRPr="00073990">
        <w:rPr>
          <w:color w:val="000000"/>
        </w:rPr>
        <w:t>and amendment(s) to the grant agreement, and any subrecipient agreements and/or procurement contracts</w:t>
      </w:r>
    </w:p>
    <w:p w14:paraId="2BF394B2" w14:textId="025FEB47" w:rsidR="005C1782" w:rsidRPr="00073990" w:rsidRDefault="00DD30EC" w:rsidP="00CE68F3">
      <w:pPr>
        <w:pStyle w:val="Level1"/>
        <w:numPr>
          <w:ilvl w:val="0"/>
          <w:numId w:val="11"/>
        </w:numPr>
        <w:tabs>
          <w:tab w:val="clear" w:pos="4320"/>
          <w:tab w:val="center" w:pos="-90"/>
        </w:tabs>
        <w:rPr>
          <w:color w:val="161E0D"/>
          <w:szCs w:val="20"/>
        </w:rPr>
      </w:pPr>
      <w:r w:rsidRPr="005C1782">
        <w:t xml:space="preserve">any HUD-approved </w:t>
      </w:r>
      <w:r w:rsidR="00CB7F86" w:rsidRPr="005C1782">
        <w:t xml:space="preserve">waivers </w:t>
      </w:r>
      <w:r w:rsidR="00CB7F86" w:rsidRPr="00DD63C8">
        <w:t>found</w:t>
      </w:r>
      <w:r w:rsidR="00DD63C8" w:rsidRPr="00DD63C8">
        <w:t xml:space="preserve"> at https://www.hud.gov/program_offices/comm_planning/waivers_covid-19</w:t>
      </w:r>
    </w:p>
    <w:p w14:paraId="3A9C47CE" w14:textId="62D25CBF" w:rsidR="00DD30EC" w:rsidRPr="00073990" w:rsidRDefault="00DD30EC" w:rsidP="00CE68F3">
      <w:pPr>
        <w:pStyle w:val="Level1"/>
        <w:numPr>
          <w:ilvl w:val="0"/>
          <w:numId w:val="11"/>
        </w:numPr>
        <w:tabs>
          <w:tab w:val="clear" w:pos="4320"/>
          <w:tab w:val="center" w:pos="-90"/>
        </w:tabs>
        <w:rPr>
          <w:color w:val="161E0D"/>
          <w:szCs w:val="20"/>
        </w:rPr>
      </w:pPr>
      <w:r w:rsidRPr="005C1782">
        <w:t>Integrated Disbursement and Information System (IDIS) draw information</w:t>
      </w:r>
      <w:r w:rsidR="005C1782" w:rsidRPr="005C1782">
        <w:t xml:space="preserve"> and reports</w:t>
      </w:r>
    </w:p>
    <w:p w14:paraId="21761C04" w14:textId="3B3D02D3" w:rsidR="00BD4819" w:rsidRPr="003B69B2" w:rsidRDefault="00C64CD7" w:rsidP="00CE68F3">
      <w:pPr>
        <w:pStyle w:val="Level1"/>
        <w:numPr>
          <w:ilvl w:val="0"/>
          <w:numId w:val="11"/>
        </w:numPr>
        <w:tabs>
          <w:tab w:val="clear" w:pos="4320"/>
          <w:tab w:val="center" w:pos="-90"/>
        </w:tabs>
      </w:pPr>
      <w:r w:rsidRPr="009E660F">
        <w:t>the</w:t>
      </w:r>
      <w:r>
        <w:t xml:space="preserve"> </w:t>
      </w:r>
      <w:r w:rsidR="00DD30EC" w:rsidRPr="005C1782">
        <w:t xml:space="preserve">latest </w:t>
      </w:r>
      <w:r w:rsidR="008A6486">
        <w:t>Quarterly Performance Report (QPR)</w:t>
      </w:r>
    </w:p>
    <w:p w14:paraId="7BB62D7C" w14:textId="46CF833D" w:rsidR="00BD4819" w:rsidRDefault="00AD4C89" w:rsidP="00CE68F3">
      <w:pPr>
        <w:pStyle w:val="Level1"/>
        <w:numPr>
          <w:ilvl w:val="0"/>
          <w:numId w:val="11"/>
        </w:numPr>
        <w:tabs>
          <w:tab w:val="clear" w:pos="4320"/>
          <w:tab w:val="center" w:pos="-90"/>
        </w:tabs>
      </w:pPr>
      <w:r>
        <w:t xml:space="preserve">Program statutes and requirements. </w:t>
      </w:r>
    </w:p>
    <w:p w14:paraId="10F69D7B" w14:textId="79CFAAF6" w:rsidR="00CE68F3" w:rsidRPr="00CE68F3" w:rsidRDefault="00CE68F3" w:rsidP="00CE68F3">
      <w:pPr>
        <w:pStyle w:val="Level1"/>
        <w:numPr>
          <w:ilvl w:val="0"/>
          <w:numId w:val="0"/>
        </w:numPr>
        <w:tabs>
          <w:tab w:val="clear" w:pos="4320"/>
          <w:tab w:val="center" w:pos="-90"/>
        </w:tabs>
        <w:ind w:left="1440"/>
        <w:rPr>
          <w:color w:val="161E0D"/>
          <w:szCs w:val="20"/>
        </w:rPr>
      </w:pPr>
    </w:p>
    <w:p w14:paraId="56E46518" w14:textId="27EDF9FE" w:rsidR="00DD30EC" w:rsidRDefault="00502D27" w:rsidP="00CE68F3">
      <w:pPr>
        <w:pStyle w:val="Level1"/>
        <w:numPr>
          <w:ilvl w:val="0"/>
          <w:numId w:val="0"/>
        </w:numPr>
        <w:tabs>
          <w:tab w:val="clear" w:pos="4320"/>
          <w:tab w:val="center" w:pos="-90"/>
        </w:tabs>
        <w:ind w:left="720"/>
      </w:pPr>
      <w:r>
        <w:t>Each program has different program authorities and regulation</w:t>
      </w:r>
      <w:r w:rsidR="00BD4819">
        <w:t>s</w:t>
      </w:r>
      <w:r w:rsidR="003C45EA">
        <w:t xml:space="preserve"> that should also be used</w:t>
      </w:r>
      <w:r w:rsidR="00BD4819">
        <w:t>.</w:t>
      </w:r>
      <w:r w:rsidR="00FE47EF">
        <w:t xml:space="preserve"> </w:t>
      </w:r>
      <w:r w:rsidR="00CE68F3" w:rsidRPr="00CE68F3">
        <w:t xml:space="preserve">This information will vary based on the program being reviewed. </w:t>
      </w:r>
    </w:p>
    <w:p w14:paraId="1EEE78EC" w14:textId="77777777" w:rsidR="00167AAC" w:rsidRDefault="00167AAC" w:rsidP="00CE68F3">
      <w:pPr>
        <w:pStyle w:val="Level1"/>
        <w:numPr>
          <w:ilvl w:val="0"/>
          <w:numId w:val="0"/>
        </w:numPr>
        <w:tabs>
          <w:tab w:val="clear" w:pos="4320"/>
          <w:tab w:val="center" w:pos="-90"/>
        </w:tabs>
        <w:ind w:left="720"/>
      </w:pPr>
    </w:p>
    <w:p w14:paraId="50C91AD1" w14:textId="559B48D3" w:rsidR="00167AAC" w:rsidRPr="00167AAC" w:rsidRDefault="00167AAC" w:rsidP="00363417">
      <w:pPr>
        <w:tabs>
          <w:tab w:val="left" w:pos="720"/>
          <w:tab w:val="center" w:pos="4320"/>
          <w:tab w:val="right" w:pos="8640"/>
        </w:tabs>
        <w:ind w:left="720" w:hanging="720"/>
      </w:pPr>
      <w:r w:rsidRPr="00167AAC">
        <w:t xml:space="preserve">36-3     </w:t>
      </w:r>
      <w:r w:rsidRPr="00167AAC">
        <w:rPr>
          <w:u w:val="single"/>
        </w:rPr>
        <w:t>2 CFR 200 GRANTS MANAGEMENT POLICY UPDATES.</w:t>
      </w:r>
      <w:r w:rsidR="00363417">
        <w:rPr>
          <w:u w:val="single"/>
        </w:rPr>
        <w:t xml:space="preserve"> </w:t>
      </w:r>
      <w:r w:rsidRPr="00167AAC">
        <w:t xml:space="preserve">On August 13, </w:t>
      </w:r>
      <w:proofErr w:type="gramStart"/>
      <w:r w:rsidRPr="00167AAC">
        <w:t>2020</w:t>
      </w:r>
      <w:proofErr w:type="gramEnd"/>
      <w:r w:rsidRPr="00167AAC">
        <w:t xml:space="preserve"> and February 22, 2021, the Office of Management and Budget (OMB) revised 2 CFR part 200 </w:t>
      </w:r>
      <w:r w:rsidRPr="00167AAC">
        <w:rPr>
          <w:i/>
          <w:iCs/>
        </w:rPr>
        <w:t>Uniform Administrative Requirements, Cost Principles, and Audit Requirements for Federal Awards</w:t>
      </w:r>
      <w:r w:rsidRPr="00167AAC">
        <w:t>. These revisions contain changes that impact the management and administration of CDBG-CV, ESG-</w:t>
      </w:r>
      <w:proofErr w:type="gramStart"/>
      <w:r w:rsidRPr="00167AAC">
        <w:t>CV</w:t>
      </w:r>
      <w:proofErr w:type="gramEnd"/>
      <w:r w:rsidRPr="00167AAC">
        <w:t xml:space="preserve"> and HOPWA-CV awards. Most of these changes took effect on November 12, 2020. HUD is working on changing its regulations, </w:t>
      </w:r>
      <w:r w:rsidRPr="00167AAC">
        <w:lastRenderedPageBreak/>
        <w:t xml:space="preserve">guidance, and monitoring </w:t>
      </w:r>
      <w:r w:rsidR="00E05F66">
        <w:t>E</w:t>
      </w:r>
      <w:r w:rsidRPr="00167AAC">
        <w:t xml:space="preserve">xhibits in response to the OMB changes to 2 CFR part 200. While CPD is making the necessary revisions to the monitoring </w:t>
      </w:r>
      <w:r w:rsidR="00E05F66">
        <w:t>E</w:t>
      </w:r>
      <w:r w:rsidRPr="00167AAC">
        <w:t xml:space="preserve">xhibits in Chapter 34 of the monitoring handbook, monitors should refer to the tables and instructions that are being added to that chapter with respect to their review of the part 200 requirements on financial management, audits, cost principles, procurement, and equipment. </w:t>
      </w:r>
    </w:p>
    <w:p w14:paraId="4E16961F" w14:textId="77777777" w:rsidR="00167AAC" w:rsidRPr="00167AAC" w:rsidRDefault="00167AAC" w:rsidP="00167AAC">
      <w:pPr>
        <w:tabs>
          <w:tab w:val="num" w:pos="360"/>
          <w:tab w:val="left" w:pos="720"/>
          <w:tab w:val="center" w:pos="4320"/>
          <w:tab w:val="right" w:pos="8640"/>
        </w:tabs>
        <w:ind w:left="720"/>
      </w:pPr>
    </w:p>
    <w:p w14:paraId="538A0711" w14:textId="77777777" w:rsidR="00167AAC" w:rsidRPr="00167AAC" w:rsidRDefault="00167AAC" w:rsidP="00167AAC">
      <w:pPr>
        <w:tabs>
          <w:tab w:val="num" w:pos="360"/>
          <w:tab w:val="left" w:pos="720"/>
          <w:tab w:val="center" w:pos="4320"/>
          <w:tab w:val="right" w:pos="8640"/>
        </w:tabs>
        <w:ind w:left="720"/>
      </w:pPr>
      <w:r w:rsidRPr="00167AAC">
        <w:t>Key changes are highlighted below:</w:t>
      </w:r>
    </w:p>
    <w:p w14:paraId="713DEEEA" w14:textId="77777777" w:rsidR="00167AAC" w:rsidRPr="00167AAC" w:rsidRDefault="00167AAC" w:rsidP="00167AAC">
      <w:pPr>
        <w:tabs>
          <w:tab w:val="num" w:pos="360"/>
          <w:tab w:val="center" w:pos="4320"/>
          <w:tab w:val="right" w:pos="8640"/>
        </w:tabs>
        <w:spacing w:before="240"/>
        <w:ind w:left="720"/>
      </w:pPr>
      <w:r w:rsidRPr="00167AAC">
        <w:t xml:space="preserve">Consistent terminology: OMB has removed all 2 CFR part 200 sections containing specific definitions (2 CFR 200.2-200.99) and added all the definitions in those sections into a general “Definitions” section, 2 CFR 200.1. </w:t>
      </w:r>
    </w:p>
    <w:p w14:paraId="70037BBE" w14:textId="77777777" w:rsidR="00167AAC" w:rsidRPr="00167AAC" w:rsidRDefault="00167AAC" w:rsidP="00167AAC">
      <w:pPr>
        <w:tabs>
          <w:tab w:val="num" w:pos="360"/>
          <w:tab w:val="left" w:pos="720"/>
          <w:tab w:val="center" w:pos="4320"/>
          <w:tab w:val="right" w:pos="8640"/>
        </w:tabs>
        <w:spacing w:before="240"/>
        <w:ind w:left="720"/>
      </w:pPr>
      <w:r w:rsidRPr="00167AAC">
        <w:t xml:space="preserve">Closeout: OMB adjusted the closeout requirements to extend deadlines for recipients to submit closeout reports. (2 CFR 200.344, </w:t>
      </w:r>
      <w:r w:rsidRPr="00167AAC">
        <w:rPr>
          <w:i/>
          <w:iCs/>
        </w:rPr>
        <w:t>Closeout</w:t>
      </w:r>
      <w:r w:rsidRPr="00167AAC">
        <w:t>)</w:t>
      </w:r>
    </w:p>
    <w:p w14:paraId="50AF283A" w14:textId="77777777" w:rsidR="00167AAC" w:rsidRPr="00167AAC" w:rsidRDefault="00167AAC" w:rsidP="00167AAC">
      <w:pPr>
        <w:tabs>
          <w:tab w:val="num" w:pos="360"/>
          <w:tab w:val="left" w:pos="720"/>
          <w:tab w:val="center" w:pos="4320"/>
          <w:tab w:val="right" w:pos="8640"/>
        </w:tabs>
        <w:ind w:left="720"/>
      </w:pPr>
    </w:p>
    <w:p w14:paraId="6AA70AD1" w14:textId="77777777" w:rsidR="00167AAC" w:rsidRPr="00167AAC" w:rsidRDefault="00167AAC" w:rsidP="00167AAC">
      <w:pPr>
        <w:tabs>
          <w:tab w:val="num" w:pos="360"/>
          <w:tab w:val="left" w:pos="720"/>
          <w:tab w:val="center" w:pos="4320"/>
          <w:tab w:val="right" w:pos="8640"/>
        </w:tabs>
        <w:ind w:left="720"/>
      </w:pPr>
      <w:r w:rsidRPr="00167AAC">
        <w:t xml:space="preserve">Procurement: OMB revised the procurement standards to provide greater flexibility regarding the micro-purchase threshold, incorporate the increased micro-purchase and simplified acquisition thresholds, add a domestic preferences provision (2 CFR 200.322, </w:t>
      </w:r>
      <w:r w:rsidRPr="00167AAC">
        <w:rPr>
          <w:i/>
          <w:iCs/>
        </w:rPr>
        <w:t>Domestic preferences for procurement</w:t>
      </w:r>
      <w:r w:rsidRPr="00167AAC">
        <w:t>).</w:t>
      </w:r>
    </w:p>
    <w:p w14:paraId="2556D449" w14:textId="77777777" w:rsidR="00167AAC" w:rsidRPr="00167AAC" w:rsidRDefault="00167AAC" w:rsidP="00167AAC">
      <w:pPr>
        <w:tabs>
          <w:tab w:val="center" w:pos="4320"/>
          <w:tab w:val="right" w:pos="8640"/>
        </w:tabs>
        <w:rPr>
          <w:rFonts w:ascii="Segoe UI Emoji" w:hAnsi="Segoe UI Emoji" w:cs="Segoe UI Emoji"/>
        </w:rPr>
      </w:pPr>
    </w:p>
    <w:p w14:paraId="0F1ABEA0" w14:textId="77777777" w:rsidR="00167AAC" w:rsidRPr="00167AAC" w:rsidRDefault="00167AAC" w:rsidP="00167AAC">
      <w:pPr>
        <w:tabs>
          <w:tab w:val="num" w:pos="360"/>
          <w:tab w:val="left" w:pos="720"/>
          <w:tab w:val="center" w:pos="4320"/>
          <w:tab w:val="right" w:pos="8640"/>
        </w:tabs>
        <w:ind w:left="720"/>
      </w:pPr>
      <w:r w:rsidRPr="00167AAC">
        <w:t>Termination: OMB removed the “for cause” termination provision but added other termination provisions providing greater flexibility for HUD to terminate awards, and now requires HUD to inform recipients of termination provisions using clear and unambiguous information. (2 CFR 200.340)</w:t>
      </w:r>
    </w:p>
    <w:p w14:paraId="100FCC41" w14:textId="77777777" w:rsidR="00167AAC" w:rsidRPr="00167AAC" w:rsidRDefault="00167AAC" w:rsidP="00167AAC">
      <w:pPr>
        <w:tabs>
          <w:tab w:val="left" w:pos="720"/>
          <w:tab w:val="center" w:pos="4320"/>
          <w:tab w:val="right" w:pos="8640"/>
        </w:tabs>
        <w:ind w:left="720" w:hanging="720"/>
      </w:pPr>
    </w:p>
    <w:p w14:paraId="491BA212" w14:textId="77777777" w:rsidR="00167AAC" w:rsidRPr="00167AAC" w:rsidRDefault="00167AAC" w:rsidP="00167AAC">
      <w:pPr>
        <w:tabs>
          <w:tab w:val="num" w:pos="360"/>
          <w:tab w:val="left" w:pos="720"/>
          <w:tab w:val="center" w:pos="4320"/>
          <w:tab w:val="right" w:pos="8640"/>
        </w:tabs>
        <w:ind w:left="720"/>
      </w:pPr>
      <w:r w:rsidRPr="00167AAC">
        <w:t>Indirect costs: OMB relaxed the requirements for use of the de minimis rate. (2 CFR 200.414)</w:t>
      </w:r>
    </w:p>
    <w:p w14:paraId="442558D1" w14:textId="77777777" w:rsidR="00167AAC" w:rsidRPr="00167AAC" w:rsidRDefault="00167AAC" w:rsidP="00167AAC">
      <w:pPr>
        <w:tabs>
          <w:tab w:val="left" w:pos="720"/>
          <w:tab w:val="center" w:pos="4320"/>
          <w:tab w:val="right" w:pos="8640"/>
        </w:tabs>
        <w:ind w:left="720" w:hanging="720"/>
      </w:pPr>
    </w:p>
    <w:p w14:paraId="7ADAA90F" w14:textId="5B1EB4B3" w:rsidR="00167AAC" w:rsidRDefault="00167AAC" w:rsidP="00CE68F3">
      <w:pPr>
        <w:pStyle w:val="Level1"/>
        <w:numPr>
          <w:ilvl w:val="0"/>
          <w:numId w:val="0"/>
        </w:numPr>
        <w:tabs>
          <w:tab w:val="clear" w:pos="4320"/>
          <w:tab w:val="center" w:pos="-90"/>
        </w:tabs>
        <w:ind w:left="720"/>
      </w:pPr>
    </w:p>
    <w:p w14:paraId="2C652AB8" w14:textId="77777777" w:rsidR="00CE68F3" w:rsidRDefault="00CE68F3" w:rsidP="00CE68F3">
      <w:pPr>
        <w:pStyle w:val="Level1"/>
        <w:numPr>
          <w:ilvl w:val="0"/>
          <w:numId w:val="0"/>
        </w:numPr>
        <w:tabs>
          <w:tab w:val="clear" w:pos="4320"/>
          <w:tab w:val="center" w:pos="-90"/>
        </w:tabs>
        <w:ind w:left="720"/>
      </w:pPr>
    </w:p>
    <w:p w14:paraId="130730D3" w14:textId="6BA70458" w:rsidR="00DD30EC" w:rsidRDefault="00840DCF" w:rsidP="00CE68F3">
      <w:pPr>
        <w:pStyle w:val="Level1"/>
        <w:numPr>
          <w:ilvl w:val="0"/>
          <w:numId w:val="0"/>
        </w:numPr>
        <w:tabs>
          <w:tab w:val="left" w:pos="720"/>
        </w:tabs>
        <w:ind w:left="720" w:hanging="720"/>
      </w:pPr>
      <w:r>
        <w:t>36</w:t>
      </w:r>
      <w:r w:rsidR="001046DD">
        <w:t xml:space="preserve">-3     </w:t>
      </w:r>
      <w:r w:rsidR="00DD30EC">
        <w:rPr>
          <w:u w:val="single"/>
        </w:rPr>
        <w:t>FILE SELECTION AND SAMPLING</w:t>
      </w:r>
      <w:r w:rsidR="00DD30EC">
        <w:t xml:space="preserve">.  </w:t>
      </w:r>
      <w:r w:rsidR="00BE04C2" w:rsidRPr="00BE04C2">
        <w:t>As described in Chapter 2, the</w:t>
      </w:r>
      <w:r w:rsidR="00DD30EC">
        <w:t xml:space="preserve"> risk analysis process will be used to determine which </w:t>
      </w:r>
      <w:r w:rsidR="00372E4F">
        <w:t>program participant’s activities, project</w:t>
      </w:r>
      <w:r w:rsidR="00F9168B">
        <w:t>s</w:t>
      </w:r>
      <w:r w:rsidR="00372E4F">
        <w:t xml:space="preserve"> and or </w:t>
      </w:r>
      <w:r w:rsidR="00CE68F3">
        <w:t>functions should</w:t>
      </w:r>
      <w:r w:rsidR="00DD30EC">
        <w:t xml:space="preserve"> be reviewed. </w:t>
      </w:r>
      <w:r w:rsidR="0096370B">
        <w:t xml:space="preserve">Each program will use the </w:t>
      </w:r>
      <w:r w:rsidR="00667A69">
        <w:t xml:space="preserve">file selection and </w:t>
      </w:r>
      <w:r w:rsidR="0096370B">
        <w:t xml:space="preserve">sampling method </w:t>
      </w:r>
      <w:r w:rsidR="00667A69">
        <w:t>that is used for their annual programs</w:t>
      </w:r>
      <w:r w:rsidR="0096370B">
        <w:t>.</w:t>
      </w:r>
      <w:r w:rsidR="003C0C8A">
        <w:t xml:space="preserve"> </w:t>
      </w:r>
    </w:p>
    <w:p w14:paraId="2723B352" w14:textId="77777777" w:rsidR="0045303F" w:rsidRDefault="0045303F" w:rsidP="00CE68F3">
      <w:pPr>
        <w:pStyle w:val="Level1"/>
        <w:numPr>
          <w:ilvl w:val="0"/>
          <w:numId w:val="0"/>
        </w:numPr>
        <w:tabs>
          <w:tab w:val="left" w:pos="720"/>
        </w:tabs>
        <w:ind w:left="720" w:hanging="720"/>
      </w:pPr>
    </w:p>
    <w:p w14:paraId="4A971B4C" w14:textId="77777777" w:rsidR="00ED73BB" w:rsidRPr="00ED73BB" w:rsidRDefault="00ED73BB" w:rsidP="00A944EB">
      <w:pPr>
        <w:pStyle w:val="Level1"/>
        <w:numPr>
          <w:ilvl w:val="0"/>
          <w:numId w:val="0"/>
        </w:numPr>
        <w:tabs>
          <w:tab w:val="left" w:pos="720"/>
        </w:tabs>
        <w:ind w:left="720"/>
      </w:pPr>
      <w:r w:rsidRPr="00ED73BB">
        <w:t>Once the risk analysis process has been completed, where it is indicated that a file review is necessary to answer Exhibit questions, the HUD reviewer should consider the following factors when determining the specific files that will comprise the review sample:</w:t>
      </w:r>
    </w:p>
    <w:p w14:paraId="21FF1897" w14:textId="77777777" w:rsidR="00ED73BB" w:rsidRPr="00ED73BB" w:rsidRDefault="00ED73BB" w:rsidP="00A944EB">
      <w:pPr>
        <w:pStyle w:val="Level1"/>
        <w:numPr>
          <w:ilvl w:val="0"/>
          <w:numId w:val="0"/>
        </w:numPr>
        <w:tabs>
          <w:tab w:val="left" w:pos="720"/>
        </w:tabs>
        <w:ind w:left="720"/>
      </w:pPr>
    </w:p>
    <w:p w14:paraId="525F147F" w14:textId="77777777" w:rsidR="00ED73BB" w:rsidRPr="00ED73BB" w:rsidRDefault="00ED73BB" w:rsidP="00ED73BB">
      <w:pPr>
        <w:pStyle w:val="Level1"/>
        <w:numPr>
          <w:ilvl w:val="0"/>
          <w:numId w:val="32"/>
        </w:numPr>
        <w:tabs>
          <w:tab w:val="left" w:pos="720"/>
        </w:tabs>
      </w:pPr>
      <w:r w:rsidRPr="00ED73BB">
        <w:t>Examine files from each category of activity (eligible activity) or unique program requirement (such as duplication of benefits verification) being reviewed.</w:t>
      </w:r>
    </w:p>
    <w:p w14:paraId="24A23C75" w14:textId="77777777" w:rsidR="00ED73BB" w:rsidRPr="00ED73BB" w:rsidRDefault="00ED73BB" w:rsidP="0045303F">
      <w:pPr>
        <w:pStyle w:val="Level1"/>
        <w:numPr>
          <w:ilvl w:val="0"/>
          <w:numId w:val="0"/>
        </w:numPr>
        <w:tabs>
          <w:tab w:val="left" w:pos="720"/>
        </w:tabs>
        <w:ind w:left="720"/>
      </w:pPr>
    </w:p>
    <w:p w14:paraId="7EF612B1" w14:textId="77777777" w:rsidR="00ED73BB" w:rsidRPr="00ED73BB" w:rsidRDefault="00ED73BB" w:rsidP="00ED73BB">
      <w:pPr>
        <w:pStyle w:val="Level1"/>
        <w:numPr>
          <w:ilvl w:val="0"/>
          <w:numId w:val="32"/>
        </w:numPr>
        <w:tabs>
          <w:tab w:val="left" w:pos="720"/>
        </w:tabs>
      </w:pPr>
      <w:r w:rsidRPr="00ED73BB">
        <w:t xml:space="preserve">Where feasible, initial file selection should be made using a random selection method. </w:t>
      </w:r>
    </w:p>
    <w:p w14:paraId="4138075D" w14:textId="77777777" w:rsidR="00ED73BB" w:rsidRPr="00ED73BB" w:rsidRDefault="00ED73BB" w:rsidP="0045303F">
      <w:pPr>
        <w:pStyle w:val="Level1"/>
        <w:numPr>
          <w:ilvl w:val="0"/>
          <w:numId w:val="0"/>
        </w:numPr>
        <w:tabs>
          <w:tab w:val="left" w:pos="720"/>
        </w:tabs>
        <w:ind w:left="720"/>
      </w:pPr>
    </w:p>
    <w:p w14:paraId="1D7F4664" w14:textId="77777777" w:rsidR="00ED73BB" w:rsidRPr="00ED73BB" w:rsidRDefault="00ED73BB" w:rsidP="00ED73BB">
      <w:pPr>
        <w:pStyle w:val="Level1"/>
        <w:numPr>
          <w:ilvl w:val="0"/>
          <w:numId w:val="32"/>
        </w:numPr>
        <w:tabs>
          <w:tab w:val="left" w:pos="720"/>
        </w:tabs>
      </w:pPr>
      <w:r w:rsidRPr="00ED73BB">
        <w:lastRenderedPageBreak/>
        <w:t>The reviewer may consider adding more files to the selection for the following reasons:</w:t>
      </w:r>
    </w:p>
    <w:p w14:paraId="36BC285F" w14:textId="77777777" w:rsidR="00ED73BB" w:rsidRPr="00ED73BB" w:rsidRDefault="00ED73BB" w:rsidP="0045303F">
      <w:pPr>
        <w:pStyle w:val="Level1"/>
        <w:numPr>
          <w:ilvl w:val="0"/>
          <w:numId w:val="0"/>
        </w:numPr>
        <w:tabs>
          <w:tab w:val="left" w:pos="720"/>
        </w:tabs>
        <w:ind w:left="720"/>
      </w:pPr>
    </w:p>
    <w:p w14:paraId="6B658745" w14:textId="77777777" w:rsidR="00ED73BB" w:rsidRPr="00ED73BB" w:rsidRDefault="00ED73BB" w:rsidP="00ED73BB">
      <w:pPr>
        <w:pStyle w:val="Level1"/>
        <w:numPr>
          <w:ilvl w:val="0"/>
          <w:numId w:val="31"/>
        </w:numPr>
        <w:tabs>
          <w:tab w:val="left" w:pos="720"/>
        </w:tabs>
      </w:pPr>
      <w:r w:rsidRPr="00ED73BB">
        <w:t xml:space="preserve">To ensure a file(s) from each staff person working in the respective program area is being </w:t>
      </w:r>
      <w:proofErr w:type="gramStart"/>
      <w:r w:rsidRPr="00ED73BB">
        <w:t>monitored;</w:t>
      </w:r>
      <w:proofErr w:type="gramEnd"/>
      <w:r w:rsidRPr="00ED73BB">
        <w:t xml:space="preserve"> </w:t>
      </w:r>
    </w:p>
    <w:p w14:paraId="31035C33" w14:textId="77777777" w:rsidR="00ED73BB" w:rsidRPr="00ED73BB" w:rsidRDefault="00ED73BB" w:rsidP="0045303F">
      <w:pPr>
        <w:pStyle w:val="Level1"/>
        <w:numPr>
          <w:ilvl w:val="0"/>
          <w:numId w:val="0"/>
        </w:numPr>
        <w:tabs>
          <w:tab w:val="left" w:pos="720"/>
        </w:tabs>
        <w:ind w:left="720"/>
      </w:pPr>
    </w:p>
    <w:p w14:paraId="68F4ED5C" w14:textId="015E98F0" w:rsidR="00ED73BB" w:rsidRPr="00ED73BB" w:rsidRDefault="00ED73BB" w:rsidP="00ED73BB">
      <w:pPr>
        <w:pStyle w:val="Level1"/>
        <w:numPr>
          <w:ilvl w:val="0"/>
          <w:numId w:val="31"/>
        </w:numPr>
        <w:tabs>
          <w:tab w:val="left" w:pos="720"/>
        </w:tabs>
      </w:pPr>
      <w:r w:rsidRPr="00ED73BB">
        <w:t xml:space="preserve">If a project carries out new or modified requirements for CV funded programs. While CV funds generally follow the underlying program requirements (CDBG, ESG and HOPWA), there are important CV-related program changes that need to be monitored by </w:t>
      </w:r>
      <w:proofErr w:type="gramStart"/>
      <w:r w:rsidRPr="00ED73BB">
        <w:t>HUD</w:t>
      </w:r>
      <w:r w:rsidR="008D4E42">
        <w:t>;</w:t>
      </w:r>
      <w:proofErr w:type="gramEnd"/>
    </w:p>
    <w:p w14:paraId="1742E4A6" w14:textId="77777777" w:rsidR="00ED73BB" w:rsidRPr="00ED73BB" w:rsidRDefault="00ED73BB" w:rsidP="0045303F">
      <w:pPr>
        <w:pStyle w:val="Level1"/>
        <w:numPr>
          <w:ilvl w:val="0"/>
          <w:numId w:val="0"/>
        </w:numPr>
        <w:tabs>
          <w:tab w:val="left" w:pos="720"/>
        </w:tabs>
        <w:ind w:left="720"/>
      </w:pPr>
    </w:p>
    <w:p w14:paraId="7C4A824D" w14:textId="77777777" w:rsidR="00ED73BB" w:rsidRPr="00ED73BB" w:rsidRDefault="00ED73BB" w:rsidP="00ED73BB">
      <w:pPr>
        <w:pStyle w:val="Level1"/>
        <w:numPr>
          <w:ilvl w:val="0"/>
          <w:numId w:val="31"/>
        </w:numPr>
        <w:tabs>
          <w:tab w:val="left" w:pos="720"/>
        </w:tabs>
      </w:pPr>
      <w:r w:rsidRPr="00ED73BB">
        <w:t xml:space="preserve">To include additional files with the same characteristics, if indicated by the severity or nature of any problems(s) noted during the initial selection’s review (for example, same problem category, same staff person, same activities, or other characteristics). This expanded sampling aids in determining whether problems are isolated events or represent a systemic problem; or </w:t>
      </w:r>
    </w:p>
    <w:p w14:paraId="6DA8F86B" w14:textId="77777777" w:rsidR="0045303F" w:rsidRDefault="0045303F" w:rsidP="0045303F">
      <w:pPr>
        <w:pStyle w:val="Level1"/>
        <w:numPr>
          <w:ilvl w:val="0"/>
          <w:numId w:val="0"/>
        </w:numPr>
        <w:tabs>
          <w:tab w:val="left" w:pos="720"/>
        </w:tabs>
        <w:ind w:left="720"/>
      </w:pPr>
    </w:p>
    <w:p w14:paraId="5175C78C" w14:textId="251DD122" w:rsidR="00ED73BB" w:rsidRDefault="00ED73BB" w:rsidP="0045303F">
      <w:pPr>
        <w:pStyle w:val="Level1"/>
        <w:numPr>
          <w:ilvl w:val="0"/>
          <w:numId w:val="0"/>
        </w:numPr>
        <w:tabs>
          <w:tab w:val="left" w:pos="720"/>
        </w:tabs>
        <w:ind w:left="2880"/>
      </w:pPr>
      <w:r w:rsidRPr="00ED73BB">
        <w:t xml:space="preserve">If applicable, to include areas with unresolved problems identified in previous monitoring, any new types of activities being undertaken, and/or the extent that any activities are considered high </w:t>
      </w:r>
      <w:proofErr w:type="gramStart"/>
      <w:r w:rsidRPr="00ED73BB">
        <w:t>risk</w:t>
      </w:r>
      <w:r w:rsidR="00585990">
        <w:t>;</w:t>
      </w:r>
      <w:proofErr w:type="gramEnd"/>
    </w:p>
    <w:p w14:paraId="2A0A3DF1" w14:textId="77777777" w:rsidR="0045303F" w:rsidRPr="00ED73BB" w:rsidRDefault="0045303F" w:rsidP="0045303F">
      <w:pPr>
        <w:pStyle w:val="Level1"/>
        <w:numPr>
          <w:ilvl w:val="0"/>
          <w:numId w:val="0"/>
        </w:numPr>
        <w:tabs>
          <w:tab w:val="left" w:pos="720"/>
        </w:tabs>
        <w:ind w:left="2880"/>
      </w:pPr>
    </w:p>
    <w:p w14:paraId="2E751E34" w14:textId="77777777" w:rsidR="00ED73BB" w:rsidRPr="00ED73BB" w:rsidRDefault="00ED73BB" w:rsidP="00ED73BB">
      <w:pPr>
        <w:pStyle w:val="Level1"/>
        <w:numPr>
          <w:ilvl w:val="0"/>
          <w:numId w:val="31"/>
        </w:numPr>
        <w:tabs>
          <w:tab w:val="left" w:pos="720"/>
        </w:tabs>
      </w:pPr>
      <w:r w:rsidRPr="00ED73BB">
        <w:t xml:space="preserve">If any project that the HUD reviewer has reason to believe may have compliance problems or that is substantially different in terms of size, complexity, or other factors from other projects the recipient has funded. </w:t>
      </w:r>
    </w:p>
    <w:p w14:paraId="285E9ACF" w14:textId="77777777" w:rsidR="00ED73BB" w:rsidRDefault="00ED73BB" w:rsidP="00CE68F3">
      <w:pPr>
        <w:pStyle w:val="Level1"/>
        <w:numPr>
          <w:ilvl w:val="0"/>
          <w:numId w:val="0"/>
        </w:numPr>
        <w:tabs>
          <w:tab w:val="left" w:pos="720"/>
        </w:tabs>
        <w:ind w:left="720" w:hanging="720"/>
      </w:pPr>
    </w:p>
    <w:p w14:paraId="66F8C192" w14:textId="1CD9BBEE" w:rsidR="00532932" w:rsidRDefault="00532932" w:rsidP="00CE68F3">
      <w:pPr>
        <w:pStyle w:val="Level1"/>
        <w:numPr>
          <w:ilvl w:val="0"/>
          <w:numId w:val="0"/>
        </w:numPr>
        <w:tabs>
          <w:tab w:val="left" w:pos="720"/>
        </w:tabs>
        <w:ind w:left="720" w:hanging="720"/>
      </w:pPr>
    </w:p>
    <w:p w14:paraId="1C8C785C" w14:textId="7C32A906" w:rsidR="00532932" w:rsidRDefault="00532932" w:rsidP="00176625">
      <w:pPr>
        <w:pStyle w:val="NormalWeb"/>
        <w:ind w:left="1440"/>
      </w:pPr>
    </w:p>
    <w:sectPr w:rsidR="00532932" w:rsidSect="008900A5">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456D0" w14:textId="77777777" w:rsidR="002C4807" w:rsidRDefault="002C4807">
      <w:r>
        <w:separator/>
      </w:r>
    </w:p>
  </w:endnote>
  <w:endnote w:type="continuationSeparator" w:id="0">
    <w:p w14:paraId="3F934747" w14:textId="77777777" w:rsidR="002C4807" w:rsidRDefault="002C4807">
      <w:r>
        <w:continuationSeparator/>
      </w:r>
    </w:p>
  </w:endnote>
  <w:endnote w:type="continuationNotice" w:id="1">
    <w:p w14:paraId="0E6BBEFA" w14:textId="77777777" w:rsidR="002C4807" w:rsidRDefault="002C48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6D059" w14:textId="6F8BBAE4" w:rsidR="00231F16" w:rsidRDefault="00B53F4B">
    <w:pPr>
      <w:pStyle w:val="Footer"/>
      <w:jc w:val="center"/>
    </w:pPr>
    <w:r>
      <w:tab/>
    </w:r>
    <w:r w:rsidR="008619B2">
      <w:t xml:space="preserve">Chapter </w:t>
    </w:r>
    <w:r w:rsidR="00231F16">
      <w:t>36</w:t>
    </w:r>
    <w:r w:rsidR="008619B2">
      <w:t xml:space="preserve"> Intro Page </w:t>
    </w:r>
    <w:sdt>
      <w:sdtPr>
        <w:id w:val="-2058313656"/>
        <w:docPartObj>
          <w:docPartGallery w:val="Page Numbers (Bottom of Page)"/>
          <w:docPartUnique/>
        </w:docPartObj>
      </w:sdtPr>
      <w:sdtEndPr>
        <w:rPr>
          <w:noProof/>
        </w:rPr>
      </w:sdtEndPr>
      <w:sdtContent>
        <w:r w:rsidR="00231F16">
          <w:fldChar w:fldCharType="begin"/>
        </w:r>
        <w:r w:rsidR="00231F16">
          <w:instrText xml:space="preserve"> PAGE   \* MERGEFORMAT </w:instrText>
        </w:r>
        <w:r w:rsidR="00231F16">
          <w:fldChar w:fldCharType="separate"/>
        </w:r>
        <w:r w:rsidR="00231F16">
          <w:rPr>
            <w:noProof/>
          </w:rPr>
          <w:t>2</w:t>
        </w:r>
        <w:r w:rsidR="00231F16">
          <w:rPr>
            <w:noProof/>
          </w:rPr>
          <w:fldChar w:fldCharType="end"/>
        </w:r>
        <w:r>
          <w:rPr>
            <w:noProof/>
          </w:rPr>
          <w:tab/>
        </w:r>
        <w:r w:rsidR="00F1084E">
          <w:rPr>
            <w:noProof/>
          </w:rPr>
          <w:t>June</w:t>
        </w:r>
        <w:r w:rsidR="0035225F">
          <w:rPr>
            <w:noProof/>
          </w:rPr>
          <w:t xml:space="preserve"> </w:t>
        </w:r>
        <w:r>
          <w:rPr>
            <w:noProof/>
          </w:rPr>
          <w:t>2022</w:t>
        </w:r>
      </w:sdtContent>
    </w:sdt>
  </w:p>
  <w:p w14:paraId="43377D31" w14:textId="093B12CF" w:rsidR="008C44CF" w:rsidRDefault="008C44CF" w:rsidP="008C44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C59AB" w14:textId="5DBA20EF" w:rsidR="00967598" w:rsidRDefault="00B53F4B" w:rsidP="00B53F4B">
    <w:pPr>
      <w:pStyle w:val="Footer"/>
      <w:jc w:val="center"/>
      <w:rPr>
        <w:noProof/>
      </w:rPr>
    </w:pPr>
    <w:r>
      <w:tab/>
    </w:r>
    <w:r w:rsidR="00107994">
      <w:t xml:space="preserve">Page </w:t>
    </w:r>
    <w:sdt>
      <w:sdtPr>
        <w:id w:val="-676645200"/>
        <w:docPartObj>
          <w:docPartGallery w:val="Page Numbers (Bottom of Page)"/>
          <w:docPartUnique/>
        </w:docPartObj>
      </w:sdtPr>
      <w:sdtEndPr>
        <w:rPr>
          <w:noProof/>
        </w:rPr>
      </w:sdtEndPr>
      <w:sdtContent>
        <w:r w:rsidR="006120EA">
          <w:fldChar w:fldCharType="begin"/>
        </w:r>
        <w:r w:rsidR="006120EA">
          <w:instrText xml:space="preserve"> PAGE   \* MERGEFORMAT </w:instrText>
        </w:r>
        <w:r w:rsidR="006120EA">
          <w:fldChar w:fldCharType="separate"/>
        </w:r>
        <w:r w:rsidR="006120EA">
          <w:rPr>
            <w:noProof/>
          </w:rPr>
          <w:t>2</w:t>
        </w:r>
        <w:r w:rsidR="006120EA">
          <w:rPr>
            <w:noProof/>
          </w:rPr>
          <w:fldChar w:fldCharType="end"/>
        </w:r>
      </w:sdtContent>
    </w:sdt>
    <w:r>
      <w:rPr>
        <w:noProof/>
      </w:rPr>
      <w:tab/>
    </w:r>
    <w:r w:rsidR="00F1084E">
      <w:rPr>
        <w:noProof/>
      </w:rPr>
      <w:t>June</w:t>
    </w:r>
    <w:r w:rsidR="0035225F">
      <w:rPr>
        <w:noProof/>
      </w:rPr>
      <w:t xml:space="preserve"> </w:t>
    </w:r>
    <w:r w:rsidR="00107994">
      <w:rPr>
        <w:noProof/>
      </w:rPr>
      <w:t>2</w:t>
    </w:r>
    <w:r w:rsidR="00E56559">
      <w:rPr>
        <w:noProof/>
      </w:rPr>
      <w:t>9</w:t>
    </w:r>
    <w:r w:rsidR="00107994">
      <w:rPr>
        <w:noProof/>
      </w:rPr>
      <w:t xml:space="preserve">, </w:t>
    </w:r>
    <w:r w:rsidR="00967598">
      <w:rPr>
        <w:noProof/>
      </w:rPr>
      <w:t>2022</w:t>
    </w:r>
  </w:p>
  <w:p w14:paraId="794ED747" w14:textId="77777777" w:rsidR="00DD30EC" w:rsidRPr="00166E19" w:rsidRDefault="00DD30EC">
    <w:pPr>
      <w:pStyle w:val="Footer"/>
      <w:rPr>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D2A3E" w14:textId="77777777" w:rsidR="008C44CF" w:rsidRDefault="008C44CF">
    <w:pPr>
      <w:pStyle w:val="Footer"/>
      <w:jc w:val="center"/>
      <w:rPr>
        <w:noProof/>
      </w:rPr>
    </w:pPr>
    <w:r>
      <w:fldChar w:fldCharType="begin"/>
    </w:r>
    <w:r>
      <w:instrText xml:space="preserve"> PAGE   \* MERGEFORMAT </w:instrText>
    </w:r>
    <w:r>
      <w:fldChar w:fldCharType="separate"/>
    </w:r>
    <w:r w:rsidR="001046DD">
      <w:rPr>
        <w:noProof/>
      </w:rPr>
      <w:t>1</w:t>
    </w:r>
    <w:r>
      <w:rPr>
        <w:noProof/>
      </w:rPr>
      <w:fldChar w:fldCharType="end"/>
    </w:r>
  </w:p>
  <w:p w14:paraId="1AEA55F5" w14:textId="77777777" w:rsidR="008C44CF" w:rsidRDefault="008C44CF" w:rsidP="008C44CF">
    <w:pPr>
      <w:pStyle w:val="Footer"/>
    </w:pPr>
  </w:p>
  <w:p w14:paraId="2AF04BC8" w14:textId="77777777" w:rsidR="00DD30EC" w:rsidRDefault="00DD30EC">
    <w:pPr>
      <w:pStyle w:val="Footer"/>
      <w:tabs>
        <w:tab w:val="clear" w:pos="864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3DA3E" w14:textId="77777777" w:rsidR="002C4807" w:rsidRDefault="002C4807">
      <w:r>
        <w:separator/>
      </w:r>
    </w:p>
  </w:footnote>
  <w:footnote w:type="continuationSeparator" w:id="0">
    <w:p w14:paraId="34194501" w14:textId="77777777" w:rsidR="002C4807" w:rsidRDefault="002C4807">
      <w:r>
        <w:continuationSeparator/>
      </w:r>
    </w:p>
  </w:footnote>
  <w:footnote w:type="continuationNotice" w:id="1">
    <w:p w14:paraId="64542F11" w14:textId="77777777" w:rsidR="002C4807" w:rsidRDefault="002C48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82127" w14:textId="4C1381BC" w:rsidR="00DD30EC" w:rsidRDefault="0027323E">
    <w:pPr>
      <w:pStyle w:val="Header"/>
    </w:pPr>
    <w:r>
      <w:t>6509.2 REV-</w:t>
    </w:r>
    <w:r w:rsidR="00F60ACE">
      <w:t>7</w:t>
    </w:r>
    <w:r w:rsidR="00967598">
      <w:t xml:space="preserve"> CHG-4</w:t>
    </w:r>
    <w:r w:rsidR="00DD30EC">
      <w:tab/>
    </w:r>
    <w:r w:rsidR="00DD30EC">
      <w:tab/>
    </w:r>
  </w:p>
  <w:p w14:paraId="227CBA40" w14:textId="77777777" w:rsidR="00DD30EC" w:rsidRDefault="00DD30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A0A2A" w14:textId="0DB46C6E" w:rsidR="00EB3C36" w:rsidRPr="008900A5" w:rsidRDefault="00EB3C36" w:rsidP="008900A5">
    <w:pPr>
      <w:pStyle w:val="Header"/>
      <w:tabs>
        <w:tab w:val="clear" w:pos="8640"/>
      </w:tabs>
      <w:jc w:val="right"/>
    </w:pPr>
    <w:r w:rsidRPr="008900A5">
      <w:t>6509.2 REV-7 CHG-4</w:t>
    </w:r>
  </w:p>
  <w:p w14:paraId="30B15AEA" w14:textId="7830898E" w:rsidR="00DD30EC" w:rsidRPr="00EB3C36" w:rsidRDefault="00DD30EC" w:rsidP="00EB3C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DABDF" w14:textId="77777777" w:rsidR="00DD30EC" w:rsidRDefault="00DD30EC">
    <w:pPr>
      <w:pStyle w:val="Header"/>
      <w:tabs>
        <w:tab w:val="clear" w:pos="8640"/>
        <w:tab w:val="right" w:pos="9360"/>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0539A"/>
    <w:multiLevelType w:val="hybridMultilevel"/>
    <w:tmpl w:val="7BC6E59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 w15:restartNumberingAfterBreak="0">
    <w:nsid w:val="0B3351AB"/>
    <w:multiLevelType w:val="hybridMultilevel"/>
    <w:tmpl w:val="E81AE706"/>
    <w:lvl w:ilvl="0" w:tplc="E49498D6">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0BE92CDD"/>
    <w:multiLevelType w:val="hybridMultilevel"/>
    <w:tmpl w:val="553C6F04"/>
    <w:lvl w:ilvl="0" w:tplc="9476FC00">
      <w:start w:val="1"/>
      <w:numFmt w:val="upperLetter"/>
      <w:lvlText w:val="%1."/>
      <w:lvlJc w:val="left"/>
      <w:pPr>
        <w:ind w:left="720" w:hanging="360"/>
      </w:pPr>
    </w:lvl>
    <w:lvl w:ilvl="1" w:tplc="A4C487D6">
      <w:numFmt w:val="bullet"/>
      <w:lvlText w:val="•"/>
      <w:lvlJc w:val="left"/>
      <w:pPr>
        <w:ind w:left="1800" w:hanging="720"/>
      </w:pPr>
      <w:rPr>
        <w:rFonts w:ascii="Times New Roman" w:eastAsia="Times New Roman" w:hAnsi="Times New Roman" w:cs="Times New Roman"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662FFA"/>
    <w:multiLevelType w:val="multilevel"/>
    <w:tmpl w:val="AB382CD4"/>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A294FB2"/>
    <w:multiLevelType w:val="hybridMultilevel"/>
    <w:tmpl w:val="5A04D1B2"/>
    <w:lvl w:ilvl="0" w:tplc="04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 w15:restartNumberingAfterBreak="0">
    <w:nsid w:val="1D1D1AEF"/>
    <w:multiLevelType w:val="hybridMultilevel"/>
    <w:tmpl w:val="E416B1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1C59E2"/>
    <w:multiLevelType w:val="hybridMultilevel"/>
    <w:tmpl w:val="06CACC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744118E"/>
    <w:multiLevelType w:val="hybridMultilevel"/>
    <w:tmpl w:val="5D82D3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DAF3FB2"/>
    <w:multiLevelType w:val="hybridMultilevel"/>
    <w:tmpl w:val="800268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DF4E5A"/>
    <w:multiLevelType w:val="hybridMultilevel"/>
    <w:tmpl w:val="D600442C"/>
    <w:lvl w:ilvl="0" w:tplc="FFFFFFFF">
      <w:start w:val="1"/>
      <w:numFmt w:val="upperLetter"/>
      <w:lvlText w:val="%1."/>
      <w:lvlJc w:val="left"/>
      <w:pPr>
        <w:ind w:left="720" w:hanging="360"/>
      </w:pPr>
    </w:lvl>
    <w:lvl w:ilvl="1" w:tplc="FFFFFFFF">
      <w:numFmt w:val="bullet"/>
      <w:lvlText w:val="•"/>
      <w:lvlJc w:val="left"/>
      <w:pPr>
        <w:ind w:left="1800" w:hanging="720"/>
      </w:pPr>
      <w:rPr>
        <w:rFonts w:ascii="Times New Roman" w:eastAsia="Times New Roman" w:hAnsi="Times New Roman" w:cs="Times New Roman"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F32476C"/>
    <w:multiLevelType w:val="hybridMultilevel"/>
    <w:tmpl w:val="D7AC5D04"/>
    <w:lvl w:ilvl="0" w:tplc="5A5289D4">
      <w:start w:val="1"/>
      <w:numFmt w:val="upperLetter"/>
      <w:lvlText w:val="%1."/>
      <w:lvlJc w:val="left"/>
      <w:pPr>
        <w:tabs>
          <w:tab w:val="num" w:pos="1080"/>
        </w:tabs>
        <w:ind w:left="1080" w:hanging="360"/>
      </w:pPr>
      <w:rPr>
        <w:rFonts w:hint="default"/>
      </w:rPr>
    </w:lvl>
    <w:lvl w:ilvl="1" w:tplc="CB703E2A">
      <w:start w:val="2"/>
      <w:numFmt w:val="lowerRoman"/>
      <w:lvlText w:val="%2."/>
      <w:lvlJc w:val="left"/>
      <w:pPr>
        <w:tabs>
          <w:tab w:val="num" w:pos="2160"/>
        </w:tabs>
        <w:ind w:left="2160" w:hanging="72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306D033A"/>
    <w:multiLevelType w:val="hybridMultilevel"/>
    <w:tmpl w:val="DFD23212"/>
    <w:lvl w:ilvl="0" w:tplc="7DD4BA1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8A263A4"/>
    <w:multiLevelType w:val="hybridMultilevel"/>
    <w:tmpl w:val="9F70FD3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3C222EA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8E41127"/>
    <w:multiLevelType w:val="hybridMultilevel"/>
    <w:tmpl w:val="93549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365188F"/>
    <w:multiLevelType w:val="hybridMultilevel"/>
    <w:tmpl w:val="C97E93E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A2F7878"/>
    <w:multiLevelType w:val="hybridMultilevel"/>
    <w:tmpl w:val="098210F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B3B4014"/>
    <w:multiLevelType w:val="multilevel"/>
    <w:tmpl w:val="D7A0BF56"/>
    <w:lvl w:ilvl="0">
      <w:start w:val="1"/>
      <w:numFmt w:val="decimal"/>
      <w:pStyle w:val="Level1"/>
      <w:lvlText w:val="1-%1"/>
      <w:lvlJc w:val="left"/>
      <w:pPr>
        <w:tabs>
          <w:tab w:val="num" w:pos="1440"/>
        </w:tabs>
        <w:ind w:left="720" w:firstLine="0"/>
      </w:pPr>
      <w:rPr>
        <w:rFonts w:hint="default"/>
      </w:rPr>
    </w:lvl>
    <w:lvl w:ilvl="1">
      <w:start w:val="1"/>
      <w:numFmt w:val="upperLetter"/>
      <w:lvlText w:val="%2"/>
      <w:lvlJc w:val="left"/>
      <w:pPr>
        <w:tabs>
          <w:tab w:val="num" w:pos="1800"/>
        </w:tabs>
        <w:ind w:left="1440" w:firstLine="0"/>
      </w:pPr>
      <w:rPr>
        <w:rFonts w:hint="default"/>
      </w:rPr>
    </w:lvl>
    <w:lvl w:ilvl="2">
      <w:start w:val="1"/>
      <w:numFmt w:val="decimal"/>
      <w:lvlText w:val="%3"/>
      <w:lvlJc w:val="left"/>
      <w:pPr>
        <w:tabs>
          <w:tab w:val="num" w:pos="2520"/>
        </w:tabs>
        <w:ind w:left="2160" w:firstLine="0"/>
      </w:pPr>
      <w:rPr>
        <w:rFonts w:hint="default"/>
      </w:rPr>
    </w:lvl>
    <w:lvl w:ilvl="3">
      <w:start w:val="1"/>
      <w:numFmt w:val="lowerLetter"/>
      <w:lvlText w:val="%4)"/>
      <w:lvlJc w:val="left"/>
      <w:pPr>
        <w:tabs>
          <w:tab w:val="num" w:pos="3240"/>
        </w:tabs>
        <w:ind w:left="2880" w:firstLine="0"/>
      </w:pPr>
      <w:rPr>
        <w:rFonts w:hint="default"/>
      </w:rPr>
    </w:lvl>
    <w:lvl w:ilvl="4">
      <w:start w:val="1"/>
      <w:numFmt w:val="decimal"/>
      <w:lvlText w:val="(%5)"/>
      <w:lvlJc w:val="left"/>
      <w:pPr>
        <w:tabs>
          <w:tab w:val="num" w:pos="3960"/>
        </w:tabs>
        <w:ind w:left="3600" w:firstLine="0"/>
      </w:pPr>
      <w:rPr>
        <w:rFonts w:hint="default"/>
      </w:rPr>
    </w:lvl>
    <w:lvl w:ilvl="5">
      <w:start w:val="1"/>
      <w:numFmt w:val="lowerLetter"/>
      <w:lvlText w:val="(%6)"/>
      <w:lvlJc w:val="left"/>
      <w:pPr>
        <w:tabs>
          <w:tab w:val="num" w:pos="4680"/>
        </w:tabs>
        <w:ind w:left="4320" w:firstLine="0"/>
      </w:pPr>
      <w:rPr>
        <w:rFonts w:hint="default"/>
      </w:rPr>
    </w:lvl>
    <w:lvl w:ilvl="6">
      <w:start w:val="1"/>
      <w:numFmt w:val="lowerRoman"/>
      <w:lvlText w:val="(%7)"/>
      <w:lvlJc w:val="left"/>
      <w:pPr>
        <w:tabs>
          <w:tab w:val="num" w:pos="5760"/>
        </w:tabs>
        <w:ind w:left="5040" w:firstLine="0"/>
      </w:pPr>
      <w:rPr>
        <w:rFonts w:hint="default"/>
      </w:rPr>
    </w:lvl>
    <w:lvl w:ilvl="7">
      <w:start w:val="1"/>
      <w:numFmt w:val="lowerLetter"/>
      <w:lvlText w:val="(%8)"/>
      <w:lvlJc w:val="left"/>
      <w:pPr>
        <w:tabs>
          <w:tab w:val="num" w:pos="6120"/>
        </w:tabs>
        <w:ind w:left="5760" w:firstLine="0"/>
      </w:pPr>
      <w:rPr>
        <w:rFonts w:hint="default"/>
      </w:rPr>
    </w:lvl>
    <w:lvl w:ilvl="8">
      <w:start w:val="1"/>
      <w:numFmt w:val="lowerLetter"/>
      <w:lvlText w:val="(%9)"/>
      <w:lvlJc w:val="left"/>
      <w:pPr>
        <w:tabs>
          <w:tab w:val="num" w:pos="6840"/>
        </w:tabs>
        <w:ind w:left="6480" w:firstLine="0"/>
      </w:pPr>
      <w:rPr>
        <w:rFonts w:hint="default"/>
      </w:rPr>
    </w:lvl>
  </w:abstractNum>
  <w:abstractNum w:abstractNumId="21" w15:restartNumberingAfterBreak="0">
    <w:nsid w:val="5E0C30C8"/>
    <w:multiLevelType w:val="hybridMultilevel"/>
    <w:tmpl w:val="60D2C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266F1C"/>
    <w:multiLevelType w:val="hybridMultilevel"/>
    <w:tmpl w:val="1E449A6A"/>
    <w:lvl w:ilvl="0" w:tplc="8F42650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2C43F88"/>
    <w:multiLevelType w:val="hybridMultilevel"/>
    <w:tmpl w:val="0A6060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C507AEE"/>
    <w:multiLevelType w:val="multilevel"/>
    <w:tmpl w:val="D7A0BF56"/>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Letter"/>
      <w:lvlText w:val="(%9)"/>
      <w:lvlJc w:val="left"/>
      <w:pPr>
        <w:tabs>
          <w:tab w:val="num" w:pos="6120"/>
        </w:tabs>
        <w:ind w:left="5760" w:firstLine="0"/>
      </w:pPr>
      <w:rPr>
        <w:rFonts w:hint="default"/>
      </w:rPr>
    </w:lvl>
  </w:abstractNum>
  <w:abstractNum w:abstractNumId="26" w15:restartNumberingAfterBreak="0">
    <w:nsid w:val="6E090BC9"/>
    <w:multiLevelType w:val="hybridMultilevel"/>
    <w:tmpl w:val="7D883A6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E90D95"/>
    <w:multiLevelType w:val="hybridMultilevel"/>
    <w:tmpl w:val="B7E43D5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01">
      <w:start w:val="1"/>
      <w:numFmt w:val="bullet"/>
      <w:lvlText w:val=""/>
      <w:lvlJc w:val="left"/>
      <w:pPr>
        <w:ind w:left="14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6EE67D0"/>
    <w:multiLevelType w:val="hybridMultilevel"/>
    <w:tmpl w:val="D794EF7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ECD44ED"/>
    <w:multiLevelType w:val="hybridMultilevel"/>
    <w:tmpl w:val="ED2A0C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24766164">
    <w:abstractNumId w:val="1"/>
  </w:num>
  <w:num w:numId="2" w16cid:durableId="2118059749">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25399709">
    <w:abstractNumId w:val="16"/>
  </w:num>
  <w:num w:numId="4" w16cid:durableId="959842920">
    <w:abstractNumId w:val="20"/>
  </w:num>
  <w:num w:numId="5" w16cid:durableId="582834007">
    <w:abstractNumId w:val="8"/>
  </w:num>
  <w:num w:numId="6" w16cid:durableId="1920017261">
    <w:abstractNumId w:val="29"/>
  </w:num>
  <w:num w:numId="7" w16cid:durableId="569317588">
    <w:abstractNumId w:val="23"/>
  </w:num>
  <w:num w:numId="8" w16cid:durableId="1332247500">
    <w:abstractNumId w:val="25"/>
  </w:num>
  <w:num w:numId="9" w16cid:durableId="2099863958">
    <w:abstractNumId w:val="4"/>
  </w:num>
  <w:num w:numId="10" w16cid:durableId="604462636">
    <w:abstractNumId w:val="12"/>
  </w:num>
  <w:num w:numId="11" w16cid:durableId="558130627">
    <w:abstractNumId w:val="14"/>
  </w:num>
  <w:num w:numId="12" w16cid:durableId="18750054">
    <w:abstractNumId w:val="19"/>
  </w:num>
  <w:num w:numId="13" w16cid:durableId="1609239786">
    <w:abstractNumId w:val="3"/>
  </w:num>
  <w:num w:numId="14" w16cid:durableId="963580462">
    <w:abstractNumId w:val="24"/>
  </w:num>
  <w:num w:numId="15" w16cid:durableId="385302395">
    <w:abstractNumId w:val="9"/>
  </w:num>
  <w:num w:numId="16" w16cid:durableId="471606">
    <w:abstractNumId w:val="7"/>
  </w:num>
  <w:num w:numId="17" w16cid:durableId="884759692">
    <w:abstractNumId w:val="30"/>
  </w:num>
  <w:num w:numId="18" w16cid:durableId="2026513856">
    <w:abstractNumId w:val="10"/>
  </w:num>
  <w:num w:numId="19" w16cid:durableId="1073158748">
    <w:abstractNumId w:val="6"/>
  </w:num>
  <w:num w:numId="20" w16cid:durableId="2087216753">
    <w:abstractNumId w:val="11"/>
  </w:num>
  <w:num w:numId="21" w16cid:durableId="376315943">
    <w:abstractNumId w:val="18"/>
  </w:num>
  <w:num w:numId="22" w16cid:durableId="1456102258">
    <w:abstractNumId w:val="26"/>
  </w:num>
  <w:num w:numId="23" w16cid:durableId="1631862438">
    <w:abstractNumId w:val="15"/>
  </w:num>
  <w:num w:numId="24" w16cid:durableId="78064896">
    <w:abstractNumId w:val="27"/>
  </w:num>
  <w:num w:numId="25" w16cid:durableId="2106539452">
    <w:abstractNumId w:val="0"/>
  </w:num>
  <w:num w:numId="26" w16cid:durableId="1061562496">
    <w:abstractNumId w:val="21"/>
  </w:num>
  <w:num w:numId="27" w16cid:durableId="1846087379">
    <w:abstractNumId w:val="28"/>
  </w:num>
  <w:num w:numId="28" w16cid:durableId="1460227595">
    <w:abstractNumId w:val="17"/>
  </w:num>
  <w:num w:numId="29" w16cid:durableId="1171335069">
    <w:abstractNumId w:val="22"/>
  </w:num>
  <w:num w:numId="30" w16cid:durableId="124662327">
    <w:abstractNumId w:val="5"/>
  </w:num>
  <w:num w:numId="31" w16cid:durableId="676272561">
    <w:abstractNumId w:val="2"/>
  </w:num>
  <w:num w:numId="32" w16cid:durableId="148461925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31D"/>
    <w:rsid w:val="00002CC7"/>
    <w:rsid w:val="000116AE"/>
    <w:rsid w:val="000130CD"/>
    <w:rsid w:val="00015A46"/>
    <w:rsid w:val="0001724A"/>
    <w:rsid w:val="0002153D"/>
    <w:rsid w:val="000222C4"/>
    <w:rsid w:val="000243D0"/>
    <w:rsid w:val="00024B6B"/>
    <w:rsid w:val="00025C60"/>
    <w:rsid w:val="00027271"/>
    <w:rsid w:val="00031325"/>
    <w:rsid w:val="00040491"/>
    <w:rsid w:val="00043F71"/>
    <w:rsid w:val="00045003"/>
    <w:rsid w:val="0004545F"/>
    <w:rsid w:val="00056F7C"/>
    <w:rsid w:val="00062564"/>
    <w:rsid w:val="000635DC"/>
    <w:rsid w:val="000700DE"/>
    <w:rsid w:val="000703FA"/>
    <w:rsid w:val="00070578"/>
    <w:rsid w:val="00071851"/>
    <w:rsid w:val="00073436"/>
    <w:rsid w:val="00073990"/>
    <w:rsid w:val="0007534D"/>
    <w:rsid w:val="00080D2F"/>
    <w:rsid w:val="000814A8"/>
    <w:rsid w:val="0008154C"/>
    <w:rsid w:val="000844ED"/>
    <w:rsid w:val="00084E8A"/>
    <w:rsid w:val="00092D40"/>
    <w:rsid w:val="00093185"/>
    <w:rsid w:val="00095F6D"/>
    <w:rsid w:val="000A2080"/>
    <w:rsid w:val="000A6549"/>
    <w:rsid w:val="000B13DD"/>
    <w:rsid w:val="000B4857"/>
    <w:rsid w:val="000B502A"/>
    <w:rsid w:val="000B6F78"/>
    <w:rsid w:val="000C35A1"/>
    <w:rsid w:val="000F6EC2"/>
    <w:rsid w:val="001024CA"/>
    <w:rsid w:val="001046DD"/>
    <w:rsid w:val="00107994"/>
    <w:rsid w:val="00107A29"/>
    <w:rsid w:val="001118B7"/>
    <w:rsid w:val="001232A1"/>
    <w:rsid w:val="00123889"/>
    <w:rsid w:val="00124C17"/>
    <w:rsid w:val="00130A33"/>
    <w:rsid w:val="0013187A"/>
    <w:rsid w:val="00132972"/>
    <w:rsid w:val="00141AEA"/>
    <w:rsid w:val="001434C3"/>
    <w:rsid w:val="00143F53"/>
    <w:rsid w:val="001452E5"/>
    <w:rsid w:val="00152275"/>
    <w:rsid w:val="00166E19"/>
    <w:rsid w:val="00167237"/>
    <w:rsid w:val="00167AAC"/>
    <w:rsid w:val="0017008F"/>
    <w:rsid w:val="00171B97"/>
    <w:rsid w:val="00172890"/>
    <w:rsid w:val="00172A53"/>
    <w:rsid w:val="0017315C"/>
    <w:rsid w:val="001749C2"/>
    <w:rsid w:val="00176625"/>
    <w:rsid w:val="0018079B"/>
    <w:rsid w:val="00180EED"/>
    <w:rsid w:val="00181901"/>
    <w:rsid w:val="001869FD"/>
    <w:rsid w:val="00187A0B"/>
    <w:rsid w:val="001952A8"/>
    <w:rsid w:val="001A6811"/>
    <w:rsid w:val="001B1643"/>
    <w:rsid w:val="001B1E5E"/>
    <w:rsid w:val="001B4078"/>
    <w:rsid w:val="001B613A"/>
    <w:rsid w:val="001C1B7C"/>
    <w:rsid w:val="001C396D"/>
    <w:rsid w:val="001C4ECB"/>
    <w:rsid w:val="001D40EC"/>
    <w:rsid w:val="001D7D6D"/>
    <w:rsid w:val="001E440E"/>
    <w:rsid w:val="001F1540"/>
    <w:rsid w:val="001F595A"/>
    <w:rsid w:val="001F7B45"/>
    <w:rsid w:val="0020112B"/>
    <w:rsid w:val="0020220C"/>
    <w:rsid w:val="00204175"/>
    <w:rsid w:val="00212EE1"/>
    <w:rsid w:val="00220873"/>
    <w:rsid w:val="002213A0"/>
    <w:rsid w:val="00221980"/>
    <w:rsid w:val="00222329"/>
    <w:rsid w:val="0022735B"/>
    <w:rsid w:val="00230740"/>
    <w:rsid w:val="00230746"/>
    <w:rsid w:val="00230D55"/>
    <w:rsid w:val="00231F16"/>
    <w:rsid w:val="00235CDD"/>
    <w:rsid w:val="00245288"/>
    <w:rsid w:val="0024565D"/>
    <w:rsid w:val="00246388"/>
    <w:rsid w:val="002523F8"/>
    <w:rsid w:val="00253CBD"/>
    <w:rsid w:val="00266557"/>
    <w:rsid w:val="0026750F"/>
    <w:rsid w:val="00267A27"/>
    <w:rsid w:val="002726FD"/>
    <w:rsid w:val="00272D6A"/>
    <w:rsid w:val="0027323E"/>
    <w:rsid w:val="00275426"/>
    <w:rsid w:val="00277D64"/>
    <w:rsid w:val="00285DCF"/>
    <w:rsid w:val="00290762"/>
    <w:rsid w:val="00294A9A"/>
    <w:rsid w:val="002953B6"/>
    <w:rsid w:val="002961A4"/>
    <w:rsid w:val="002A2CAC"/>
    <w:rsid w:val="002A5FD6"/>
    <w:rsid w:val="002A6C03"/>
    <w:rsid w:val="002C4375"/>
    <w:rsid w:val="002C4807"/>
    <w:rsid w:val="002D7EF7"/>
    <w:rsid w:val="002E289A"/>
    <w:rsid w:val="002F0DFB"/>
    <w:rsid w:val="002F13BE"/>
    <w:rsid w:val="002F2074"/>
    <w:rsid w:val="00300077"/>
    <w:rsid w:val="003017E3"/>
    <w:rsid w:val="003070C4"/>
    <w:rsid w:val="003073F7"/>
    <w:rsid w:val="00311544"/>
    <w:rsid w:val="00311F58"/>
    <w:rsid w:val="003126BD"/>
    <w:rsid w:val="0031298B"/>
    <w:rsid w:val="0032666A"/>
    <w:rsid w:val="00330D6E"/>
    <w:rsid w:val="00333798"/>
    <w:rsid w:val="00350334"/>
    <w:rsid w:val="0035225F"/>
    <w:rsid w:val="00355356"/>
    <w:rsid w:val="00355917"/>
    <w:rsid w:val="00356AD1"/>
    <w:rsid w:val="003610E7"/>
    <w:rsid w:val="0036283E"/>
    <w:rsid w:val="00363417"/>
    <w:rsid w:val="00366900"/>
    <w:rsid w:val="00371DEA"/>
    <w:rsid w:val="00372E4F"/>
    <w:rsid w:val="00373516"/>
    <w:rsid w:val="003867F6"/>
    <w:rsid w:val="00390EDA"/>
    <w:rsid w:val="003A29AD"/>
    <w:rsid w:val="003A3D31"/>
    <w:rsid w:val="003A4914"/>
    <w:rsid w:val="003A62C7"/>
    <w:rsid w:val="003B1A5D"/>
    <w:rsid w:val="003B373C"/>
    <w:rsid w:val="003B5D6C"/>
    <w:rsid w:val="003B5E92"/>
    <w:rsid w:val="003B69B2"/>
    <w:rsid w:val="003C0C8A"/>
    <w:rsid w:val="003C2C3B"/>
    <w:rsid w:val="003C45EA"/>
    <w:rsid w:val="003D2629"/>
    <w:rsid w:val="003D6250"/>
    <w:rsid w:val="003E09FC"/>
    <w:rsid w:val="003E48C9"/>
    <w:rsid w:val="003E586B"/>
    <w:rsid w:val="003E60F0"/>
    <w:rsid w:val="003F193B"/>
    <w:rsid w:val="003F7E39"/>
    <w:rsid w:val="004038FA"/>
    <w:rsid w:val="00411ADA"/>
    <w:rsid w:val="0041524F"/>
    <w:rsid w:val="00416E10"/>
    <w:rsid w:val="00421B34"/>
    <w:rsid w:val="00426AAD"/>
    <w:rsid w:val="0043366F"/>
    <w:rsid w:val="00433BF0"/>
    <w:rsid w:val="00434BF4"/>
    <w:rsid w:val="00444143"/>
    <w:rsid w:val="004457DA"/>
    <w:rsid w:val="0045303F"/>
    <w:rsid w:val="0046231D"/>
    <w:rsid w:val="00465676"/>
    <w:rsid w:val="00465EAE"/>
    <w:rsid w:val="0047074C"/>
    <w:rsid w:val="004721CE"/>
    <w:rsid w:val="00473EF7"/>
    <w:rsid w:val="004805FC"/>
    <w:rsid w:val="00481F4C"/>
    <w:rsid w:val="00482AAE"/>
    <w:rsid w:val="00483363"/>
    <w:rsid w:val="00490991"/>
    <w:rsid w:val="00491E71"/>
    <w:rsid w:val="00493915"/>
    <w:rsid w:val="004969F2"/>
    <w:rsid w:val="004A15D5"/>
    <w:rsid w:val="004A29E6"/>
    <w:rsid w:val="004A52EC"/>
    <w:rsid w:val="004B3356"/>
    <w:rsid w:val="004B3879"/>
    <w:rsid w:val="004B5204"/>
    <w:rsid w:val="004C1046"/>
    <w:rsid w:val="004E0CED"/>
    <w:rsid w:val="004E6165"/>
    <w:rsid w:val="004E6E8B"/>
    <w:rsid w:val="004F0526"/>
    <w:rsid w:val="004F0934"/>
    <w:rsid w:val="004F2AE3"/>
    <w:rsid w:val="004F6A1B"/>
    <w:rsid w:val="00501E8D"/>
    <w:rsid w:val="0050273D"/>
    <w:rsid w:val="0050298E"/>
    <w:rsid w:val="00502D27"/>
    <w:rsid w:val="00505D0B"/>
    <w:rsid w:val="00507ABD"/>
    <w:rsid w:val="00514769"/>
    <w:rsid w:val="00515976"/>
    <w:rsid w:val="005161DD"/>
    <w:rsid w:val="00532932"/>
    <w:rsid w:val="00534041"/>
    <w:rsid w:val="00537CA7"/>
    <w:rsid w:val="005405CE"/>
    <w:rsid w:val="005425D7"/>
    <w:rsid w:val="00544283"/>
    <w:rsid w:val="00545568"/>
    <w:rsid w:val="00546BC9"/>
    <w:rsid w:val="00547935"/>
    <w:rsid w:val="0055189A"/>
    <w:rsid w:val="005564ED"/>
    <w:rsid w:val="00563E6A"/>
    <w:rsid w:val="00574F67"/>
    <w:rsid w:val="0058133C"/>
    <w:rsid w:val="00581C7B"/>
    <w:rsid w:val="0058224C"/>
    <w:rsid w:val="00585990"/>
    <w:rsid w:val="0059662B"/>
    <w:rsid w:val="005A7A67"/>
    <w:rsid w:val="005B0107"/>
    <w:rsid w:val="005B1B93"/>
    <w:rsid w:val="005B27C5"/>
    <w:rsid w:val="005B5B82"/>
    <w:rsid w:val="005B7967"/>
    <w:rsid w:val="005C1782"/>
    <w:rsid w:val="005C7E17"/>
    <w:rsid w:val="005D3093"/>
    <w:rsid w:val="005E35F2"/>
    <w:rsid w:val="005E6D61"/>
    <w:rsid w:val="005F0CA9"/>
    <w:rsid w:val="00600440"/>
    <w:rsid w:val="0060163E"/>
    <w:rsid w:val="00611FFE"/>
    <w:rsid w:val="006120EA"/>
    <w:rsid w:val="006166E2"/>
    <w:rsid w:val="00620A74"/>
    <w:rsid w:val="00623F40"/>
    <w:rsid w:val="0062781A"/>
    <w:rsid w:val="00630B64"/>
    <w:rsid w:val="00637D3D"/>
    <w:rsid w:val="006503AC"/>
    <w:rsid w:val="00650A59"/>
    <w:rsid w:val="00651622"/>
    <w:rsid w:val="00652A28"/>
    <w:rsid w:val="006605DC"/>
    <w:rsid w:val="00661554"/>
    <w:rsid w:val="006638EA"/>
    <w:rsid w:val="00667A69"/>
    <w:rsid w:val="0067020A"/>
    <w:rsid w:val="00674CC7"/>
    <w:rsid w:val="006834F5"/>
    <w:rsid w:val="0068634B"/>
    <w:rsid w:val="00697638"/>
    <w:rsid w:val="00697CAA"/>
    <w:rsid w:val="006A22D0"/>
    <w:rsid w:val="006A3C08"/>
    <w:rsid w:val="006A46EA"/>
    <w:rsid w:val="006B1EC8"/>
    <w:rsid w:val="006C148F"/>
    <w:rsid w:val="006C3707"/>
    <w:rsid w:val="006C7F70"/>
    <w:rsid w:val="006D46F9"/>
    <w:rsid w:val="006E2B5A"/>
    <w:rsid w:val="006E3581"/>
    <w:rsid w:val="006E6DEF"/>
    <w:rsid w:val="006E6FA1"/>
    <w:rsid w:val="006E7712"/>
    <w:rsid w:val="006F4823"/>
    <w:rsid w:val="006F7373"/>
    <w:rsid w:val="00700542"/>
    <w:rsid w:val="00706E1B"/>
    <w:rsid w:val="00722DEE"/>
    <w:rsid w:val="007301B2"/>
    <w:rsid w:val="007415D8"/>
    <w:rsid w:val="007479CF"/>
    <w:rsid w:val="0075081F"/>
    <w:rsid w:val="00751481"/>
    <w:rsid w:val="00753DE3"/>
    <w:rsid w:val="00756A48"/>
    <w:rsid w:val="00756CA9"/>
    <w:rsid w:val="007643E0"/>
    <w:rsid w:val="00776A2A"/>
    <w:rsid w:val="0078424F"/>
    <w:rsid w:val="00787336"/>
    <w:rsid w:val="00787E4E"/>
    <w:rsid w:val="007911A6"/>
    <w:rsid w:val="00793DC5"/>
    <w:rsid w:val="0079777E"/>
    <w:rsid w:val="00797E5A"/>
    <w:rsid w:val="007A2B6A"/>
    <w:rsid w:val="007A33AB"/>
    <w:rsid w:val="007A36D1"/>
    <w:rsid w:val="007A4E14"/>
    <w:rsid w:val="007B29B0"/>
    <w:rsid w:val="007B7F0F"/>
    <w:rsid w:val="007C51D9"/>
    <w:rsid w:val="007D0460"/>
    <w:rsid w:val="007D4E7E"/>
    <w:rsid w:val="007D5361"/>
    <w:rsid w:val="007D5C53"/>
    <w:rsid w:val="007D5D5D"/>
    <w:rsid w:val="007E656C"/>
    <w:rsid w:val="007E6D44"/>
    <w:rsid w:val="007E7C4E"/>
    <w:rsid w:val="007F0047"/>
    <w:rsid w:val="00802903"/>
    <w:rsid w:val="00803C1A"/>
    <w:rsid w:val="0081320F"/>
    <w:rsid w:val="00815C13"/>
    <w:rsid w:val="0081757B"/>
    <w:rsid w:val="0082310B"/>
    <w:rsid w:val="008257DA"/>
    <w:rsid w:val="008321B7"/>
    <w:rsid w:val="00834334"/>
    <w:rsid w:val="00840DCF"/>
    <w:rsid w:val="00844015"/>
    <w:rsid w:val="00844523"/>
    <w:rsid w:val="00847C99"/>
    <w:rsid w:val="0085161C"/>
    <w:rsid w:val="00860100"/>
    <w:rsid w:val="008619B2"/>
    <w:rsid w:val="00861D94"/>
    <w:rsid w:val="008628BD"/>
    <w:rsid w:val="00865867"/>
    <w:rsid w:val="00875099"/>
    <w:rsid w:val="008760C1"/>
    <w:rsid w:val="00876A0F"/>
    <w:rsid w:val="00883300"/>
    <w:rsid w:val="0088575B"/>
    <w:rsid w:val="0088689F"/>
    <w:rsid w:val="008900A5"/>
    <w:rsid w:val="00892D56"/>
    <w:rsid w:val="00895AE5"/>
    <w:rsid w:val="008A36F7"/>
    <w:rsid w:val="008A3AEC"/>
    <w:rsid w:val="008A6486"/>
    <w:rsid w:val="008B00A5"/>
    <w:rsid w:val="008B1CF2"/>
    <w:rsid w:val="008B3BA2"/>
    <w:rsid w:val="008B51DF"/>
    <w:rsid w:val="008B7A97"/>
    <w:rsid w:val="008C37D5"/>
    <w:rsid w:val="008C3CFA"/>
    <w:rsid w:val="008C44CF"/>
    <w:rsid w:val="008D4E42"/>
    <w:rsid w:val="008D616B"/>
    <w:rsid w:val="008D7DCA"/>
    <w:rsid w:val="008E12C7"/>
    <w:rsid w:val="008E5F3E"/>
    <w:rsid w:val="008E6137"/>
    <w:rsid w:val="008F7B04"/>
    <w:rsid w:val="00900848"/>
    <w:rsid w:val="0090142F"/>
    <w:rsid w:val="00901838"/>
    <w:rsid w:val="00901E97"/>
    <w:rsid w:val="00903070"/>
    <w:rsid w:val="00910D3C"/>
    <w:rsid w:val="0091164C"/>
    <w:rsid w:val="009147F5"/>
    <w:rsid w:val="00924421"/>
    <w:rsid w:val="00926F4D"/>
    <w:rsid w:val="009326AF"/>
    <w:rsid w:val="00932C6D"/>
    <w:rsid w:val="009448B5"/>
    <w:rsid w:val="00952176"/>
    <w:rsid w:val="009536EF"/>
    <w:rsid w:val="0096370B"/>
    <w:rsid w:val="00964938"/>
    <w:rsid w:val="009673E7"/>
    <w:rsid w:val="00967598"/>
    <w:rsid w:val="00972CEC"/>
    <w:rsid w:val="00975E12"/>
    <w:rsid w:val="00982A89"/>
    <w:rsid w:val="0098768E"/>
    <w:rsid w:val="00987E61"/>
    <w:rsid w:val="00994F86"/>
    <w:rsid w:val="009C2B64"/>
    <w:rsid w:val="009D3B10"/>
    <w:rsid w:val="009D3F3C"/>
    <w:rsid w:val="009D617B"/>
    <w:rsid w:val="009E0568"/>
    <w:rsid w:val="009E10C0"/>
    <w:rsid w:val="009E24C9"/>
    <w:rsid w:val="009E3D84"/>
    <w:rsid w:val="009E4D91"/>
    <w:rsid w:val="009E660F"/>
    <w:rsid w:val="009E681B"/>
    <w:rsid w:val="009F0297"/>
    <w:rsid w:val="00A03581"/>
    <w:rsid w:val="00A04D04"/>
    <w:rsid w:val="00A066BF"/>
    <w:rsid w:val="00A10271"/>
    <w:rsid w:val="00A110EA"/>
    <w:rsid w:val="00A152DB"/>
    <w:rsid w:val="00A1637E"/>
    <w:rsid w:val="00A20C45"/>
    <w:rsid w:val="00A23969"/>
    <w:rsid w:val="00A245C6"/>
    <w:rsid w:val="00A3261D"/>
    <w:rsid w:val="00A360D1"/>
    <w:rsid w:val="00A40A3E"/>
    <w:rsid w:val="00A41761"/>
    <w:rsid w:val="00A41EFB"/>
    <w:rsid w:val="00A42B3B"/>
    <w:rsid w:val="00A46F8A"/>
    <w:rsid w:val="00A5421D"/>
    <w:rsid w:val="00A61522"/>
    <w:rsid w:val="00A6226F"/>
    <w:rsid w:val="00A63B41"/>
    <w:rsid w:val="00A65F78"/>
    <w:rsid w:val="00A67CEA"/>
    <w:rsid w:val="00A70378"/>
    <w:rsid w:val="00A70F9D"/>
    <w:rsid w:val="00A76E4C"/>
    <w:rsid w:val="00A80556"/>
    <w:rsid w:val="00A82C62"/>
    <w:rsid w:val="00A8369B"/>
    <w:rsid w:val="00A91A38"/>
    <w:rsid w:val="00A944EB"/>
    <w:rsid w:val="00A94683"/>
    <w:rsid w:val="00AA0B6F"/>
    <w:rsid w:val="00AA23BA"/>
    <w:rsid w:val="00AB20FA"/>
    <w:rsid w:val="00AB53A1"/>
    <w:rsid w:val="00AC1F2B"/>
    <w:rsid w:val="00AC6AD4"/>
    <w:rsid w:val="00AC7D85"/>
    <w:rsid w:val="00AD3861"/>
    <w:rsid w:val="00AD46DE"/>
    <w:rsid w:val="00AD4C89"/>
    <w:rsid w:val="00AD5846"/>
    <w:rsid w:val="00AD7503"/>
    <w:rsid w:val="00AE2368"/>
    <w:rsid w:val="00AE6200"/>
    <w:rsid w:val="00AE6750"/>
    <w:rsid w:val="00AE6EB5"/>
    <w:rsid w:val="00AF0123"/>
    <w:rsid w:val="00AF12BE"/>
    <w:rsid w:val="00AF5050"/>
    <w:rsid w:val="00AF6D2B"/>
    <w:rsid w:val="00B0318B"/>
    <w:rsid w:val="00B03E4D"/>
    <w:rsid w:val="00B03F3C"/>
    <w:rsid w:val="00B06F7A"/>
    <w:rsid w:val="00B1049C"/>
    <w:rsid w:val="00B1079B"/>
    <w:rsid w:val="00B142E8"/>
    <w:rsid w:val="00B24B1A"/>
    <w:rsid w:val="00B27637"/>
    <w:rsid w:val="00B3423E"/>
    <w:rsid w:val="00B34C75"/>
    <w:rsid w:val="00B3573B"/>
    <w:rsid w:val="00B3793D"/>
    <w:rsid w:val="00B40F19"/>
    <w:rsid w:val="00B51DCF"/>
    <w:rsid w:val="00B53E29"/>
    <w:rsid w:val="00B53F4B"/>
    <w:rsid w:val="00B553C4"/>
    <w:rsid w:val="00B57998"/>
    <w:rsid w:val="00B6079D"/>
    <w:rsid w:val="00B63370"/>
    <w:rsid w:val="00B63D42"/>
    <w:rsid w:val="00B667B1"/>
    <w:rsid w:val="00B74D46"/>
    <w:rsid w:val="00B75A21"/>
    <w:rsid w:val="00B769FD"/>
    <w:rsid w:val="00B77AC4"/>
    <w:rsid w:val="00B94067"/>
    <w:rsid w:val="00B96217"/>
    <w:rsid w:val="00BA0116"/>
    <w:rsid w:val="00BA28CB"/>
    <w:rsid w:val="00BB290E"/>
    <w:rsid w:val="00BB583B"/>
    <w:rsid w:val="00BD242B"/>
    <w:rsid w:val="00BD2F8D"/>
    <w:rsid w:val="00BD3C50"/>
    <w:rsid w:val="00BD4819"/>
    <w:rsid w:val="00BE04C2"/>
    <w:rsid w:val="00BE098E"/>
    <w:rsid w:val="00BE2437"/>
    <w:rsid w:val="00BF0C7D"/>
    <w:rsid w:val="00BF0F88"/>
    <w:rsid w:val="00BF5C9B"/>
    <w:rsid w:val="00C02DCA"/>
    <w:rsid w:val="00C06F54"/>
    <w:rsid w:val="00C16D7C"/>
    <w:rsid w:val="00C208C4"/>
    <w:rsid w:val="00C20E00"/>
    <w:rsid w:val="00C2463A"/>
    <w:rsid w:val="00C26666"/>
    <w:rsid w:val="00C3548A"/>
    <w:rsid w:val="00C36BEB"/>
    <w:rsid w:val="00C379DE"/>
    <w:rsid w:val="00C52316"/>
    <w:rsid w:val="00C540F2"/>
    <w:rsid w:val="00C55CD9"/>
    <w:rsid w:val="00C56195"/>
    <w:rsid w:val="00C577A4"/>
    <w:rsid w:val="00C6096F"/>
    <w:rsid w:val="00C64B15"/>
    <w:rsid w:val="00C64CD7"/>
    <w:rsid w:val="00C702CB"/>
    <w:rsid w:val="00C70803"/>
    <w:rsid w:val="00C72F93"/>
    <w:rsid w:val="00C75E6F"/>
    <w:rsid w:val="00C76A31"/>
    <w:rsid w:val="00C77230"/>
    <w:rsid w:val="00C937CC"/>
    <w:rsid w:val="00C95AF2"/>
    <w:rsid w:val="00CB659A"/>
    <w:rsid w:val="00CB7917"/>
    <w:rsid w:val="00CB7F86"/>
    <w:rsid w:val="00CC0251"/>
    <w:rsid w:val="00CC2938"/>
    <w:rsid w:val="00CC3FEE"/>
    <w:rsid w:val="00CD5C01"/>
    <w:rsid w:val="00CE1AD2"/>
    <w:rsid w:val="00CE43E9"/>
    <w:rsid w:val="00CE68F3"/>
    <w:rsid w:val="00CF0D88"/>
    <w:rsid w:val="00CF0F66"/>
    <w:rsid w:val="00CF676B"/>
    <w:rsid w:val="00D039D2"/>
    <w:rsid w:val="00D0630C"/>
    <w:rsid w:val="00D07C30"/>
    <w:rsid w:val="00D119D3"/>
    <w:rsid w:val="00D215B9"/>
    <w:rsid w:val="00D24870"/>
    <w:rsid w:val="00D24C97"/>
    <w:rsid w:val="00D322CA"/>
    <w:rsid w:val="00D342B7"/>
    <w:rsid w:val="00D36A5C"/>
    <w:rsid w:val="00D4154E"/>
    <w:rsid w:val="00D41BE0"/>
    <w:rsid w:val="00D43E3A"/>
    <w:rsid w:val="00D46222"/>
    <w:rsid w:val="00D50C2D"/>
    <w:rsid w:val="00D524A4"/>
    <w:rsid w:val="00D57197"/>
    <w:rsid w:val="00D61072"/>
    <w:rsid w:val="00D62DFA"/>
    <w:rsid w:val="00D635B2"/>
    <w:rsid w:val="00D64AEA"/>
    <w:rsid w:val="00D67B4D"/>
    <w:rsid w:val="00D72E62"/>
    <w:rsid w:val="00D76CE7"/>
    <w:rsid w:val="00D77F61"/>
    <w:rsid w:val="00D81488"/>
    <w:rsid w:val="00D827F7"/>
    <w:rsid w:val="00D86D8A"/>
    <w:rsid w:val="00D876A0"/>
    <w:rsid w:val="00D95E79"/>
    <w:rsid w:val="00DA6E8C"/>
    <w:rsid w:val="00DB342D"/>
    <w:rsid w:val="00DB43D0"/>
    <w:rsid w:val="00DC7ECD"/>
    <w:rsid w:val="00DD2DE3"/>
    <w:rsid w:val="00DD30EC"/>
    <w:rsid w:val="00DD63C8"/>
    <w:rsid w:val="00DE0A58"/>
    <w:rsid w:val="00DE0B9D"/>
    <w:rsid w:val="00DE4DF5"/>
    <w:rsid w:val="00DF2CC5"/>
    <w:rsid w:val="00E05F66"/>
    <w:rsid w:val="00E060DD"/>
    <w:rsid w:val="00E1051C"/>
    <w:rsid w:val="00E16E76"/>
    <w:rsid w:val="00E1721F"/>
    <w:rsid w:val="00E21312"/>
    <w:rsid w:val="00E26959"/>
    <w:rsid w:val="00E37540"/>
    <w:rsid w:val="00E430FD"/>
    <w:rsid w:val="00E43C55"/>
    <w:rsid w:val="00E4516D"/>
    <w:rsid w:val="00E56559"/>
    <w:rsid w:val="00E60707"/>
    <w:rsid w:val="00E62B20"/>
    <w:rsid w:val="00E7004F"/>
    <w:rsid w:val="00E82F08"/>
    <w:rsid w:val="00E84BBF"/>
    <w:rsid w:val="00E85253"/>
    <w:rsid w:val="00EA1EAF"/>
    <w:rsid w:val="00EA6CF1"/>
    <w:rsid w:val="00EA7309"/>
    <w:rsid w:val="00EA76A1"/>
    <w:rsid w:val="00EA7EB5"/>
    <w:rsid w:val="00EB3C36"/>
    <w:rsid w:val="00EB61B5"/>
    <w:rsid w:val="00EC7867"/>
    <w:rsid w:val="00ED44C3"/>
    <w:rsid w:val="00ED5B96"/>
    <w:rsid w:val="00ED73BB"/>
    <w:rsid w:val="00ED7CB7"/>
    <w:rsid w:val="00EE5E43"/>
    <w:rsid w:val="00EE70D2"/>
    <w:rsid w:val="00EF5B20"/>
    <w:rsid w:val="00EF64B8"/>
    <w:rsid w:val="00F10279"/>
    <w:rsid w:val="00F1084E"/>
    <w:rsid w:val="00F11F75"/>
    <w:rsid w:val="00F1211E"/>
    <w:rsid w:val="00F16078"/>
    <w:rsid w:val="00F21C69"/>
    <w:rsid w:val="00F22DF4"/>
    <w:rsid w:val="00F2684D"/>
    <w:rsid w:val="00F30E22"/>
    <w:rsid w:val="00F312E6"/>
    <w:rsid w:val="00F31704"/>
    <w:rsid w:val="00F32D72"/>
    <w:rsid w:val="00F33515"/>
    <w:rsid w:val="00F34D34"/>
    <w:rsid w:val="00F3545E"/>
    <w:rsid w:val="00F37D59"/>
    <w:rsid w:val="00F415F4"/>
    <w:rsid w:val="00F447C2"/>
    <w:rsid w:val="00F47885"/>
    <w:rsid w:val="00F60ACE"/>
    <w:rsid w:val="00F6186B"/>
    <w:rsid w:val="00F70419"/>
    <w:rsid w:val="00F7407C"/>
    <w:rsid w:val="00F741F7"/>
    <w:rsid w:val="00F76EEF"/>
    <w:rsid w:val="00F82ADB"/>
    <w:rsid w:val="00F863AB"/>
    <w:rsid w:val="00F9168B"/>
    <w:rsid w:val="00F91F4F"/>
    <w:rsid w:val="00F94EED"/>
    <w:rsid w:val="00FA3DE0"/>
    <w:rsid w:val="00FA4ACC"/>
    <w:rsid w:val="00FC1AAB"/>
    <w:rsid w:val="00FC3260"/>
    <w:rsid w:val="00FC39A3"/>
    <w:rsid w:val="00FC4DEA"/>
    <w:rsid w:val="00FD2092"/>
    <w:rsid w:val="00FD23DF"/>
    <w:rsid w:val="00FD72B1"/>
    <w:rsid w:val="00FD7651"/>
    <w:rsid w:val="00FE0B61"/>
    <w:rsid w:val="00FE39A1"/>
    <w:rsid w:val="00FE47EF"/>
    <w:rsid w:val="00FF6818"/>
    <w:rsid w:val="00FF6BEA"/>
    <w:rsid w:val="0135F28C"/>
    <w:rsid w:val="02A93C84"/>
    <w:rsid w:val="05E2499F"/>
    <w:rsid w:val="0A22412F"/>
    <w:rsid w:val="0D447935"/>
    <w:rsid w:val="0EC93A6C"/>
    <w:rsid w:val="15E32523"/>
    <w:rsid w:val="1ACD345E"/>
    <w:rsid w:val="1BC58965"/>
    <w:rsid w:val="1D8756EA"/>
    <w:rsid w:val="1FD31F81"/>
    <w:rsid w:val="24687667"/>
    <w:rsid w:val="323DA199"/>
    <w:rsid w:val="3329A7D7"/>
    <w:rsid w:val="336B0CE0"/>
    <w:rsid w:val="38C50BAA"/>
    <w:rsid w:val="3BFCAC6C"/>
    <w:rsid w:val="3F3E1D90"/>
    <w:rsid w:val="4A0F9BCE"/>
    <w:rsid w:val="4C3F7AED"/>
    <w:rsid w:val="5022B38F"/>
    <w:rsid w:val="511F2775"/>
    <w:rsid w:val="51C807C6"/>
    <w:rsid w:val="5A82E117"/>
    <w:rsid w:val="608D3DD1"/>
    <w:rsid w:val="613676A4"/>
    <w:rsid w:val="6FD687E3"/>
    <w:rsid w:val="70627992"/>
    <w:rsid w:val="7377B90D"/>
    <w:rsid w:val="7924FB1F"/>
    <w:rsid w:val="7B84281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43C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720"/>
    </w:pPr>
    <w:rPr>
      <w:sz w:val="20"/>
    </w:rPr>
  </w:style>
  <w:style w:type="paragraph" w:customStyle="1" w:styleId="Level1">
    <w:name w:val="Level 1"/>
    <w:basedOn w:val="Header"/>
    <w:pPr>
      <w:numPr>
        <w:numId w:val="4"/>
      </w:numPr>
    </w:pPr>
  </w:style>
  <w:style w:type="paragraph" w:styleId="NormalWeb">
    <w:name w:val="Normal (Web)"/>
    <w:basedOn w:val="Normal"/>
    <w:pPr>
      <w:spacing w:before="100" w:beforeAutospacing="1" w:after="100" w:afterAutospacing="1"/>
    </w:pPr>
  </w:style>
  <w:style w:type="character" w:styleId="Hyperlink">
    <w:name w:val="Hyperlink"/>
    <w:rPr>
      <w:b/>
      <w:bCs/>
      <w:color w:val="auto"/>
      <w:u w:val="single"/>
    </w:rPr>
  </w:style>
  <w:style w:type="character" w:styleId="FollowedHyperlink">
    <w:name w:val="FollowedHyperlink"/>
    <w:rPr>
      <w:color w:val="auto"/>
      <w:u w:val="single"/>
    </w:rPr>
  </w:style>
  <w:style w:type="paragraph" w:styleId="BalloonText">
    <w:name w:val="Balloon Text"/>
    <w:basedOn w:val="Normal"/>
    <w:link w:val="BalloonTextChar"/>
    <w:rsid w:val="00E430FD"/>
    <w:rPr>
      <w:rFonts w:ascii="Tahoma" w:hAnsi="Tahoma" w:cs="Tahoma"/>
      <w:sz w:val="16"/>
      <w:szCs w:val="16"/>
    </w:rPr>
  </w:style>
  <w:style w:type="character" w:customStyle="1" w:styleId="BalloonTextChar">
    <w:name w:val="Balloon Text Char"/>
    <w:basedOn w:val="DefaultParagraphFont"/>
    <w:link w:val="BalloonText"/>
    <w:rsid w:val="00E430FD"/>
    <w:rPr>
      <w:rFonts w:ascii="Tahoma" w:hAnsi="Tahoma" w:cs="Tahoma"/>
      <w:sz w:val="16"/>
      <w:szCs w:val="16"/>
    </w:rPr>
  </w:style>
  <w:style w:type="paragraph" w:styleId="CommentText">
    <w:name w:val="annotation text"/>
    <w:basedOn w:val="Normal"/>
    <w:link w:val="CommentTextChar"/>
    <w:rsid w:val="00AF5050"/>
    <w:rPr>
      <w:sz w:val="20"/>
      <w:szCs w:val="20"/>
    </w:rPr>
  </w:style>
  <w:style w:type="character" w:customStyle="1" w:styleId="CommentTextChar">
    <w:name w:val="Comment Text Char"/>
    <w:basedOn w:val="DefaultParagraphFont"/>
    <w:link w:val="CommentText"/>
    <w:rsid w:val="00AF5050"/>
  </w:style>
  <w:style w:type="paragraph" w:styleId="CommentSubject">
    <w:name w:val="annotation subject"/>
    <w:basedOn w:val="CommentText"/>
    <w:next w:val="CommentText"/>
    <w:link w:val="CommentSubjectChar"/>
    <w:uiPriority w:val="99"/>
    <w:unhideWhenUsed/>
    <w:rsid w:val="00AF5050"/>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rsid w:val="00AF5050"/>
    <w:rPr>
      <w:rFonts w:asciiTheme="minorHAnsi" w:eastAsiaTheme="minorHAnsi" w:hAnsiTheme="minorHAnsi" w:cstheme="minorBidi"/>
      <w:b/>
      <w:bCs/>
    </w:rPr>
  </w:style>
  <w:style w:type="character" w:customStyle="1" w:styleId="FooterChar">
    <w:name w:val="Footer Char"/>
    <w:basedOn w:val="DefaultParagraphFont"/>
    <w:link w:val="Footer"/>
    <w:uiPriority w:val="99"/>
    <w:rsid w:val="008C44CF"/>
    <w:rPr>
      <w:sz w:val="24"/>
      <w:szCs w:val="24"/>
    </w:rPr>
  </w:style>
  <w:style w:type="paragraph" w:customStyle="1" w:styleId="level10">
    <w:name w:val="level1"/>
    <w:basedOn w:val="Normal"/>
    <w:rsid w:val="00507ABD"/>
    <w:rPr>
      <w:rFonts w:eastAsiaTheme="minorHAnsi"/>
    </w:rPr>
  </w:style>
  <w:style w:type="character" w:styleId="CommentReference">
    <w:name w:val="annotation reference"/>
    <w:basedOn w:val="DefaultParagraphFont"/>
    <w:uiPriority w:val="99"/>
    <w:rsid w:val="00B1079B"/>
    <w:rPr>
      <w:sz w:val="16"/>
      <w:szCs w:val="16"/>
    </w:rPr>
  </w:style>
  <w:style w:type="table" w:styleId="TableGrid">
    <w:name w:val="Table Grid"/>
    <w:basedOn w:val="TableNormal"/>
    <w:rsid w:val="000130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unhideWhenUsed/>
    <w:rsid w:val="00BF0C7D"/>
    <w:rPr>
      <w:color w:val="605E5C"/>
      <w:shd w:val="clear" w:color="auto" w:fill="E1DFDD"/>
    </w:rPr>
  </w:style>
  <w:style w:type="paragraph" w:styleId="Revision">
    <w:name w:val="Revision"/>
    <w:hidden/>
    <w:uiPriority w:val="99"/>
    <w:semiHidden/>
    <w:rsid w:val="00473EF7"/>
    <w:rPr>
      <w:sz w:val="24"/>
      <w:szCs w:val="24"/>
    </w:rPr>
  </w:style>
  <w:style w:type="character" w:styleId="Strong">
    <w:name w:val="Strong"/>
    <w:basedOn w:val="DefaultParagraphFont"/>
    <w:uiPriority w:val="22"/>
    <w:qFormat/>
    <w:rsid w:val="00A94683"/>
    <w:rPr>
      <w:b/>
      <w:bCs/>
    </w:rPr>
  </w:style>
  <w:style w:type="paragraph" w:styleId="ListParagraph">
    <w:name w:val="List Paragraph"/>
    <w:basedOn w:val="Normal"/>
    <w:uiPriority w:val="34"/>
    <w:qFormat/>
    <w:rsid w:val="00D876A0"/>
    <w:pPr>
      <w:ind w:left="720"/>
      <w:contextualSpacing/>
    </w:pPr>
  </w:style>
  <w:style w:type="character" w:styleId="Mention">
    <w:name w:val="Mention"/>
    <w:basedOn w:val="DefaultParagraphFont"/>
    <w:uiPriority w:val="99"/>
    <w:unhideWhenUsed/>
    <w:rsid w:val="00787336"/>
    <w:rPr>
      <w:color w:val="2B579A"/>
      <w:shd w:val="clear" w:color="auto" w:fill="E1DFDD"/>
    </w:rPr>
  </w:style>
  <w:style w:type="character" w:customStyle="1" w:styleId="HeaderChar">
    <w:name w:val="Header Char"/>
    <w:basedOn w:val="DefaultParagraphFont"/>
    <w:link w:val="Header"/>
    <w:rsid w:val="00EB3C3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850156">
      <w:bodyDiv w:val="1"/>
      <w:marLeft w:val="0"/>
      <w:marRight w:val="0"/>
      <w:marTop w:val="0"/>
      <w:marBottom w:val="0"/>
      <w:divBdr>
        <w:top w:val="none" w:sz="0" w:space="0" w:color="auto"/>
        <w:left w:val="none" w:sz="0" w:space="0" w:color="auto"/>
        <w:bottom w:val="none" w:sz="0" w:space="0" w:color="auto"/>
        <w:right w:val="none" w:sz="0" w:space="0" w:color="auto"/>
      </w:divBdr>
    </w:div>
    <w:div w:id="2073576167">
      <w:bodyDiv w:val="1"/>
      <w:marLeft w:val="0"/>
      <w:marRight w:val="0"/>
      <w:marTop w:val="0"/>
      <w:marBottom w:val="0"/>
      <w:divBdr>
        <w:top w:val="none" w:sz="0" w:space="0" w:color="auto"/>
        <w:left w:val="none" w:sz="0" w:space="0" w:color="auto"/>
        <w:bottom w:val="none" w:sz="0" w:space="0" w:color="auto"/>
        <w:right w:val="none" w:sz="0" w:space="0" w:color="auto"/>
      </w:divBdr>
    </w:div>
    <w:div w:id="2132631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48234782FFCA42875AF975AD80665F" ma:contentTypeVersion="4" ma:contentTypeDescription="Create a new document." ma:contentTypeScope="" ma:versionID="94424774801366880773b694c6cb2ab3">
  <xsd:schema xmlns:xsd="http://www.w3.org/2001/XMLSchema" xmlns:xs="http://www.w3.org/2001/XMLSchema" xmlns:p="http://schemas.microsoft.com/office/2006/metadata/properties" xmlns:ns2="533b647e-c6ce-41dd-9975-d3bf13680656" xmlns:ns3="a9979162-b859-4b73-a23b-882159dd20dd" targetNamespace="http://schemas.microsoft.com/office/2006/metadata/properties" ma:root="true" ma:fieldsID="a25700d1695d6a16a3317b8134183445" ns2:_="" ns3:_="">
    <xsd:import namespace="533b647e-c6ce-41dd-9975-d3bf13680656"/>
    <xsd:import namespace="a9979162-b859-4b73-a23b-882159dd20d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3b647e-c6ce-41dd-9975-d3bf13680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979162-b859-4b73-a23b-882159dd20d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A7F86B-43AE-4C5E-8A4F-0B108F255DB2}">
  <ds:schemaRefs>
    <ds:schemaRef ds:uri="533b647e-c6ce-41dd-9975-d3bf13680656"/>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a9979162-b859-4b73-a23b-882159dd20dd"/>
    <ds:schemaRef ds:uri="http://www.w3.org/XML/1998/namespace"/>
    <ds:schemaRef ds:uri="http://purl.org/dc/dcmitype/"/>
  </ds:schemaRefs>
</ds:datastoreItem>
</file>

<file path=customXml/itemProps2.xml><?xml version="1.0" encoding="utf-8"?>
<ds:datastoreItem xmlns:ds="http://schemas.openxmlformats.org/officeDocument/2006/customXml" ds:itemID="{46C8A6DD-E9B8-4E7B-A978-9C372B566528}">
  <ds:schemaRefs>
    <ds:schemaRef ds:uri="http://schemas.microsoft.com/sharepoint/v3/contenttype/forms"/>
  </ds:schemaRefs>
</ds:datastoreItem>
</file>

<file path=customXml/itemProps3.xml><?xml version="1.0" encoding="utf-8"?>
<ds:datastoreItem xmlns:ds="http://schemas.openxmlformats.org/officeDocument/2006/customXml" ds:itemID="{002DA2EB-D547-44E7-98D2-AF4AA9EC67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3b647e-c6ce-41dd-9975-d3bf13680656"/>
    <ds:schemaRef ds:uri="a9979162-b859-4b73-a23b-882159dd2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1756</Words>
  <Characters>10442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2022-06-28T18:32:00Z</dcterms:created>
  <dcterms:modified xsi:type="dcterms:W3CDTF">2022-06-29T14:23:00Z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0x010100E248234782FFCA42875AF975AD80665F</vt:lpwstr>
  </property>
</Properties>
</file>