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7CC85" w14:textId="77777777" w:rsidR="000B7491" w:rsidRPr="005627E6" w:rsidRDefault="00992506" w:rsidP="00992506">
      <w:pPr>
        <w:spacing w:after="0" w:line="240" w:lineRule="auto"/>
        <w:jc w:val="center"/>
        <w:rPr>
          <w:rFonts w:ascii="Verdana" w:hAnsi="Verdana"/>
          <w:b/>
          <w:sz w:val="24"/>
          <w:szCs w:val="24"/>
          <w:u w:val="single"/>
        </w:rPr>
      </w:pPr>
      <w:r w:rsidRPr="005627E6">
        <w:rPr>
          <w:rFonts w:ascii="Verdana" w:hAnsi="Verdana"/>
          <w:b/>
          <w:sz w:val="24"/>
          <w:szCs w:val="24"/>
          <w:u w:val="single"/>
        </w:rPr>
        <w:t xml:space="preserve">Instructions for Uploading </w:t>
      </w:r>
    </w:p>
    <w:p w14:paraId="4F5DDEAF" w14:textId="77777777" w:rsidR="00992506" w:rsidRPr="005627E6" w:rsidRDefault="00992506" w:rsidP="00992506">
      <w:pPr>
        <w:spacing w:after="0" w:line="240" w:lineRule="auto"/>
        <w:jc w:val="center"/>
        <w:rPr>
          <w:rFonts w:ascii="Verdana" w:hAnsi="Verdana"/>
          <w:b/>
          <w:sz w:val="24"/>
          <w:szCs w:val="24"/>
        </w:rPr>
      </w:pPr>
      <w:r w:rsidRPr="005627E6">
        <w:rPr>
          <w:rFonts w:ascii="Verdana" w:hAnsi="Verdana"/>
          <w:b/>
          <w:i/>
          <w:sz w:val="24"/>
          <w:szCs w:val="24"/>
          <w:u w:val="single"/>
        </w:rPr>
        <w:t xml:space="preserve">CPD Monitoring </w:t>
      </w:r>
      <w:r w:rsidR="00A41D78" w:rsidRPr="005627E6">
        <w:rPr>
          <w:rFonts w:ascii="Verdana" w:hAnsi="Verdana"/>
          <w:b/>
          <w:i/>
          <w:sz w:val="24"/>
          <w:szCs w:val="24"/>
          <w:u w:val="single"/>
        </w:rPr>
        <w:t>Handbook</w:t>
      </w:r>
      <w:r w:rsidRPr="005627E6">
        <w:rPr>
          <w:rFonts w:ascii="Verdana" w:hAnsi="Verdana"/>
          <w:b/>
          <w:i/>
          <w:sz w:val="24"/>
          <w:szCs w:val="24"/>
          <w:u w:val="single"/>
        </w:rPr>
        <w:t xml:space="preserve"> 6509.2 REV-7</w:t>
      </w:r>
    </w:p>
    <w:p w14:paraId="5F34CDA4" w14:textId="5AE359EE" w:rsidR="00992506" w:rsidRPr="005627E6" w:rsidRDefault="00992506" w:rsidP="00992506">
      <w:pPr>
        <w:spacing w:after="0" w:line="240" w:lineRule="auto"/>
        <w:jc w:val="center"/>
        <w:rPr>
          <w:rFonts w:ascii="Verdana" w:hAnsi="Verdana"/>
          <w:b/>
          <w:sz w:val="24"/>
          <w:szCs w:val="24"/>
        </w:rPr>
      </w:pPr>
      <w:r w:rsidRPr="005627E6">
        <w:rPr>
          <w:rFonts w:ascii="Verdana" w:hAnsi="Verdana"/>
          <w:b/>
          <w:sz w:val="24"/>
          <w:szCs w:val="24"/>
        </w:rPr>
        <w:t xml:space="preserve">Date: </w:t>
      </w:r>
      <w:r w:rsidR="00FC40EC">
        <w:rPr>
          <w:rFonts w:ascii="Verdana" w:hAnsi="Verdana"/>
          <w:b/>
          <w:sz w:val="24"/>
          <w:szCs w:val="24"/>
        </w:rPr>
        <w:t>June</w:t>
      </w:r>
      <w:r w:rsidR="002B417B">
        <w:rPr>
          <w:rFonts w:ascii="Verdana" w:hAnsi="Verdana"/>
          <w:b/>
          <w:sz w:val="24"/>
          <w:szCs w:val="24"/>
        </w:rPr>
        <w:t xml:space="preserve"> </w:t>
      </w:r>
      <w:r w:rsidR="00466C27" w:rsidRPr="000F1F86">
        <w:rPr>
          <w:rFonts w:ascii="Verdana" w:hAnsi="Verdana"/>
          <w:b/>
          <w:sz w:val="24"/>
          <w:szCs w:val="24"/>
        </w:rPr>
        <w:t>2</w:t>
      </w:r>
      <w:r w:rsidR="000F1F86" w:rsidRPr="000F1F86">
        <w:rPr>
          <w:rFonts w:ascii="Verdana" w:hAnsi="Verdana"/>
          <w:b/>
          <w:sz w:val="24"/>
          <w:szCs w:val="24"/>
        </w:rPr>
        <w:t>9</w:t>
      </w:r>
      <w:r w:rsidR="002B417B" w:rsidRPr="000F1F86">
        <w:rPr>
          <w:rFonts w:ascii="Verdana" w:hAnsi="Verdana"/>
          <w:b/>
          <w:sz w:val="24"/>
          <w:szCs w:val="24"/>
        </w:rPr>
        <w:t>,</w:t>
      </w:r>
      <w:r w:rsidR="002B417B">
        <w:rPr>
          <w:rFonts w:ascii="Verdana" w:hAnsi="Verdana"/>
          <w:b/>
          <w:sz w:val="24"/>
          <w:szCs w:val="24"/>
        </w:rPr>
        <w:t xml:space="preserve"> 20</w:t>
      </w:r>
      <w:r w:rsidR="00FC40EC">
        <w:rPr>
          <w:rFonts w:ascii="Verdana" w:hAnsi="Verdana"/>
          <w:b/>
          <w:sz w:val="24"/>
          <w:szCs w:val="24"/>
        </w:rPr>
        <w:t>22</w:t>
      </w:r>
    </w:p>
    <w:p w14:paraId="07C20644" w14:textId="77777777" w:rsidR="00776207" w:rsidRPr="005627E6" w:rsidRDefault="00776207" w:rsidP="00107BE9">
      <w:pPr>
        <w:spacing w:after="0" w:line="120" w:lineRule="auto"/>
        <w:rPr>
          <w:rFonts w:ascii="Verdana" w:hAnsi="Verdana"/>
          <w:b/>
          <w:sz w:val="24"/>
          <w:szCs w:val="24"/>
        </w:rPr>
      </w:pPr>
    </w:p>
    <w:p w14:paraId="39771195" w14:textId="3E42AF4D" w:rsidR="00776207" w:rsidRPr="005627E6" w:rsidRDefault="00776207" w:rsidP="00F62EAF">
      <w:pPr>
        <w:pStyle w:val="ListParagraph"/>
        <w:numPr>
          <w:ilvl w:val="0"/>
          <w:numId w:val="1"/>
        </w:numPr>
        <w:spacing w:after="0" w:line="240" w:lineRule="auto"/>
        <w:ind w:left="360"/>
        <w:rPr>
          <w:rFonts w:ascii="Verdana" w:hAnsi="Verdana"/>
          <w:b/>
          <w:sz w:val="24"/>
          <w:szCs w:val="24"/>
        </w:rPr>
      </w:pPr>
      <w:r w:rsidRPr="005627E6">
        <w:rPr>
          <w:rFonts w:ascii="Verdana" w:hAnsi="Verdana"/>
          <w:b/>
          <w:sz w:val="24"/>
          <w:szCs w:val="24"/>
        </w:rPr>
        <w:t xml:space="preserve">Retain zipped file of 6509.2 </w:t>
      </w:r>
      <w:r w:rsidR="00FE1E6B">
        <w:rPr>
          <w:rFonts w:ascii="Verdana" w:hAnsi="Verdana"/>
          <w:b/>
          <w:sz w:val="24"/>
          <w:szCs w:val="24"/>
        </w:rPr>
        <w:t>Change-3</w:t>
      </w:r>
      <w:r w:rsidR="00EA47ED">
        <w:rPr>
          <w:rFonts w:ascii="Verdana" w:hAnsi="Verdana"/>
          <w:b/>
          <w:sz w:val="24"/>
          <w:szCs w:val="24"/>
        </w:rPr>
        <w:t xml:space="preserve"> Version to </w:t>
      </w:r>
      <w:r w:rsidRPr="005627E6">
        <w:rPr>
          <w:rFonts w:ascii="Verdana" w:hAnsi="Verdana"/>
          <w:b/>
          <w:sz w:val="24"/>
          <w:szCs w:val="24"/>
        </w:rPr>
        <w:t>REV-</w:t>
      </w:r>
      <w:r w:rsidR="00FC40EC">
        <w:rPr>
          <w:rFonts w:ascii="Verdana" w:hAnsi="Verdana"/>
          <w:b/>
          <w:sz w:val="24"/>
          <w:szCs w:val="24"/>
        </w:rPr>
        <w:t>7</w:t>
      </w:r>
      <w:r w:rsidRPr="005627E6">
        <w:rPr>
          <w:rFonts w:ascii="Verdana" w:hAnsi="Verdana"/>
          <w:b/>
          <w:sz w:val="24"/>
          <w:szCs w:val="24"/>
        </w:rPr>
        <w:t xml:space="preserve"> to show at bottom of page: </w:t>
      </w:r>
      <w:hyperlink r:id="rId11" w:history="1">
        <w:r w:rsidR="00A169A1" w:rsidRPr="005627E6">
          <w:rPr>
            <w:rStyle w:val="Hyperlink"/>
            <w:rFonts w:ascii="Verdana" w:hAnsi="Verdana"/>
            <w:b/>
            <w:sz w:val="24"/>
            <w:szCs w:val="24"/>
          </w:rPr>
          <w:t>https://portal.hud.gov/hudportal/HUD?src=/program_offices/administration/hudclips/handbooks/cpd/6509.2</w:t>
        </w:r>
      </w:hyperlink>
      <w:r w:rsidR="00A169A1" w:rsidRPr="005627E6">
        <w:rPr>
          <w:rFonts w:ascii="Verdana" w:hAnsi="Verdana"/>
          <w:b/>
          <w:sz w:val="24"/>
          <w:szCs w:val="24"/>
        </w:rPr>
        <w:t>.</w:t>
      </w:r>
    </w:p>
    <w:p w14:paraId="27EA416B" w14:textId="77777777" w:rsidR="008D0A50" w:rsidRPr="005627E6" w:rsidRDefault="008D0A50" w:rsidP="008D0A50">
      <w:pPr>
        <w:pStyle w:val="ListParagraph"/>
        <w:spacing w:after="0" w:line="240" w:lineRule="auto"/>
        <w:ind w:left="360"/>
        <w:rPr>
          <w:rFonts w:ascii="Verdana" w:hAnsi="Verdana"/>
          <w:b/>
          <w:sz w:val="24"/>
          <w:szCs w:val="24"/>
        </w:rPr>
      </w:pPr>
    </w:p>
    <w:p w14:paraId="60DC79DD" w14:textId="77777777" w:rsidR="002B417B" w:rsidRPr="002B417B" w:rsidRDefault="00A169A1" w:rsidP="001D138C">
      <w:pPr>
        <w:pStyle w:val="ListParagraph"/>
        <w:numPr>
          <w:ilvl w:val="0"/>
          <w:numId w:val="1"/>
        </w:numPr>
        <w:spacing w:after="0" w:line="240" w:lineRule="auto"/>
        <w:ind w:left="360"/>
        <w:rPr>
          <w:rFonts w:ascii="Verdana" w:hAnsi="Verdana"/>
          <w:noProof/>
          <w:sz w:val="24"/>
          <w:szCs w:val="24"/>
        </w:rPr>
      </w:pPr>
      <w:r w:rsidRPr="005627E6">
        <w:rPr>
          <w:rFonts w:ascii="Verdana" w:hAnsi="Verdana"/>
          <w:b/>
          <w:sz w:val="24"/>
          <w:szCs w:val="24"/>
        </w:rPr>
        <w:t xml:space="preserve">Replace current summary with the following text:  </w:t>
      </w:r>
    </w:p>
    <w:p w14:paraId="053C04E1" w14:textId="77777777" w:rsidR="002B417B" w:rsidRPr="002B417B" w:rsidRDefault="002B417B" w:rsidP="00107BE9">
      <w:pPr>
        <w:pStyle w:val="ListParagraph"/>
        <w:spacing w:line="120" w:lineRule="auto"/>
        <w:rPr>
          <w:rFonts w:ascii="Verdana" w:hAnsi="Verdana"/>
          <w:noProof/>
          <w:sz w:val="24"/>
          <w:szCs w:val="24"/>
        </w:rPr>
      </w:pPr>
    </w:p>
    <w:p w14:paraId="6AC62C0B" w14:textId="73866872" w:rsidR="001324F1" w:rsidRDefault="001324F1" w:rsidP="002B417B">
      <w:pPr>
        <w:pStyle w:val="ListParagraph"/>
        <w:spacing w:after="0" w:line="240" w:lineRule="auto"/>
        <w:ind w:right="360"/>
        <w:rPr>
          <w:rFonts w:ascii="Verdana" w:hAnsi="Verdana"/>
          <w:noProof/>
          <w:sz w:val="24"/>
          <w:szCs w:val="24"/>
        </w:rPr>
      </w:pPr>
      <w:r w:rsidRPr="001324F1">
        <w:rPr>
          <w:rFonts w:ascii="Verdana" w:hAnsi="Verdana"/>
          <w:noProof/>
          <w:sz w:val="24"/>
          <w:szCs w:val="24"/>
        </w:rPr>
        <w:t xml:space="preserve">This </w:t>
      </w:r>
      <w:r w:rsidR="00AA4105">
        <w:rPr>
          <w:rFonts w:ascii="Verdana" w:hAnsi="Verdana"/>
          <w:noProof/>
          <w:sz w:val="24"/>
          <w:szCs w:val="24"/>
        </w:rPr>
        <w:t>handbook</w:t>
      </w:r>
      <w:r w:rsidRPr="001324F1">
        <w:rPr>
          <w:rFonts w:ascii="Verdana" w:hAnsi="Verdana"/>
          <w:noProof/>
          <w:sz w:val="24"/>
          <w:szCs w:val="24"/>
        </w:rPr>
        <w:t xml:space="preserve"> provides the exhibits used by HUD reviewers to assess grantee compliance with program regulations, applicable federal statues, grant requirements, and terms and conditions of the grant award</w:t>
      </w:r>
      <w:r w:rsidR="001C53D6">
        <w:rPr>
          <w:rFonts w:ascii="Verdana" w:hAnsi="Verdana"/>
          <w:noProof/>
          <w:sz w:val="24"/>
          <w:szCs w:val="24"/>
        </w:rPr>
        <w:t xml:space="preserve">s for </w:t>
      </w:r>
      <w:r w:rsidR="001C53D6" w:rsidRPr="006C7E22">
        <w:rPr>
          <w:rFonts w:ascii="Verdana" w:hAnsi="Verdana"/>
          <w:noProof/>
          <w:sz w:val="24"/>
          <w:szCs w:val="24"/>
        </w:rPr>
        <w:t>Community Planning and Development (CPD)</w:t>
      </w:r>
      <w:r w:rsidR="001C53D6">
        <w:rPr>
          <w:rFonts w:ascii="Verdana" w:hAnsi="Verdana"/>
          <w:noProof/>
          <w:sz w:val="24"/>
          <w:szCs w:val="24"/>
        </w:rPr>
        <w:t xml:space="preserve"> programs</w:t>
      </w:r>
      <w:r w:rsidRPr="001324F1">
        <w:rPr>
          <w:rFonts w:ascii="Verdana" w:hAnsi="Verdana"/>
          <w:noProof/>
          <w:sz w:val="24"/>
          <w:szCs w:val="24"/>
        </w:rPr>
        <w:t>.</w:t>
      </w:r>
    </w:p>
    <w:p w14:paraId="74F54806" w14:textId="77777777" w:rsidR="001324F1" w:rsidRDefault="001324F1" w:rsidP="002B417B">
      <w:pPr>
        <w:pStyle w:val="ListParagraph"/>
        <w:spacing w:after="0" w:line="240" w:lineRule="auto"/>
        <w:ind w:right="360"/>
        <w:rPr>
          <w:rFonts w:ascii="Verdana" w:hAnsi="Verdana"/>
          <w:noProof/>
          <w:sz w:val="24"/>
          <w:szCs w:val="24"/>
        </w:rPr>
      </w:pPr>
    </w:p>
    <w:p w14:paraId="6A93ED4C" w14:textId="451F1688" w:rsidR="004C568A" w:rsidRPr="00622D12" w:rsidRDefault="00FC6C3D" w:rsidP="00622D12">
      <w:pPr>
        <w:pStyle w:val="ListParagraph"/>
        <w:spacing w:after="0" w:line="240" w:lineRule="auto"/>
        <w:ind w:right="360"/>
        <w:rPr>
          <w:noProof/>
        </w:rPr>
      </w:pPr>
      <w:r>
        <w:rPr>
          <w:rFonts w:ascii="Verdana" w:hAnsi="Verdana"/>
          <w:noProof/>
          <w:sz w:val="24"/>
          <w:szCs w:val="24"/>
        </w:rPr>
        <w:t>Revision 7</w:t>
      </w:r>
      <w:r w:rsidR="00C15F1E">
        <w:rPr>
          <w:rFonts w:ascii="Verdana" w:hAnsi="Verdana"/>
          <w:noProof/>
          <w:sz w:val="24"/>
          <w:szCs w:val="24"/>
        </w:rPr>
        <w:t>, Change 4 (</w:t>
      </w:r>
      <w:r w:rsidR="004C568A" w:rsidRPr="005627E6">
        <w:rPr>
          <w:rFonts w:ascii="Verdana" w:hAnsi="Verdana"/>
          <w:noProof/>
          <w:sz w:val="24"/>
          <w:szCs w:val="24"/>
        </w:rPr>
        <w:t xml:space="preserve">REV-7 </w:t>
      </w:r>
      <w:r w:rsidR="00991B76">
        <w:rPr>
          <w:rFonts w:ascii="Verdana" w:hAnsi="Verdana"/>
          <w:noProof/>
          <w:sz w:val="24"/>
          <w:szCs w:val="24"/>
        </w:rPr>
        <w:t>CHG-4</w:t>
      </w:r>
      <w:r w:rsidR="00C15F1E">
        <w:rPr>
          <w:rFonts w:ascii="Verdana" w:hAnsi="Verdana"/>
          <w:noProof/>
          <w:sz w:val="24"/>
          <w:szCs w:val="24"/>
        </w:rPr>
        <w:t>)</w:t>
      </w:r>
      <w:r w:rsidR="00991B76">
        <w:rPr>
          <w:rFonts w:ascii="Verdana" w:hAnsi="Verdana"/>
          <w:noProof/>
          <w:sz w:val="24"/>
          <w:szCs w:val="24"/>
        </w:rPr>
        <w:t xml:space="preserve"> </w:t>
      </w:r>
      <w:r w:rsidR="004C568A" w:rsidRPr="005627E6">
        <w:rPr>
          <w:rFonts w:ascii="Verdana" w:hAnsi="Verdana"/>
          <w:noProof/>
          <w:sz w:val="24"/>
          <w:szCs w:val="24"/>
        </w:rPr>
        <w:t xml:space="preserve">of the </w:t>
      </w:r>
      <w:r w:rsidR="00B475DC">
        <w:rPr>
          <w:rFonts w:ascii="Verdana" w:hAnsi="Verdana"/>
          <w:noProof/>
          <w:sz w:val="24"/>
          <w:szCs w:val="24"/>
        </w:rPr>
        <w:t>handbook</w:t>
      </w:r>
      <w:r w:rsidR="00D00F35">
        <w:rPr>
          <w:rFonts w:ascii="Verdana" w:hAnsi="Verdana"/>
          <w:i/>
          <w:noProof/>
          <w:sz w:val="24"/>
          <w:szCs w:val="24"/>
        </w:rPr>
        <w:t xml:space="preserve"> </w:t>
      </w:r>
      <w:r w:rsidR="00765CC5" w:rsidRPr="00622D12">
        <w:rPr>
          <w:rFonts w:ascii="Verdana" w:hAnsi="Verdana"/>
          <w:iCs/>
          <w:noProof/>
          <w:sz w:val="24"/>
          <w:szCs w:val="24"/>
        </w:rPr>
        <w:t xml:space="preserve">provides </w:t>
      </w:r>
      <w:r w:rsidR="00C15F1E" w:rsidRPr="00622D12">
        <w:rPr>
          <w:rFonts w:ascii="Verdana" w:hAnsi="Verdana"/>
          <w:iCs/>
          <w:noProof/>
          <w:sz w:val="24"/>
          <w:szCs w:val="24"/>
        </w:rPr>
        <w:t>exhibits</w:t>
      </w:r>
      <w:r w:rsidR="00036A4F" w:rsidRPr="00622D12">
        <w:rPr>
          <w:rFonts w:ascii="Verdana" w:hAnsi="Verdana"/>
          <w:noProof/>
          <w:sz w:val="24"/>
          <w:szCs w:val="24"/>
        </w:rPr>
        <w:t xml:space="preserve"> for monitoring supplemental funding made available under the Coronavirus Aid, Relief, and Economic Security Act (CARES Act). Chapter 36 includes Exhibits that address requirements for supplemental funding used to prevent, prepare for, and respond to coronavirus for the CDBG, HOPWA, HOPWA-C and ESG programs. </w:t>
      </w:r>
    </w:p>
    <w:p w14:paraId="48037A57" w14:textId="77777777" w:rsidR="00A169A1" w:rsidRPr="005627E6" w:rsidRDefault="00A169A1" w:rsidP="008D0A50">
      <w:pPr>
        <w:spacing w:after="0" w:line="240" w:lineRule="auto"/>
        <w:rPr>
          <w:rFonts w:ascii="Verdana" w:hAnsi="Verdana"/>
          <w:b/>
          <w:sz w:val="24"/>
          <w:szCs w:val="24"/>
        </w:rPr>
      </w:pPr>
    </w:p>
    <w:p w14:paraId="48792D80" w14:textId="77777777" w:rsidR="00570C9D" w:rsidRDefault="008D0A50" w:rsidP="00706BD7">
      <w:pPr>
        <w:pStyle w:val="ListParagraph"/>
        <w:numPr>
          <w:ilvl w:val="0"/>
          <w:numId w:val="1"/>
        </w:numPr>
        <w:spacing w:after="0" w:line="240" w:lineRule="auto"/>
        <w:ind w:left="360"/>
        <w:rPr>
          <w:rFonts w:ascii="Verdana" w:hAnsi="Verdana"/>
          <w:b/>
          <w:sz w:val="24"/>
          <w:szCs w:val="24"/>
        </w:rPr>
      </w:pPr>
      <w:r w:rsidRPr="00A41D78">
        <w:rPr>
          <w:rFonts w:ascii="Verdana" w:hAnsi="Verdana"/>
          <w:b/>
          <w:caps/>
          <w:sz w:val="24"/>
          <w:szCs w:val="24"/>
        </w:rPr>
        <w:t>Pull and replace the following files</w:t>
      </w:r>
      <w:r w:rsidR="00706BD7">
        <w:rPr>
          <w:rFonts w:ascii="Verdana" w:hAnsi="Verdana"/>
          <w:b/>
          <w:sz w:val="24"/>
          <w:szCs w:val="24"/>
        </w:rPr>
        <w:t>:</w:t>
      </w:r>
      <w:r w:rsidR="00706BD7" w:rsidRPr="00706BD7">
        <w:rPr>
          <w:rFonts w:ascii="Verdana" w:hAnsi="Verdana"/>
          <w:b/>
          <w:sz w:val="24"/>
          <w:szCs w:val="24"/>
        </w:rPr>
        <w:t xml:space="preserve"> </w:t>
      </w:r>
    </w:p>
    <w:p w14:paraId="6BD375CB" w14:textId="77777777" w:rsidR="00A169A1" w:rsidRPr="00570C9D" w:rsidRDefault="00706BD7" w:rsidP="00570C9D">
      <w:pPr>
        <w:spacing w:after="0" w:line="240" w:lineRule="auto"/>
        <w:ind w:left="720"/>
        <w:rPr>
          <w:rFonts w:ascii="Verdana" w:hAnsi="Verdana"/>
          <w:b/>
          <w:sz w:val="24"/>
          <w:szCs w:val="24"/>
        </w:rPr>
      </w:pPr>
      <w:r w:rsidRPr="00570C9D">
        <w:rPr>
          <w:rFonts w:ascii="Verdana" w:hAnsi="Verdana"/>
          <w:sz w:val="24"/>
          <w:szCs w:val="24"/>
        </w:rPr>
        <w:t>(</w:t>
      </w:r>
      <w:r w:rsidR="00570C9D">
        <w:rPr>
          <w:rFonts w:ascii="Verdana" w:hAnsi="Verdana"/>
          <w:b/>
          <w:sz w:val="24"/>
          <w:szCs w:val="24"/>
        </w:rPr>
        <w:t>NOTE</w:t>
      </w:r>
      <w:r w:rsidRPr="00570C9D">
        <w:rPr>
          <w:rFonts w:ascii="Verdana" w:hAnsi="Verdana"/>
          <w:sz w:val="24"/>
          <w:szCs w:val="24"/>
        </w:rPr>
        <w:t xml:space="preserve">:  If Exhibit name has been changed, it will be included here and needs to be </w:t>
      </w:r>
      <w:r w:rsidR="003F68EA">
        <w:rPr>
          <w:rFonts w:ascii="Verdana" w:hAnsi="Verdana"/>
          <w:sz w:val="24"/>
          <w:szCs w:val="24"/>
        </w:rPr>
        <w:t>corrected</w:t>
      </w:r>
      <w:r w:rsidRPr="00570C9D">
        <w:rPr>
          <w:rFonts w:ascii="Verdana" w:hAnsi="Verdana"/>
          <w:sz w:val="24"/>
          <w:szCs w:val="24"/>
        </w:rPr>
        <w:t xml:space="preserve"> on HUDCLIPS)</w:t>
      </w:r>
      <w:r w:rsidR="008D0A50" w:rsidRPr="00570C9D">
        <w:rPr>
          <w:rFonts w:ascii="Verdana" w:hAnsi="Verdana"/>
          <w:b/>
          <w:sz w:val="24"/>
          <w:szCs w:val="24"/>
        </w:rPr>
        <w:t>:</w:t>
      </w:r>
    </w:p>
    <w:p w14:paraId="2A5AD4F9" w14:textId="77777777" w:rsidR="00570C9D" w:rsidRDefault="00570C9D" w:rsidP="00735669">
      <w:pPr>
        <w:spacing w:after="0" w:line="120" w:lineRule="auto"/>
        <w:ind w:left="360"/>
        <w:rPr>
          <w:rFonts w:ascii="Verdana" w:hAnsi="Verdana"/>
          <w:spacing w:val="-3"/>
          <w:sz w:val="24"/>
          <w:szCs w:val="24"/>
        </w:rPr>
      </w:pPr>
    </w:p>
    <w:p w14:paraId="323CDD81" w14:textId="7AE755CD" w:rsidR="00D13D99" w:rsidRPr="005627E6" w:rsidRDefault="00D13D99" w:rsidP="00D13D99">
      <w:pPr>
        <w:spacing w:after="0" w:line="240" w:lineRule="auto"/>
        <w:ind w:left="360"/>
        <w:rPr>
          <w:rFonts w:ascii="Verdana" w:hAnsi="Verdana"/>
          <w:spacing w:val="-3"/>
          <w:sz w:val="24"/>
          <w:szCs w:val="24"/>
        </w:rPr>
      </w:pPr>
      <w:r w:rsidRPr="005627E6">
        <w:rPr>
          <w:rFonts w:ascii="Verdana" w:hAnsi="Verdana"/>
          <w:spacing w:val="-3"/>
          <w:sz w:val="24"/>
          <w:szCs w:val="24"/>
        </w:rPr>
        <w:tab/>
      </w:r>
    </w:p>
    <w:p w14:paraId="640A5FF3" w14:textId="77777777" w:rsidR="00D13D99" w:rsidRPr="00B86C6E" w:rsidRDefault="00D13D99" w:rsidP="00B86C6E">
      <w:pPr>
        <w:pStyle w:val="ListParagraph"/>
        <w:numPr>
          <w:ilvl w:val="0"/>
          <w:numId w:val="4"/>
        </w:numPr>
        <w:spacing w:after="0" w:line="240" w:lineRule="auto"/>
        <w:rPr>
          <w:rFonts w:ascii="Verdana" w:hAnsi="Verdana"/>
          <w:spacing w:val="-3"/>
          <w:sz w:val="24"/>
          <w:szCs w:val="24"/>
        </w:rPr>
      </w:pPr>
      <w:r w:rsidRPr="00B86C6E">
        <w:rPr>
          <w:rFonts w:ascii="Verdana" w:hAnsi="Verdana"/>
          <w:spacing w:val="-3"/>
          <w:sz w:val="24"/>
          <w:szCs w:val="24"/>
        </w:rPr>
        <w:t>Table of Contents</w:t>
      </w:r>
      <w:r w:rsidRPr="00B86C6E">
        <w:rPr>
          <w:rFonts w:ascii="Verdana" w:hAnsi="Verdana"/>
          <w:spacing w:val="-3"/>
          <w:sz w:val="24"/>
          <w:szCs w:val="24"/>
        </w:rPr>
        <w:tab/>
      </w:r>
      <w:r w:rsidRPr="00B86C6E">
        <w:rPr>
          <w:rFonts w:ascii="Verdana" w:hAnsi="Verdana"/>
          <w:spacing w:val="-3"/>
          <w:sz w:val="24"/>
          <w:szCs w:val="24"/>
        </w:rPr>
        <w:tab/>
      </w:r>
      <w:r w:rsidRPr="00B86C6E">
        <w:rPr>
          <w:rFonts w:ascii="Verdana" w:hAnsi="Verdana"/>
          <w:spacing w:val="-3"/>
          <w:sz w:val="24"/>
          <w:szCs w:val="24"/>
        </w:rPr>
        <w:tab/>
      </w:r>
    </w:p>
    <w:p w14:paraId="7D0FCF0E" w14:textId="77777777" w:rsidR="00EC6517" w:rsidRPr="005627E6" w:rsidRDefault="00EC6517" w:rsidP="00EC6517">
      <w:pPr>
        <w:spacing w:after="0" w:line="120" w:lineRule="auto"/>
        <w:ind w:left="360"/>
        <w:rPr>
          <w:rFonts w:ascii="Verdana" w:hAnsi="Verdana"/>
          <w:spacing w:val="-3"/>
          <w:sz w:val="24"/>
          <w:szCs w:val="24"/>
        </w:rPr>
      </w:pPr>
    </w:p>
    <w:p w14:paraId="62874DDC" w14:textId="77777777" w:rsidR="00D13D99" w:rsidRPr="00B86C6E" w:rsidRDefault="00D13D99" w:rsidP="00B86C6E">
      <w:pPr>
        <w:pStyle w:val="ListParagraph"/>
        <w:numPr>
          <w:ilvl w:val="0"/>
          <w:numId w:val="4"/>
        </w:numPr>
        <w:spacing w:after="0" w:line="240" w:lineRule="auto"/>
        <w:rPr>
          <w:rFonts w:ascii="Verdana" w:hAnsi="Verdana"/>
          <w:spacing w:val="-3"/>
          <w:sz w:val="24"/>
          <w:szCs w:val="24"/>
        </w:rPr>
      </w:pPr>
      <w:r w:rsidRPr="00B86C6E">
        <w:rPr>
          <w:rFonts w:ascii="Verdana" w:hAnsi="Verdana"/>
          <w:spacing w:val="-3"/>
          <w:sz w:val="24"/>
          <w:szCs w:val="24"/>
        </w:rPr>
        <w:t>Chapter 1</w:t>
      </w:r>
      <w:r w:rsidRPr="00B86C6E">
        <w:rPr>
          <w:rFonts w:ascii="Verdana" w:hAnsi="Verdana"/>
          <w:spacing w:val="-3"/>
          <w:sz w:val="24"/>
          <w:szCs w:val="24"/>
        </w:rPr>
        <w:tab/>
      </w:r>
      <w:r w:rsidRPr="00B86C6E">
        <w:rPr>
          <w:rFonts w:ascii="Verdana" w:hAnsi="Verdana"/>
          <w:spacing w:val="-3"/>
          <w:sz w:val="24"/>
          <w:szCs w:val="24"/>
        </w:rPr>
        <w:tab/>
      </w:r>
      <w:r w:rsidRPr="00B86C6E">
        <w:rPr>
          <w:rFonts w:ascii="Verdana" w:hAnsi="Verdana"/>
          <w:spacing w:val="-3"/>
          <w:sz w:val="24"/>
          <w:szCs w:val="24"/>
        </w:rPr>
        <w:tab/>
      </w:r>
      <w:r w:rsidRPr="00B86C6E">
        <w:rPr>
          <w:rFonts w:ascii="Verdana" w:hAnsi="Verdana"/>
          <w:spacing w:val="-3"/>
          <w:sz w:val="24"/>
          <w:szCs w:val="24"/>
        </w:rPr>
        <w:tab/>
      </w:r>
    </w:p>
    <w:p w14:paraId="7BC2E1D6" w14:textId="77777777" w:rsidR="00EC6517" w:rsidRPr="005627E6" w:rsidRDefault="00EC6517" w:rsidP="00EC6517">
      <w:pPr>
        <w:spacing w:after="0" w:line="120" w:lineRule="auto"/>
        <w:ind w:left="360"/>
        <w:rPr>
          <w:rFonts w:ascii="Verdana" w:hAnsi="Verdana"/>
          <w:spacing w:val="-3"/>
          <w:sz w:val="24"/>
          <w:szCs w:val="24"/>
        </w:rPr>
      </w:pPr>
    </w:p>
    <w:p w14:paraId="7E9B0AB0" w14:textId="77777777" w:rsidR="006D1ABF" w:rsidRDefault="00D13D99" w:rsidP="00B86C6E">
      <w:pPr>
        <w:pStyle w:val="ListParagraph"/>
        <w:numPr>
          <w:ilvl w:val="0"/>
          <w:numId w:val="4"/>
        </w:numPr>
        <w:spacing w:after="0" w:line="240" w:lineRule="auto"/>
        <w:rPr>
          <w:rFonts w:ascii="Verdana" w:hAnsi="Verdana"/>
          <w:spacing w:val="-3"/>
          <w:sz w:val="24"/>
          <w:szCs w:val="24"/>
        </w:rPr>
      </w:pPr>
      <w:r w:rsidRPr="00B86C6E">
        <w:rPr>
          <w:rFonts w:ascii="Verdana" w:hAnsi="Verdana"/>
          <w:spacing w:val="-3"/>
          <w:sz w:val="24"/>
          <w:szCs w:val="24"/>
        </w:rPr>
        <w:t>Chapter 2</w:t>
      </w:r>
      <w:r w:rsidRPr="00B86C6E">
        <w:rPr>
          <w:rFonts w:ascii="Verdana" w:hAnsi="Verdana"/>
          <w:spacing w:val="-3"/>
          <w:sz w:val="24"/>
          <w:szCs w:val="24"/>
        </w:rPr>
        <w:tab/>
      </w:r>
    </w:p>
    <w:p w14:paraId="1CF60CA2" w14:textId="77777777" w:rsidR="006D1ABF" w:rsidRPr="006D1ABF" w:rsidRDefault="006D1ABF" w:rsidP="006D1ABF">
      <w:pPr>
        <w:pStyle w:val="ListParagraph"/>
        <w:rPr>
          <w:rFonts w:ascii="Verdana" w:hAnsi="Verdana"/>
          <w:spacing w:val="-3"/>
          <w:sz w:val="24"/>
          <w:szCs w:val="24"/>
        </w:rPr>
      </w:pPr>
    </w:p>
    <w:p w14:paraId="7E5EC4AD" w14:textId="6B37B6F4" w:rsidR="00D13D99" w:rsidRPr="00B86C6E" w:rsidRDefault="006D1ABF" w:rsidP="00B86C6E">
      <w:pPr>
        <w:pStyle w:val="ListParagraph"/>
        <w:numPr>
          <w:ilvl w:val="0"/>
          <w:numId w:val="4"/>
        </w:numPr>
        <w:spacing w:after="0" w:line="240" w:lineRule="auto"/>
        <w:rPr>
          <w:rFonts w:ascii="Verdana" w:hAnsi="Verdana"/>
          <w:spacing w:val="-3"/>
          <w:sz w:val="24"/>
          <w:szCs w:val="24"/>
        </w:rPr>
      </w:pPr>
      <w:r>
        <w:rPr>
          <w:rFonts w:ascii="Verdana" w:hAnsi="Verdana"/>
          <w:spacing w:val="-3"/>
          <w:sz w:val="24"/>
          <w:szCs w:val="24"/>
        </w:rPr>
        <w:t>Exhibit 2-2</w:t>
      </w:r>
      <w:r w:rsidR="00D13D99" w:rsidRPr="00B86C6E">
        <w:rPr>
          <w:rFonts w:ascii="Verdana" w:hAnsi="Verdana"/>
          <w:spacing w:val="-3"/>
          <w:sz w:val="24"/>
          <w:szCs w:val="24"/>
        </w:rPr>
        <w:tab/>
      </w:r>
      <w:r w:rsidR="00D13D99" w:rsidRPr="00B86C6E">
        <w:rPr>
          <w:rFonts w:ascii="Verdana" w:hAnsi="Verdana"/>
          <w:spacing w:val="-3"/>
          <w:sz w:val="24"/>
          <w:szCs w:val="24"/>
        </w:rPr>
        <w:tab/>
      </w:r>
      <w:r w:rsidR="00D13D99" w:rsidRPr="00B86C6E">
        <w:rPr>
          <w:rFonts w:ascii="Verdana" w:hAnsi="Verdana"/>
          <w:spacing w:val="-3"/>
          <w:sz w:val="24"/>
          <w:szCs w:val="24"/>
        </w:rPr>
        <w:tab/>
      </w:r>
    </w:p>
    <w:p w14:paraId="6773BAF3" w14:textId="38F11580" w:rsidR="00D13D99" w:rsidRPr="005627E6" w:rsidRDefault="00D13D99" w:rsidP="00D13D99">
      <w:pPr>
        <w:spacing w:after="0" w:line="240" w:lineRule="auto"/>
        <w:ind w:left="360"/>
        <w:rPr>
          <w:rFonts w:ascii="Verdana" w:hAnsi="Verdana"/>
          <w:spacing w:val="-3"/>
          <w:sz w:val="24"/>
          <w:szCs w:val="24"/>
        </w:rPr>
      </w:pPr>
      <w:r w:rsidRPr="005627E6">
        <w:rPr>
          <w:rFonts w:ascii="Verdana" w:hAnsi="Verdana"/>
          <w:spacing w:val="-3"/>
          <w:sz w:val="24"/>
          <w:szCs w:val="24"/>
        </w:rPr>
        <w:tab/>
      </w:r>
      <w:r w:rsidRPr="005627E6">
        <w:rPr>
          <w:rFonts w:ascii="Verdana" w:hAnsi="Verdana"/>
          <w:spacing w:val="-3"/>
          <w:sz w:val="24"/>
          <w:szCs w:val="24"/>
        </w:rPr>
        <w:tab/>
      </w:r>
      <w:r w:rsidRPr="005627E6">
        <w:rPr>
          <w:rFonts w:ascii="Verdana" w:hAnsi="Verdana"/>
          <w:spacing w:val="-3"/>
          <w:sz w:val="24"/>
          <w:szCs w:val="24"/>
        </w:rPr>
        <w:tab/>
      </w:r>
      <w:r w:rsidRPr="005627E6">
        <w:rPr>
          <w:rFonts w:ascii="Verdana" w:hAnsi="Verdana"/>
          <w:spacing w:val="-3"/>
          <w:sz w:val="24"/>
          <w:szCs w:val="24"/>
        </w:rPr>
        <w:tab/>
      </w:r>
    </w:p>
    <w:p w14:paraId="604DDB9F" w14:textId="77777777" w:rsidR="00010FB8" w:rsidRPr="002E4AEF" w:rsidRDefault="00010FB8" w:rsidP="00D13D99">
      <w:pPr>
        <w:spacing w:after="0" w:line="240" w:lineRule="auto"/>
        <w:ind w:left="360"/>
        <w:rPr>
          <w:rFonts w:ascii="Verdana" w:hAnsi="Verdana"/>
          <w:bCs/>
          <w:spacing w:val="-3"/>
          <w:sz w:val="24"/>
          <w:szCs w:val="24"/>
        </w:rPr>
      </w:pPr>
    </w:p>
    <w:p w14:paraId="25EF5B19" w14:textId="5C601240" w:rsidR="00010FB8" w:rsidRPr="00F62433" w:rsidRDefault="00010FB8" w:rsidP="00F62433">
      <w:pPr>
        <w:pStyle w:val="ListParagraph"/>
        <w:numPr>
          <w:ilvl w:val="0"/>
          <w:numId w:val="1"/>
        </w:numPr>
        <w:spacing w:after="0" w:line="240" w:lineRule="auto"/>
        <w:rPr>
          <w:rFonts w:ascii="Verdana" w:hAnsi="Verdana"/>
          <w:bCs/>
          <w:caps/>
          <w:spacing w:val="-3"/>
          <w:sz w:val="24"/>
          <w:szCs w:val="24"/>
        </w:rPr>
      </w:pPr>
      <w:r w:rsidRPr="00F62433">
        <w:rPr>
          <w:rFonts w:ascii="Verdana" w:hAnsi="Verdana"/>
          <w:bCs/>
          <w:caps/>
          <w:spacing w:val="-3"/>
          <w:sz w:val="24"/>
          <w:szCs w:val="24"/>
        </w:rPr>
        <w:t>Add the following new files</w:t>
      </w:r>
      <w:r w:rsidR="00400CA7" w:rsidRPr="00F62433">
        <w:rPr>
          <w:rFonts w:ascii="Verdana" w:hAnsi="Verdana"/>
          <w:bCs/>
          <w:caps/>
          <w:spacing w:val="-3"/>
          <w:sz w:val="24"/>
          <w:szCs w:val="24"/>
        </w:rPr>
        <w:t xml:space="preserve"> and insert file names</w:t>
      </w:r>
      <w:r w:rsidRPr="00F62433">
        <w:rPr>
          <w:rFonts w:ascii="Verdana" w:hAnsi="Verdana"/>
          <w:bCs/>
          <w:caps/>
          <w:spacing w:val="-3"/>
          <w:sz w:val="24"/>
          <w:szCs w:val="24"/>
        </w:rPr>
        <w:t>:</w:t>
      </w:r>
    </w:p>
    <w:p w14:paraId="1AD6EB48" w14:textId="77777777" w:rsidR="00F62433" w:rsidRPr="00F62433" w:rsidRDefault="00F62433" w:rsidP="00F62433">
      <w:pPr>
        <w:pStyle w:val="ListParagraph"/>
        <w:spacing w:after="0" w:line="240" w:lineRule="auto"/>
        <w:rPr>
          <w:rFonts w:ascii="Verdana" w:hAnsi="Verdana"/>
          <w:bCs/>
          <w:caps/>
          <w:spacing w:val="-3"/>
          <w:sz w:val="24"/>
          <w:szCs w:val="24"/>
        </w:rPr>
      </w:pPr>
    </w:p>
    <w:p w14:paraId="52CDB3CB" w14:textId="627A1058" w:rsidR="00992506" w:rsidRPr="00F62433" w:rsidRDefault="00DD793F" w:rsidP="0096378D">
      <w:pPr>
        <w:tabs>
          <w:tab w:val="left" w:pos="1800"/>
        </w:tabs>
        <w:spacing w:after="0" w:line="240" w:lineRule="auto"/>
        <w:ind w:left="360"/>
        <w:rPr>
          <w:rFonts w:ascii="Verdana" w:hAnsi="Verdana" w:cs="Times New Roman"/>
          <w:bCs/>
          <w:sz w:val="24"/>
          <w:szCs w:val="24"/>
        </w:rPr>
      </w:pPr>
      <w:r w:rsidRPr="00F62433">
        <w:rPr>
          <w:rFonts w:ascii="Verdana" w:hAnsi="Verdana" w:cs="Times New Roman"/>
          <w:bCs/>
          <w:sz w:val="24"/>
          <w:szCs w:val="24"/>
        </w:rPr>
        <w:t>Chapter 36 Coronavirus Aid, Relief, And Economic Security Supplemental Funding – Cares Act (CDBG-CV, HOPWA-CV, HOPWA-CV-C, ESG-CV)</w:t>
      </w:r>
    </w:p>
    <w:p w14:paraId="209CB09C" w14:textId="3AC0FE14" w:rsidR="0025669B" w:rsidRPr="00F62433" w:rsidRDefault="004A3173" w:rsidP="00DD793F">
      <w:pPr>
        <w:pStyle w:val="ListParagraph"/>
        <w:numPr>
          <w:ilvl w:val="0"/>
          <w:numId w:val="3"/>
        </w:numPr>
        <w:tabs>
          <w:tab w:val="left" w:pos="108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B64D25" w:rsidRPr="00F62433">
        <w:rPr>
          <w:rFonts w:ascii="Verdana" w:hAnsi="Verdana" w:cs="Times New Roman"/>
          <w:b/>
          <w:sz w:val="24"/>
          <w:szCs w:val="24"/>
        </w:rPr>
        <w:t>-</w:t>
      </w:r>
      <w:r w:rsidRPr="00F62433">
        <w:rPr>
          <w:rFonts w:ascii="Verdana" w:hAnsi="Verdana" w:cs="Times New Roman"/>
          <w:b/>
          <w:sz w:val="24"/>
          <w:szCs w:val="24"/>
        </w:rPr>
        <w:t>1</w:t>
      </w:r>
      <w:r w:rsidRPr="00F62433">
        <w:rPr>
          <w:rFonts w:ascii="Verdana" w:hAnsi="Verdana" w:cs="Times New Roman"/>
          <w:bCs/>
          <w:sz w:val="24"/>
          <w:szCs w:val="24"/>
        </w:rPr>
        <w:t xml:space="preserve"> </w:t>
      </w:r>
      <w:r w:rsidR="00622D12">
        <w:rPr>
          <w:rFonts w:ascii="Verdana" w:hAnsi="Verdana" w:cs="Times New Roman"/>
          <w:bCs/>
          <w:sz w:val="24"/>
          <w:szCs w:val="24"/>
        </w:rPr>
        <w:t xml:space="preserve">Addendum </w:t>
      </w:r>
      <w:r w:rsidRPr="00F62433">
        <w:rPr>
          <w:rFonts w:ascii="Verdana" w:hAnsi="Verdana" w:cs="Times New Roman"/>
          <w:bCs/>
          <w:sz w:val="24"/>
          <w:szCs w:val="24"/>
        </w:rPr>
        <w:t xml:space="preserve">Guide for Review of CDBG-CV, FY 2019 and 2020 Annual CDBG funds used to Prevent, </w:t>
      </w:r>
      <w:proofErr w:type="gramStart"/>
      <w:r w:rsidRPr="00F62433">
        <w:rPr>
          <w:rFonts w:ascii="Verdana" w:hAnsi="Verdana" w:cs="Times New Roman"/>
          <w:bCs/>
          <w:sz w:val="24"/>
          <w:szCs w:val="24"/>
        </w:rPr>
        <w:t>Prepare</w:t>
      </w:r>
      <w:proofErr w:type="gramEnd"/>
      <w:r w:rsidRPr="00F62433">
        <w:rPr>
          <w:rFonts w:ascii="Verdana" w:hAnsi="Verdana" w:cs="Times New Roman"/>
          <w:bCs/>
          <w:sz w:val="24"/>
          <w:szCs w:val="24"/>
        </w:rPr>
        <w:t xml:space="preserve"> for, and Respond to Coronavirus, for Entitlement, Non-Entitlement Grants in Hawaii, and Insular Area Program. </w:t>
      </w:r>
    </w:p>
    <w:p w14:paraId="1548F71C" w14:textId="18E00C86" w:rsidR="006C01C2" w:rsidRPr="00F62433" w:rsidRDefault="006C01C2" w:rsidP="00DD793F">
      <w:pPr>
        <w:pStyle w:val="ListParagraph"/>
        <w:numPr>
          <w:ilvl w:val="0"/>
          <w:numId w:val="3"/>
        </w:numPr>
        <w:ind w:left="1080" w:hanging="360"/>
        <w:rPr>
          <w:rFonts w:ascii="Verdana" w:hAnsi="Verdana" w:cs="Times New Roman"/>
          <w:bCs/>
          <w:sz w:val="24"/>
          <w:szCs w:val="24"/>
        </w:rPr>
      </w:pPr>
      <w:r w:rsidRPr="00F62433">
        <w:rPr>
          <w:rFonts w:ascii="Verdana" w:hAnsi="Verdana" w:cs="Times New Roman"/>
          <w:b/>
          <w:sz w:val="24"/>
          <w:szCs w:val="24"/>
        </w:rPr>
        <w:lastRenderedPageBreak/>
        <w:t>Exhibit 36</w:t>
      </w:r>
      <w:r w:rsidR="002E4AEF" w:rsidRPr="00F62433">
        <w:rPr>
          <w:rFonts w:ascii="Verdana" w:hAnsi="Verdana" w:cs="Times New Roman"/>
          <w:b/>
          <w:sz w:val="24"/>
          <w:szCs w:val="24"/>
        </w:rPr>
        <w:t>-2</w:t>
      </w:r>
      <w:r w:rsidRPr="00F62433">
        <w:rPr>
          <w:rFonts w:ascii="Verdana" w:hAnsi="Verdana" w:cs="Times New Roman"/>
          <w:bCs/>
          <w:sz w:val="24"/>
          <w:szCs w:val="24"/>
        </w:rPr>
        <w:t xml:space="preserve"> Addendum Guide for Review of State CDBG-CV Grantees and for FY 2019 and 2020 CDBG</w:t>
      </w:r>
      <w:r w:rsidRPr="00F62433">
        <w:rPr>
          <w:rFonts w:ascii="Verdana" w:hAnsi="Verdana" w:cs="Times New Roman"/>
          <w:b/>
          <w:sz w:val="24"/>
          <w:szCs w:val="24"/>
        </w:rPr>
        <w:t xml:space="preserve"> </w:t>
      </w:r>
      <w:r w:rsidRPr="00F62433">
        <w:rPr>
          <w:rFonts w:ascii="Verdana" w:hAnsi="Verdana" w:cs="Times New Roman"/>
          <w:bCs/>
          <w:sz w:val="24"/>
          <w:szCs w:val="24"/>
        </w:rPr>
        <w:t xml:space="preserve">Funds Used </w:t>
      </w:r>
      <w:proofErr w:type="gramStart"/>
      <w:r w:rsidRPr="00F62433">
        <w:rPr>
          <w:rFonts w:ascii="Verdana" w:hAnsi="Verdana" w:cs="Times New Roman"/>
          <w:bCs/>
          <w:sz w:val="24"/>
          <w:szCs w:val="24"/>
        </w:rPr>
        <w:t>To</w:t>
      </w:r>
      <w:proofErr w:type="gramEnd"/>
      <w:r w:rsidRPr="00F62433">
        <w:rPr>
          <w:rFonts w:ascii="Verdana" w:hAnsi="Verdana" w:cs="Times New Roman"/>
          <w:bCs/>
          <w:sz w:val="24"/>
          <w:szCs w:val="24"/>
        </w:rPr>
        <w:t xml:space="preserve"> Prevent, Prepare For, and Respond To Coronavirus. </w:t>
      </w:r>
    </w:p>
    <w:p w14:paraId="5DE7757B" w14:textId="2FBAD7F9" w:rsidR="009F5F97" w:rsidRPr="00F62433" w:rsidRDefault="009F5F97"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2E4AEF" w:rsidRPr="00F62433">
        <w:rPr>
          <w:rFonts w:ascii="Verdana" w:hAnsi="Verdana" w:cs="Times New Roman"/>
          <w:b/>
          <w:sz w:val="24"/>
          <w:szCs w:val="24"/>
        </w:rPr>
        <w:t>-3</w:t>
      </w:r>
      <w:r w:rsidR="0078726D">
        <w:rPr>
          <w:rFonts w:ascii="Verdana" w:hAnsi="Verdana" w:cs="Times New Roman"/>
          <w:b/>
          <w:sz w:val="24"/>
          <w:szCs w:val="24"/>
        </w:rPr>
        <w:t>A</w:t>
      </w:r>
      <w:r w:rsidRPr="00F62433">
        <w:rPr>
          <w:rFonts w:ascii="Verdana" w:hAnsi="Verdana" w:cs="Times New Roman"/>
          <w:bCs/>
          <w:sz w:val="24"/>
          <w:szCs w:val="24"/>
        </w:rPr>
        <w:t xml:space="preserve"> Guide for Review of HOPWA Housing Planning and Rent Subsidies. </w:t>
      </w:r>
    </w:p>
    <w:p w14:paraId="1392EB05" w14:textId="41C1C8DE" w:rsidR="009F5F97" w:rsidRPr="00F62433" w:rsidRDefault="009F5F97"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2E4AEF" w:rsidRPr="00F62433">
        <w:rPr>
          <w:rFonts w:ascii="Verdana" w:hAnsi="Verdana" w:cs="Times New Roman"/>
          <w:b/>
          <w:sz w:val="24"/>
          <w:szCs w:val="24"/>
        </w:rPr>
        <w:t>-3</w:t>
      </w:r>
      <w:r w:rsidR="0078726D">
        <w:rPr>
          <w:rFonts w:ascii="Verdana" w:hAnsi="Verdana" w:cs="Times New Roman"/>
          <w:b/>
          <w:sz w:val="24"/>
          <w:szCs w:val="24"/>
        </w:rPr>
        <w:t>B</w:t>
      </w:r>
      <w:r w:rsidRPr="00F62433">
        <w:rPr>
          <w:rFonts w:ascii="Verdana" w:hAnsi="Verdana" w:cs="Times New Roman"/>
          <w:bCs/>
          <w:sz w:val="24"/>
          <w:szCs w:val="24"/>
        </w:rPr>
        <w:t xml:space="preserve"> Guide for Review of HOPWA Facility-based Projects. </w:t>
      </w:r>
    </w:p>
    <w:p w14:paraId="064ED18C" w14:textId="3DEBB208" w:rsidR="009F5F97" w:rsidRPr="00F62433" w:rsidRDefault="009F5F97"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D04B9F" w:rsidRPr="00F62433">
        <w:rPr>
          <w:rFonts w:ascii="Verdana" w:hAnsi="Verdana" w:cs="Times New Roman"/>
          <w:b/>
          <w:sz w:val="24"/>
          <w:szCs w:val="24"/>
        </w:rPr>
        <w:t>-3</w:t>
      </w:r>
      <w:r w:rsidR="0078726D">
        <w:rPr>
          <w:rFonts w:ascii="Verdana" w:hAnsi="Verdana" w:cs="Times New Roman"/>
          <w:b/>
          <w:sz w:val="24"/>
          <w:szCs w:val="24"/>
        </w:rPr>
        <w:t>C</w:t>
      </w:r>
      <w:r w:rsidRPr="00F62433">
        <w:rPr>
          <w:rFonts w:ascii="Verdana" w:hAnsi="Verdana" w:cs="Times New Roman"/>
          <w:bCs/>
          <w:sz w:val="24"/>
          <w:szCs w:val="24"/>
        </w:rPr>
        <w:t xml:space="preserve"> Guide for Review of HOPWA Project Sponsor or Subrecipient Management. </w:t>
      </w:r>
    </w:p>
    <w:p w14:paraId="3CD910E7" w14:textId="7076B23C" w:rsidR="00EB7A6B" w:rsidRPr="00F62433" w:rsidRDefault="00EB7A6B"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D04B9F" w:rsidRPr="00F62433">
        <w:rPr>
          <w:rFonts w:ascii="Verdana" w:hAnsi="Verdana" w:cs="Times New Roman"/>
          <w:b/>
          <w:sz w:val="24"/>
          <w:szCs w:val="24"/>
        </w:rPr>
        <w:t>-4</w:t>
      </w:r>
      <w:r w:rsidR="0078726D">
        <w:rPr>
          <w:rFonts w:ascii="Verdana" w:hAnsi="Verdana" w:cs="Times New Roman"/>
          <w:b/>
          <w:sz w:val="24"/>
          <w:szCs w:val="24"/>
        </w:rPr>
        <w:t>A</w:t>
      </w:r>
      <w:r w:rsidRPr="00F62433">
        <w:rPr>
          <w:rFonts w:ascii="Verdana" w:hAnsi="Verdana" w:cs="Times New Roman"/>
          <w:bCs/>
          <w:sz w:val="24"/>
          <w:szCs w:val="24"/>
        </w:rPr>
        <w:t xml:space="preserve"> Guide for Review of Homeless and At-Risk Determination/Recordkeeping Requirements for ESG-CV. </w:t>
      </w:r>
    </w:p>
    <w:p w14:paraId="6E6A377F" w14:textId="6DCACE40" w:rsidR="00EB7A6B" w:rsidRPr="00F62433" w:rsidRDefault="00EB7A6B"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D04B9F" w:rsidRPr="00F62433">
        <w:rPr>
          <w:rFonts w:ascii="Verdana" w:hAnsi="Verdana" w:cs="Times New Roman"/>
          <w:b/>
          <w:sz w:val="24"/>
          <w:szCs w:val="24"/>
        </w:rPr>
        <w:t>-4</w:t>
      </w:r>
      <w:r w:rsidR="0078726D">
        <w:rPr>
          <w:rFonts w:ascii="Verdana" w:hAnsi="Verdana" w:cs="Times New Roman"/>
          <w:b/>
          <w:sz w:val="24"/>
          <w:szCs w:val="24"/>
        </w:rPr>
        <w:t>B</w:t>
      </w:r>
      <w:r w:rsidRPr="00F62433">
        <w:rPr>
          <w:rFonts w:ascii="Verdana" w:hAnsi="Verdana" w:cs="Times New Roman"/>
          <w:bCs/>
          <w:sz w:val="24"/>
          <w:szCs w:val="24"/>
        </w:rPr>
        <w:t xml:space="preserve"> Guide for Review of ESG-CV Recipient’s Overall Grants Management of ESG-CV. </w:t>
      </w:r>
    </w:p>
    <w:p w14:paraId="7BDFEB35" w14:textId="6BCFBB2A" w:rsidR="00EB7A6B" w:rsidRPr="00F62433" w:rsidRDefault="00EB7A6B"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D04B9F" w:rsidRPr="00F62433">
        <w:rPr>
          <w:rFonts w:ascii="Verdana" w:hAnsi="Verdana" w:cs="Times New Roman"/>
          <w:b/>
          <w:sz w:val="24"/>
          <w:szCs w:val="24"/>
        </w:rPr>
        <w:t>-4</w:t>
      </w:r>
      <w:r w:rsidR="0078726D">
        <w:rPr>
          <w:rFonts w:ascii="Verdana" w:hAnsi="Verdana" w:cs="Times New Roman"/>
          <w:b/>
          <w:sz w:val="24"/>
          <w:szCs w:val="24"/>
        </w:rPr>
        <w:t>C</w:t>
      </w:r>
      <w:r w:rsidRPr="00F62433">
        <w:rPr>
          <w:rFonts w:ascii="Verdana" w:hAnsi="Verdana" w:cs="Times New Roman"/>
          <w:bCs/>
          <w:sz w:val="24"/>
          <w:szCs w:val="24"/>
        </w:rPr>
        <w:t xml:space="preserve"> Guide for Review of ESG-CV Subrecipient Grant Management of ESG-CV. </w:t>
      </w:r>
    </w:p>
    <w:p w14:paraId="584F5BFE" w14:textId="55EA3882" w:rsidR="00EB7A6B" w:rsidRPr="00F62433" w:rsidRDefault="00EB7A6B"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D04B9F" w:rsidRPr="00F62433">
        <w:rPr>
          <w:rFonts w:ascii="Verdana" w:hAnsi="Verdana" w:cs="Times New Roman"/>
          <w:b/>
          <w:sz w:val="24"/>
          <w:szCs w:val="24"/>
        </w:rPr>
        <w:t>-4</w:t>
      </w:r>
      <w:r w:rsidR="0078726D">
        <w:rPr>
          <w:rFonts w:ascii="Verdana" w:hAnsi="Verdana" w:cs="Times New Roman"/>
          <w:b/>
          <w:sz w:val="24"/>
          <w:szCs w:val="24"/>
        </w:rPr>
        <w:t>D</w:t>
      </w:r>
      <w:r w:rsidRPr="00F62433">
        <w:rPr>
          <w:rFonts w:ascii="Verdana" w:hAnsi="Verdana" w:cs="Times New Roman"/>
          <w:bCs/>
          <w:sz w:val="24"/>
          <w:szCs w:val="24"/>
        </w:rPr>
        <w:t xml:space="preserve"> Guide for Review of ESG-CV Street Outreach Requirements. This is a new Exhibit.</w:t>
      </w:r>
    </w:p>
    <w:p w14:paraId="77891655" w14:textId="6BBB4A8F" w:rsidR="00EB7A6B" w:rsidRPr="00F62433" w:rsidRDefault="00EB7A6B"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D04B9F" w:rsidRPr="00F62433">
        <w:rPr>
          <w:rFonts w:ascii="Verdana" w:hAnsi="Verdana" w:cs="Times New Roman"/>
          <w:b/>
          <w:sz w:val="24"/>
          <w:szCs w:val="24"/>
        </w:rPr>
        <w:t>-4</w:t>
      </w:r>
      <w:r w:rsidR="0078726D">
        <w:rPr>
          <w:rFonts w:ascii="Verdana" w:hAnsi="Verdana" w:cs="Times New Roman"/>
          <w:b/>
          <w:sz w:val="24"/>
          <w:szCs w:val="24"/>
        </w:rPr>
        <w:t>E</w:t>
      </w:r>
      <w:r w:rsidRPr="00F62433">
        <w:rPr>
          <w:rFonts w:ascii="Verdana" w:hAnsi="Verdana" w:cs="Times New Roman"/>
          <w:bCs/>
          <w:sz w:val="24"/>
          <w:szCs w:val="24"/>
        </w:rPr>
        <w:t xml:space="preserve"> Guide for Review of ESG-CV Emergency Shelter Requirements. </w:t>
      </w:r>
    </w:p>
    <w:p w14:paraId="612AACC5" w14:textId="2358A832" w:rsidR="00EB7A6B" w:rsidRPr="00F62433" w:rsidRDefault="00EB7A6B"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D04B9F" w:rsidRPr="00F62433">
        <w:rPr>
          <w:rFonts w:ascii="Verdana" w:hAnsi="Verdana" w:cs="Times New Roman"/>
          <w:b/>
          <w:sz w:val="24"/>
          <w:szCs w:val="24"/>
        </w:rPr>
        <w:t>-4</w:t>
      </w:r>
      <w:r w:rsidR="0078726D">
        <w:rPr>
          <w:rFonts w:ascii="Verdana" w:hAnsi="Verdana" w:cs="Times New Roman"/>
          <w:b/>
          <w:sz w:val="24"/>
          <w:szCs w:val="24"/>
        </w:rPr>
        <w:t>F</w:t>
      </w:r>
      <w:r w:rsidRPr="00F62433">
        <w:rPr>
          <w:rFonts w:ascii="Verdana" w:hAnsi="Verdana" w:cs="Times New Roman"/>
          <w:bCs/>
          <w:sz w:val="24"/>
          <w:szCs w:val="24"/>
        </w:rPr>
        <w:t xml:space="preserve"> Guide for Review of ESG-CV Rapid Re-housing and Homeless Prevention Requirements. </w:t>
      </w:r>
    </w:p>
    <w:p w14:paraId="3D32DF01" w14:textId="02A37DDC" w:rsidR="00EB7A6B" w:rsidRPr="00F62433" w:rsidRDefault="00EB7A6B"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w:t>
      </w:r>
      <w:r w:rsidR="00D04B9F" w:rsidRPr="00F62433">
        <w:rPr>
          <w:rFonts w:ascii="Verdana" w:hAnsi="Verdana" w:cs="Times New Roman"/>
          <w:b/>
          <w:sz w:val="24"/>
          <w:szCs w:val="24"/>
        </w:rPr>
        <w:t>-4</w:t>
      </w:r>
      <w:r w:rsidR="0078726D">
        <w:rPr>
          <w:rFonts w:ascii="Verdana" w:hAnsi="Verdana" w:cs="Times New Roman"/>
          <w:b/>
          <w:sz w:val="24"/>
          <w:szCs w:val="24"/>
        </w:rPr>
        <w:t>G</w:t>
      </w:r>
      <w:r w:rsidRPr="00F62433">
        <w:rPr>
          <w:rFonts w:ascii="Verdana" w:hAnsi="Verdana" w:cs="Times New Roman"/>
          <w:bCs/>
          <w:sz w:val="24"/>
          <w:szCs w:val="24"/>
        </w:rPr>
        <w:t xml:space="preserve"> Guide for Review of ESG-CV Temporary Emergency Shelter Requirements. </w:t>
      </w:r>
    </w:p>
    <w:p w14:paraId="50A69E3C" w14:textId="49B5CA7F" w:rsidR="006E71E6" w:rsidRPr="00F62433" w:rsidRDefault="006E71E6" w:rsidP="00DD793F">
      <w:pPr>
        <w:pStyle w:val="ListParagraph"/>
        <w:numPr>
          <w:ilvl w:val="0"/>
          <w:numId w:val="3"/>
        </w:numPr>
        <w:tabs>
          <w:tab w:val="left" w:pos="1800"/>
        </w:tabs>
        <w:spacing w:after="0" w:line="240" w:lineRule="auto"/>
        <w:ind w:left="1080" w:hanging="360"/>
        <w:rPr>
          <w:rFonts w:ascii="Verdana" w:hAnsi="Verdana" w:cs="Times New Roman"/>
          <w:bCs/>
          <w:sz w:val="24"/>
          <w:szCs w:val="24"/>
        </w:rPr>
      </w:pPr>
      <w:r w:rsidRPr="00F62433">
        <w:rPr>
          <w:rFonts w:ascii="Verdana" w:hAnsi="Verdana" w:cs="Times New Roman"/>
          <w:b/>
          <w:sz w:val="24"/>
          <w:szCs w:val="24"/>
        </w:rPr>
        <w:t>Exhibit 36-4</w:t>
      </w:r>
      <w:r w:rsidR="0078726D">
        <w:rPr>
          <w:rFonts w:ascii="Verdana" w:hAnsi="Verdana" w:cs="Times New Roman"/>
          <w:b/>
          <w:sz w:val="24"/>
          <w:szCs w:val="24"/>
        </w:rPr>
        <w:t>H</w:t>
      </w:r>
      <w:r w:rsidR="00023EDC" w:rsidRPr="00F62433">
        <w:rPr>
          <w:rFonts w:ascii="Verdana" w:hAnsi="Verdana" w:cs="Times New Roman"/>
          <w:bCs/>
          <w:sz w:val="24"/>
          <w:szCs w:val="24"/>
        </w:rPr>
        <w:t xml:space="preserve"> </w:t>
      </w:r>
      <w:r w:rsidRPr="00F62433">
        <w:rPr>
          <w:rFonts w:ascii="Verdana" w:hAnsi="Verdana" w:cs="Times New Roman"/>
          <w:bCs/>
          <w:sz w:val="24"/>
          <w:szCs w:val="24"/>
        </w:rPr>
        <w:t>Guide for Review of Other ESG-CV Federal Requirements</w:t>
      </w:r>
      <w:r w:rsidR="00023EDC" w:rsidRPr="00F62433">
        <w:rPr>
          <w:rFonts w:ascii="Verdana" w:hAnsi="Verdana" w:cs="Times New Roman"/>
          <w:bCs/>
          <w:sz w:val="24"/>
          <w:szCs w:val="24"/>
        </w:rPr>
        <w:t>.</w:t>
      </w:r>
      <w:r w:rsidR="00023EDC" w:rsidRPr="00F62433">
        <w:t xml:space="preserve"> </w:t>
      </w:r>
    </w:p>
    <w:p w14:paraId="69DB61BD" w14:textId="77777777" w:rsidR="006C01C2" w:rsidRPr="00F62433" w:rsidRDefault="006C01C2" w:rsidP="00DD793F">
      <w:pPr>
        <w:pStyle w:val="ListParagraph"/>
        <w:tabs>
          <w:tab w:val="left" w:pos="1800"/>
        </w:tabs>
        <w:spacing w:after="0" w:line="240" w:lineRule="auto"/>
        <w:ind w:left="1080" w:hanging="360"/>
        <w:rPr>
          <w:rFonts w:ascii="Verdana" w:hAnsi="Verdana" w:cs="Times New Roman"/>
          <w:b/>
          <w:sz w:val="24"/>
          <w:szCs w:val="24"/>
        </w:rPr>
      </w:pPr>
    </w:p>
    <w:sectPr w:rsidR="006C01C2" w:rsidRPr="00F62433">
      <w:headerReference w:type="even" r:id="rId12"/>
      <w:headerReference w:type="default" r:id="rId13"/>
      <w:head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4C5ED" w14:textId="77777777" w:rsidR="0065431A" w:rsidRDefault="0065431A" w:rsidP="007D1CD6">
      <w:pPr>
        <w:spacing w:after="0" w:line="240" w:lineRule="auto"/>
      </w:pPr>
      <w:r>
        <w:separator/>
      </w:r>
    </w:p>
  </w:endnote>
  <w:endnote w:type="continuationSeparator" w:id="0">
    <w:p w14:paraId="34DBDD8D" w14:textId="77777777" w:rsidR="0065431A" w:rsidRDefault="0065431A" w:rsidP="007D1CD6">
      <w:pPr>
        <w:spacing w:after="0" w:line="240" w:lineRule="auto"/>
      </w:pPr>
      <w:r>
        <w:continuationSeparator/>
      </w:r>
    </w:p>
  </w:endnote>
  <w:endnote w:type="continuationNotice" w:id="1">
    <w:p w14:paraId="09C5B093" w14:textId="77777777" w:rsidR="00676845" w:rsidRDefault="006768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7C2A6" w14:textId="77777777" w:rsidR="0065431A" w:rsidRDefault="0065431A" w:rsidP="007D1CD6">
      <w:pPr>
        <w:spacing w:after="0" w:line="240" w:lineRule="auto"/>
      </w:pPr>
      <w:r>
        <w:separator/>
      </w:r>
    </w:p>
  </w:footnote>
  <w:footnote w:type="continuationSeparator" w:id="0">
    <w:p w14:paraId="62CDA7F8" w14:textId="77777777" w:rsidR="0065431A" w:rsidRDefault="0065431A" w:rsidP="007D1CD6">
      <w:pPr>
        <w:spacing w:after="0" w:line="240" w:lineRule="auto"/>
      </w:pPr>
      <w:r>
        <w:continuationSeparator/>
      </w:r>
    </w:p>
  </w:footnote>
  <w:footnote w:type="continuationNotice" w:id="1">
    <w:p w14:paraId="08E7ACC2" w14:textId="77777777" w:rsidR="00676845" w:rsidRDefault="006768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EAEA1" w14:textId="7BAE7E36" w:rsidR="00CF01CD" w:rsidRDefault="0078726D">
    <w:pPr>
      <w:pStyle w:val="Header"/>
    </w:pPr>
    <w:r>
      <w:rPr>
        <w:noProof/>
      </w:rPr>
      <w:pict w14:anchorId="6B5A2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06469" o:spid="_x0000_s1026" type="#_x0000_t136" style="position:absolute;margin-left:0;margin-top:0;width:479.9pt;height:179.95pt;rotation:315;z-index:-251658239;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A3AA6" w14:textId="4D799C7A" w:rsidR="00CF01CD" w:rsidRDefault="0078726D">
    <w:pPr>
      <w:pStyle w:val="Header"/>
    </w:pPr>
    <w:r>
      <w:rPr>
        <w:noProof/>
      </w:rPr>
      <w:pict w14:anchorId="19F455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06470" o:spid="_x0000_s1027" type="#_x0000_t136" style="position:absolute;margin-left:0;margin-top:0;width:479.9pt;height:179.95pt;rotation:315;z-index:-251658238;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A3AC1" w14:textId="4717BECB" w:rsidR="00CF01CD" w:rsidRDefault="0078726D">
    <w:pPr>
      <w:pStyle w:val="Header"/>
    </w:pPr>
    <w:r>
      <w:rPr>
        <w:noProof/>
      </w:rPr>
      <w:pict w14:anchorId="2ADBA3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06468" o:spid="_x0000_s1025" type="#_x0000_t136" style="position:absolute;margin-left:0;margin-top:0;width:479.9pt;height:179.95pt;rotation:315;z-index:-251658240;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12649"/>
    <w:multiLevelType w:val="hybridMultilevel"/>
    <w:tmpl w:val="80D03E4A"/>
    <w:lvl w:ilvl="0" w:tplc="6DDE799A">
      <w:start w:val="1"/>
      <w:numFmt w:val="lowerLetter"/>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97527F"/>
    <w:multiLevelType w:val="hybridMultilevel"/>
    <w:tmpl w:val="108C2D38"/>
    <w:lvl w:ilvl="0" w:tplc="6DDE79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AA4C28"/>
    <w:multiLevelType w:val="multilevel"/>
    <w:tmpl w:val="999A2138"/>
    <w:lvl w:ilvl="0">
      <w:start w:val="1"/>
      <w:numFmt w:val="decimal"/>
      <w:lvlText w:val="%1. "/>
      <w:legacy w:legacy="1" w:legacySpace="0" w:legacyIndent="360"/>
      <w:lvlJc w:val="left"/>
      <w:pPr>
        <w:ind w:left="360" w:hanging="360"/>
      </w:pPr>
      <w:rPr>
        <w:rFonts w:ascii="Times New Roman" w:hAnsi="Times New Roman" w:cs="Times New Roman" w:hint="default"/>
        <w:b w:val="0"/>
        <w:i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672531C7"/>
    <w:multiLevelType w:val="hybridMultilevel"/>
    <w:tmpl w:val="D4F0A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2343858">
    <w:abstractNumId w:val="3"/>
  </w:num>
  <w:num w:numId="2" w16cid:durableId="947270438">
    <w:abstractNumId w:val="2"/>
  </w:num>
  <w:num w:numId="3" w16cid:durableId="526529083">
    <w:abstractNumId w:val="0"/>
  </w:num>
  <w:num w:numId="4" w16cid:durableId="2025949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506"/>
    <w:rsid w:val="00000B4F"/>
    <w:rsid w:val="00010FB8"/>
    <w:rsid w:val="00023EDC"/>
    <w:rsid w:val="00036A4F"/>
    <w:rsid w:val="00057C9B"/>
    <w:rsid w:val="000621CA"/>
    <w:rsid w:val="00080EBE"/>
    <w:rsid w:val="000932D3"/>
    <w:rsid w:val="000B050A"/>
    <w:rsid w:val="000B3364"/>
    <w:rsid w:val="000E71C0"/>
    <w:rsid w:val="000F1F86"/>
    <w:rsid w:val="000F5808"/>
    <w:rsid w:val="00107BE9"/>
    <w:rsid w:val="00117083"/>
    <w:rsid w:val="001324F1"/>
    <w:rsid w:val="0013368B"/>
    <w:rsid w:val="00133A4D"/>
    <w:rsid w:val="001C53D6"/>
    <w:rsid w:val="002260A8"/>
    <w:rsid w:val="00234B29"/>
    <w:rsid w:val="0025669B"/>
    <w:rsid w:val="00292C73"/>
    <w:rsid w:val="002A3E9D"/>
    <w:rsid w:val="002B417B"/>
    <w:rsid w:val="002E4AEF"/>
    <w:rsid w:val="002F2B11"/>
    <w:rsid w:val="0034604C"/>
    <w:rsid w:val="003877D2"/>
    <w:rsid w:val="00394317"/>
    <w:rsid w:val="003A4648"/>
    <w:rsid w:val="003A5448"/>
    <w:rsid w:val="003A5C75"/>
    <w:rsid w:val="003F68EA"/>
    <w:rsid w:val="00400CA7"/>
    <w:rsid w:val="00423B62"/>
    <w:rsid w:val="00454E17"/>
    <w:rsid w:val="00466C27"/>
    <w:rsid w:val="004A3173"/>
    <w:rsid w:val="004B0A71"/>
    <w:rsid w:val="004C568A"/>
    <w:rsid w:val="004D0378"/>
    <w:rsid w:val="004E5114"/>
    <w:rsid w:val="00504B74"/>
    <w:rsid w:val="005148C9"/>
    <w:rsid w:val="005627E6"/>
    <w:rsid w:val="00570C9D"/>
    <w:rsid w:val="00581C22"/>
    <w:rsid w:val="005E32DE"/>
    <w:rsid w:val="00611E24"/>
    <w:rsid w:val="00622D12"/>
    <w:rsid w:val="00625469"/>
    <w:rsid w:val="00625C1A"/>
    <w:rsid w:val="00646473"/>
    <w:rsid w:val="006541A1"/>
    <w:rsid w:val="0065431A"/>
    <w:rsid w:val="00676845"/>
    <w:rsid w:val="00691694"/>
    <w:rsid w:val="006A32E1"/>
    <w:rsid w:val="006A54AD"/>
    <w:rsid w:val="006C01C2"/>
    <w:rsid w:val="006C7E22"/>
    <w:rsid w:val="006D1ABF"/>
    <w:rsid w:val="006E71E6"/>
    <w:rsid w:val="00706BD7"/>
    <w:rsid w:val="00714B0F"/>
    <w:rsid w:val="007275BB"/>
    <w:rsid w:val="00735669"/>
    <w:rsid w:val="00737309"/>
    <w:rsid w:val="00765CC5"/>
    <w:rsid w:val="00776207"/>
    <w:rsid w:val="007801C8"/>
    <w:rsid w:val="007809D5"/>
    <w:rsid w:val="0078726D"/>
    <w:rsid w:val="007C084D"/>
    <w:rsid w:val="007D1CD6"/>
    <w:rsid w:val="007D3BC9"/>
    <w:rsid w:val="008423B2"/>
    <w:rsid w:val="00853D71"/>
    <w:rsid w:val="008A0F42"/>
    <w:rsid w:val="008B7A5B"/>
    <w:rsid w:val="008D0A50"/>
    <w:rsid w:val="008D2162"/>
    <w:rsid w:val="009429E8"/>
    <w:rsid w:val="0096378D"/>
    <w:rsid w:val="00972E91"/>
    <w:rsid w:val="00980BA8"/>
    <w:rsid w:val="00985618"/>
    <w:rsid w:val="00991B76"/>
    <w:rsid w:val="00992506"/>
    <w:rsid w:val="00993A9F"/>
    <w:rsid w:val="009E6359"/>
    <w:rsid w:val="009E727D"/>
    <w:rsid w:val="009F5F97"/>
    <w:rsid w:val="00A169A1"/>
    <w:rsid w:val="00A30F59"/>
    <w:rsid w:val="00A4143A"/>
    <w:rsid w:val="00A41D78"/>
    <w:rsid w:val="00A574F3"/>
    <w:rsid w:val="00AA4105"/>
    <w:rsid w:val="00AC1E1A"/>
    <w:rsid w:val="00AC5FC1"/>
    <w:rsid w:val="00B0615E"/>
    <w:rsid w:val="00B404AF"/>
    <w:rsid w:val="00B4277A"/>
    <w:rsid w:val="00B475DC"/>
    <w:rsid w:val="00B64D25"/>
    <w:rsid w:val="00B86C6E"/>
    <w:rsid w:val="00B970D4"/>
    <w:rsid w:val="00C15F1E"/>
    <w:rsid w:val="00C36535"/>
    <w:rsid w:val="00C42800"/>
    <w:rsid w:val="00C46769"/>
    <w:rsid w:val="00C47143"/>
    <w:rsid w:val="00C56119"/>
    <w:rsid w:val="00CE7BC4"/>
    <w:rsid w:val="00CF01CD"/>
    <w:rsid w:val="00D00F35"/>
    <w:rsid w:val="00D04B9F"/>
    <w:rsid w:val="00D07BC0"/>
    <w:rsid w:val="00D13D99"/>
    <w:rsid w:val="00D41E9E"/>
    <w:rsid w:val="00D62DA1"/>
    <w:rsid w:val="00D67655"/>
    <w:rsid w:val="00DD793F"/>
    <w:rsid w:val="00E0107E"/>
    <w:rsid w:val="00E11C96"/>
    <w:rsid w:val="00E44331"/>
    <w:rsid w:val="00E64979"/>
    <w:rsid w:val="00E96883"/>
    <w:rsid w:val="00EA47ED"/>
    <w:rsid w:val="00EB3A59"/>
    <w:rsid w:val="00EB7A6B"/>
    <w:rsid w:val="00EC6517"/>
    <w:rsid w:val="00F14039"/>
    <w:rsid w:val="00F16B04"/>
    <w:rsid w:val="00F62433"/>
    <w:rsid w:val="00F62B1A"/>
    <w:rsid w:val="00F62EAF"/>
    <w:rsid w:val="00F6606F"/>
    <w:rsid w:val="00F666E0"/>
    <w:rsid w:val="00F66D1D"/>
    <w:rsid w:val="00F71A16"/>
    <w:rsid w:val="00FA36D5"/>
    <w:rsid w:val="00FC40EC"/>
    <w:rsid w:val="00FC6C3D"/>
    <w:rsid w:val="00FE1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727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6207"/>
    <w:pPr>
      <w:ind w:left="720"/>
      <w:contextualSpacing/>
    </w:pPr>
  </w:style>
  <w:style w:type="character" w:styleId="Hyperlink">
    <w:name w:val="Hyperlink"/>
    <w:basedOn w:val="DefaultParagraphFont"/>
    <w:uiPriority w:val="99"/>
    <w:unhideWhenUsed/>
    <w:rsid w:val="00A169A1"/>
    <w:rPr>
      <w:color w:val="0563C1" w:themeColor="hyperlink"/>
      <w:u w:val="single"/>
    </w:rPr>
  </w:style>
  <w:style w:type="paragraph" w:customStyle="1" w:styleId="Default">
    <w:name w:val="Default"/>
    <w:rsid w:val="004C568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7D1C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CD6"/>
  </w:style>
  <w:style w:type="paragraph" w:styleId="Footer">
    <w:name w:val="footer"/>
    <w:basedOn w:val="Normal"/>
    <w:link w:val="FooterChar"/>
    <w:uiPriority w:val="99"/>
    <w:unhideWhenUsed/>
    <w:rsid w:val="007D1C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CD6"/>
  </w:style>
  <w:style w:type="character" w:styleId="Strong">
    <w:name w:val="Strong"/>
    <w:basedOn w:val="DefaultParagraphFont"/>
    <w:uiPriority w:val="22"/>
    <w:qFormat/>
    <w:rsid w:val="00C47143"/>
    <w:rPr>
      <w:rFonts w:ascii="Lucida Sans" w:hAnsi="Lucida Sans" w:hint="default"/>
      <w:b/>
      <w:bCs/>
    </w:rPr>
  </w:style>
  <w:style w:type="paragraph" w:styleId="BalloonText">
    <w:name w:val="Balloon Text"/>
    <w:basedOn w:val="Normal"/>
    <w:link w:val="BalloonTextChar"/>
    <w:uiPriority w:val="99"/>
    <w:semiHidden/>
    <w:unhideWhenUsed/>
    <w:rsid w:val="008423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3B2"/>
    <w:rPr>
      <w:rFonts w:ascii="Segoe UI" w:hAnsi="Segoe UI" w:cs="Segoe UI"/>
      <w:sz w:val="18"/>
      <w:szCs w:val="18"/>
    </w:rPr>
  </w:style>
  <w:style w:type="character" w:styleId="CommentReference">
    <w:name w:val="annotation reference"/>
    <w:basedOn w:val="DefaultParagraphFont"/>
    <w:uiPriority w:val="99"/>
    <w:semiHidden/>
    <w:unhideWhenUsed/>
    <w:rsid w:val="00991B76"/>
    <w:rPr>
      <w:sz w:val="16"/>
      <w:szCs w:val="16"/>
    </w:rPr>
  </w:style>
  <w:style w:type="paragraph" w:styleId="CommentText">
    <w:name w:val="annotation text"/>
    <w:basedOn w:val="Normal"/>
    <w:link w:val="CommentTextChar"/>
    <w:uiPriority w:val="99"/>
    <w:semiHidden/>
    <w:unhideWhenUsed/>
    <w:rsid w:val="00991B76"/>
    <w:pPr>
      <w:spacing w:line="240" w:lineRule="auto"/>
    </w:pPr>
    <w:rPr>
      <w:sz w:val="20"/>
      <w:szCs w:val="20"/>
    </w:rPr>
  </w:style>
  <w:style w:type="character" w:customStyle="1" w:styleId="CommentTextChar">
    <w:name w:val="Comment Text Char"/>
    <w:basedOn w:val="DefaultParagraphFont"/>
    <w:link w:val="CommentText"/>
    <w:uiPriority w:val="99"/>
    <w:semiHidden/>
    <w:rsid w:val="00991B76"/>
    <w:rPr>
      <w:sz w:val="20"/>
      <w:szCs w:val="20"/>
    </w:rPr>
  </w:style>
  <w:style w:type="paragraph" w:styleId="CommentSubject">
    <w:name w:val="annotation subject"/>
    <w:basedOn w:val="CommentText"/>
    <w:next w:val="CommentText"/>
    <w:link w:val="CommentSubjectChar"/>
    <w:uiPriority w:val="99"/>
    <w:semiHidden/>
    <w:unhideWhenUsed/>
    <w:rsid w:val="00991B76"/>
    <w:rPr>
      <w:b/>
      <w:bCs/>
    </w:rPr>
  </w:style>
  <w:style w:type="character" w:customStyle="1" w:styleId="CommentSubjectChar">
    <w:name w:val="Comment Subject Char"/>
    <w:basedOn w:val="CommentTextChar"/>
    <w:link w:val="CommentSubject"/>
    <w:uiPriority w:val="99"/>
    <w:semiHidden/>
    <w:rsid w:val="00991B76"/>
    <w:rPr>
      <w:b/>
      <w:bCs/>
      <w:sz w:val="20"/>
      <w:szCs w:val="20"/>
    </w:rPr>
  </w:style>
  <w:style w:type="paragraph" w:styleId="Revision">
    <w:name w:val="Revision"/>
    <w:hidden/>
    <w:uiPriority w:val="99"/>
    <w:semiHidden/>
    <w:rsid w:val="00F16B04"/>
    <w:pPr>
      <w:spacing w:after="0" w:line="240" w:lineRule="auto"/>
    </w:pPr>
  </w:style>
  <w:style w:type="character" w:styleId="FollowedHyperlink">
    <w:name w:val="FollowedHyperlink"/>
    <w:basedOn w:val="DefaultParagraphFont"/>
    <w:uiPriority w:val="99"/>
    <w:semiHidden/>
    <w:unhideWhenUsed/>
    <w:rsid w:val="00036A4F"/>
    <w:rPr>
      <w:color w:val="954F72" w:themeColor="followedHyperlink"/>
      <w:u w:val="single"/>
    </w:rPr>
  </w:style>
  <w:style w:type="paragraph" w:styleId="FootnoteText">
    <w:name w:val="footnote text"/>
    <w:basedOn w:val="Normal"/>
    <w:link w:val="FootnoteTextChar"/>
    <w:semiHidden/>
    <w:rsid w:val="00454E17"/>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54E17"/>
    <w:rPr>
      <w:rFonts w:ascii="Times New Roman" w:eastAsia="Times New Roman" w:hAnsi="Times New Roman" w:cs="Times New Roman"/>
      <w:sz w:val="20"/>
      <w:szCs w:val="20"/>
    </w:rPr>
  </w:style>
  <w:style w:type="character" w:styleId="FootnoteReference">
    <w:name w:val="footnote reference"/>
    <w:semiHidden/>
    <w:rsid w:val="00454E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281866">
      <w:bodyDiv w:val="1"/>
      <w:marLeft w:val="0"/>
      <w:marRight w:val="0"/>
      <w:marTop w:val="0"/>
      <w:marBottom w:val="0"/>
      <w:divBdr>
        <w:top w:val="none" w:sz="0" w:space="0" w:color="auto"/>
        <w:left w:val="none" w:sz="0" w:space="0" w:color="auto"/>
        <w:bottom w:val="none" w:sz="0" w:space="0" w:color="auto"/>
        <w:right w:val="none" w:sz="0" w:space="0" w:color="auto"/>
      </w:divBdr>
      <w:divsChild>
        <w:div w:id="1720125377">
          <w:marLeft w:val="0"/>
          <w:marRight w:val="0"/>
          <w:marTop w:val="0"/>
          <w:marBottom w:val="0"/>
          <w:divBdr>
            <w:top w:val="none" w:sz="0" w:space="0" w:color="auto"/>
            <w:left w:val="none" w:sz="0" w:space="0" w:color="auto"/>
            <w:bottom w:val="none" w:sz="0" w:space="0" w:color="auto"/>
            <w:right w:val="none" w:sz="0" w:space="0" w:color="auto"/>
          </w:divBdr>
          <w:divsChild>
            <w:div w:id="2119979150">
              <w:marLeft w:val="0"/>
              <w:marRight w:val="0"/>
              <w:marTop w:val="0"/>
              <w:marBottom w:val="0"/>
              <w:divBdr>
                <w:top w:val="none" w:sz="0" w:space="0" w:color="auto"/>
                <w:left w:val="none" w:sz="0" w:space="0" w:color="auto"/>
                <w:bottom w:val="none" w:sz="0" w:space="0" w:color="auto"/>
                <w:right w:val="none" w:sz="0" w:space="0" w:color="auto"/>
              </w:divBdr>
              <w:divsChild>
                <w:div w:id="156043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hud.gov/hudportal/HUD?src=/program_offices/administration/hudclips/handbooks/cpd/6509.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CA872-01A7-495E-AEE2-41DAA78BE8FE}">
  <ds:schemaRefs>
    <ds:schemaRef ds:uri="533b647e-c6ce-41dd-9975-d3bf13680656"/>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purl.org/dc/dcmitype/"/>
    <ds:schemaRef ds:uri="a9979162-b859-4b73-a23b-882159dd20dd"/>
    <ds:schemaRef ds:uri="http://www.w3.org/XML/1998/namespace"/>
    <ds:schemaRef ds:uri="http://purl.org/dc/elements/1.1/"/>
  </ds:schemaRefs>
</ds:datastoreItem>
</file>

<file path=customXml/itemProps2.xml><?xml version="1.0" encoding="utf-8"?>
<ds:datastoreItem xmlns:ds="http://schemas.openxmlformats.org/officeDocument/2006/customXml" ds:itemID="{947D34D9-B860-4E71-8FD1-D57F07C0864D}">
  <ds:schemaRefs>
    <ds:schemaRef ds:uri="http://schemas.microsoft.com/sharepoint/v3/contenttype/forms"/>
  </ds:schemaRefs>
</ds:datastoreItem>
</file>

<file path=customXml/itemProps3.xml><?xml version="1.0" encoding="utf-8"?>
<ds:datastoreItem xmlns:ds="http://schemas.openxmlformats.org/officeDocument/2006/customXml" ds:itemID="{3D09659F-D593-4B73-88ED-B85F1E94F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27C33-4518-42F5-A6BC-2B5E46FDE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2379</Characters>
  <Application>Microsoft Office Word</Application>
  <DocSecurity>0</DocSecurity>
  <Lines>84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2022-06-29T14:26:00Z</dcterms:created>
  <dcterms:modified xsi:type="dcterms:W3CDTF">2022-06-29T16:36:00Z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