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2"/>
        <w:gridCol w:w="2840"/>
        <w:gridCol w:w="720"/>
        <w:gridCol w:w="3008"/>
      </w:tblGrid>
      <w:tr w:rsidR="00400720" w:rsidRPr="00C739EF" w14:paraId="71A5A4DA" w14:textId="77777777">
        <w:trPr>
          <w:cantSplit/>
        </w:trPr>
        <w:tc>
          <w:tcPr>
            <w:tcW w:w="9458" w:type="dxa"/>
            <w:gridSpan w:val="4"/>
          </w:tcPr>
          <w:p w14:paraId="5102C0A7" w14:textId="15A2C3D3" w:rsidR="00400720" w:rsidRPr="00100671" w:rsidRDefault="00400720" w:rsidP="002365D3">
            <w:pPr>
              <w:pStyle w:val="Heading1"/>
              <w:keepLines/>
              <w:rPr>
                <w:bCs w:val="0"/>
                <w:spacing w:val="-8"/>
                <w:w w:val="105"/>
              </w:rPr>
            </w:pPr>
            <w:r w:rsidRPr="00100671">
              <w:rPr>
                <w:bCs w:val="0"/>
                <w:spacing w:val="-8"/>
                <w:w w:val="105"/>
              </w:rPr>
              <w:br w:type="page"/>
            </w:r>
            <w:r w:rsidR="008D7869" w:rsidRPr="00100671">
              <w:rPr>
                <w:bCs w:val="0"/>
                <w:spacing w:val="-8"/>
                <w:w w:val="105"/>
              </w:rPr>
              <w:t>Guide for Review of</w:t>
            </w:r>
            <w:r w:rsidR="00AC0996">
              <w:rPr>
                <w:bCs w:val="0"/>
                <w:spacing w:val="-8"/>
                <w:w w:val="105"/>
              </w:rPr>
              <w:t xml:space="preserve"> </w:t>
            </w:r>
            <w:r w:rsidR="00610CA5">
              <w:rPr>
                <w:bCs w:val="0"/>
                <w:spacing w:val="-8"/>
                <w:w w:val="105"/>
              </w:rPr>
              <w:t>ESG</w:t>
            </w:r>
            <w:r w:rsidR="00010189">
              <w:rPr>
                <w:bCs w:val="0"/>
                <w:spacing w:val="-8"/>
                <w:w w:val="105"/>
              </w:rPr>
              <w:t>-CV</w:t>
            </w:r>
            <w:r w:rsidR="00610CA5">
              <w:rPr>
                <w:bCs w:val="0"/>
                <w:spacing w:val="-8"/>
                <w:w w:val="105"/>
              </w:rPr>
              <w:t xml:space="preserve"> </w:t>
            </w:r>
            <w:r w:rsidR="008D7869" w:rsidRPr="00100671">
              <w:rPr>
                <w:bCs w:val="0"/>
                <w:spacing w:val="-8"/>
                <w:w w:val="105"/>
              </w:rPr>
              <w:t>Street Outreach</w:t>
            </w:r>
            <w:r w:rsidR="00C739EF" w:rsidRPr="00100671">
              <w:rPr>
                <w:bCs w:val="0"/>
                <w:spacing w:val="-8"/>
                <w:w w:val="105"/>
              </w:rPr>
              <w:t xml:space="preserve"> </w:t>
            </w:r>
            <w:r w:rsidR="002365D3">
              <w:rPr>
                <w:bCs w:val="0"/>
                <w:spacing w:val="-8"/>
                <w:w w:val="105"/>
              </w:rPr>
              <w:t>Requirements</w:t>
            </w:r>
          </w:p>
        </w:tc>
      </w:tr>
      <w:tr w:rsidR="00400720" w:rsidRPr="00C739EF" w14:paraId="163F19FA" w14:textId="77777777">
        <w:trPr>
          <w:cantSplit/>
        </w:trPr>
        <w:tc>
          <w:tcPr>
            <w:tcW w:w="9458" w:type="dxa"/>
            <w:gridSpan w:val="4"/>
          </w:tcPr>
          <w:p w14:paraId="7AB22565" w14:textId="77777777" w:rsidR="00400720" w:rsidRDefault="00D7745D" w:rsidP="00AE5110">
            <w:pPr>
              <w:keepNext/>
              <w:keepLines/>
              <w:spacing w:after="0" w:line="240" w:lineRule="auto"/>
              <w:rPr>
                <w:rFonts w:ascii="Times New Roman" w:hAnsi="Times New Roman"/>
              </w:rPr>
            </w:pPr>
            <w:r w:rsidRPr="00B5425B">
              <w:rPr>
                <w:rFonts w:ascii="Times New Roman" w:hAnsi="Times New Roman"/>
                <w:b/>
                <w:bCs/>
              </w:rPr>
              <w:t>Name of Recipient:</w:t>
            </w:r>
            <w:r w:rsidRPr="00B5425B">
              <w:rPr>
                <w:rFonts w:ascii="Times New Roman" w:hAnsi="Times New Roman"/>
              </w:rPr>
              <w:fldChar w:fldCharType="begin">
                <w:ffData>
                  <w:name w:val="Text1"/>
                  <w:enabled/>
                  <w:calcOnExit w:val="0"/>
                  <w:textInput/>
                </w:ffData>
              </w:fldChar>
            </w:r>
            <w:bookmarkStart w:id="0" w:name="Text1"/>
            <w:r w:rsidRPr="00B5425B">
              <w:rPr>
                <w:rFonts w:ascii="Times New Roman" w:hAnsi="Times New Roman"/>
              </w:rPr>
              <w:instrText xml:space="preserve"> FORMTEXT </w:instrText>
            </w:r>
            <w:r w:rsidRPr="00B5425B">
              <w:rPr>
                <w:rFonts w:ascii="Times New Roman" w:hAnsi="Times New Roman"/>
              </w:rPr>
            </w:r>
            <w:r w:rsidRPr="00B5425B">
              <w:rPr>
                <w:rFonts w:ascii="Times New Roman" w:hAnsi="Times New Roman"/>
              </w:rPr>
              <w:fldChar w:fldCharType="separate"/>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rPr>
              <w:fldChar w:fldCharType="end"/>
            </w:r>
            <w:bookmarkEnd w:id="0"/>
          </w:p>
          <w:p w14:paraId="1F518A9B" w14:textId="77777777" w:rsidR="00AE5110" w:rsidRPr="00C739EF" w:rsidRDefault="00AE5110" w:rsidP="00AE5110">
            <w:pPr>
              <w:keepNext/>
              <w:keepLines/>
              <w:spacing w:after="0" w:line="120" w:lineRule="auto"/>
              <w:rPr>
                <w:rFonts w:ascii="Times New Roman" w:hAnsi="Times New Roman"/>
                <w:sz w:val="24"/>
                <w:szCs w:val="24"/>
              </w:rPr>
            </w:pPr>
          </w:p>
        </w:tc>
      </w:tr>
      <w:tr w:rsidR="00550B85" w:rsidRPr="00C739EF" w14:paraId="38F32E1A" w14:textId="77777777">
        <w:trPr>
          <w:cantSplit/>
        </w:trPr>
        <w:tc>
          <w:tcPr>
            <w:tcW w:w="9458" w:type="dxa"/>
            <w:gridSpan w:val="4"/>
          </w:tcPr>
          <w:p w14:paraId="0DD4521B" w14:textId="77777777" w:rsidR="00550B85" w:rsidRDefault="00550B85" w:rsidP="00AE5110">
            <w:pPr>
              <w:keepNext/>
              <w:keepLines/>
              <w:spacing w:after="0" w:line="240" w:lineRule="auto"/>
              <w:rPr>
                <w:rFonts w:ascii="Times New Roman" w:hAnsi="Times New Roman"/>
                <w:b/>
                <w:bCs/>
              </w:rPr>
            </w:pPr>
            <w:r>
              <w:rPr>
                <w:rFonts w:ascii="Times New Roman" w:hAnsi="Times New Roman"/>
                <w:b/>
                <w:bCs/>
              </w:rPr>
              <w:t>Name of Subrecipient(s):</w:t>
            </w:r>
            <w:r w:rsidR="0087686A" w:rsidRPr="00B5425B">
              <w:rPr>
                <w:rFonts w:ascii="Times New Roman" w:hAnsi="Times New Roman"/>
                <w:b/>
                <w:bCs/>
              </w:rPr>
              <w:fldChar w:fldCharType="begin">
                <w:ffData>
                  <w:name w:val="Text2"/>
                  <w:enabled/>
                  <w:calcOnExit w:val="0"/>
                  <w:textInput/>
                </w:ffData>
              </w:fldChar>
            </w:r>
            <w:r w:rsidR="0087686A" w:rsidRPr="00B5425B">
              <w:rPr>
                <w:rFonts w:ascii="Times New Roman" w:hAnsi="Times New Roman"/>
                <w:b/>
                <w:bCs/>
              </w:rPr>
              <w:instrText xml:space="preserve"> FORMTEXT </w:instrText>
            </w:r>
            <w:r w:rsidR="0087686A" w:rsidRPr="00B5425B">
              <w:rPr>
                <w:rFonts w:ascii="Times New Roman" w:hAnsi="Times New Roman"/>
                <w:b/>
                <w:bCs/>
              </w:rPr>
            </w:r>
            <w:r w:rsidR="0087686A" w:rsidRPr="00B5425B">
              <w:rPr>
                <w:rFonts w:ascii="Times New Roman" w:hAnsi="Times New Roman"/>
                <w:b/>
                <w:bCs/>
              </w:rPr>
              <w:fldChar w:fldCharType="separate"/>
            </w:r>
            <w:r w:rsidR="0087686A" w:rsidRPr="00B5425B">
              <w:rPr>
                <w:rFonts w:ascii="Times New Roman" w:hAnsi="Times New Roman"/>
                <w:b/>
                <w:bCs/>
                <w:noProof/>
              </w:rPr>
              <w:t> </w:t>
            </w:r>
            <w:r w:rsidR="0087686A" w:rsidRPr="00B5425B">
              <w:rPr>
                <w:rFonts w:ascii="Times New Roman" w:hAnsi="Times New Roman"/>
                <w:b/>
                <w:bCs/>
                <w:noProof/>
              </w:rPr>
              <w:t> </w:t>
            </w:r>
            <w:r w:rsidR="0087686A" w:rsidRPr="00B5425B">
              <w:rPr>
                <w:rFonts w:ascii="Times New Roman" w:hAnsi="Times New Roman"/>
                <w:b/>
                <w:bCs/>
                <w:noProof/>
              </w:rPr>
              <w:t> </w:t>
            </w:r>
            <w:r w:rsidR="0087686A" w:rsidRPr="00B5425B">
              <w:rPr>
                <w:rFonts w:ascii="Times New Roman" w:hAnsi="Times New Roman"/>
                <w:b/>
                <w:bCs/>
                <w:noProof/>
              </w:rPr>
              <w:t> </w:t>
            </w:r>
            <w:r w:rsidR="0087686A" w:rsidRPr="00B5425B">
              <w:rPr>
                <w:rFonts w:ascii="Times New Roman" w:hAnsi="Times New Roman"/>
                <w:b/>
                <w:bCs/>
                <w:noProof/>
              </w:rPr>
              <w:t> </w:t>
            </w:r>
            <w:r w:rsidR="0087686A" w:rsidRPr="00B5425B">
              <w:rPr>
                <w:rFonts w:ascii="Times New Roman" w:hAnsi="Times New Roman"/>
                <w:b/>
                <w:bCs/>
              </w:rPr>
              <w:fldChar w:fldCharType="end"/>
            </w:r>
          </w:p>
          <w:p w14:paraId="255E97D3" w14:textId="77777777" w:rsidR="00AE5110" w:rsidRPr="00B5425B" w:rsidRDefault="00AE5110" w:rsidP="00AE5110">
            <w:pPr>
              <w:keepNext/>
              <w:keepLines/>
              <w:spacing w:after="0" w:line="120" w:lineRule="auto"/>
              <w:rPr>
                <w:rFonts w:ascii="Times New Roman" w:hAnsi="Times New Roman"/>
                <w:b/>
                <w:bCs/>
              </w:rPr>
            </w:pPr>
          </w:p>
        </w:tc>
      </w:tr>
      <w:tr w:rsidR="00400720" w:rsidRPr="00C739EF" w14:paraId="5741F7E1" w14:textId="77777777">
        <w:trPr>
          <w:cantSplit/>
        </w:trPr>
        <w:tc>
          <w:tcPr>
            <w:tcW w:w="9458" w:type="dxa"/>
            <w:gridSpan w:val="4"/>
          </w:tcPr>
          <w:p w14:paraId="643C7AFA" w14:textId="77777777" w:rsidR="00400720" w:rsidRDefault="00D7745D" w:rsidP="00D7745D">
            <w:pPr>
              <w:keepNext/>
              <w:keepLines/>
              <w:spacing w:after="0" w:line="240" w:lineRule="auto"/>
              <w:rPr>
                <w:rFonts w:ascii="Times New Roman" w:hAnsi="Times New Roman"/>
                <w:b/>
                <w:bCs/>
              </w:rPr>
            </w:pPr>
            <w:r w:rsidRPr="00B5425B">
              <w:rPr>
                <w:rFonts w:ascii="Times New Roman" w:hAnsi="Times New Roman"/>
                <w:b/>
                <w:bCs/>
              </w:rPr>
              <w:t>Staff Consulted:</w:t>
            </w:r>
            <w:r w:rsidR="00D93AB5">
              <w:rPr>
                <w:rFonts w:ascii="Times New Roman" w:hAnsi="Times New Roman"/>
                <w:b/>
                <w:bCs/>
              </w:rPr>
              <w:t xml:space="preserve"> </w:t>
            </w:r>
            <w:r w:rsidRPr="00B5425B">
              <w:rPr>
                <w:rFonts w:ascii="Times New Roman" w:hAnsi="Times New Roman"/>
                <w:b/>
                <w:bCs/>
              </w:rPr>
              <w:fldChar w:fldCharType="begin">
                <w:ffData>
                  <w:name w:val="Text2"/>
                  <w:enabled/>
                  <w:calcOnExit w:val="0"/>
                  <w:textInput/>
                </w:ffData>
              </w:fldChar>
            </w:r>
            <w:bookmarkStart w:id="1" w:name="Text2"/>
            <w:r w:rsidRPr="00B5425B">
              <w:rPr>
                <w:rFonts w:ascii="Times New Roman" w:hAnsi="Times New Roman"/>
                <w:b/>
                <w:bCs/>
              </w:rPr>
              <w:instrText xml:space="preserve"> FORMTEXT </w:instrText>
            </w:r>
            <w:r w:rsidRPr="00B5425B">
              <w:rPr>
                <w:rFonts w:ascii="Times New Roman" w:hAnsi="Times New Roman"/>
                <w:b/>
                <w:bCs/>
              </w:rPr>
            </w:r>
            <w:r w:rsidRPr="00B5425B">
              <w:rPr>
                <w:rFonts w:ascii="Times New Roman" w:hAnsi="Times New Roman"/>
                <w:b/>
                <w:bCs/>
              </w:rPr>
              <w:fldChar w:fldCharType="separate"/>
            </w:r>
            <w:r w:rsidRPr="00B5425B">
              <w:rPr>
                <w:rFonts w:ascii="Times New Roman" w:hAnsi="Times New Roman"/>
                <w:b/>
                <w:bCs/>
                <w:noProof/>
              </w:rPr>
              <w:t> </w:t>
            </w:r>
            <w:r w:rsidRPr="00B5425B">
              <w:rPr>
                <w:rFonts w:ascii="Times New Roman" w:hAnsi="Times New Roman"/>
                <w:b/>
                <w:bCs/>
                <w:noProof/>
              </w:rPr>
              <w:t> </w:t>
            </w:r>
            <w:r w:rsidRPr="00B5425B">
              <w:rPr>
                <w:rFonts w:ascii="Times New Roman" w:hAnsi="Times New Roman"/>
                <w:b/>
                <w:bCs/>
                <w:noProof/>
              </w:rPr>
              <w:t> </w:t>
            </w:r>
            <w:r w:rsidRPr="00B5425B">
              <w:rPr>
                <w:rFonts w:ascii="Times New Roman" w:hAnsi="Times New Roman"/>
                <w:b/>
                <w:bCs/>
                <w:noProof/>
              </w:rPr>
              <w:t> </w:t>
            </w:r>
            <w:r w:rsidRPr="00B5425B">
              <w:rPr>
                <w:rFonts w:ascii="Times New Roman" w:hAnsi="Times New Roman"/>
                <w:b/>
                <w:bCs/>
                <w:noProof/>
              </w:rPr>
              <w:t> </w:t>
            </w:r>
            <w:r w:rsidRPr="00B5425B">
              <w:rPr>
                <w:rFonts w:ascii="Times New Roman" w:hAnsi="Times New Roman"/>
                <w:b/>
                <w:bCs/>
              </w:rPr>
              <w:fldChar w:fldCharType="end"/>
            </w:r>
            <w:bookmarkEnd w:id="1"/>
          </w:p>
          <w:p w14:paraId="7F46B95C" w14:textId="77777777" w:rsidR="00AE5110" w:rsidRPr="00C739EF" w:rsidRDefault="00AE5110" w:rsidP="00AE5110">
            <w:pPr>
              <w:keepNext/>
              <w:keepLines/>
              <w:spacing w:after="0" w:line="120" w:lineRule="auto"/>
              <w:rPr>
                <w:rFonts w:ascii="Times New Roman" w:hAnsi="Times New Roman"/>
                <w:bCs/>
                <w:sz w:val="24"/>
                <w:szCs w:val="24"/>
              </w:rPr>
            </w:pPr>
          </w:p>
        </w:tc>
      </w:tr>
      <w:tr w:rsidR="00400720" w:rsidRPr="00C739EF" w14:paraId="5FDF80EB" w14:textId="77777777" w:rsidTr="00AE5110">
        <w:trPr>
          <w:trHeight w:val="323"/>
        </w:trPr>
        <w:tc>
          <w:tcPr>
            <w:tcW w:w="2808" w:type="dxa"/>
          </w:tcPr>
          <w:p w14:paraId="18CF5D84" w14:textId="77777777" w:rsidR="00400720" w:rsidRPr="00D93AB5" w:rsidRDefault="00400720" w:rsidP="00D7745D">
            <w:pPr>
              <w:keepNext/>
              <w:keepLines/>
              <w:spacing w:after="0" w:line="240" w:lineRule="auto"/>
              <w:rPr>
                <w:rFonts w:ascii="Times New Roman" w:hAnsi="Times New Roman"/>
                <w:b/>
                <w:sz w:val="24"/>
                <w:szCs w:val="24"/>
              </w:rPr>
            </w:pPr>
            <w:r w:rsidRPr="00D93AB5">
              <w:rPr>
                <w:rFonts w:ascii="Times New Roman" w:hAnsi="Times New Roman"/>
                <w:b/>
                <w:bCs/>
                <w:sz w:val="24"/>
                <w:szCs w:val="24"/>
              </w:rPr>
              <w:t>Name(s) of Reviewer(s)</w:t>
            </w:r>
          </w:p>
        </w:tc>
        <w:tc>
          <w:tcPr>
            <w:tcW w:w="2880" w:type="dxa"/>
          </w:tcPr>
          <w:p w14:paraId="66433E35" w14:textId="77777777" w:rsidR="00400720" w:rsidRPr="00C739EF" w:rsidRDefault="00D93AB5" w:rsidP="00D93AB5">
            <w:pPr>
              <w:keepNext/>
              <w:keepLines/>
              <w:spacing w:after="0" w:line="240" w:lineRule="auto"/>
              <w:ind w:left="-18"/>
              <w:rPr>
                <w:rFonts w:ascii="Times New Roman" w:hAnsi="Times New Roman"/>
                <w:sz w:val="24"/>
                <w:szCs w:val="24"/>
              </w:rPr>
            </w:pPr>
            <w:r w:rsidRPr="00B5425B">
              <w:rPr>
                <w:rFonts w:ascii="Times New Roman" w:hAnsi="Times New Roman"/>
              </w:rPr>
              <w:fldChar w:fldCharType="begin">
                <w:ffData>
                  <w:name w:val="Text3"/>
                  <w:enabled/>
                  <w:calcOnExit w:val="0"/>
                  <w:textInput/>
                </w:ffData>
              </w:fldChar>
            </w:r>
            <w:bookmarkStart w:id="2" w:name="Text3"/>
            <w:r w:rsidRPr="00B5425B">
              <w:rPr>
                <w:rFonts w:ascii="Times New Roman" w:hAnsi="Times New Roman"/>
              </w:rPr>
              <w:instrText xml:space="preserve"> FORMTEXT </w:instrText>
            </w:r>
            <w:r w:rsidRPr="00B5425B">
              <w:rPr>
                <w:rFonts w:ascii="Times New Roman" w:hAnsi="Times New Roman"/>
              </w:rPr>
            </w:r>
            <w:r w:rsidRPr="00B5425B">
              <w:rPr>
                <w:rFonts w:ascii="Times New Roman" w:hAnsi="Times New Roman"/>
              </w:rPr>
              <w:fldChar w:fldCharType="separate"/>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rPr>
              <w:fldChar w:fldCharType="end"/>
            </w:r>
            <w:bookmarkEnd w:id="2"/>
          </w:p>
        </w:tc>
        <w:tc>
          <w:tcPr>
            <w:tcW w:w="720" w:type="dxa"/>
          </w:tcPr>
          <w:p w14:paraId="3CB66C5E" w14:textId="77777777" w:rsidR="00400720" w:rsidRPr="00D93AB5" w:rsidRDefault="00400720" w:rsidP="00C34820">
            <w:pPr>
              <w:keepNext/>
              <w:keepLines/>
              <w:rPr>
                <w:rFonts w:ascii="Times New Roman" w:hAnsi="Times New Roman"/>
                <w:b/>
                <w:sz w:val="24"/>
                <w:szCs w:val="24"/>
              </w:rPr>
            </w:pPr>
            <w:r w:rsidRPr="00D93AB5">
              <w:rPr>
                <w:rFonts w:ascii="Times New Roman" w:hAnsi="Times New Roman"/>
                <w:b/>
                <w:bCs/>
                <w:sz w:val="24"/>
                <w:szCs w:val="24"/>
              </w:rPr>
              <w:t>Date</w:t>
            </w:r>
          </w:p>
        </w:tc>
        <w:tc>
          <w:tcPr>
            <w:tcW w:w="3050" w:type="dxa"/>
          </w:tcPr>
          <w:p w14:paraId="3D682851" w14:textId="77777777" w:rsidR="00400720" w:rsidRPr="00C739EF" w:rsidRDefault="00D93AB5" w:rsidP="00C34820">
            <w:pPr>
              <w:pStyle w:val="Header"/>
              <w:keepNext/>
              <w:keepLines/>
              <w:rPr>
                <w:rFonts w:ascii="Times New Roman" w:hAnsi="Times New Roman"/>
                <w:sz w:val="24"/>
                <w:szCs w:val="24"/>
              </w:rPr>
            </w:pPr>
            <w:r w:rsidRPr="00B5425B">
              <w:rPr>
                <w:rFonts w:ascii="Times New Roman" w:hAnsi="Times New Roman"/>
              </w:rPr>
              <w:fldChar w:fldCharType="begin">
                <w:ffData>
                  <w:name w:val="Text4"/>
                  <w:enabled/>
                  <w:calcOnExit w:val="0"/>
                  <w:textInput/>
                </w:ffData>
              </w:fldChar>
            </w:r>
            <w:bookmarkStart w:id="3" w:name="Text4"/>
            <w:r w:rsidRPr="00B5425B">
              <w:rPr>
                <w:rFonts w:ascii="Times New Roman" w:hAnsi="Times New Roman"/>
              </w:rPr>
              <w:instrText xml:space="preserve"> FORMTEXT </w:instrText>
            </w:r>
            <w:r w:rsidRPr="00B5425B">
              <w:rPr>
                <w:rFonts w:ascii="Times New Roman" w:hAnsi="Times New Roman"/>
              </w:rPr>
            </w:r>
            <w:r w:rsidRPr="00B5425B">
              <w:rPr>
                <w:rFonts w:ascii="Times New Roman" w:hAnsi="Times New Roman"/>
              </w:rPr>
              <w:fldChar w:fldCharType="separate"/>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noProof/>
              </w:rPr>
              <w:t> </w:t>
            </w:r>
            <w:r w:rsidRPr="00B5425B">
              <w:rPr>
                <w:rFonts w:ascii="Times New Roman" w:hAnsi="Times New Roman"/>
              </w:rPr>
              <w:fldChar w:fldCharType="end"/>
            </w:r>
            <w:bookmarkEnd w:id="3"/>
          </w:p>
        </w:tc>
      </w:tr>
    </w:tbl>
    <w:p w14:paraId="1C619AE1" w14:textId="77777777" w:rsidR="00B5425B" w:rsidRDefault="00B5425B" w:rsidP="00C2563E">
      <w:pPr>
        <w:pStyle w:val="BodyTextIndent"/>
        <w:ind w:left="864" w:hanging="864"/>
        <w:jc w:val="center"/>
        <w:rPr>
          <w:bCs/>
          <w:sz w:val="24"/>
        </w:rPr>
      </w:pPr>
    </w:p>
    <w:p w14:paraId="4C9EDF7E" w14:textId="77777777" w:rsidR="00DC2AE1" w:rsidRDefault="00C739EF" w:rsidP="00123F99">
      <w:pPr>
        <w:pStyle w:val="BodyTextIndent"/>
        <w:ind w:left="864" w:hanging="864"/>
        <w:rPr>
          <w:sz w:val="22"/>
          <w:szCs w:val="22"/>
        </w:rPr>
      </w:pPr>
      <w:r w:rsidRPr="00B451B4">
        <w:rPr>
          <w:b/>
          <w:bCs/>
          <w:sz w:val="22"/>
          <w:szCs w:val="22"/>
        </w:rPr>
        <w:t>NOTE:</w:t>
      </w:r>
      <w:r w:rsidRPr="00B451B4">
        <w:rPr>
          <w:sz w:val="22"/>
          <w:szCs w:val="22"/>
        </w:rPr>
        <w:t xml:space="preserve">  </w:t>
      </w:r>
      <w:r w:rsidR="0087686A">
        <w:rPr>
          <w:sz w:val="22"/>
          <w:szCs w:val="22"/>
        </w:rPr>
        <w:t xml:space="preserve"> </w:t>
      </w:r>
      <w:r w:rsidRPr="00B451B4">
        <w:rPr>
          <w:sz w:val="22"/>
          <w:szCs w:val="22"/>
        </w:rPr>
        <w:t xml:space="preserve">All questions that address requirements contain the citation for the source of the requirement (statute, regulation, or grant agreement). If the requirement is not met, </w:t>
      </w:r>
      <w:r w:rsidR="001A75A1">
        <w:rPr>
          <w:sz w:val="22"/>
          <w:szCs w:val="20"/>
        </w:rPr>
        <w:t>HUD must select “NO” in response to the question and make a finding of noncompliance</w:t>
      </w:r>
      <w:r w:rsidRPr="00B451B4">
        <w:rPr>
          <w:sz w:val="22"/>
          <w:szCs w:val="22"/>
        </w:rPr>
        <w:t xml:space="preserve">. All other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B451B4">
        <w:rPr>
          <w:bCs/>
          <w:sz w:val="22"/>
          <w:szCs w:val="22"/>
        </w:rPr>
        <w:t>"</w:t>
      </w:r>
      <w:r w:rsidRPr="00906CAE">
        <w:rPr>
          <w:b/>
          <w:bCs/>
          <w:sz w:val="22"/>
          <w:szCs w:val="22"/>
        </w:rPr>
        <w:t>finding</w:t>
      </w:r>
      <w:r w:rsidRPr="00B451B4">
        <w:rPr>
          <w:bCs/>
          <w:sz w:val="22"/>
          <w:szCs w:val="22"/>
        </w:rPr>
        <w:t>.</w:t>
      </w:r>
      <w:r w:rsidRPr="00B451B4">
        <w:rPr>
          <w:sz w:val="22"/>
          <w:szCs w:val="22"/>
        </w:rPr>
        <w:t>"</w:t>
      </w:r>
    </w:p>
    <w:p w14:paraId="01333E93" w14:textId="77777777" w:rsidR="00DC2AE1" w:rsidRDefault="00DC2AE1" w:rsidP="00123F99">
      <w:pPr>
        <w:pStyle w:val="BodyTextIndent"/>
        <w:ind w:left="864" w:hanging="864"/>
        <w:rPr>
          <w:b/>
          <w:sz w:val="24"/>
          <w:u w:val="single"/>
        </w:rPr>
      </w:pPr>
    </w:p>
    <w:p w14:paraId="660270B5" w14:textId="73095E3D" w:rsidR="00DC2AE1" w:rsidRDefault="00C34820" w:rsidP="00737F5B">
      <w:pPr>
        <w:pStyle w:val="BodyTextIndent"/>
        <w:ind w:left="0"/>
        <w:rPr>
          <w:sz w:val="24"/>
        </w:rPr>
      </w:pPr>
      <w:r w:rsidRPr="00B451B4">
        <w:rPr>
          <w:b/>
          <w:sz w:val="24"/>
          <w:u w:val="single"/>
        </w:rPr>
        <w:t>Instructions:</w:t>
      </w:r>
      <w:r w:rsidRPr="00C739EF">
        <w:rPr>
          <w:sz w:val="24"/>
        </w:rPr>
        <w:t xml:space="preserve">  </w:t>
      </w:r>
      <w:r w:rsidR="001F3B84">
        <w:rPr>
          <w:sz w:val="24"/>
        </w:rPr>
        <w:t>This E</w:t>
      </w:r>
      <w:r w:rsidR="008F2EE2" w:rsidRPr="00C739EF">
        <w:rPr>
          <w:sz w:val="24"/>
        </w:rPr>
        <w:t>xhibit is designed to assess the recipient’s compliance with the Street</w:t>
      </w:r>
      <w:r w:rsidR="00151192">
        <w:rPr>
          <w:sz w:val="24"/>
        </w:rPr>
        <w:t xml:space="preserve"> </w:t>
      </w:r>
      <w:r w:rsidR="008F2EE2" w:rsidRPr="00C739EF">
        <w:rPr>
          <w:sz w:val="24"/>
        </w:rPr>
        <w:t>Outreach component of the Emergency Solutions Grant (ESG) program</w:t>
      </w:r>
      <w:r w:rsidR="00010189">
        <w:rPr>
          <w:sz w:val="24"/>
        </w:rPr>
        <w:t xml:space="preserve"> </w:t>
      </w:r>
      <w:r w:rsidR="000D2877">
        <w:rPr>
          <w:sz w:val="24"/>
        </w:rPr>
        <w:t xml:space="preserve">as funded and modified </w:t>
      </w:r>
      <w:r w:rsidR="00010189" w:rsidRPr="00010189">
        <w:rPr>
          <w:sz w:val="24"/>
        </w:rPr>
        <w:t>under the Coronavirus Aid, Relief, and Economic Security Act (CARES Act), otherwise known as ESG-CV.  Requirements at 24 CFR Part 576 apply to the use of these funds, unless otherwise provided by the alternative requirements and flexibilities established under the CARES Act, Notice CPD-21-08</w:t>
      </w:r>
      <w:r w:rsidR="00AB315B">
        <w:rPr>
          <w:sz w:val="24"/>
        </w:rPr>
        <w:t xml:space="preserve">, </w:t>
      </w:r>
      <w:r w:rsidR="004D02B8">
        <w:rPr>
          <w:sz w:val="24"/>
        </w:rPr>
        <w:t xml:space="preserve">Notice </w:t>
      </w:r>
      <w:r w:rsidR="00AB315B">
        <w:rPr>
          <w:sz w:val="24"/>
        </w:rPr>
        <w:t>CPD</w:t>
      </w:r>
      <w:r w:rsidR="004D02B8">
        <w:rPr>
          <w:sz w:val="24"/>
        </w:rPr>
        <w:t>-22-06,</w:t>
      </w:r>
      <w:r w:rsidR="00010189" w:rsidRPr="00010189">
        <w:rPr>
          <w:sz w:val="24"/>
        </w:rPr>
        <w:t xml:space="preserve"> or</w:t>
      </w:r>
      <w:r w:rsidR="000D2877">
        <w:rPr>
          <w:sz w:val="24"/>
        </w:rPr>
        <w:t xml:space="preserve"> other HUD</w:t>
      </w:r>
      <w:r w:rsidR="00010189" w:rsidRPr="00010189">
        <w:rPr>
          <w:sz w:val="24"/>
        </w:rPr>
        <w:t xml:space="preserve"> waivers or CPD</w:t>
      </w:r>
      <w:r w:rsidR="000D2877">
        <w:rPr>
          <w:sz w:val="24"/>
        </w:rPr>
        <w:t xml:space="preserve"> Notices</w:t>
      </w:r>
      <w:r w:rsidR="008F2EE2" w:rsidRPr="00C739EF">
        <w:rPr>
          <w:sz w:val="24"/>
        </w:rPr>
        <w:t>.</w:t>
      </w:r>
      <w:r w:rsidRPr="00C739EF">
        <w:rPr>
          <w:sz w:val="24"/>
        </w:rPr>
        <w:t xml:space="preserve"> </w:t>
      </w:r>
      <w:r w:rsidR="00F2452B" w:rsidRPr="00C1431F">
        <w:rPr>
          <w:sz w:val="24"/>
        </w:rPr>
        <w:t>Notice CPD-21-08, published July 19, 2021, supersedes Notice CPD-20-08 and reestablishes the allocation formula and amounts and reestablishes and announces new requirements for ESG funding</w:t>
      </w:r>
      <w:r w:rsidR="00010CA6">
        <w:rPr>
          <w:sz w:val="24"/>
        </w:rPr>
        <w:t xml:space="preserve">. </w:t>
      </w:r>
      <w:r w:rsidR="000D2877" w:rsidRPr="000D2877">
        <w:rPr>
          <w:sz w:val="24"/>
        </w:rPr>
        <w:t>As provided in Notice CPD-21-08</w:t>
      </w:r>
      <w:r w:rsidR="004D02B8">
        <w:rPr>
          <w:sz w:val="24"/>
        </w:rPr>
        <w:t xml:space="preserve"> and Notice CPD-22-06</w:t>
      </w:r>
      <w:r w:rsidR="000D2877" w:rsidRPr="000D2877">
        <w:rPr>
          <w:sz w:val="24"/>
        </w:rPr>
        <w:t>, recipients that received particularized waivers or exceptions are permitted to apply those waivers and exceptions subject to the conditions provided in those waivers or exceptions, although they may also use any further flexibility provided in Notice CPD-21-08 under the conditions and alternative requirements provided in the Notice.</w:t>
      </w:r>
    </w:p>
    <w:p w14:paraId="600A51EB" w14:textId="77777777" w:rsidR="00DC2AE1" w:rsidRDefault="00DC2AE1" w:rsidP="00737F5B">
      <w:pPr>
        <w:pStyle w:val="BodyTextIndent"/>
        <w:ind w:left="0"/>
        <w:rPr>
          <w:sz w:val="24"/>
        </w:rPr>
      </w:pPr>
    </w:p>
    <w:p w14:paraId="45C7DBFE" w14:textId="20350B1C" w:rsidR="00737F5B" w:rsidRDefault="000D2877" w:rsidP="00737F5B">
      <w:pPr>
        <w:pStyle w:val="BodyTextIndent"/>
        <w:ind w:left="0"/>
        <w:rPr>
          <w:sz w:val="24"/>
        </w:rPr>
      </w:pPr>
      <w:r w:rsidRPr="000D2877">
        <w:rPr>
          <w:sz w:val="24"/>
        </w:rPr>
        <w:t xml:space="preserve">All waivers HUD has provided for ESG-CV funds </w:t>
      </w:r>
      <w:r w:rsidR="00FC2C6F">
        <w:rPr>
          <w:sz w:val="24"/>
        </w:rPr>
        <w:t xml:space="preserve">under the CARES Act waiver authority </w:t>
      </w:r>
      <w:r w:rsidRPr="000D2877">
        <w:rPr>
          <w:sz w:val="24"/>
        </w:rPr>
        <w:t>apply retroactively as provided by the CARES Act</w:t>
      </w:r>
      <w:r w:rsidR="00FC2C6F">
        <w:rPr>
          <w:sz w:val="24"/>
        </w:rPr>
        <w:t xml:space="preserve"> (NOTE: waivers provided under the waiver authority in 24 CFR 5.110 are not retroactive, even if applied to ESG-CV grants)</w:t>
      </w:r>
      <w:r w:rsidRPr="000D2877">
        <w:rPr>
          <w:sz w:val="24"/>
        </w:rPr>
        <w:t xml:space="preserve">. Except as otherwise stated in Notice CPD-21-08, waivers and alternative requirements </w:t>
      </w:r>
      <w:r w:rsidR="003F1C5B">
        <w:rPr>
          <w:sz w:val="24"/>
        </w:rPr>
        <w:t xml:space="preserve">HUD provided as authorized by the CARES Act </w:t>
      </w:r>
      <w:r w:rsidR="00112530">
        <w:rPr>
          <w:sz w:val="24"/>
        </w:rPr>
        <w:t>were</w:t>
      </w:r>
      <w:r w:rsidRPr="000D2877">
        <w:rPr>
          <w:sz w:val="24"/>
        </w:rPr>
        <w:t xml:space="preserve"> deemed to be effective as of the date a State or unit of local government began preparing for coronavirus, which HUD presume</w:t>
      </w:r>
      <w:r w:rsidR="00DF18EF">
        <w:rPr>
          <w:sz w:val="24"/>
        </w:rPr>
        <w:t>s</w:t>
      </w:r>
      <w:r w:rsidRPr="000D2877">
        <w:rPr>
          <w:sz w:val="24"/>
        </w:rPr>
        <w:t xml:space="preserve"> to be January 21, 2020 – the date the first confirmed case was reported in the United States. However, each recipient must maintain adequate documentation</w:t>
      </w:r>
      <w:r w:rsidR="00DF18EF">
        <w:rPr>
          <w:sz w:val="24"/>
        </w:rPr>
        <w:t xml:space="preserve"> (including documentation demonstrating when their particular state or local government began preparing for coronavirus)</w:t>
      </w:r>
      <w:r w:rsidRPr="000D2877">
        <w:rPr>
          <w:sz w:val="24"/>
        </w:rPr>
        <w:t xml:space="preserve"> to assure these waivers and alternative requirements are used only with respect to ESG- or ESG-CV-eligible activities the recipient or its subrecipients implemented to prevent, prepare for, and respond to coronavirus</w:t>
      </w:r>
      <w:r w:rsidR="005A1B90">
        <w:rPr>
          <w:sz w:val="24"/>
        </w:rPr>
        <w:t>.</w:t>
      </w:r>
    </w:p>
    <w:p w14:paraId="445C7C6F" w14:textId="77777777" w:rsidR="00737F5B" w:rsidRDefault="00737F5B" w:rsidP="00737F5B">
      <w:pPr>
        <w:pStyle w:val="BodyTextIndent"/>
        <w:ind w:left="0"/>
        <w:rPr>
          <w:sz w:val="24"/>
        </w:rPr>
      </w:pPr>
    </w:p>
    <w:p w14:paraId="23FC1E9C" w14:textId="64D63C73" w:rsidR="000D2877" w:rsidRDefault="000D2877" w:rsidP="00737F5B">
      <w:pPr>
        <w:pStyle w:val="BodyTextIndent"/>
        <w:ind w:left="0"/>
        <w:rPr>
          <w:sz w:val="24"/>
        </w:rPr>
      </w:pPr>
      <w:r w:rsidRPr="000D2877">
        <w:rPr>
          <w:sz w:val="24"/>
        </w:rPr>
        <w:t>This Exhibit is to be used to monitor</w:t>
      </w:r>
      <w:r w:rsidR="00300A03">
        <w:rPr>
          <w:sz w:val="24"/>
        </w:rPr>
        <w:t xml:space="preserve"> not only the use of ESG-CV grant funds, but the use of </w:t>
      </w:r>
      <w:bookmarkStart w:id="4" w:name="_Hlk87869617"/>
      <w:r w:rsidRPr="000D2877">
        <w:rPr>
          <w:sz w:val="24"/>
        </w:rPr>
        <w:t>FY 2020 and older</w:t>
      </w:r>
      <w:r w:rsidR="00C30B69">
        <w:rPr>
          <w:sz w:val="24"/>
        </w:rPr>
        <w:t xml:space="preserve"> ESG grant funds the recipient designated for</w:t>
      </w:r>
      <w:r w:rsidRPr="000D2877">
        <w:rPr>
          <w:sz w:val="24"/>
        </w:rPr>
        <w:t xml:space="preserve"> </w:t>
      </w:r>
      <w:bookmarkEnd w:id="4"/>
      <w:r w:rsidRPr="000D2877">
        <w:rPr>
          <w:sz w:val="24"/>
        </w:rPr>
        <w:t>use</w:t>
      </w:r>
      <w:r w:rsidR="00D16421">
        <w:rPr>
          <w:sz w:val="24"/>
        </w:rPr>
        <w:t xml:space="preserve"> in</w:t>
      </w:r>
      <w:r w:rsidRPr="000D2877">
        <w:rPr>
          <w:sz w:val="24"/>
        </w:rPr>
        <w:t xml:space="preserve"> prevent</w:t>
      </w:r>
      <w:r w:rsidR="00D16421">
        <w:rPr>
          <w:sz w:val="24"/>
        </w:rPr>
        <w:t>ing</w:t>
      </w:r>
      <w:r w:rsidRPr="000D2877">
        <w:rPr>
          <w:sz w:val="24"/>
        </w:rPr>
        <w:t>, prepar</w:t>
      </w:r>
      <w:r w:rsidR="00D16421">
        <w:rPr>
          <w:sz w:val="24"/>
        </w:rPr>
        <w:t>ing</w:t>
      </w:r>
      <w:r w:rsidRPr="000D2877">
        <w:rPr>
          <w:sz w:val="24"/>
        </w:rPr>
        <w:t xml:space="preserve"> for, and respond</w:t>
      </w:r>
      <w:r w:rsidR="00D16421">
        <w:rPr>
          <w:sz w:val="24"/>
        </w:rPr>
        <w:t>ing</w:t>
      </w:r>
      <w:r w:rsidRPr="000D2877">
        <w:rPr>
          <w:sz w:val="24"/>
        </w:rPr>
        <w:t xml:space="preserve"> to coronavirus. A recipient may have expended annual ESG funds both for activities </w:t>
      </w:r>
      <w:r w:rsidRPr="000D2877">
        <w:rPr>
          <w:sz w:val="24"/>
        </w:rPr>
        <w:lastRenderedPageBreak/>
        <w:t xml:space="preserve">used to prevent, prepare for, and respond to coronavirus as well as activities not specifically designated for coronavirus response. In those cases, monitors are instructed to use the </w:t>
      </w:r>
      <w:r w:rsidR="00256DFB">
        <w:rPr>
          <w:sz w:val="24"/>
        </w:rPr>
        <w:t>E</w:t>
      </w:r>
      <w:r w:rsidRPr="00A736A5">
        <w:rPr>
          <w:sz w:val="24"/>
        </w:rPr>
        <w:t xml:space="preserve">xhibits in Chapter </w:t>
      </w:r>
      <w:r w:rsidR="00C1431F">
        <w:rPr>
          <w:sz w:val="24"/>
        </w:rPr>
        <w:t>36</w:t>
      </w:r>
      <w:r w:rsidRPr="00A736A5">
        <w:rPr>
          <w:sz w:val="24"/>
        </w:rPr>
        <w:t xml:space="preserve"> to monitor annual ESG-funded activities designated for coronavirus response; Exhibits in Chapter</w:t>
      </w:r>
      <w:r w:rsidRPr="000D2877">
        <w:rPr>
          <w:sz w:val="24"/>
        </w:rPr>
        <w:t xml:space="preserve"> 28 are to be used to monitor annual ESG-funded activities not designated for coronavirus response</w:t>
      </w:r>
      <w:r>
        <w:rPr>
          <w:sz w:val="24"/>
        </w:rPr>
        <w:t>.</w:t>
      </w:r>
    </w:p>
    <w:p w14:paraId="7E7DABCF" w14:textId="673868E2" w:rsidR="00981B0C" w:rsidRDefault="008F2EE2" w:rsidP="00737F5B">
      <w:pPr>
        <w:keepNext/>
        <w:keepLines/>
        <w:tabs>
          <w:tab w:val="center" w:pos="432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rPr>
        <w:t xml:space="preserve">The eligible activity areas of review include </w:t>
      </w:r>
      <w:r w:rsidR="002365D3">
        <w:rPr>
          <w:rFonts w:ascii="Times New Roman" w:eastAsia="Times New Roman" w:hAnsi="Times New Roman"/>
          <w:sz w:val="24"/>
          <w:szCs w:val="24"/>
        </w:rPr>
        <w:t xml:space="preserve">the costs charged to this component as </w:t>
      </w:r>
      <w:r w:rsidRPr="00C739EF">
        <w:rPr>
          <w:rFonts w:ascii="Times New Roman" w:eastAsia="Times New Roman" w:hAnsi="Times New Roman"/>
          <w:sz w:val="24"/>
          <w:szCs w:val="24"/>
        </w:rPr>
        <w:t>essential services necessary to reach out to unsheltered homeless people; connect them with emergency shelter, housing, or critical services; and provide urgent, non</w:t>
      </w:r>
      <w:r w:rsidR="00981B0C" w:rsidRPr="00C739EF">
        <w:rPr>
          <w:rFonts w:ascii="Times New Roman" w:eastAsia="Times New Roman" w:hAnsi="Times New Roman"/>
          <w:sz w:val="24"/>
          <w:szCs w:val="24"/>
        </w:rPr>
        <w:t>-</w:t>
      </w:r>
      <w:r w:rsidRPr="00C739EF">
        <w:rPr>
          <w:rFonts w:ascii="Times New Roman" w:eastAsia="Times New Roman" w:hAnsi="Times New Roman"/>
          <w:sz w:val="24"/>
          <w:szCs w:val="24"/>
        </w:rPr>
        <w:t xml:space="preserve">facility-based care to unsheltered homeless people who are unwilling or unable to access emergency shelter, housing, or an appropriate health facility. </w:t>
      </w:r>
    </w:p>
    <w:p w14:paraId="36351C63" w14:textId="77777777" w:rsidR="00E758C8" w:rsidRDefault="00E758C8" w:rsidP="00737F5B">
      <w:pPr>
        <w:keepNext/>
        <w:keepLines/>
        <w:tabs>
          <w:tab w:val="center" w:pos="4320"/>
        </w:tabs>
        <w:spacing w:after="0" w:line="120" w:lineRule="auto"/>
        <w:rPr>
          <w:rFonts w:ascii="Times New Roman" w:eastAsia="Times New Roman" w:hAnsi="Times New Roman"/>
          <w:sz w:val="24"/>
          <w:szCs w:val="24"/>
        </w:rPr>
      </w:pPr>
    </w:p>
    <w:p w14:paraId="2E8EC2EE" w14:textId="77777777" w:rsidR="00E758C8" w:rsidRPr="00C739EF" w:rsidRDefault="00E758C8" w:rsidP="00737F5B">
      <w:pPr>
        <w:keepNext/>
        <w:keepLines/>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This Exhibit can be used to monitor a recipient, a single subrecipient, or multiple subrecipients.  It is the responsibility of the HUD reviewer to ensure that the responses provide sufficient documentation to support the basis for the conclusions.  Keep in mind that, if multiple entities are reviewed and a deficiency is identified for a single entity, a “No” response is required.</w:t>
      </w:r>
    </w:p>
    <w:p w14:paraId="461E4704" w14:textId="3A12B8FB" w:rsidR="00C1431F" w:rsidRDefault="00C1431F">
      <w:pPr>
        <w:spacing w:after="0" w:line="240" w:lineRule="auto"/>
        <w:rPr>
          <w:rFonts w:ascii="Times New Roman" w:eastAsia="Times New Roman" w:hAnsi="Times New Roman"/>
          <w:b/>
          <w:sz w:val="24"/>
          <w:szCs w:val="24"/>
          <w:u w:val="single"/>
        </w:rPr>
      </w:pPr>
    </w:p>
    <w:p w14:paraId="5DA6E3EA" w14:textId="17843627" w:rsidR="00981B0C" w:rsidRPr="00295A8D" w:rsidRDefault="00295A8D" w:rsidP="00947487">
      <w:pPr>
        <w:keepNext/>
        <w:keepLines/>
        <w:tabs>
          <w:tab w:val="center" w:pos="4320"/>
        </w:tabs>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t>Questions:</w:t>
      </w:r>
    </w:p>
    <w:p w14:paraId="6682734E" w14:textId="77777777" w:rsidR="00467A2F" w:rsidRDefault="00467A2F" w:rsidP="00947487">
      <w:pPr>
        <w:keepNext/>
        <w:keepLines/>
        <w:tabs>
          <w:tab w:val="center" w:pos="4320"/>
        </w:tabs>
        <w:spacing w:after="0" w:line="240" w:lineRule="auto"/>
        <w:rPr>
          <w:rFonts w:ascii="Times New Roman" w:eastAsia="Times New Roman" w:hAnsi="Times New Roman"/>
          <w:sz w:val="24"/>
          <w:szCs w:val="24"/>
        </w:rPr>
      </w:pPr>
    </w:p>
    <w:p w14:paraId="358E555F" w14:textId="77777777" w:rsidR="00467A2F" w:rsidRDefault="00467A2F" w:rsidP="00947487">
      <w:pPr>
        <w:keepNext/>
        <w:keepLines/>
        <w:tabs>
          <w:tab w:val="center" w:pos="4320"/>
        </w:tabs>
        <w:spacing w:after="0" w:line="240" w:lineRule="auto"/>
        <w:rPr>
          <w:rFonts w:ascii="Times New Roman" w:eastAsia="Times New Roman" w:hAnsi="Times New Roman"/>
          <w:sz w:val="24"/>
          <w:szCs w:val="24"/>
        </w:rPr>
      </w:pPr>
      <w:r w:rsidRPr="008F708F">
        <w:rPr>
          <w:rFonts w:ascii="Times New Roman" w:hAnsi="Times New Roman"/>
          <w:sz w:val="24"/>
          <w:szCs w:val="24"/>
          <w:u w:val="single"/>
        </w:rPr>
        <w:t xml:space="preserve">A.   </w:t>
      </w:r>
      <w:r w:rsidRPr="000E1C1E">
        <w:rPr>
          <w:rFonts w:ascii="Times New Roman" w:hAnsi="Times New Roman"/>
          <w:sz w:val="24"/>
          <w:szCs w:val="24"/>
          <w:u w:val="single"/>
        </w:rPr>
        <w:t>ELIGIBLE ACTIVITIES</w:t>
      </w:r>
      <w:r>
        <w:rPr>
          <w:rFonts w:ascii="Times New Roman" w:hAnsi="Times New Roman"/>
          <w:sz w:val="24"/>
          <w:szCs w:val="24"/>
          <w:u w:val="single"/>
        </w:rPr>
        <w:t xml:space="preserve"> UNDER STREET OUTREACH</w:t>
      </w:r>
    </w:p>
    <w:p w14:paraId="306DF5C7" w14:textId="77777777" w:rsidR="00947487" w:rsidRDefault="00947487" w:rsidP="00947487">
      <w:pPr>
        <w:keepNext/>
        <w:keepLines/>
        <w:tabs>
          <w:tab w:val="center" w:pos="432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rP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0330B" w14:paraId="13C34CD3" w14:textId="77777777" w:rsidTr="003368EE">
        <w:trPr>
          <w:trHeight w:val="773"/>
        </w:trPr>
        <w:tc>
          <w:tcPr>
            <w:tcW w:w="7385" w:type="dxa"/>
            <w:tcBorders>
              <w:bottom w:val="single" w:sz="4" w:space="0" w:color="auto"/>
            </w:tcBorders>
          </w:tcPr>
          <w:p w14:paraId="057AAC16" w14:textId="4CF56D69" w:rsidR="004867C3" w:rsidRDefault="004867C3" w:rsidP="004867C3">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C739EF">
              <w:t>Were persons assisted with street outreach essential services determined and documented to be eligible for assistance?</w:t>
            </w:r>
          </w:p>
          <w:p w14:paraId="7E732D55" w14:textId="77777777" w:rsidR="00F271D9" w:rsidRPr="00C739EF" w:rsidRDefault="00F271D9" w:rsidP="004867C3">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4E2884D5" w14:textId="40B6FAE8" w:rsidR="00C0330B" w:rsidRDefault="004867C3" w:rsidP="0087686A">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C739EF">
              <w:t>[</w:t>
            </w:r>
            <w:r>
              <w:t xml:space="preserve">24 CFR </w:t>
            </w:r>
            <w:r w:rsidRPr="00C739EF">
              <w:t>576.401(a)</w:t>
            </w:r>
            <w:r w:rsidR="0087686A">
              <w:t>;</w:t>
            </w:r>
            <w:r w:rsidR="009A75FD">
              <w:t xml:space="preserve"> 24 CFR 576.500(b)</w:t>
            </w:r>
            <w:r w:rsidR="00DB149B">
              <w:t>; 24 CFR 576.101(a)</w:t>
            </w:r>
            <w:r w:rsidR="00DB149B" w:rsidRPr="00C739EF">
              <w:t>]</w:t>
            </w:r>
            <w:r w:rsidRPr="00C739E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330B" w14:paraId="60978CCA" w14:textId="77777777" w:rsidTr="003368EE">
              <w:trPr>
                <w:trHeight w:val="170"/>
              </w:trPr>
              <w:tc>
                <w:tcPr>
                  <w:tcW w:w="425" w:type="dxa"/>
                </w:tcPr>
                <w:p w14:paraId="037CCC1B"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576" w:type="dxa"/>
                </w:tcPr>
                <w:p w14:paraId="65AECA6C"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606" w:type="dxa"/>
                </w:tcPr>
                <w:p w14:paraId="7D988E49"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016A4">
                    <w:fldChar w:fldCharType="separate"/>
                  </w:r>
                  <w:r>
                    <w:fldChar w:fldCharType="end"/>
                  </w:r>
                </w:p>
              </w:tc>
            </w:tr>
            <w:tr w:rsidR="00C0330B" w14:paraId="17C1DFA0" w14:textId="77777777" w:rsidTr="003368EE">
              <w:trPr>
                <w:trHeight w:val="225"/>
              </w:trPr>
              <w:tc>
                <w:tcPr>
                  <w:tcW w:w="425" w:type="dxa"/>
                </w:tcPr>
                <w:p w14:paraId="31010E68"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0926A46"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C03C5A3"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3ACB5B3"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C0330B" w14:paraId="79B84C65" w14:textId="77777777" w:rsidTr="003368EE">
        <w:trPr>
          <w:cantSplit/>
        </w:trPr>
        <w:tc>
          <w:tcPr>
            <w:tcW w:w="9010" w:type="dxa"/>
            <w:gridSpan w:val="2"/>
            <w:tcBorders>
              <w:bottom w:val="nil"/>
            </w:tcBorders>
          </w:tcPr>
          <w:p w14:paraId="4667085A" w14:textId="77777777"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C0330B" w14:paraId="00B551AA" w14:textId="77777777" w:rsidTr="003368EE">
        <w:trPr>
          <w:cantSplit/>
        </w:trPr>
        <w:tc>
          <w:tcPr>
            <w:tcW w:w="9010" w:type="dxa"/>
            <w:gridSpan w:val="2"/>
            <w:tcBorders>
              <w:top w:val="nil"/>
            </w:tcBorders>
          </w:tcPr>
          <w:p w14:paraId="2E57A784" w14:textId="77777777"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bookmarkStart w:id="5"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73C25149" w14:textId="77777777" w:rsidR="004867C3" w:rsidRDefault="004867C3" w:rsidP="004867C3">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5F3B7F35" w14:textId="77777777" w:rsidR="00D463F3" w:rsidRDefault="00D463F3" w:rsidP="00947487">
      <w:pPr>
        <w:keepNext/>
        <w:keepLines/>
        <w:tabs>
          <w:tab w:val="center" w:pos="4320"/>
        </w:tabs>
        <w:spacing w:after="0" w:line="240" w:lineRule="auto"/>
        <w:rPr>
          <w:rFonts w:ascii="Times New Roman" w:eastAsia="Times New Roman" w:hAnsi="Times New Roman"/>
          <w:sz w:val="24"/>
          <w:szCs w:val="24"/>
        </w:rPr>
      </w:pPr>
    </w:p>
    <w:p w14:paraId="470A88DA" w14:textId="4BA049C9" w:rsidR="00AB1D07" w:rsidRDefault="00AB1D07" w:rsidP="00947487">
      <w:pPr>
        <w:keepNext/>
        <w:keepLines/>
        <w:tabs>
          <w:tab w:val="center" w:pos="432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rPr>
        <w:t xml:space="preserve">2.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0330B" w14:paraId="47E80F42" w14:textId="77777777" w:rsidTr="003368EE">
        <w:trPr>
          <w:trHeight w:val="773"/>
        </w:trPr>
        <w:tc>
          <w:tcPr>
            <w:tcW w:w="7385" w:type="dxa"/>
            <w:tcBorders>
              <w:bottom w:val="single" w:sz="4" w:space="0" w:color="auto"/>
            </w:tcBorders>
          </w:tcPr>
          <w:p w14:paraId="634983C2" w14:textId="736E484B" w:rsidR="003F0B0E" w:rsidRDefault="004867C3" w:rsidP="004867C3">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4867C3">
              <w:rPr>
                <w:u w:val="single"/>
              </w:rPr>
              <w:t>Street Outreach</w:t>
            </w:r>
            <w:r w:rsidRPr="00C739EF">
              <w:t xml:space="preserve">: </w:t>
            </w:r>
            <w:r w:rsidR="003F0B0E">
              <w:t xml:space="preserve">Except as provided under Notice CPD-21-08, </w:t>
            </w:r>
            <w:r w:rsidR="001575F0">
              <w:t xml:space="preserve">were </w:t>
            </w:r>
            <w:r w:rsidRPr="00C739EF">
              <w:t xml:space="preserve">street outreach costs </w:t>
            </w:r>
            <w:r w:rsidR="000D0211">
              <w:t>limited to the costs of</w:t>
            </w:r>
            <w:r w:rsidR="00454C1D">
              <w:t>:</w:t>
            </w:r>
            <w:r w:rsidRPr="00C739EF">
              <w:t xml:space="preserve"> providing essential services necessary to reach out to unsheltered homeless people; connecting unsheltered homeless people with emergency shelter, housing, or critical services; and providing urgent, non-facility-based care to unsheltered homeless people who are unwilling or unable to access emergency shelter, housing, or an appropriate health facility? </w:t>
            </w:r>
          </w:p>
          <w:p w14:paraId="2E903523" w14:textId="77777777" w:rsidR="003F0B0E" w:rsidRDefault="003F0B0E" w:rsidP="004867C3">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2B943BBB" w14:textId="77777777" w:rsidR="00CE0340" w:rsidRDefault="003F0B0E" w:rsidP="004867C3">
            <w:pPr>
              <w:pStyle w:val="Level1"/>
              <w:widowControl w:val="0"/>
              <w:tabs>
                <w:tab w:val="clear" w:pos="360"/>
                <w:tab w:val="left" w:pos="720"/>
                <w:tab w:val="left" w:pos="1440"/>
                <w:tab w:val="left" w:pos="2160"/>
                <w:tab w:val="left" w:pos="2880"/>
                <w:tab w:val="left" w:pos="3600"/>
                <w:tab w:val="left" w:pos="5040"/>
                <w:tab w:val="left" w:pos="5760"/>
                <w:tab w:val="left" w:pos="6480"/>
              </w:tabs>
            </w:pPr>
            <w:r>
              <w:t>NOTE</w:t>
            </w:r>
            <w:r w:rsidR="00CE0340">
              <w:t>S</w:t>
            </w:r>
            <w:r>
              <w:t xml:space="preserve">: </w:t>
            </w:r>
          </w:p>
          <w:p w14:paraId="7A30DF78" w14:textId="5BFA4775" w:rsidR="0087686A" w:rsidRDefault="003F0B0E" w:rsidP="00F271D9">
            <w:pPr>
              <w:pStyle w:val="Level1"/>
              <w:widowControl w:val="0"/>
              <w:numPr>
                <w:ilvl w:val="0"/>
                <w:numId w:val="29"/>
              </w:numPr>
              <w:tabs>
                <w:tab w:val="left" w:pos="1440"/>
                <w:tab w:val="left" w:pos="2160"/>
                <w:tab w:val="left" w:pos="2880"/>
                <w:tab w:val="left" w:pos="3600"/>
                <w:tab w:val="left" w:pos="5040"/>
                <w:tab w:val="left" w:pos="5760"/>
                <w:tab w:val="left" w:pos="6480"/>
              </w:tabs>
              <w:ind w:left="440"/>
            </w:pPr>
            <w:r>
              <w:t xml:space="preserve">Notice CPD-21-08 waives the limitations on eligible activities provided in Section 415(a) of the McKinney-Vento </w:t>
            </w:r>
            <w:r w:rsidRPr="003F0B0E">
              <w:t xml:space="preserve">Homeless Assistance Act and 24 CFR 576, subpart B and </w:t>
            </w:r>
            <w:r>
              <w:t xml:space="preserve">establishes </w:t>
            </w:r>
            <w:r w:rsidRPr="003F0B0E">
              <w:t>alternative requirements to the extent necessary to authorize ESG-CV funds to be used under 24 CFR.576.101(a) for the costs of</w:t>
            </w:r>
            <w:r>
              <w:t xml:space="preserve"> providing laundry services; handwashing stations; portable bathrooms; vaccine incentives; hazard pay; training on infectious disease prevention and mitigation for staff; </w:t>
            </w:r>
            <w:r>
              <w:lastRenderedPageBreak/>
              <w:t>volunteer incentives; and the costs of loaning cell phones with wireless plans to program participants to conduct activities necessary for obtaining and maintaining housing.</w:t>
            </w:r>
          </w:p>
          <w:p w14:paraId="53B763B2" w14:textId="5F85A6A9" w:rsidR="00CE0340" w:rsidRDefault="00AC359C" w:rsidP="00F271D9">
            <w:pPr>
              <w:pStyle w:val="Level1"/>
              <w:widowControl w:val="0"/>
              <w:numPr>
                <w:ilvl w:val="0"/>
                <w:numId w:val="29"/>
              </w:numPr>
              <w:tabs>
                <w:tab w:val="left" w:pos="1440"/>
                <w:tab w:val="left" w:pos="2160"/>
                <w:tab w:val="left" w:pos="2880"/>
                <w:tab w:val="left" w:pos="3600"/>
                <w:tab w:val="left" w:pos="5040"/>
                <w:tab w:val="left" w:pos="5760"/>
                <w:tab w:val="left" w:pos="6480"/>
              </w:tabs>
              <w:ind w:left="440"/>
            </w:pPr>
            <w:r>
              <w:t xml:space="preserve">The CARES Act </w:t>
            </w:r>
            <w:r w:rsidR="00EE3EC7">
              <w:t xml:space="preserve">waives the cap on street outreach and emergency shelter activities established under 24 CFR 576.100(b). </w:t>
            </w:r>
          </w:p>
          <w:p w14:paraId="255782CE" w14:textId="77777777" w:rsidR="00F271D9" w:rsidRDefault="00F271D9" w:rsidP="00F271D9">
            <w:pPr>
              <w:pStyle w:val="Level1"/>
              <w:widowControl w:val="0"/>
              <w:tabs>
                <w:tab w:val="clear" w:pos="360"/>
                <w:tab w:val="left" w:pos="1440"/>
                <w:tab w:val="left" w:pos="2160"/>
                <w:tab w:val="left" w:pos="2880"/>
                <w:tab w:val="left" w:pos="3600"/>
                <w:tab w:val="left" w:pos="5040"/>
                <w:tab w:val="left" w:pos="5760"/>
                <w:tab w:val="left" w:pos="6480"/>
              </w:tabs>
              <w:ind w:left="440"/>
            </w:pPr>
          </w:p>
          <w:p w14:paraId="3FFA06D0" w14:textId="6609A390" w:rsidR="00C0330B" w:rsidRDefault="004867C3" w:rsidP="004867C3">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C739EF">
              <w:t>[</w:t>
            </w:r>
            <w:r>
              <w:t xml:space="preserve">24 CFR </w:t>
            </w:r>
            <w:r w:rsidRPr="00C739EF">
              <w:t>576.101(a)]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330B" w14:paraId="1C49CBE0" w14:textId="77777777" w:rsidTr="003368EE">
              <w:trPr>
                <w:trHeight w:val="170"/>
              </w:trPr>
              <w:tc>
                <w:tcPr>
                  <w:tcW w:w="425" w:type="dxa"/>
                </w:tcPr>
                <w:p w14:paraId="75E43C17" w14:textId="77777777"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576" w:type="dxa"/>
                </w:tcPr>
                <w:p w14:paraId="4FE23916" w14:textId="77777777"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606" w:type="dxa"/>
                </w:tcPr>
                <w:p w14:paraId="34B4EF36" w14:textId="77777777"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016A4">
                    <w:fldChar w:fldCharType="separate"/>
                  </w:r>
                  <w:r>
                    <w:fldChar w:fldCharType="end"/>
                  </w:r>
                </w:p>
              </w:tc>
            </w:tr>
            <w:tr w:rsidR="00C0330B" w14:paraId="37EC0EC0" w14:textId="77777777" w:rsidTr="003368EE">
              <w:trPr>
                <w:trHeight w:val="225"/>
              </w:trPr>
              <w:tc>
                <w:tcPr>
                  <w:tcW w:w="425" w:type="dxa"/>
                </w:tcPr>
                <w:p w14:paraId="561F215F" w14:textId="77777777"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35020EB" w14:textId="77777777"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40B7DF6" w14:textId="77777777"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5FEB80F" w14:textId="77777777"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C0330B" w14:paraId="4E52F61C" w14:textId="77777777" w:rsidTr="003368EE">
        <w:trPr>
          <w:cantSplit/>
        </w:trPr>
        <w:tc>
          <w:tcPr>
            <w:tcW w:w="9010" w:type="dxa"/>
            <w:gridSpan w:val="2"/>
            <w:tcBorders>
              <w:bottom w:val="nil"/>
            </w:tcBorders>
          </w:tcPr>
          <w:p w14:paraId="2C9E41E7" w14:textId="77777777"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C0330B" w14:paraId="43A1E5EA" w14:textId="77777777" w:rsidTr="003368EE">
        <w:trPr>
          <w:cantSplit/>
        </w:trPr>
        <w:tc>
          <w:tcPr>
            <w:tcW w:w="9010" w:type="dxa"/>
            <w:gridSpan w:val="2"/>
            <w:tcBorders>
              <w:top w:val="nil"/>
            </w:tcBorders>
          </w:tcPr>
          <w:p w14:paraId="5D0B61F0" w14:textId="77777777" w:rsidR="00C0330B" w:rsidRDefault="00C0330B" w:rsidP="004867C3">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B87D0B" w14:textId="2941D169" w:rsidR="00F271D9" w:rsidRDefault="00F271D9" w:rsidP="004867C3">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124A06F4" w14:textId="77777777" w:rsidR="00F271D9" w:rsidRDefault="00F271D9" w:rsidP="00947487">
      <w:pPr>
        <w:keepNext/>
        <w:keepLines/>
        <w:tabs>
          <w:tab w:val="center" w:pos="4320"/>
        </w:tabs>
        <w:spacing w:after="0" w:line="240" w:lineRule="auto"/>
        <w:rPr>
          <w:rFonts w:ascii="Times New Roman" w:eastAsia="Times New Roman" w:hAnsi="Times New Roman"/>
          <w:sz w:val="24"/>
          <w:szCs w:val="24"/>
        </w:rPr>
      </w:pPr>
    </w:p>
    <w:p w14:paraId="34FE1075" w14:textId="18B92841" w:rsidR="002613C6" w:rsidRDefault="00AB1D07" w:rsidP="00947487">
      <w:pPr>
        <w:keepNext/>
        <w:keepLines/>
        <w:tabs>
          <w:tab w:val="center" w:pos="432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rPr>
        <w:t>3</w:t>
      </w:r>
      <w:r w:rsidR="00D02C0E" w:rsidRPr="00C739E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0330B" w14:paraId="7A674A3F" w14:textId="77777777" w:rsidTr="003368EE">
        <w:trPr>
          <w:trHeight w:val="773"/>
        </w:trPr>
        <w:tc>
          <w:tcPr>
            <w:tcW w:w="7385" w:type="dxa"/>
            <w:tcBorders>
              <w:bottom w:val="single" w:sz="4" w:space="0" w:color="auto"/>
            </w:tcBorders>
          </w:tcPr>
          <w:p w14:paraId="11CA392A" w14:textId="325B130D" w:rsidR="004867C3" w:rsidRDefault="004867C3" w:rsidP="004867C3">
            <w:pPr>
              <w:pStyle w:val="Level1"/>
              <w:tabs>
                <w:tab w:val="clear" w:pos="360"/>
                <w:tab w:val="left" w:pos="720"/>
                <w:tab w:val="left" w:pos="1440"/>
                <w:tab w:val="left" w:pos="2160"/>
                <w:tab w:val="left" w:pos="2880"/>
                <w:tab w:val="left" w:pos="3600"/>
                <w:tab w:val="left" w:pos="5040"/>
                <w:tab w:val="left" w:pos="5760"/>
                <w:tab w:val="left" w:pos="6480"/>
              </w:tabs>
            </w:pPr>
            <w:r w:rsidRPr="00C739EF">
              <w:rPr>
                <w:u w:val="single"/>
              </w:rPr>
              <w:t>Engagement</w:t>
            </w:r>
            <w:r w:rsidRPr="00C739EF">
              <w:t>: Were ESG</w:t>
            </w:r>
            <w:r w:rsidR="00F57736">
              <w:t>-CV</w:t>
            </w:r>
            <w:r w:rsidRPr="00C739EF">
              <w:t xml:space="preserve"> funds </w:t>
            </w:r>
            <w:r w:rsidR="00E57EF2">
              <w:t xml:space="preserve">used </w:t>
            </w:r>
            <w:r w:rsidR="000E100B">
              <w:t xml:space="preserve">for Street Outreach engagement limited to </w:t>
            </w:r>
            <w:r w:rsidRPr="00C739EF">
              <w:t xml:space="preserve">the costs </w:t>
            </w:r>
            <w:r w:rsidR="000E100B">
              <w:t>listed under 24 CFR 576.101(a)(1)</w:t>
            </w:r>
            <w:r w:rsidRPr="00C739EF">
              <w:t xml:space="preserve">?  </w:t>
            </w:r>
          </w:p>
          <w:p w14:paraId="4ADAA0B4" w14:textId="77777777" w:rsidR="00F271D9" w:rsidRPr="00C739EF" w:rsidRDefault="00F271D9" w:rsidP="004867C3">
            <w:pPr>
              <w:pStyle w:val="Level1"/>
              <w:tabs>
                <w:tab w:val="clear" w:pos="360"/>
                <w:tab w:val="left" w:pos="720"/>
                <w:tab w:val="left" w:pos="1440"/>
                <w:tab w:val="left" w:pos="2160"/>
                <w:tab w:val="left" w:pos="2880"/>
                <w:tab w:val="left" w:pos="3600"/>
                <w:tab w:val="left" w:pos="5040"/>
                <w:tab w:val="left" w:pos="5760"/>
                <w:tab w:val="left" w:pos="6480"/>
              </w:tabs>
            </w:pPr>
          </w:p>
          <w:p w14:paraId="15FFBFE0" w14:textId="77777777" w:rsidR="00C0330B" w:rsidRDefault="0019252A" w:rsidP="0019252A">
            <w:pPr>
              <w:pStyle w:val="Level1"/>
              <w:keepNext/>
              <w:keepLines/>
              <w:tabs>
                <w:tab w:val="clear" w:pos="360"/>
                <w:tab w:val="left" w:pos="720"/>
                <w:tab w:val="left" w:pos="1440"/>
                <w:tab w:val="left" w:pos="2160"/>
                <w:tab w:val="left" w:pos="2880"/>
                <w:tab w:val="left" w:pos="3600"/>
                <w:tab w:val="left" w:pos="5040"/>
                <w:tab w:val="left" w:pos="5760"/>
                <w:tab w:val="left" w:pos="6480"/>
              </w:tabs>
            </w:pPr>
            <w:r>
              <w:t xml:space="preserve">[24 CFR </w:t>
            </w:r>
            <w:r w:rsidR="004867C3" w:rsidRPr="00C739EF">
              <w:t>576.101(a)(1)]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330B" w14:paraId="1EAEF91D" w14:textId="77777777" w:rsidTr="003368EE">
              <w:trPr>
                <w:trHeight w:val="170"/>
              </w:trPr>
              <w:tc>
                <w:tcPr>
                  <w:tcW w:w="425" w:type="dxa"/>
                </w:tcPr>
                <w:p w14:paraId="0F70B005"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576" w:type="dxa"/>
                </w:tcPr>
                <w:p w14:paraId="711D79C5"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606" w:type="dxa"/>
                </w:tcPr>
                <w:p w14:paraId="12D55F20"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016A4">
                    <w:fldChar w:fldCharType="separate"/>
                  </w:r>
                  <w:r>
                    <w:fldChar w:fldCharType="end"/>
                  </w:r>
                </w:p>
              </w:tc>
            </w:tr>
            <w:tr w:rsidR="00C0330B" w14:paraId="3BE887A5" w14:textId="77777777" w:rsidTr="003368EE">
              <w:trPr>
                <w:trHeight w:val="225"/>
              </w:trPr>
              <w:tc>
                <w:tcPr>
                  <w:tcW w:w="425" w:type="dxa"/>
                </w:tcPr>
                <w:p w14:paraId="399780A3"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42EC26A"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0E4FDC7"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2A8A24D"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C0330B" w14:paraId="595F4F09" w14:textId="77777777" w:rsidTr="003368EE">
        <w:trPr>
          <w:cantSplit/>
        </w:trPr>
        <w:tc>
          <w:tcPr>
            <w:tcW w:w="9010" w:type="dxa"/>
            <w:gridSpan w:val="2"/>
            <w:tcBorders>
              <w:bottom w:val="nil"/>
            </w:tcBorders>
          </w:tcPr>
          <w:p w14:paraId="679850C4"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C0330B" w14:paraId="46045109" w14:textId="77777777" w:rsidTr="003368EE">
        <w:trPr>
          <w:cantSplit/>
        </w:trPr>
        <w:tc>
          <w:tcPr>
            <w:tcW w:w="9010" w:type="dxa"/>
            <w:gridSpan w:val="2"/>
            <w:tcBorders>
              <w:top w:val="nil"/>
            </w:tcBorders>
          </w:tcPr>
          <w:p w14:paraId="3867F253"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C81CC4"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4F2F3590" w14:textId="77777777" w:rsidR="00C1431F" w:rsidRDefault="00C1431F" w:rsidP="00947487">
      <w:pPr>
        <w:keepNext/>
        <w:keepLines/>
        <w:tabs>
          <w:tab w:val="center" w:pos="4320"/>
        </w:tabs>
        <w:spacing w:after="0" w:line="240" w:lineRule="auto"/>
        <w:rPr>
          <w:rFonts w:ascii="Times New Roman" w:eastAsia="Times New Roman" w:hAnsi="Times New Roman"/>
          <w:sz w:val="24"/>
          <w:szCs w:val="24"/>
        </w:rPr>
      </w:pPr>
    </w:p>
    <w:p w14:paraId="2EA5AB33" w14:textId="5CF65743" w:rsidR="00947487" w:rsidRDefault="00AB1D07" w:rsidP="00651F12">
      <w:pPr>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rPr>
        <w:t>4</w:t>
      </w:r>
      <w:r w:rsidR="00947487" w:rsidRPr="00C739E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0330B" w14:paraId="1C60D799" w14:textId="77777777" w:rsidTr="003368EE">
        <w:trPr>
          <w:trHeight w:val="773"/>
        </w:trPr>
        <w:tc>
          <w:tcPr>
            <w:tcW w:w="7385" w:type="dxa"/>
            <w:tcBorders>
              <w:bottom w:val="single" w:sz="4" w:space="0" w:color="auto"/>
            </w:tcBorders>
          </w:tcPr>
          <w:p w14:paraId="24A590B5" w14:textId="4D00CA3B" w:rsidR="0019252A" w:rsidRDefault="0019252A" w:rsidP="0019252A">
            <w:pPr>
              <w:pStyle w:val="Level1"/>
              <w:tabs>
                <w:tab w:val="clear" w:pos="360"/>
                <w:tab w:val="left" w:pos="720"/>
                <w:tab w:val="left" w:pos="1440"/>
                <w:tab w:val="left" w:pos="2160"/>
                <w:tab w:val="left" w:pos="2880"/>
                <w:tab w:val="left" w:pos="3600"/>
                <w:tab w:val="left" w:pos="5040"/>
                <w:tab w:val="left" w:pos="5760"/>
                <w:tab w:val="left" w:pos="6480"/>
              </w:tabs>
            </w:pPr>
            <w:r w:rsidRPr="00C739EF">
              <w:rPr>
                <w:u w:val="single"/>
              </w:rPr>
              <w:t xml:space="preserve">Case </w:t>
            </w:r>
            <w:r w:rsidR="0087686A">
              <w:rPr>
                <w:u w:val="single"/>
              </w:rPr>
              <w:t>M</w:t>
            </w:r>
            <w:r w:rsidRPr="00C739EF">
              <w:rPr>
                <w:u w:val="single"/>
              </w:rPr>
              <w:t>anagement</w:t>
            </w:r>
            <w:r w:rsidRPr="00C739EF">
              <w:t>: Were ESG</w:t>
            </w:r>
            <w:r w:rsidR="00F57736">
              <w:t>-CV</w:t>
            </w:r>
            <w:r w:rsidRPr="00C739EF">
              <w:t xml:space="preserve"> funds used only for the costs of assessing housing and service needs, arranging, coordinating, and monitoring the delivery of individualized services to meet the needs of the program participant, for services and activities listed under </w:t>
            </w:r>
            <w:r>
              <w:t xml:space="preserve">24 CFR </w:t>
            </w:r>
            <w:r w:rsidRPr="00C739EF">
              <w:t xml:space="preserve">576.101(a)(2)? </w:t>
            </w:r>
          </w:p>
          <w:p w14:paraId="728C8EBD" w14:textId="77777777" w:rsidR="00F271D9" w:rsidRPr="00C739EF" w:rsidRDefault="00F271D9" w:rsidP="0019252A">
            <w:pPr>
              <w:pStyle w:val="Level1"/>
              <w:tabs>
                <w:tab w:val="clear" w:pos="360"/>
                <w:tab w:val="left" w:pos="720"/>
                <w:tab w:val="left" w:pos="1440"/>
                <w:tab w:val="left" w:pos="2160"/>
                <w:tab w:val="left" w:pos="2880"/>
                <w:tab w:val="left" w:pos="3600"/>
                <w:tab w:val="left" w:pos="5040"/>
                <w:tab w:val="left" w:pos="5760"/>
                <w:tab w:val="left" w:pos="6480"/>
              </w:tabs>
            </w:pPr>
          </w:p>
          <w:p w14:paraId="7EAD26AC" w14:textId="77777777" w:rsidR="00C0330B" w:rsidRDefault="0019252A" w:rsidP="0019252A">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t xml:space="preserve">24 CFR </w:t>
            </w:r>
            <w:r w:rsidRPr="00C739EF">
              <w:t>576.101(a)(2)]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330B" w14:paraId="72A181D6" w14:textId="77777777" w:rsidTr="003368EE">
              <w:trPr>
                <w:trHeight w:val="170"/>
              </w:trPr>
              <w:tc>
                <w:tcPr>
                  <w:tcW w:w="425" w:type="dxa"/>
                </w:tcPr>
                <w:p w14:paraId="53B19A28"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576" w:type="dxa"/>
                </w:tcPr>
                <w:p w14:paraId="5F73CC2B"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606" w:type="dxa"/>
                </w:tcPr>
                <w:p w14:paraId="786C6D14"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016A4">
                    <w:fldChar w:fldCharType="separate"/>
                  </w:r>
                  <w:r>
                    <w:fldChar w:fldCharType="end"/>
                  </w:r>
                </w:p>
              </w:tc>
            </w:tr>
            <w:tr w:rsidR="00C0330B" w14:paraId="656EB952" w14:textId="77777777" w:rsidTr="003368EE">
              <w:trPr>
                <w:trHeight w:val="225"/>
              </w:trPr>
              <w:tc>
                <w:tcPr>
                  <w:tcW w:w="425" w:type="dxa"/>
                </w:tcPr>
                <w:p w14:paraId="38FEEC66"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6BFD00F"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79DA279"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3C875EC"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C0330B" w14:paraId="70963E06" w14:textId="77777777" w:rsidTr="003368EE">
        <w:trPr>
          <w:cantSplit/>
        </w:trPr>
        <w:tc>
          <w:tcPr>
            <w:tcW w:w="9010" w:type="dxa"/>
            <w:gridSpan w:val="2"/>
            <w:tcBorders>
              <w:bottom w:val="nil"/>
            </w:tcBorders>
          </w:tcPr>
          <w:p w14:paraId="4A3BBB88"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C0330B" w14:paraId="77B71253" w14:textId="77777777" w:rsidTr="003368EE">
        <w:trPr>
          <w:cantSplit/>
        </w:trPr>
        <w:tc>
          <w:tcPr>
            <w:tcW w:w="9010" w:type="dxa"/>
            <w:gridSpan w:val="2"/>
            <w:tcBorders>
              <w:top w:val="nil"/>
            </w:tcBorders>
          </w:tcPr>
          <w:p w14:paraId="4ED6626A"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C2BC1B" w14:textId="77777777" w:rsidR="0087686A" w:rsidRDefault="0087686A"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7B8D3CA3" w14:textId="77777777" w:rsidR="00D463F3" w:rsidRDefault="00D463F3" w:rsidP="00947487">
      <w:pPr>
        <w:keepNext/>
        <w:keepLines/>
        <w:tabs>
          <w:tab w:val="center" w:pos="4320"/>
        </w:tabs>
        <w:spacing w:after="0" w:line="240" w:lineRule="auto"/>
        <w:rPr>
          <w:rFonts w:ascii="Times New Roman" w:eastAsia="Times New Roman" w:hAnsi="Times New Roman"/>
          <w:sz w:val="24"/>
          <w:szCs w:val="24"/>
        </w:rPr>
      </w:pPr>
    </w:p>
    <w:p w14:paraId="4546F509" w14:textId="088BF045" w:rsidR="00947487" w:rsidRDefault="00AB1D07" w:rsidP="00947487">
      <w:pPr>
        <w:keepNext/>
        <w:keepLines/>
        <w:tabs>
          <w:tab w:val="center" w:pos="432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rPr>
        <w:t>5</w:t>
      </w:r>
      <w:r w:rsidR="00947487" w:rsidRPr="00C739E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0330B" w14:paraId="1CD15604" w14:textId="77777777" w:rsidTr="003368EE">
        <w:trPr>
          <w:trHeight w:val="773"/>
        </w:trPr>
        <w:tc>
          <w:tcPr>
            <w:tcW w:w="7385" w:type="dxa"/>
            <w:tcBorders>
              <w:bottom w:val="single" w:sz="4" w:space="0" w:color="auto"/>
            </w:tcBorders>
          </w:tcPr>
          <w:p w14:paraId="4E332FE9" w14:textId="4BFB1179" w:rsidR="0019252A" w:rsidRPr="00C739EF" w:rsidRDefault="0019252A" w:rsidP="0050592B">
            <w:pPr>
              <w:pStyle w:val="Level1"/>
              <w:tabs>
                <w:tab w:val="clear" w:pos="360"/>
                <w:tab w:val="clear" w:pos="4320"/>
                <w:tab w:val="clear" w:pos="8640"/>
              </w:tabs>
            </w:pPr>
            <w:r w:rsidRPr="00C739EF">
              <w:rPr>
                <w:u w:val="single"/>
              </w:rPr>
              <w:t xml:space="preserve">Emergency </w:t>
            </w:r>
            <w:r w:rsidR="0087686A">
              <w:rPr>
                <w:u w:val="single"/>
              </w:rPr>
              <w:t>H</w:t>
            </w:r>
            <w:r w:rsidRPr="00C739EF">
              <w:rPr>
                <w:u w:val="single"/>
              </w:rPr>
              <w:t xml:space="preserve">ealth </w:t>
            </w:r>
            <w:r w:rsidR="0087686A">
              <w:rPr>
                <w:u w:val="single"/>
              </w:rPr>
              <w:t>S</w:t>
            </w:r>
            <w:r w:rsidRPr="00C739EF">
              <w:rPr>
                <w:u w:val="single"/>
              </w:rPr>
              <w:t>ervices</w:t>
            </w:r>
            <w:r w:rsidRPr="00C739EF">
              <w:t>: Were ESG</w:t>
            </w:r>
            <w:r w:rsidR="00F57736">
              <w:t>-CV</w:t>
            </w:r>
            <w:r w:rsidRPr="00C739EF">
              <w:t xml:space="preserve"> funds used for </w:t>
            </w:r>
            <w:r w:rsidR="000D0211">
              <w:t xml:space="preserve">emergency health services limited to </w:t>
            </w:r>
            <w:r w:rsidRPr="00C739EF">
              <w:t xml:space="preserve">the costs </w:t>
            </w:r>
            <w:r w:rsidR="00343236">
              <w:t>of</w:t>
            </w:r>
            <w:r w:rsidRPr="00C739EF">
              <w:t xml:space="preserve"> direct outpatient treatment of medical conditions (as listed under </w:t>
            </w:r>
            <w:r w:rsidR="0050592B">
              <w:t xml:space="preserve">24 CFR </w:t>
            </w:r>
            <w:r w:rsidRPr="00C739EF">
              <w:t xml:space="preserve">576.101(a)(3)) </w:t>
            </w:r>
            <w:r w:rsidR="000D0211">
              <w:t>that</w:t>
            </w:r>
            <w:r w:rsidR="000D0211" w:rsidRPr="00C739EF">
              <w:t xml:space="preserve"> </w:t>
            </w:r>
            <w:r w:rsidR="00343236">
              <w:t>is</w:t>
            </w:r>
            <w:r w:rsidR="00343236" w:rsidRPr="00C739EF">
              <w:t xml:space="preserve"> </w:t>
            </w:r>
            <w:r w:rsidRPr="00C739EF">
              <w:t>provided:</w:t>
            </w:r>
          </w:p>
          <w:p w14:paraId="1CC1EF17" w14:textId="77777777" w:rsidR="0019252A" w:rsidRPr="00C739EF" w:rsidRDefault="0019252A" w:rsidP="00E65DAB">
            <w:pPr>
              <w:pStyle w:val="Level1"/>
              <w:numPr>
                <w:ilvl w:val="0"/>
                <w:numId w:val="18"/>
              </w:numPr>
              <w:tabs>
                <w:tab w:val="clear" w:pos="4320"/>
                <w:tab w:val="clear" w:pos="8640"/>
              </w:tabs>
              <w:ind w:left="440"/>
            </w:pPr>
            <w:r w:rsidRPr="00C739EF">
              <w:t>by licensed medical professionals operating in community-based settings, including streets, parks, and other places where unsheltered homeless people are living, and</w:t>
            </w:r>
          </w:p>
          <w:p w14:paraId="5BECD54B" w14:textId="0CB7BBE9" w:rsidR="00E65DAB" w:rsidRPr="00C739EF" w:rsidRDefault="0019252A" w:rsidP="00E3276D">
            <w:pPr>
              <w:pStyle w:val="Level1"/>
              <w:numPr>
                <w:ilvl w:val="0"/>
                <w:numId w:val="18"/>
              </w:numPr>
              <w:tabs>
                <w:tab w:val="clear" w:pos="4320"/>
                <w:tab w:val="clear" w:pos="8640"/>
              </w:tabs>
              <w:ind w:left="440" w:hanging="305"/>
            </w:pPr>
            <w:r w:rsidRPr="00C739EF">
              <w:t xml:space="preserve">only to the extent that other appropriate health services are inaccessible or unavailable within the area?  </w:t>
            </w:r>
          </w:p>
          <w:p w14:paraId="684594CA" w14:textId="77777777" w:rsidR="00C0330B" w:rsidRDefault="0019252A" w:rsidP="0050592B">
            <w:pPr>
              <w:pStyle w:val="Level1"/>
              <w:keepNext/>
              <w:keepLines/>
              <w:tabs>
                <w:tab w:val="clear" w:pos="360"/>
                <w:tab w:val="clear" w:pos="4320"/>
                <w:tab w:val="clear" w:pos="8640"/>
              </w:tabs>
            </w:pPr>
            <w:r w:rsidRPr="00C739EF">
              <w:t>[</w:t>
            </w:r>
            <w:r w:rsidR="0050592B">
              <w:t xml:space="preserve">24 CFR </w:t>
            </w:r>
            <w:r w:rsidRPr="00C739EF">
              <w:t>576.101(a)(3)]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330B" w14:paraId="2FCA4403" w14:textId="77777777" w:rsidTr="003368EE">
              <w:trPr>
                <w:trHeight w:val="170"/>
              </w:trPr>
              <w:tc>
                <w:tcPr>
                  <w:tcW w:w="425" w:type="dxa"/>
                </w:tcPr>
                <w:p w14:paraId="506A00E5"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576" w:type="dxa"/>
                </w:tcPr>
                <w:p w14:paraId="0DB1202B"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606" w:type="dxa"/>
                </w:tcPr>
                <w:p w14:paraId="5F2BD654"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016A4">
                    <w:fldChar w:fldCharType="separate"/>
                  </w:r>
                  <w:r>
                    <w:fldChar w:fldCharType="end"/>
                  </w:r>
                </w:p>
              </w:tc>
            </w:tr>
            <w:tr w:rsidR="00C0330B" w14:paraId="7983A572" w14:textId="77777777" w:rsidTr="003368EE">
              <w:trPr>
                <w:trHeight w:val="225"/>
              </w:trPr>
              <w:tc>
                <w:tcPr>
                  <w:tcW w:w="425" w:type="dxa"/>
                </w:tcPr>
                <w:p w14:paraId="7D9FE55A"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A2EABB9"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B7EC620"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A6EEEF0"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C0330B" w14:paraId="3FD13681" w14:textId="77777777" w:rsidTr="003368EE">
        <w:trPr>
          <w:cantSplit/>
        </w:trPr>
        <w:tc>
          <w:tcPr>
            <w:tcW w:w="9010" w:type="dxa"/>
            <w:gridSpan w:val="2"/>
            <w:tcBorders>
              <w:bottom w:val="nil"/>
            </w:tcBorders>
          </w:tcPr>
          <w:p w14:paraId="25DD8F5A"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C0330B" w14:paraId="28D1C6D3" w14:textId="77777777" w:rsidTr="003368EE">
        <w:trPr>
          <w:cantSplit/>
        </w:trPr>
        <w:tc>
          <w:tcPr>
            <w:tcW w:w="9010" w:type="dxa"/>
            <w:gridSpan w:val="2"/>
            <w:tcBorders>
              <w:top w:val="nil"/>
            </w:tcBorders>
          </w:tcPr>
          <w:p w14:paraId="5824BF4A"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EA1FC6" w14:textId="77777777" w:rsidR="0087686A" w:rsidRDefault="0087686A"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7C2FF646" w14:textId="77777777" w:rsidR="00651F12" w:rsidRDefault="00651F12" w:rsidP="000727BF">
      <w:pPr>
        <w:widowControl w:val="0"/>
        <w:tabs>
          <w:tab w:val="center" w:pos="4320"/>
        </w:tabs>
        <w:spacing w:after="0" w:line="240" w:lineRule="auto"/>
        <w:rPr>
          <w:rFonts w:ascii="Times New Roman" w:eastAsia="Times New Roman" w:hAnsi="Times New Roman"/>
          <w:sz w:val="24"/>
          <w:szCs w:val="24"/>
        </w:rPr>
      </w:pPr>
    </w:p>
    <w:p w14:paraId="12C5429B" w14:textId="50F9048A" w:rsidR="00947487" w:rsidRDefault="00AB1D07" w:rsidP="000727BF">
      <w:pPr>
        <w:widowControl w:val="0"/>
        <w:tabs>
          <w:tab w:val="center" w:pos="432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rPr>
        <w:t>6</w:t>
      </w:r>
      <w:r w:rsidR="00947487" w:rsidRPr="00C739E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0330B" w14:paraId="65795976" w14:textId="77777777" w:rsidTr="003368EE">
        <w:trPr>
          <w:trHeight w:val="773"/>
        </w:trPr>
        <w:tc>
          <w:tcPr>
            <w:tcW w:w="7385" w:type="dxa"/>
            <w:tcBorders>
              <w:bottom w:val="single" w:sz="4" w:space="0" w:color="auto"/>
            </w:tcBorders>
          </w:tcPr>
          <w:p w14:paraId="3498DF65" w14:textId="6AF6967D" w:rsidR="0050592B" w:rsidRPr="00C739EF" w:rsidRDefault="0087686A" w:rsidP="000727BF">
            <w:pPr>
              <w:widowControl w:val="0"/>
              <w:spacing w:after="0" w:line="240" w:lineRule="auto"/>
              <w:rPr>
                <w:rFonts w:ascii="Times New Roman" w:hAnsi="Times New Roman"/>
                <w:sz w:val="24"/>
                <w:szCs w:val="24"/>
              </w:rPr>
            </w:pPr>
            <w:r>
              <w:rPr>
                <w:rFonts w:ascii="Times New Roman" w:hAnsi="Times New Roman"/>
                <w:sz w:val="24"/>
                <w:szCs w:val="24"/>
                <w:u w:val="single"/>
              </w:rPr>
              <w:t>Emergency M</w:t>
            </w:r>
            <w:r w:rsidR="0050592B" w:rsidRPr="00C739EF">
              <w:rPr>
                <w:rFonts w:ascii="Times New Roman" w:hAnsi="Times New Roman"/>
                <w:sz w:val="24"/>
                <w:szCs w:val="24"/>
                <w:u w:val="single"/>
              </w:rPr>
              <w:t xml:space="preserve">ental </w:t>
            </w:r>
            <w:r>
              <w:rPr>
                <w:rFonts w:ascii="Times New Roman" w:hAnsi="Times New Roman"/>
                <w:sz w:val="24"/>
                <w:szCs w:val="24"/>
                <w:u w:val="single"/>
              </w:rPr>
              <w:t>H</w:t>
            </w:r>
            <w:r w:rsidR="0050592B" w:rsidRPr="00C739EF">
              <w:rPr>
                <w:rFonts w:ascii="Times New Roman" w:hAnsi="Times New Roman"/>
                <w:sz w:val="24"/>
                <w:szCs w:val="24"/>
                <w:u w:val="single"/>
              </w:rPr>
              <w:t xml:space="preserve">ealth </w:t>
            </w:r>
            <w:r>
              <w:rPr>
                <w:rFonts w:ascii="Times New Roman" w:hAnsi="Times New Roman"/>
                <w:sz w:val="24"/>
                <w:szCs w:val="24"/>
                <w:u w:val="single"/>
              </w:rPr>
              <w:t>S</w:t>
            </w:r>
            <w:r w:rsidR="0050592B" w:rsidRPr="00C739EF">
              <w:rPr>
                <w:rFonts w:ascii="Times New Roman" w:hAnsi="Times New Roman"/>
                <w:sz w:val="24"/>
                <w:szCs w:val="24"/>
                <w:u w:val="single"/>
              </w:rPr>
              <w:t>ervices</w:t>
            </w:r>
            <w:r w:rsidR="0050592B" w:rsidRPr="00C739EF">
              <w:rPr>
                <w:rFonts w:ascii="Times New Roman" w:hAnsi="Times New Roman"/>
                <w:sz w:val="24"/>
                <w:szCs w:val="24"/>
              </w:rPr>
              <w:t>: Were ESG</w:t>
            </w:r>
            <w:r w:rsidR="00F57736">
              <w:rPr>
                <w:rFonts w:ascii="Times New Roman" w:hAnsi="Times New Roman"/>
                <w:sz w:val="24"/>
                <w:szCs w:val="24"/>
              </w:rPr>
              <w:t>-CV</w:t>
            </w:r>
            <w:r w:rsidR="0050592B" w:rsidRPr="00C739EF">
              <w:rPr>
                <w:rFonts w:ascii="Times New Roman" w:hAnsi="Times New Roman"/>
                <w:sz w:val="24"/>
                <w:szCs w:val="24"/>
              </w:rPr>
              <w:t xml:space="preserve"> funds used for </w:t>
            </w:r>
            <w:r w:rsidR="000D0211">
              <w:rPr>
                <w:rFonts w:ascii="Times New Roman" w:hAnsi="Times New Roman"/>
                <w:sz w:val="24"/>
                <w:szCs w:val="24"/>
              </w:rPr>
              <w:t xml:space="preserve">emergency mental health services limited to </w:t>
            </w:r>
            <w:r w:rsidR="0050592B" w:rsidRPr="00C739EF">
              <w:rPr>
                <w:rFonts w:ascii="Times New Roman" w:hAnsi="Times New Roman"/>
                <w:sz w:val="24"/>
                <w:szCs w:val="24"/>
              </w:rPr>
              <w:t xml:space="preserve">the costs associated with direct outpatient treatment (as listed under </w:t>
            </w:r>
            <w:r w:rsidR="000727BF">
              <w:rPr>
                <w:rFonts w:ascii="Times New Roman" w:hAnsi="Times New Roman"/>
                <w:sz w:val="24"/>
                <w:szCs w:val="24"/>
              </w:rPr>
              <w:t xml:space="preserve">24 CFR </w:t>
            </w:r>
            <w:r w:rsidR="0050592B" w:rsidRPr="00C739EF">
              <w:rPr>
                <w:rFonts w:ascii="Times New Roman" w:hAnsi="Times New Roman"/>
                <w:sz w:val="24"/>
                <w:szCs w:val="24"/>
              </w:rPr>
              <w:t xml:space="preserve">576.101(a)(4)) </w:t>
            </w:r>
            <w:r w:rsidR="000D0211">
              <w:rPr>
                <w:rFonts w:ascii="Times New Roman" w:hAnsi="Times New Roman"/>
                <w:sz w:val="24"/>
                <w:szCs w:val="24"/>
              </w:rPr>
              <w:t>that</w:t>
            </w:r>
            <w:r w:rsidR="000D0211" w:rsidRPr="00C739EF">
              <w:rPr>
                <w:rFonts w:ascii="Times New Roman" w:hAnsi="Times New Roman"/>
                <w:sz w:val="24"/>
                <w:szCs w:val="24"/>
              </w:rPr>
              <w:t xml:space="preserve"> </w:t>
            </w:r>
            <w:r w:rsidR="00E42EF3">
              <w:rPr>
                <w:rFonts w:ascii="Times New Roman" w:hAnsi="Times New Roman"/>
                <w:sz w:val="24"/>
                <w:szCs w:val="24"/>
              </w:rPr>
              <w:t>is</w:t>
            </w:r>
            <w:r w:rsidR="00E42EF3" w:rsidRPr="00C739EF">
              <w:rPr>
                <w:rFonts w:ascii="Times New Roman" w:hAnsi="Times New Roman"/>
                <w:sz w:val="24"/>
                <w:szCs w:val="24"/>
              </w:rPr>
              <w:t xml:space="preserve"> </w:t>
            </w:r>
            <w:r w:rsidR="0050592B" w:rsidRPr="00C739EF">
              <w:rPr>
                <w:rFonts w:ascii="Times New Roman" w:hAnsi="Times New Roman"/>
                <w:sz w:val="24"/>
                <w:szCs w:val="24"/>
              </w:rPr>
              <w:t>provided:</w:t>
            </w:r>
          </w:p>
          <w:p w14:paraId="67BEEA2C" w14:textId="77777777" w:rsidR="0050592B" w:rsidRPr="00C739EF" w:rsidRDefault="0050592B" w:rsidP="00E65DAB">
            <w:pPr>
              <w:pStyle w:val="ColorfulList-Accent11"/>
              <w:widowControl w:val="0"/>
              <w:numPr>
                <w:ilvl w:val="0"/>
                <w:numId w:val="19"/>
              </w:numPr>
              <w:spacing w:after="0" w:line="240" w:lineRule="auto"/>
              <w:ind w:left="440"/>
              <w:rPr>
                <w:rFonts w:ascii="Times New Roman" w:eastAsia="Times New Roman" w:hAnsi="Times New Roman"/>
                <w:sz w:val="24"/>
                <w:szCs w:val="24"/>
              </w:rPr>
            </w:pPr>
            <w:r>
              <w:rPr>
                <w:rFonts w:ascii="Times New Roman" w:hAnsi="Times New Roman"/>
                <w:sz w:val="24"/>
                <w:szCs w:val="24"/>
              </w:rPr>
              <w:t>b</w:t>
            </w:r>
            <w:r w:rsidRPr="00C739EF">
              <w:rPr>
                <w:rFonts w:ascii="Times New Roman" w:hAnsi="Times New Roman"/>
                <w:sz w:val="24"/>
                <w:szCs w:val="24"/>
              </w:rPr>
              <w:t xml:space="preserve">y licensed professionals of mental health conditions operating in community-based settings including streets, parks, and other places where unsheltered people are living, and </w:t>
            </w:r>
          </w:p>
          <w:p w14:paraId="222A9AF0" w14:textId="6E684991" w:rsidR="0050592B" w:rsidRPr="00E65DAB" w:rsidRDefault="0050592B" w:rsidP="00E65DAB">
            <w:pPr>
              <w:pStyle w:val="ColorfulList-Accent11"/>
              <w:widowControl w:val="0"/>
              <w:numPr>
                <w:ilvl w:val="0"/>
                <w:numId w:val="19"/>
              </w:numPr>
              <w:spacing w:after="0" w:line="240" w:lineRule="auto"/>
              <w:ind w:left="440" w:hanging="375"/>
              <w:rPr>
                <w:rFonts w:ascii="Times New Roman" w:eastAsia="Times New Roman" w:hAnsi="Times New Roman"/>
                <w:sz w:val="24"/>
                <w:szCs w:val="24"/>
              </w:rPr>
            </w:pPr>
            <w:r>
              <w:rPr>
                <w:rFonts w:ascii="Times New Roman" w:hAnsi="Times New Roman"/>
                <w:sz w:val="24"/>
                <w:szCs w:val="24"/>
              </w:rPr>
              <w:t>o</w:t>
            </w:r>
            <w:r w:rsidRPr="00C739EF">
              <w:rPr>
                <w:rFonts w:ascii="Times New Roman" w:hAnsi="Times New Roman"/>
                <w:sz w:val="24"/>
                <w:szCs w:val="24"/>
              </w:rPr>
              <w:t xml:space="preserve">nly to the extent that other appropriate health services are inaccessible or unavailable within the area?  </w:t>
            </w:r>
          </w:p>
          <w:p w14:paraId="31DB3A7C" w14:textId="77777777" w:rsidR="00E65DAB" w:rsidRPr="00C739EF" w:rsidRDefault="00E65DAB" w:rsidP="00E65DAB">
            <w:pPr>
              <w:pStyle w:val="ColorfulList-Accent11"/>
              <w:widowControl w:val="0"/>
              <w:spacing w:after="0" w:line="240" w:lineRule="auto"/>
              <w:ind w:left="725"/>
              <w:rPr>
                <w:rFonts w:ascii="Times New Roman" w:eastAsia="Times New Roman" w:hAnsi="Times New Roman"/>
                <w:sz w:val="24"/>
                <w:szCs w:val="24"/>
              </w:rPr>
            </w:pPr>
          </w:p>
          <w:p w14:paraId="7F385267" w14:textId="77777777" w:rsidR="00C0330B" w:rsidRDefault="0050592B" w:rsidP="000727BF">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C739EF">
              <w:t>[</w:t>
            </w:r>
            <w:r w:rsidR="000727BF">
              <w:t xml:space="preserve">24 CFR </w:t>
            </w:r>
            <w:r w:rsidRPr="00C739EF">
              <w:t>576.101(a)(4)]</w:t>
            </w:r>
          </w:p>
          <w:p w14:paraId="5786B3D1" w14:textId="6E95ADC5" w:rsidR="002372F5" w:rsidRDefault="002372F5" w:rsidP="000727BF">
            <w:pPr>
              <w:pStyle w:val="Level1"/>
              <w:widowControl w:val="0"/>
              <w:tabs>
                <w:tab w:val="clear" w:pos="360"/>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330B" w14:paraId="18A69082" w14:textId="77777777" w:rsidTr="003368EE">
              <w:trPr>
                <w:trHeight w:val="170"/>
              </w:trPr>
              <w:tc>
                <w:tcPr>
                  <w:tcW w:w="425" w:type="dxa"/>
                </w:tcPr>
                <w:p w14:paraId="65AD2F77" w14:textId="77777777" w:rsidR="00C0330B" w:rsidRDefault="00C0330B" w:rsidP="000727B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576" w:type="dxa"/>
                </w:tcPr>
                <w:p w14:paraId="4002E091" w14:textId="77777777" w:rsidR="00C0330B" w:rsidRDefault="00C0330B" w:rsidP="000727B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606" w:type="dxa"/>
                </w:tcPr>
                <w:p w14:paraId="496DE993" w14:textId="77777777" w:rsidR="00C0330B" w:rsidRDefault="00C0330B" w:rsidP="000727B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016A4">
                    <w:fldChar w:fldCharType="separate"/>
                  </w:r>
                  <w:r>
                    <w:fldChar w:fldCharType="end"/>
                  </w:r>
                </w:p>
              </w:tc>
            </w:tr>
            <w:tr w:rsidR="00C0330B" w14:paraId="031E1ADF" w14:textId="77777777" w:rsidTr="003368EE">
              <w:trPr>
                <w:trHeight w:val="225"/>
              </w:trPr>
              <w:tc>
                <w:tcPr>
                  <w:tcW w:w="425" w:type="dxa"/>
                </w:tcPr>
                <w:p w14:paraId="4902987A" w14:textId="77777777" w:rsidR="00C0330B" w:rsidRDefault="00C0330B" w:rsidP="000727B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3A06494" w14:textId="77777777" w:rsidR="00C0330B" w:rsidRDefault="00C0330B" w:rsidP="000727B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B3F3697" w14:textId="77777777" w:rsidR="00C0330B" w:rsidRDefault="00C0330B" w:rsidP="000727B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4F99296" w14:textId="77777777" w:rsidR="00C0330B" w:rsidRDefault="00C0330B" w:rsidP="000727B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C0330B" w14:paraId="2AC0F405" w14:textId="77777777" w:rsidTr="003368EE">
        <w:trPr>
          <w:cantSplit/>
        </w:trPr>
        <w:tc>
          <w:tcPr>
            <w:tcW w:w="9010" w:type="dxa"/>
            <w:gridSpan w:val="2"/>
            <w:tcBorders>
              <w:bottom w:val="nil"/>
            </w:tcBorders>
          </w:tcPr>
          <w:p w14:paraId="7B69F3F5" w14:textId="77777777" w:rsidR="00C0330B" w:rsidRDefault="00C0330B" w:rsidP="000727BF">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C0330B" w14:paraId="052510FE" w14:textId="77777777" w:rsidTr="003368EE">
        <w:trPr>
          <w:cantSplit/>
        </w:trPr>
        <w:tc>
          <w:tcPr>
            <w:tcW w:w="9010" w:type="dxa"/>
            <w:gridSpan w:val="2"/>
            <w:tcBorders>
              <w:top w:val="nil"/>
            </w:tcBorders>
          </w:tcPr>
          <w:p w14:paraId="475E1A97" w14:textId="77777777" w:rsidR="00C0330B" w:rsidRDefault="00C0330B" w:rsidP="000727BF">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F668F4" w14:textId="77777777" w:rsidR="0087686A" w:rsidRDefault="0087686A" w:rsidP="000727BF">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1D1A65E9" w14:textId="77777777" w:rsidR="00C1431F" w:rsidRDefault="00C1431F" w:rsidP="00947487">
      <w:pPr>
        <w:widowControl w:val="0"/>
        <w:tabs>
          <w:tab w:val="center" w:pos="4320"/>
        </w:tabs>
        <w:spacing w:after="0" w:line="240" w:lineRule="auto"/>
        <w:rPr>
          <w:rFonts w:ascii="Times New Roman" w:eastAsia="Times New Roman" w:hAnsi="Times New Roman"/>
          <w:sz w:val="24"/>
          <w:szCs w:val="24"/>
        </w:rPr>
      </w:pPr>
    </w:p>
    <w:p w14:paraId="7A09928C" w14:textId="18C44CE0" w:rsidR="008C472A" w:rsidRDefault="00AB1D07" w:rsidP="00947487">
      <w:pPr>
        <w:widowControl w:val="0"/>
        <w:tabs>
          <w:tab w:val="center" w:pos="432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rPr>
        <w:t>7</w:t>
      </w:r>
      <w:r w:rsidR="008C472A" w:rsidRPr="00C739E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0330B" w14:paraId="724B1B34" w14:textId="77777777" w:rsidTr="003368EE">
        <w:trPr>
          <w:trHeight w:val="773"/>
        </w:trPr>
        <w:tc>
          <w:tcPr>
            <w:tcW w:w="7385" w:type="dxa"/>
            <w:tcBorders>
              <w:bottom w:val="single" w:sz="4" w:space="0" w:color="auto"/>
            </w:tcBorders>
          </w:tcPr>
          <w:p w14:paraId="5C48007D" w14:textId="283D26A8" w:rsidR="0079594F" w:rsidRPr="00C739EF" w:rsidRDefault="0079594F" w:rsidP="0079594F">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739EF">
              <w:rPr>
                <w:rFonts w:ascii="Times New Roman" w:hAnsi="Times New Roman"/>
                <w:sz w:val="24"/>
                <w:szCs w:val="24"/>
                <w:u w:val="single"/>
              </w:rPr>
              <w:t>Transportation</w:t>
            </w:r>
            <w:r w:rsidRPr="00C739EF">
              <w:rPr>
                <w:rFonts w:ascii="Times New Roman" w:hAnsi="Times New Roman"/>
                <w:sz w:val="24"/>
                <w:szCs w:val="24"/>
              </w:rPr>
              <w:t>: Were ESG</w:t>
            </w:r>
            <w:r w:rsidR="00F57736">
              <w:rPr>
                <w:rFonts w:ascii="Times New Roman" w:hAnsi="Times New Roman"/>
                <w:sz w:val="24"/>
                <w:szCs w:val="24"/>
              </w:rPr>
              <w:t>-CV</w:t>
            </w:r>
            <w:r w:rsidRPr="00C739EF">
              <w:rPr>
                <w:rFonts w:ascii="Times New Roman" w:hAnsi="Times New Roman"/>
                <w:sz w:val="24"/>
                <w:szCs w:val="24"/>
              </w:rPr>
              <w:t xml:space="preserve"> funds used for </w:t>
            </w:r>
            <w:r w:rsidR="000D0211">
              <w:rPr>
                <w:rFonts w:ascii="Times New Roman" w:hAnsi="Times New Roman"/>
                <w:sz w:val="24"/>
                <w:szCs w:val="24"/>
              </w:rPr>
              <w:t xml:space="preserve">transportation limited to the following </w:t>
            </w:r>
            <w:r w:rsidRPr="00C739EF">
              <w:rPr>
                <w:rFonts w:ascii="Times New Roman" w:hAnsi="Times New Roman"/>
                <w:sz w:val="24"/>
                <w:szCs w:val="24"/>
              </w:rPr>
              <w:t xml:space="preserve">eligible costs: </w:t>
            </w:r>
          </w:p>
          <w:p w14:paraId="5147B086" w14:textId="77777777" w:rsidR="0079594F" w:rsidRPr="00C739EF" w:rsidRDefault="0079594F" w:rsidP="0088727A">
            <w:pPr>
              <w:pStyle w:val="ColorfulList-Accent11"/>
              <w:keepNext/>
              <w:keepLines/>
              <w:numPr>
                <w:ilvl w:val="0"/>
                <w:numId w:val="23"/>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eastAsia="Times New Roman" w:hAnsi="Times New Roman"/>
                <w:sz w:val="24"/>
                <w:szCs w:val="24"/>
              </w:rPr>
            </w:pPr>
            <w:r w:rsidRPr="00C739EF">
              <w:rPr>
                <w:rFonts w:ascii="Times New Roman" w:hAnsi="Times New Roman"/>
                <w:sz w:val="24"/>
                <w:szCs w:val="24"/>
              </w:rPr>
              <w:t>the transportation costs of travel by outreach workers, social workers, medical professionals, or other service providers, and that the travel took place during the provision of services eligible under this section</w:t>
            </w:r>
            <w:r w:rsidR="000D0211">
              <w:rPr>
                <w:rFonts w:ascii="Times New Roman" w:hAnsi="Times New Roman"/>
                <w:sz w:val="24"/>
                <w:szCs w:val="24"/>
              </w:rPr>
              <w:t>;</w:t>
            </w:r>
            <w:r w:rsidR="000D0211" w:rsidRPr="00C739EF">
              <w:rPr>
                <w:rFonts w:ascii="Times New Roman" w:hAnsi="Times New Roman"/>
                <w:sz w:val="24"/>
                <w:szCs w:val="24"/>
              </w:rPr>
              <w:t xml:space="preserve"> </w:t>
            </w:r>
            <w:r w:rsidR="000D0211">
              <w:rPr>
                <w:rFonts w:ascii="Times New Roman" w:hAnsi="Times New Roman"/>
                <w:sz w:val="24"/>
                <w:szCs w:val="24"/>
              </w:rPr>
              <w:t>and</w:t>
            </w:r>
          </w:p>
          <w:p w14:paraId="464BDAD9" w14:textId="3D718C31" w:rsidR="0079594F" w:rsidRPr="0088727A" w:rsidRDefault="0079594F" w:rsidP="0088727A">
            <w:pPr>
              <w:pStyle w:val="ColorfulList-Accent11"/>
              <w:keepNext/>
              <w:keepLines/>
              <w:numPr>
                <w:ilvl w:val="0"/>
                <w:numId w:val="23"/>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eastAsia="Times New Roman" w:hAnsi="Times New Roman"/>
                <w:sz w:val="24"/>
                <w:szCs w:val="24"/>
              </w:rPr>
            </w:pPr>
            <w:r w:rsidRPr="00C739EF">
              <w:rPr>
                <w:rFonts w:ascii="Times New Roman" w:hAnsi="Times New Roman"/>
                <w:sz w:val="24"/>
                <w:szCs w:val="24"/>
              </w:rPr>
              <w:t xml:space="preserve">the costs of transporting unsheltered people to emergency shelters or other service facilities, as listed under </w:t>
            </w:r>
            <w:r w:rsidR="00FF6924">
              <w:rPr>
                <w:rFonts w:ascii="Times New Roman" w:hAnsi="Times New Roman"/>
                <w:sz w:val="24"/>
                <w:szCs w:val="24"/>
              </w:rPr>
              <w:t xml:space="preserve">24 CFR </w:t>
            </w:r>
            <w:r w:rsidRPr="00C739EF">
              <w:rPr>
                <w:rFonts w:ascii="Times New Roman" w:hAnsi="Times New Roman"/>
                <w:sz w:val="24"/>
                <w:szCs w:val="24"/>
              </w:rPr>
              <w:t>576.101(a)(5)?</w:t>
            </w:r>
          </w:p>
          <w:p w14:paraId="481C0A6B" w14:textId="77777777" w:rsidR="0088727A" w:rsidRPr="00C739EF" w:rsidRDefault="0088727A" w:rsidP="0088727A">
            <w:pPr>
              <w:pStyle w:val="ColorfulList-Accent11"/>
              <w:keepNext/>
              <w:keepLines/>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eastAsia="Times New Roman" w:hAnsi="Times New Roman"/>
                <w:sz w:val="24"/>
                <w:szCs w:val="24"/>
              </w:rPr>
            </w:pPr>
          </w:p>
          <w:p w14:paraId="21CA7275" w14:textId="77777777" w:rsidR="00C0330B" w:rsidRDefault="0079594F" w:rsidP="0079594F">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rsidR="00FF6924">
              <w:t xml:space="preserve">24 CFR </w:t>
            </w:r>
            <w:r w:rsidRPr="00C739EF">
              <w:t>576.101(a)(5)]</w:t>
            </w:r>
          </w:p>
          <w:p w14:paraId="67178C53" w14:textId="6B150E17" w:rsidR="002372F5" w:rsidRDefault="002372F5" w:rsidP="0079594F">
            <w:pPr>
              <w:pStyle w:val="Level1"/>
              <w:keepNext/>
              <w:keepLines/>
              <w:tabs>
                <w:tab w:val="clear" w:pos="360"/>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330B" w14:paraId="50D5D3DE" w14:textId="77777777" w:rsidTr="003368EE">
              <w:trPr>
                <w:trHeight w:val="170"/>
              </w:trPr>
              <w:tc>
                <w:tcPr>
                  <w:tcW w:w="425" w:type="dxa"/>
                </w:tcPr>
                <w:p w14:paraId="0D6F2FA9"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576" w:type="dxa"/>
                </w:tcPr>
                <w:p w14:paraId="7D842242"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606" w:type="dxa"/>
                </w:tcPr>
                <w:p w14:paraId="51234333"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016A4">
                    <w:fldChar w:fldCharType="separate"/>
                  </w:r>
                  <w:r>
                    <w:fldChar w:fldCharType="end"/>
                  </w:r>
                </w:p>
              </w:tc>
            </w:tr>
            <w:tr w:rsidR="00C0330B" w14:paraId="4DEF7F0F" w14:textId="77777777" w:rsidTr="003368EE">
              <w:trPr>
                <w:trHeight w:val="225"/>
              </w:trPr>
              <w:tc>
                <w:tcPr>
                  <w:tcW w:w="425" w:type="dxa"/>
                </w:tcPr>
                <w:p w14:paraId="362DCB68"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E133DE"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B8F9261"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7EA4AF9"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C0330B" w14:paraId="5C4B609A" w14:textId="77777777" w:rsidTr="003368EE">
        <w:trPr>
          <w:cantSplit/>
        </w:trPr>
        <w:tc>
          <w:tcPr>
            <w:tcW w:w="9010" w:type="dxa"/>
            <w:gridSpan w:val="2"/>
            <w:tcBorders>
              <w:bottom w:val="nil"/>
            </w:tcBorders>
          </w:tcPr>
          <w:p w14:paraId="465F97B2"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C0330B" w14:paraId="499228B0" w14:textId="77777777" w:rsidTr="003368EE">
        <w:trPr>
          <w:cantSplit/>
        </w:trPr>
        <w:tc>
          <w:tcPr>
            <w:tcW w:w="9010" w:type="dxa"/>
            <w:gridSpan w:val="2"/>
            <w:tcBorders>
              <w:top w:val="nil"/>
            </w:tcBorders>
          </w:tcPr>
          <w:p w14:paraId="52C5E516"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F26179"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0C06F1C9" w14:textId="77777777" w:rsidR="00F57736" w:rsidRDefault="00F57736" w:rsidP="008C7C0C">
      <w:pPr>
        <w:widowControl w:val="0"/>
        <w:tabs>
          <w:tab w:val="center" w:pos="4320"/>
        </w:tabs>
        <w:spacing w:after="0" w:line="240" w:lineRule="auto"/>
        <w:rPr>
          <w:rFonts w:ascii="Times New Roman" w:eastAsia="Times New Roman" w:hAnsi="Times New Roman"/>
          <w:sz w:val="24"/>
          <w:szCs w:val="24"/>
        </w:rPr>
      </w:pPr>
    </w:p>
    <w:p w14:paraId="072FB797" w14:textId="09408A51" w:rsidR="008C7C0C" w:rsidRDefault="00AB1D07" w:rsidP="008C7C0C">
      <w:pPr>
        <w:widowControl w:val="0"/>
        <w:tabs>
          <w:tab w:val="center" w:pos="432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rPr>
        <w:t>8</w:t>
      </w:r>
      <w:r w:rsidR="008C472A" w:rsidRPr="00C739E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C3ACC" w14:paraId="6422D6C0" w14:textId="77777777" w:rsidTr="00F57736">
        <w:trPr>
          <w:trHeight w:val="773"/>
        </w:trPr>
        <w:tc>
          <w:tcPr>
            <w:tcW w:w="7367" w:type="dxa"/>
            <w:tcBorders>
              <w:bottom w:val="single" w:sz="4" w:space="0" w:color="auto"/>
            </w:tcBorders>
          </w:tcPr>
          <w:p w14:paraId="05758D58" w14:textId="21F4F388" w:rsidR="0088727A" w:rsidRDefault="00F57736" w:rsidP="00F57736">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Pr>
                <w:rFonts w:ascii="Times New Roman" w:hAnsi="Times New Roman"/>
                <w:sz w:val="24"/>
                <w:szCs w:val="24"/>
                <w:u w:val="single"/>
              </w:rPr>
              <w:t>Hazard Pay</w:t>
            </w:r>
            <w:r w:rsidRPr="00C739EF">
              <w:rPr>
                <w:rFonts w:ascii="Times New Roman" w:hAnsi="Times New Roman"/>
                <w:sz w:val="24"/>
                <w:szCs w:val="24"/>
              </w:rPr>
              <w:t xml:space="preserve">: </w:t>
            </w:r>
            <w:r>
              <w:rPr>
                <w:rFonts w:ascii="Times New Roman" w:hAnsi="Times New Roman"/>
                <w:sz w:val="24"/>
                <w:szCs w:val="24"/>
              </w:rPr>
              <w:t>Were ESG-CV funds used for hazard pay provided only to recipient- or subrecipient-staff working directly to prevent, prepare for, and respond to coronavirus among persons who are homeless or at risk of homelessness?</w:t>
            </w:r>
            <w:r w:rsidR="00E45258">
              <w:rPr>
                <w:rFonts w:ascii="Times New Roman" w:hAnsi="Times New Roman"/>
                <w:sz w:val="24"/>
                <w:szCs w:val="24"/>
              </w:rPr>
              <w:t xml:space="preserve"> </w:t>
            </w:r>
          </w:p>
          <w:p w14:paraId="4D2F62C6" w14:textId="77777777" w:rsidR="00E45258" w:rsidRPr="002372F5" w:rsidRDefault="00E45258" w:rsidP="00F57736">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p>
          <w:p w14:paraId="209E1194" w14:textId="77777777" w:rsidR="00FC3ACC" w:rsidRDefault="00F57736" w:rsidP="00F57736">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rsidR="000D2877">
              <w:t xml:space="preserve">Section III.E.3.c of </w:t>
            </w:r>
            <w:r>
              <w:t>Notice CPD-21-08]</w:t>
            </w:r>
          </w:p>
          <w:p w14:paraId="3D2C83B2" w14:textId="53DB56CE" w:rsidR="002372F5" w:rsidRDefault="002372F5" w:rsidP="00F57736">
            <w:pPr>
              <w:pStyle w:val="Level1"/>
              <w:keepNext/>
              <w:keepLines/>
              <w:tabs>
                <w:tab w:val="clear" w:pos="360"/>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C3ACC" w14:paraId="3F563E04" w14:textId="77777777" w:rsidTr="00F70FE0">
              <w:trPr>
                <w:trHeight w:val="170"/>
              </w:trPr>
              <w:tc>
                <w:tcPr>
                  <w:tcW w:w="425" w:type="dxa"/>
                </w:tcPr>
                <w:p w14:paraId="6FC5085F"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576" w:type="dxa"/>
                </w:tcPr>
                <w:p w14:paraId="74DF1401"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606" w:type="dxa"/>
                </w:tcPr>
                <w:p w14:paraId="2D0F4EFE"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016A4">
                    <w:fldChar w:fldCharType="separate"/>
                  </w:r>
                  <w:r>
                    <w:fldChar w:fldCharType="end"/>
                  </w:r>
                </w:p>
              </w:tc>
            </w:tr>
            <w:tr w:rsidR="00FC3ACC" w14:paraId="1A12C30B" w14:textId="77777777" w:rsidTr="00F70FE0">
              <w:trPr>
                <w:trHeight w:val="225"/>
              </w:trPr>
              <w:tc>
                <w:tcPr>
                  <w:tcW w:w="425" w:type="dxa"/>
                </w:tcPr>
                <w:p w14:paraId="6A95EDD3"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4D1B7B5"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C815E7D"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CD14A78"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FC3ACC" w14:paraId="2C4D6C53" w14:textId="77777777" w:rsidTr="00F57736">
        <w:trPr>
          <w:cantSplit/>
        </w:trPr>
        <w:tc>
          <w:tcPr>
            <w:tcW w:w="8990" w:type="dxa"/>
            <w:gridSpan w:val="2"/>
            <w:tcBorders>
              <w:bottom w:val="nil"/>
            </w:tcBorders>
          </w:tcPr>
          <w:p w14:paraId="279578F1"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FC3ACC" w14:paraId="23A089A9" w14:textId="77777777" w:rsidTr="00F57736">
        <w:trPr>
          <w:cantSplit/>
        </w:trPr>
        <w:tc>
          <w:tcPr>
            <w:tcW w:w="8990" w:type="dxa"/>
            <w:gridSpan w:val="2"/>
            <w:tcBorders>
              <w:top w:val="nil"/>
            </w:tcBorders>
          </w:tcPr>
          <w:p w14:paraId="31417D87"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79618F" w14:textId="77777777" w:rsidR="00FC3ACC" w:rsidRPr="0031039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rPr>
                <w:sz w:val="18"/>
                <w:szCs w:val="18"/>
              </w:rPr>
            </w:pPr>
          </w:p>
        </w:tc>
      </w:tr>
    </w:tbl>
    <w:p w14:paraId="56309CA3" w14:textId="21F5F707" w:rsidR="0088727A" w:rsidRDefault="0088727A" w:rsidP="008C7C0C">
      <w:pPr>
        <w:widowControl w:val="0"/>
        <w:tabs>
          <w:tab w:val="center" w:pos="4320"/>
        </w:tabs>
        <w:spacing w:after="0" w:line="240" w:lineRule="auto"/>
        <w:rPr>
          <w:rFonts w:ascii="Times New Roman" w:eastAsia="Times New Roman" w:hAnsi="Times New Roman"/>
          <w:sz w:val="24"/>
          <w:szCs w:val="24"/>
        </w:rPr>
      </w:pPr>
    </w:p>
    <w:p w14:paraId="6A4156FE" w14:textId="4AB9A524" w:rsidR="00FC3ACC" w:rsidRDefault="00A736A5" w:rsidP="008C7C0C">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C3ACC" w14:paraId="4E7A886C" w14:textId="77777777" w:rsidTr="00F70FE0">
        <w:trPr>
          <w:trHeight w:val="773"/>
        </w:trPr>
        <w:tc>
          <w:tcPr>
            <w:tcW w:w="7385" w:type="dxa"/>
            <w:tcBorders>
              <w:bottom w:val="single" w:sz="4" w:space="0" w:color="auto"/>
            </w:tcBorders>
          </w:tcPr>
          <w:p w14:paraId="5198A493" w14:textId="79DA208D" w:rsidR="00F57736" w:rsidRDefault="00F57736" w:rsidP="00F57736">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Pr>
                <w:rFonts w:ascii="Times New Roman" w:hAnsi="Times New Roman"/>
                <w:sz w:val="24"/>
                <w:szCs w:val="24"/>
                <w:u w:val="single"/>
              </w:rPr>
              <w:t>Handwashing Stations and Portable Bathrooms</w:t>
            </w:r>
            <w:r w:rsidRPr="00C739EF">
              <w:rPr>
                <w:rFonts w:ascii="Times New Roman" w:hAnsi="Times New Roman"/>
                <w:sz w:val="24"/>
                <w:szCs w:val="24"/>
              </w:rPr>
              <w:t xml:space="preserve">: </w:t>
            </w:r>
            <w:r>
              <w:rPr>
                <w:rFonts w:ascii="Times New Roman" w:hAnsi="Times New Roman"/>
                <w:sz w:val="24"/>
                <w:szCs w:val="24"/>
              </w:rPr>
              <w:t xml:space="preserve">Were ESG-CV funds used for handwashing stations and portable bathrooms </w:t>
            </w:r>
            <w:r w:rsidR="00D648A7">
              <w:rPr>
                <w:rFonts w:ascii="Times New Roman" w:hAnsi="Times New Roman"/>
                <w:sz w:val="24"/>
                <w:szCs w:val="24"/>
              </w:rPr>
              <w:t xml:space="preserve">in outdoor locations for people experiencing unsheltered homelessness </w:t>
            </w:r>
            <w:r w:rsidR="0089662D">
              <w:rPr>
                <w:rFonts w:ascii="Times New Roman" w:hAnsi="Times New Roman"/>
                <w:sz w:val="24"/>
                <w:szCs w:val="24"/>
              </w:rPr>
              <w:t>limited to costs related to installation and maintenance in outdoor locations?</w:t>
            </w:r>
          </w:p>
          <w:p w14:paraId="084B2805" w14:textId="77777777" w:rsidR="0088727A" w:rsidRDefault="0088727A" w:rsidP="00F57736">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p>
          <w:p w14:paraId="4F5321E7" w14:textId="3B92546C" w:rsidR="00FC3ACC" w:rsidRDefault="00F57736" w:rsidP="00F57736">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rsidR="000D2877">
              <w:t xml:space="preserve">Section III.E.3.d of </w:t>
            </w:r>
            <w:r>
              <w:t>Notice CPD-21-08]</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C3ACC" w14:paraId="7DFC74B3" w14:textId="77777777" w:rsidTr="00F70FE0">
              <w:trPr>
                <w:trHeight w:val="170"/>
              </w:trPr>
              <w:tc>
                <w:tcPr>
                  <w:tcW w:w="425" w:type="dxa"/>
                </w:tcPr>
                <w:p w14:paraId="43486E33"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576" w:type="dxa"/>
                </w:tcPr>
                <w:p w14:paraId="4CB8836D"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606" w:type="dxa"/>
                </w:tcPr>
                <w:p w14:paraId="5D96D1D3"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016A4">
                    <w:fldChar w:fldCharType="separate"/>
                  </w:r>
                  <w:r>
                    <w:fldChar w:fldCharType="end"/>
                  </w:r>
                </w:p>
              </w:tc>
            </w:tr>
            <w:tr w:rsidR="00FC3ACC" w14:paraId="76CA0E5C" w14:textId="77777777" w:rsidTr="00F70FE0">
              <w:trPr>
                <w:trHeight w:val="225"/>
              </w:trPr>
              <w:tc>
                <w:tcPr>
                  <w:tcW w:w="425" w:type="dxa"/>
                </w:tcPr>
                <w:p w14:paraId="5915EA31"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8C63AAF"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7C62018"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095D0DD"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FC3ACC" w14:paraId="5382B590" w14:textId="77777777" w:rsidTr="00F70FE0">
        <w:trPr>
          <w:cantSplit/>
        </w:trPr>
        <w:tc>
          <w:tcPr>
            <w:tcW w:w="9010" w:type="dxa"/>
            <w:gridSpan w:val="2"/>
            <w:tcBorders>
              <w:bottom w:val="nil"/>
            </w:tcBorders>
          </w:tcPr>
          <w:p w14:paraId="4DD084C7"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FC3ACC" w14:paraId="481C8641" w14:textId="77777777" w:rsidTr="00F70FE0">
        <w:trPr>
          <w:cantSplit/>
        </w:trPr>
        <w:tc>
          <w:tcPr>
            <w:tcW w:w="9010" w:type="dxa"/>
            <w:gridSpan w:val="2"/>
            <w:tcBorders>
              <w:top w:val="nil"/>
            </w:tcBorders>
          </w:tcPr>
          <w:p w14:paraId="587C2509"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A5AE4D"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1058B81A" w14:textId="77777777" w:rsidR="00D463F3" w:rsidRDefault="00D463F3" w:rsidP="008C7C0C">
      <w:pPr>
        <w:widowControl w:val="0"/>
        <w:tabs>
          <w:tab w:val="center" w:pos="4320"/>
        </w:tabs>
        <w:spacing w:after="0" w:line="240" w:lineRule="auto"/>
        <w:rPr>
          <w:rFonts w:ascii="Times New Roman" w:eastAsia="Times New Roman" w:hAnsi="Times New Roman"/>
          <w:sz w:val="24"/>
          <w:szCs w:val="24"/>
        </w:rPr>
      </w:pPr>
    </w:p>
    <w:p w14:paraId="5D01F445" w14:textId="49494F9D" w:rsidR="00A736A5" w:rsidRDefault="00A736A5" w:rsidP="008C7C0C">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C3ACC" w14:paraId="10ED75D7" w14:textId="77777777" w:rsidTr="00F70FE0">
        <w:trPr>
          <w:trHeight w:val="773"/>
        </w:trPr>
        <w:tc>
          <w:tcPr>
            <w:tcW w:w="7385" w:type="dxa"/>
            <w:tcBorders>
              <w:bottom w:val="single" w:sz="4" w:space="0" w:color="auto"/>
            </w:tcBorders>
          </w:tcPr>
          <w:p w14:paraId="00509F6D" w14:textId="401FBA02" w:rsidR="0089662D" w:rsidRDefault="0089662D" w:rsidP="0089662D">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Pr>
                <w:rFonts w:ascii="Times New Roman" w:hAnsi="Times New Roman"/>
                <w:sz w:val="24"/>
                <w:szCs w:val="24"/>
                <w:u w:val="single"/>
              </w:rPr>
              <w:t>Volunteer Incentives</w:t>
            </w:r>
            <w:r w:rsidRPr="00C739EF">
              <w:rPr>
                <w:rFonts w:ascii="Times New Roman" w:hAnsi="Times New Roman"/>
                <w:sz w:val="24"/>
                <w:szCs w:val="24"/>
              </w:rPr>
              <w:t xml:space="preserve">: </w:t>
            </w:r>
            <w:r>
              <w:rPr>
                <w:rFonts w:ascii="Times New Roman" w:hAnsi="Times New Roman"/>
                <w:sz w:val="24"/>
                <w:szCs w:val="24"/>
              </w:rPr>
              <w:t>Were ESG-CV funds used for volunteer incentives limited to reasonable incentives to volunteers who have been and are currently helping to provide necessary street outreach, essential services during the coronavirus outbreak?</w:t>
            </w:r>
          </w:p>
          <w:p w14:paraId="3B43EEA2" w14:textId="77777777" w:rsidR="0088727A" w:rsidRDefault="0088727A" w:rsidP="0089662D">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p>
          <w:p w14:paraId="1EAFC402" w14:textId="38269797" w:rsidR="00FC3ACC" w:rsidRDefault="0089662D" w:rsidP="0089662D">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rsidR="000D2877">
              <w:t xml:space="preserve">Section III.E.3.f of </w:t>
            </w:r>
            <w:r>
              <w:t>Notice CPD-21-08]</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C3ACC" w14:paraId="041CEA6D" w14:textId="77777777" w:rsidTr="00F70FE0">
              <w:trPr>
                <w:trHeight w:val="170"/>
              </w:trPr>
              <w:tc>
                <w:tcPr>
                  <w:tcW w:w="425" w:type="dxa"/>
                </w:tcPr>
                <w:p w14:paraId="57FF37CC"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576" w:type="dxa"/>
                </w:tcPr>
                <w:p w14:paraId="750C7A5A"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606" w:type="dxa"/>
                </w:tcPr>
                <w:p w14:paraId="7ABEC873"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016A4">
                    <w:fldChar w:fldCharType="separate"/>
                  </w:r>
                  <w:r>
                    <w:fldChar w:fldCharType="end"/>
                  </w:r>
                </w:p>
              </w:tc>
            </w:tr>
            <w:tr w:rsidR="00FC3ACC" w14:paraId="5DD915A0" w14:textId="77777777" w:rsidTr="00F70FE0">
              <w:trPr>
                <w:trHeight w:val="225"/>
              </w:trPr>
              <w:tc>
                <w:tcPr>
                  <w:tcW w:w="425" w:type="dxa"/>
                </w:tcPr>
                <w:p w14:paraId="645A1ACE"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FC34E6A"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2A422D5"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C1F8991"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FC3ACC" w14:paraId="0CBD840F" w14:textId="77777777" w:rsidTr="00F70FE0">
        <w:trPr>
          <w:cantSplit/>
        </w:trPr>
        <w:tc>
          <w:tcPr>
            <w:tcW w:w="9010" w:type="dxa"/>
            <w:gridSpan w:val="2"/>
            <w:tcBorders>
              <w:bottom w:val="nil"/>
            </w:tcBorders>
          </w:tcPr>
          <w:p w14:paraId="00CE7DD2"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FC3ACC" w14:paraId="21E5A253" w14:textId="77777777" w:rsidTr="00F70FE0">
        <w:trPr>
          <w:cantSplit/>
        </w:trPr>
        <w:tc>
          <w:tcPr>
            <w:tcW w:w="9010" w:type="dxa"/>
            <w:gridSpan w:val="2"/>
            <w:tcBorders>
              <w:top w:val="nil"/>
            </w:tcBorders>
          </w:tcPr>
          <w:p w14:paraId="5D7FF1B7"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68DCA7"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3A37EA5A" w14:textId="77777777" w:rsidR="00651F12" w:rsidRDefault="00651F12" w:rsidP="008C7C0C">
      <w:pPr>
        <w:widowControl w:val="0"/>
        <w:tabs>
          <w:tab w:val="center" w:pos="4320"/>
        </w:tabs>
        <w:spacing w:after="0" w:line="240" w:lineRule="auto"/>
        <w:rPr>
          <w:rFonts w:ascii="Times New Roman" w:eastAsia="Times New Roman" w:hAnsi="Times New Roman"/>
          <w:sz w:val="24"/>
          <w:szCs w:val="24"/>
        </w:rPr>
      </w:pPr>
    </w:p>
    <w:p w14:paraId="65FD7629" w14:textId="2BCB8848" w:rsidR="00FC3ACC" w:rsidRDefault="00A736A5" w:rsidP="008C7C0C">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C3ACC" w14:paraId="0F314182" w14:textId="77777777" w:rsidTr="00F70FE0">
        <w:trPr>
          <w:trHeight w:val="773"/>
        </w:trPr>
        <w:tc>
          <w:tcPr>
            <w:tcW w:w="7385" w:type="dxa"/>
            <w:tcBorders>
              <w:bottom w:val="single" w:sz="4" w:space="0" w:color="auto"/>
            </w:tcBorders>
          </w:tcPr>
          <w:p w14:paraId="6CD96730" w14:textId="77777777" w:rsidR="00AB0A14" w:rsidRDefault="00AB0A14" w:rsidP="00AB0A14">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Pr>
                <w:rFonts w:ascii="Times New Roman" w:hAnsi="Times New Roman"/>
                <w:sz w:val="24"/>
                <w:szCs w:val="24"/>
                <w:u w:val="single"/>
              </w:rPr>
              <w:t>Cell Phones</w:t>
            </w:r>
            <w:r w:rsidRPr="00C739EF">
              <w:rPr>
                <w:rFonts w:ascii="Times New Roman" w:hAnsi="Times New Roman"/>
                <w:sz w:val="24"/>
                <w:szCs w:val="24"/>
              </w:rPr>
              <w:t xml:space="preserve">:  </w:t>
            </w:r>
            <w:r>
              <w:rPr>
                <w:rFonts w:ascii="Times New Roman" w:hAnsi="Times New Roman"/>
                <w:sz w:val="24"/>
                <w:szCs w:val="24"/>
              </w:rPr>
              <w:t>If ESG-CV funds were used for the costs of providing cell phones, was t</w:t>
            </w:r>
            <w:r w:rsidRPr="00AB0A14">
              <w:rPr>
                <w:rFonts w:ascii="Times New Roman" w:hAnsi="Times New Roman"/>
                <w:sz w:val="24"/>
                <w:szCs w:val="24"/>
              </w:rPr>
              <w:t>he cell phone</w:t>
            </w:r>
            <w:r>
              <w:rPr>
                <w:rFonts w:ascii="Times New Roman" w:hAnsi="Times New Roman"/>
                <w:sz w:val="24"/>
                <w:szCs w:val="24"/>
              </w:rPr>
              <w:t>:</w:t>
            </w:r>
            <w:r w:rsidRPr="00AB0A14">
              <w:rPr>
                <w:rFonts w:ascii="Times New Roman" w:hAnsi="Times New Roman"/>
                <w:sz w:val="24"/>
                <w:szCs w:val="24"/>
              </w:rPr>
              <w:t xml:space="preserve"> </w:t>
            </w:r>
          </w:p>
          <w:p w14:paraId="4C05FF17" w14:textId="008EC5D1" w:rsidR="00AB0A14" w:rsidRDefault="00AB0A14" w:rsidP="0002163D">
            <w:pPr>
              <w:pStyle w:val="ListParagraph"/>
              <w:keepNext/>
              <w:keepLines/>
              <w:numPr>
                <w:ilvl w:val="0"/>
                <w:numId w:val="27"/>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hAnsi="Times New Roman"/>
                <w:sz w:val="24"/>
                <w:szCs w:val="24"/>
              </w:rPr>
            </w:pPr>
            <w:r>
              <w:rPr>
                <w:rFonts w:ascii="Times New Roman" w:hAnsi="Times New Roman"/>
                <w:sz w:val="24"/>
                <w:szCs w:val="24"/>
              </w:rPr>
              <w:t>O</w:t>
            </w:r>
            <w:r w:rsidRPr="00AB0A14">
              <w:rPr>
                <w:rFonts w:ascii="Times New Roman" w:hAnsi="Times New Roman"/>
                <w:sz w:val="24"/>
                <w:szCs w:val="24"/>
              </w:rPr>
              <w:t>wned by the recipient/subrecipient and loaned to individuals and families experiencing homelessness</w:t>
            </w:r>
            <w:r w:rsidR="000B64D1">
              <w:rPr>
                <w:rFonts w:ascii="Times New Roman" w:hAnsi="Times New Roman"/>
                <w:sz w:val="24"/>
                <w:szCs w:val="24"/>
              </w:rPr>
              <w:t>, receiving rapid re-housing assistance under the Continuum of Care (CoC) Program, Youth Homelessness Demonstration Program (YHDP), and ESG program, receiving homelessness prevention assistance under the ESG Program, or residing in PSH funded under the CoC and YHDP programs</w:t>
            </w:r>
            <w:r w:rsidRPr="00AB0A14">
              <w:rPr>
                <w:rFonts w:ascii="Times New Roman" w:hAnsi="Times New Roman"/>
                <w:sz w:val="24"/>
                <w:szCs w:val="24"/>
              </w:rPr>
              <w:t>?</w:t>
            </w:r>
          </w:p>
          <w:p w14:paraId="21E07918" w14:textId="66EF678E" w:rsidR="00AB0A14" w:rsidRDefault="00AB0A14" w:rsidP="0002163D">
            <w:pPr>
              <w:pStyle w:val="ListParagraph"/>
              <w:keepNext/>
              <w:keepLines/>
              <w:numPr>
                <w:ilvl w:val="0"/>
                <w:numId w:val="27"/>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hAnsi="Times New Roman"/>
                <w:sz w:val="24"/>
                <w:szCs w:val="24"/>
              </w:rPr>
            </w:pPr>
            <w:r>
              <w:rPr>
                <w:rFonts w:ascii="Times New Roman" w:hAnsi="Times New Roman"/>
                <w:sz w:val="24"/>
                <w:szCs w:val="24"/>
              </w:rPr>
              <w:t>Needed to enable program participants to participate in activities necessary to obtain or maintain housing?</w:t>
            </w:r>
          </w:p>
          <w:p w14:paraId="533E9578" w14:textId="07614F0E" w:rsidR="0002163D" w:rsidRDefault="00AB0A14" w:rsidP="00BB10E5">
            <w:pPr>
              <w:pStyle w:val="ListParagraph"/>
              <w:keepNext/>
              <w:keepLines/>
              <w:numPr>
                <w:ilvl w:val="0"/>
                <w:numId w:val="27"/>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hAnsi="Times New Roman"/>
                <w:sz w:val="24"/>
                <w:szCs w:val="24"/>
              </w:rPr>
            </w:pPr>
            <w:r w:rsidRPr="0031039C">
              <w:rPr>
                <w:rFonts w:ascii="Times New Roman" w:hAnsi="Times New Roman"/>
                <w:sz w:val="24"/>
                <w:szCs w:val="24"/>
              </w:rPr>
              <w:t xml:space="preserve">Returned to the recipient/subrecipient when no longer necessary </w:t>
            </w:r>
            <w:r w:rsidR="00454E34" w:rsidRPr="0031039C">
              <w:rPr>
                <w:rFonts w:ascii="Times New Roman" w:hAnsi="Times New Roman"/>
                <w:sz w:val="24"/>
                <w:szCs w:val="24"/>
              </w:rPr>
              <w:t>(i.e., once</w:t>
            </w:r>
            <w:r w:rsidRPr="0031039C">
              <w:rPr>
                <w:rFonts w:ascii="Times New Roman" w:hAnsi="Times New Roman"/>
                <w:sz w:val="24"/>
                <w:szCs w:val="24"/>
              </w:rPr>
              <w:t xml:space="preserve"> stay-at-home or social distancing orders are </w:t>
            </w:r>
            <w:r w:rsidR="00454E34" w:rsidRPr="0031039C">
              <w:rPr>
                <w:rFonts w:ascii="Times New Roman" w:hAnsi="Times New Roman"/>
                <w:sz w:val="24"/>
                <w:szCs w:val="24"/>
              </w:rPr>
              <w:t xml:space="preserve">no longer </w:t>
            </w:r>
            <w:r w:rsidRPr="0031039C">
              <w:rPr>
                <w:rFonts w:ascii="Times New Roman" w:hAnsi="Times New Roman"/>
                <w:sz w:val="24"/>
                <w:szCs w:val="24"/>
              </w:rPr>
              <w:t xml:space="preserve">in effect in the community in which the program participant resides, or </w:t>
            </w:r>
            <w:r w:rsidR="00454E34" w:rsidRPr="0031039C">
              <w:rPr>
                <w:rFonts w:ascii="Times New Roman" w:hAnsi="Times New Roman"/>
                <w:sz w:val="24"/>
                <w:szCs w:val="24"/>
              </w:rPr>
              <w:t xml:space="preserve">when </w:t>
            </w:r>
            <w:r w:rsidRPr="0031039C">
              <w:rPr>
                <w:rFonts w:ascii="Times New Roman" w:hAnsi="Times New Roman"/>
                <w:sz w:val="24"/>
                <w:szCs w:val="24"/>
              </w:rPr>
              <w:t>the</w:t>
            </w:r>
            <w:r w:rsidR="00454E34" w:rsidRPr="0031039C">
              <w:rPr>
                <w:rFonts w:ascii="Times New Roman" w:hAnsi="Times New Roman"/>
                <w:sz w:val="24"/>
                <w:szCs w:val="24"/>
              </w:rPr>
              <w:t xml:space="preserve"> phone is no longer</w:t>
            </w:r>
            <w:r w:rsidRPr="0031039C">
              <w:rPr>
                <w:rFonts w:ascii="Times New Roman" w:hAnsi="Times New Roman"/>
                <w:sz w:val="24"/>
                <w:szCs w:val="24"/>
              </w:rPr>
              <w:t xml:space="preserve"> need</w:t>
            </w:r>
            <w:r w:rsidR="00454E34" w:rsidRPr="0031039C">
              <w:rPr>
                <w:rFonts w:ascii="Times New Roman" w:hAnsi="Times New Roman"/>
                <w:sz w:val="24"/>
                <w:szCs w:val="24"/>
              </w:rPr>
              <w:t>ed</w:t>
            </w:r>
            <w:r w:rsidRPr="0031039C">
              <w:rPr>
                <w:rFonts w:ascii="Times New Roman" w:hAnsi="Times New Roman"/>
                <w:sz w:val="24"/>
                <w:szCs w:val="24"/>
              </w:rPr>
              <w:t xml:space="preserve"> to participate in activities necessary to obtain and maintain housing </w:t>
            </w:r>
            <w:r w:rsidR="00454E34" w:rsidRPr="0031039C">
              <w:rPr>
                <w:rFonts w:ascii="Times New Roman" w:hAnsi="Times New Roman"/>
                <w:sz w:val="24"/>
                <w:szCs w:val="24"/>
              </w:rPr>
              <w:t>because those activities are no longer</w:t>
            </w:r>
            <w:r w:rsidRPr="0031039C">
              <w:rPr>
                <w:rFonts w:ascii="Times New Roman" w:hAnsi="Times New Roman"/>
                <w:sz w:val="24"/>
                <w:szCs w:val="24"/>
              </w:rPr>
              <w:t xml:space="preserve"> </w:t>
            </w:r>
            <w:r w:rsidR="00454E34" w:rsidRPr="0031039C">
              <w:rPr>
                <w:rFonts w:ascii="Times New Roman" w:hAnsi="Times New Roman"/>
                <w:sz w:val="24"/>
                <w:szCs w:val="24"/>
              </w:rPr>
              <w:t xml:space="preserve">conducted </w:t>
            </w:r>
            <w:r w:rsidRPr="0031039C">
              <w:rPr>
                <w:rFonts w:ascii="Times New Roman" w:hAnsi="Times New Roman"/>
                <w:sz w:val="24"/>
                <w:szCs w:val="24"/>
              </w:rPr>
              <w:t>virtual</w:t>
            </w:r>
            <w:r w:rsidR="00454E34" w:rsidRPr="0031039C">
              <w:rPr>
                <w:rFonts w:ascii="Times New Roman" w:hAnsi="Times New Roman"/>
                <w:sz w:val="24"/>
                <w:szCs w:val="24"/>
              </w:rPr>
              <w:t>ly).</w:t>
            </w:r>
          </w:p>
          <w:p w14:paraId="3B228C60" w14:textId="77777777" w:rsidR="00E01259" w:rsidRPr="00E01259" w:rsidRDefault="00E01259" w:rsidP="00E01259">
            <w:pPr>
              <w:pStyle w:val="ListParagraph"/>
              <w:keepNext/>
              <w:keepLines/>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hAnsi="Times New Roman"/>
                <w:sz w:val="10"/>
                <w:szCs w:val="10"/>
              </w:rPr>
            </w:pPr>
          </w:p>
          <w:p w14:paraId="6BAEE165" w14:textId="77777777" w:rsidR="00FC3ACC" w:rsidRDefault="00AB0A14" w:rsidP="00AB0A14">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rsidR="000D2877">
              <w:t xml:space="preserve">Section III.E.3.g of </w:t>
            </w:r>
            <w:r>
              <w:t>Notice CPD-21-08]</w:t>
            </w:r>
          </w:p>
          <w:p w14:paraId="2721F92A" w14:textId="226DDC73" w:rsidR="002372F5" w:rsidRDefault="002372F5" w:rsidP="00AB0A14">
            <w:pPr>
              <w:pStyle w:val="Level1"/>
              <w:keepNext/>
              <w:keepLines/>
              <w:tabs>
                <w:tab w:val="clear" w:pos="360"/>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C3ACC" w14:paraId="6403DFF7" w14:textId="77777777" w:rsidTr="00F70FE0">
              <w:trPr>
                <w:trHeight w:val="170"/>
              </w:trPr>
              <w:tc>
                <w:tcPr>
                  <w:tcW w:w="425" w:type="dxa"/>
                </w:tcPr>
                <w:p w14:paraId="5D608C02"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576" w:type="dxa"/>
                </w:tcPr>
                <w:p w14:paraId="5BE81B11"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606" w:type="dxa"/>
                </w:tcPr>
                <w:p w14:paraId="72633C0E"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016A4">
                    <w:fldChar w:fldCharType="separate"/>
                  </w:r>
                  <w:r>
                    <w:fldChar w:fldCharType="end"/>
                  </w:r>
                </w:p>
              </w:tc>
            </w:tr>
            <w:tr w:rsidR="00FC3ACC" w14:paraId="40678AEA" w14:textId="77777777" w:rsidTr="00F70FE0">
              <w:trPr>
                <w:trHeight w:val="225"/>
              </w:trPr>
              <w:tc>
                <w:tcPr>
                  <w:tcW w:w="425" w:type="dxa"/>
                </w:tcPr>
                <w:p w14:paraId="03B402BE"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BD9D7BD"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F3647A6"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F490427"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FC3ACC" w14:paraId="08EAAC52" w14:textId="77777777" w:rsidTr="00F70FE0">
        <w:trPr>
          <w:cantSplit/>
        </w:trPr>
        <w:tc>
          <w:tcPr>
            <w:tcW w:w="9010" w:type="dxa"/>
            <w:gridSpan w:val="2"/>
            <w:tcBorders>
              <w:bottom w:val="nil"/>
            </w:tcBorders>
          </w:tcPr>
          <w:p w14:paraId="6FAADCEF"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FC3ACC" w14:paraId="27BB8786" w14:textId="77777777" w:rsidTr="00F70FE0">
        <w:trPr>
          <w:cantSplit/>
        </w:trPr>
        <w:tc>
          <w:tcPr>
            <w:tcW w:w="9010" w:type="dxa"/>
            <w:gridSpan w:val="2"/>
            <w:tcBorders>
              <w:top w:val="nil"/>
            </w:tcBorders>
          </w:tcPr>
          <w:p w14:paraId="2DE1840E" w14:textId="77777777" w:rsidR="00FC3ACC"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93E4C1" w14:textId="77777777" w:rsidR="00FC3ACC" w:rsidRPr="00E01259" w:rsidRDefault="00FC3ACC"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rPr>
                <w:sz w:val="14"/>
                <w:szCs w:val="14"/>
              </w:rPr>
            </w:pPr>
          </w:p>
        </w:tc>
      </w:tr>
    </w:tbl>
    <w:p w14:paraId="5CEC1FA4" w14:textId="77777777" w:rsidR="00E01259" w:rsidRDefault="00E01259" w:rsidP="008C7C0C">
      <w:pPr>
        <w:widowControl w:val="0"/>
        <w:tabs>
          <w:tab w:val="center" w:pos="4320"/>
        </w:tabs>
        <w:spacing w:after="0" w:line="240" w:lineRule="auto"/>
        <w:rPr>
          <w:rFonts w:ascii="Times New Roman" w:eastAsia="Times New Roman" w:hAnsi="Times New Roman"/>
          <w:sz w:val="24"/>
          <w:szCs w:val="24"/>
        </w:rPr>
      </w:pPr>
    </w:p>
    <w:p w14:paraId="04EADB8B" w14:textId="6986AF11" w:rsidR="00FC3ACC" w:rsidRDefault="00A736A5" w:rsidP="008C7C0C">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12.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57736" w14:paraId="561781CB" w14:textId="77777777" w:rsidTr="00F70FE0">
        <w:trPr>
          <w:trHeight w:val="773"/>
        </w:trPr>
        <w:tc>
          <w:tcPr>
            <w:tcW w:w="7385" w:type="dxa"/>
            <w:tcBorders>
              <w:bottom w:val="single" w:sz="4" w:space="0" w:color="auto"/>
            </w:tcBorders>
          </w:tcPr>
          <w:p w14:paraId="0D83E56B" w14:textId="01FE6ABC" w:rsidR="004D17CE" w:rsidRDefault="004D17CE" w:rsidP="004D17CE">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Pr>
                <w:rFonts w:ascii="Times New Roman" w:hAnsi="Times New Roman"/>
                <w:sz w:val="24"/>
                <w:szCs w:val="24"/>
                <w:u w:val="single"/>
              </w:rPr>
              <w:t>Vaccine Incentives</w:t>
            </w:r>
            <w:r w:rsidRPr="00C739EF">
              <w:rPr>
                <w:rFonts w:ascii="Times New Roman" w:hAnsi="Times New Roman"/>
                <w:sz w:val="24"/>
                <w:szCs w:val="24"/>
              </w:rPr>
              <w:t>:</w:t>
            </w:r>
            <w:r>
              <w:rPr>
                <w:rFonts w:ascii="Times New Roman" w:hAnsi="Times New Roman"/>
                <w:sz w:val="24"/>
                <w:szCs w:val="24"/>
              </w:rPr>
              <w:t xml:space="preserve"> </w:t>
            </w:r>
            <w:r w:rsidR="00803424">
              <w:rPr>
                <w:rFonts w:ascii="Times New Roman" w:hAnsi="Times New Roman"/>
                <w:sz w:val="24"/>
                <w:szCs w:val="24"/>
              </w:rPr>
              <w:t xml:space="preserve">If </w:t>
            </w:r>
            <w:r>
              <w:rPr>
                <w:rFonts w:ascii="Times New Roman" w:hAnsi="Times New Roman"/>
                <w:sz w:val="24"/>
                <w:szCs w:val="24"/>
              </w:rPr>
              <w:t xml:space="preserve">ESG-CV funds </w:t>
            </w:r>
            <w:r w:rsidR="008C294B">
              <w:rPr>
                <w:rFonts w:ascii="Times New Roman" w:hAnsi="Times New Roman"/>
                <w:sz w:val="24"/>
                <w:szCs w:val="24"/>
              </w:rPr>
              <w:t xml:space="preserve">were </w:t>
            </w:r>
            <w:r>
              <w:rPr>
                <w:rFonts w:ascii="Times New Roman" w:hAnsi="Times New Roman"/>
                <w:sz w:val="24"/>
                <w:szCs w:val="24"/>
              </w:rPr>
              <w:t>used to make direct, cash payments as an incentive for receiving the coronavirus vaccine</w:t>
            </w:r>
            <w:r w:rsidR="00037B21">
              <w:rPr>
                <w:rFonts w:ascii="Times New Roman" w:hAnsi="Times New Roman"/>
                <w:sz w:val="24"/>
                <w:szCs w:val="24"/>
              </w:rPr>
              <w:t>, were the payments provided</w:t>
            </w:r>
            <w:r>
              <w:rPr>
                <w:rFonts w:ascii="Times New Roman" w:hAnsi="Times New Roman"/>
                <w:sz w:val="24"/>
                <w:szCs w:val="24"/>
              </w:rPr>
              <w:t xml:space="preserve">: </w:t>
            </w:r>
          </w:p>
          <w:p w14:paraId="0E7173C2" w14:textId="3BCFBCCA" w:rsidR="004D17CE" w:rsidRDefault="00037B21" w:rsidP="0002163D">
            <w:pPr>
              <w:pStyle w:val="ListParagraph"/>
              <w:keepNext/>
              <w:keepLines/>
              <w:numPr>
                <w:ilvl w:val="0"/>
                <w:numId w:val="28"/>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hAnsi="Times New Roman"/>
                <w:sz w:val="24"/>
                <w:szCs w:val="24"/>
              </w:rPr>
            </w:pPr>
            <w:r>
              <w:rPr>
                <w:rFonts w:ascii="Times New Roman" w:hAnsi="Times New Roman"/>
                <w:sz w:val="24"/>
                <w:szCs w:val="24"/>
              </w:rPr>
              <w:t xml:space="preserve">only </w:t>
            </w:r>
            <w:r w:rsidR="004D17CE">
              <w:rPr>
                <w:rFonts w:ascii="Times New Roman" w:hAnsi="Times New Roman"/>
                <w:sz w:val="24"/>
                <w:szCs w:val="24"/>
              </w:rPr>
              <w:t>in amount</w:t>
            </w:r>
            <w:r>
              <w:rPr>
                <w:rFonts w:ascii="Times New Roman" w:hAnsi="Times New Roman"/>
                <w:sz w:val="24"/>
                <w:szCs w:val="24"/>
              </w:rPr>
              <w:t>s</w:t>
            </w:r>
            <w:r w:rsidR="004D17CE">
              <w:rPr>
                <w:rFonts w:ascii="Times New Roman" w:hAnsi="Times New Roman"/>
                <w:sz w:val="24"/>
                <w:szCs w:val="24"/>
              </w:rPr>
              <w:t xml:space="preserve"> not exceed</w:t>
            </w:r>
            <w:r>
              <w:rPr>
                <w:rFonts w:ascii="Times New Roman" w:hAnsi="Times New Roman"/>
                <w:sz w:val="24"/>
                <w:szCs w:val="24"/>
              </w:rPr>
              <w:t>ing</w:t>
            </w:r>
            <w:r w:rsidR="004D17CE">
              <w:rPr>
                <w:rFonts w:ascii="Times New Roman" w:hAnsi="Times New Roman"/>
                <w:sz w:val="24"/>
                <w:szCs w:val="24"/>
              </w:rPr>
              <w:t xml:space="preserve"> $50 per dose;</w:t>
            </w:r>
          </w:p>
          <w:p w14:paraId="3172A29C" w14:textId="6EAE3C7C" w:rsidR="004D17CE" w:rsidRDefault="00037B21" w:rsidP="0002163D">
            <w:pPr>
              <w:pStyle w:val="ListParagraph"/>
              <w:keepNext/>
              <w:keepLines/>
              <w:numPr>
                <w:ilvl w:val="0"/>
                <w:numId w:val="28"/>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hAnsi="Times New Roman"/>
                <w:sz w:val="24"/>
                <w:szCs w:val="24"/>
              </w:rPr>
            </w:pPr>
            <w:r>
              <w:rPr>
                <w:rFonts w:ascii="Times New Roman" w:hAnsi="Times New Roman"/>
                <w:sz w:val="24"/>
                <w:szCs w:val="24"/>
              </w:rPr>
              <w:t xml:space="preserve">only </w:t>
            </w:r>
            <w:r w:rsidR="004D17CE">
              <w:rPr>
                <w:rFonts w:ascii="Times New Roman" w:hAnsi="Times New Roman"/>
                <w:sz w:val="24"/>
                <w:szCs w:val="24"/>
              </w:rPr>
              <w:t>to people experiencing homelessness; and</w:t>
            </w:r>
          </w:p>
          <w:p w14:paraId="15D4F8F1" w14:textId="22F8FA68" w:rsidR="004D17CE" w:rsidRDefault="004D17CE" w:rsidP="0002163D">
            <w:pPr>
              <w:pStyle w:val="ListParagraph"/>
              <w:keepNext/>
              <w:keepLines/>
              <w:numPr>
                <w:ilvl w:val="0"/>
                <w:numId w:val="28"/>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hAnsi="Times New Roman"/>
                <w:sz w:val="24"/>
                <w:szCs w:val="24"/>
              </w:rPr>
            </w:pPr>
            <w:r>
              <w:rPr>
                <w:rFonts w:ascii="Times New Roman" w:hAnsi="Times New Roman"/>
                <w:sz w:val="24"/>
                <w:szCs w:val="24"/>
              </w:rPr>
              <w:t>only to the extent that other vaccine incentives were inaccessible or unavailable to people experiencing homelessness within the community?</w:t>
            </w:r>
          </w:p>
          <w:p w14:paraId="44AB2B24" w14:textId="77777777" w:rsidR="0002163D" w:rsidRPr="00F16576" w:rsidRDefault="0002163D" w:rsidP="0002163D">
            <w:pPr>
              <w:pStyle w:val="ListParagraph"/>
              <w:keepNext/>
              <w:keepLines/>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hAnsi="Times New Roman"/>
                <w:sz w:val="24"/>
                <w:szCs w:val="24"/>
              </w:rPr>
            </w:pPr>
          </w:p>
          <w:p w14:paraId="0CA1A405" w14:textId="60C8F4C5" w:rsidR="00F57736" w:rsidRDefault="004D17CE"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t>Section III.E.3.m of Notice CPD-21-08]</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7736" w14:paraId="1CC86CC9" w14:textId="77777777" w:rsidTr="00F70FE0">
              <w:trPr>
                <w:trHeight w:val="170"/>
              </w:trPr>
              <w:tc>
                <w:tcPr>
                  <w:tcW w:w="425" w:type="dxa"/>
                </w:tcPr>
                <w:p w14:paraId="301E1AC6" w14:textId="77777777" w:rsidR="00F57736" w:rsidRDefault="00F57736"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576" w:type="dxa"/>
                </w:tcPr>
                <w:p w14:paraId="0DF5F84C" w14:textId="77777777" w:rsidR="00F57736" w:rsidRDefault="00F57736"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606" w:type="dxa"/>
                </w:tcPr>
                <w:p w14:paraId="30433156" w14:textId="77777777" w:rsidR="00F57736" w:rsidRDefault="00F57736"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016A4">
                    <w:fldChar w:fldCharType="separate"/>
                  </w:r>
                  <w:r>
                    <w:fldChar w:fldCharType="end"/>
                  </w:r>
                </w:p>
              </w:tc>
            </w:tr>
            <w:tr w:rsidR="00F57736" w14:paraId="75128BA3" w14:textId="77777777" w:rsidTr="00F70FE0">
              <w:trPr>
                <w:trHeight w:val="225"/>
              </w:trPr>
              <w:tc>
                <w:tcPr>
                  <w:tcW w:w="425" w:type="dxa"/>
                </w:tcPr>
                <w:p w14:paraId="50022BDE" w14:textId="77777777" w:rsidR="00F57736" w:rsidRDefault="00F57736"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E59BD1C" w14:textId="77777777" w:rsidR="00F57736" w:rsidRDefault="00F57736"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3B8D6BA" w14:textId="77777777" w:rsidR="00F57736" w:rsidRDefault="00F57736"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383E5E6" w14:textId="77777777" w:rsidR="00F57736" w:rsidRDefault="00F57736"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F57736" w14:paraId="19B6300D" w14:textId="77777777" w:rsidTr="00F70FE0">
        <w:trPr>
          <w:cantSplit/>
        </w:trPr>
        <w:tc>
          <w:tcPr>
            <w:tcW w:w="9010" w:type="dxa"/>
            <w:gridSpan w:val="2"/>
            <w:tcBorders>
              <w:bottom w:val="nil"/>
            </w:tcBorders>
          </w:tcPr>
          <w:p w14:paraId="5EDB2F65" w14:textId="77777777" w:rsidR="00F57736" w:rsidRDefault="00F57736"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F57736" w14:paraId="5755C155" w14:textId="77777777" w:rsidTr="00F70FE0">
        <w:trPr>
          <w:cantSplit/>
        </w:trPr>
        <w:tc>
          <w:tcPr>
            <w:tcW w:w="9010" w:type="dxa"/>
            <w:gridSpan w:val="2"/>
            <w:tcBorders>
              <w:top w:val="nil"/>
            </w:tcBorders>
          </w:tcPr>
          <w:p w14:paraId="7D5E2DF2" w14:textId="77777777" w:rsidR="00F57736" w:rsidRDefault="00F57736"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15AB35" w14:textId="77777777" w:rsidR="00F57736" w:rsidRDefault="00F57736"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16AE0C51" w14:textId="1F205792" w:rsidR="00FC3ACC" w:rsidRDefault="00FC3ACC" w:rsidP="008C7C0C">
      <w:pPr>
        <w:widowControl w:val="0"/>
        <w:tabs>
          <w:tab w:val="center" w:pos="4320"/>
        </w:tabs>
        <w:spacing w:after="0" w:line="240" w:lineRule="auto"/>
        <w:rPr>
          <w:rFonts w:ascii="Times New Roman" w:eastAsia="Times New Roman" w:hAnsi="Times New Roman"/>
          <w:sz w:val="24"/>
          <w:szCs w:val="24"/>
        </w:rPr>
      </w:pPr>
    </w:p>
    <w:p w14:paraId="36CC5115" w14:textId="3E7257AE" w:rsidR="00F57736" w:rsidRDefault="00A736A5" w:rsidP="0002163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57736" w14:paraId="6D96BB3E" w14:textId="77777777" w:rsidTr="00F70FE0">
        <w:trPr>
          <w:trHeight w:val="773"/>
        </w:trPr>
        <w:tc>
          <w:tcPr>
            <w:tcW w:w="7385" w:type="dxa"/>
            <w:tcBorders>
              <w:bottom w:val="single" w:sz="4" w:space="0" w:color="auto"/>
            </w:tcBorders>
          </w:tcPr>
          <w:p w14:paraId="18939660" w14:textId="1C2FB113" w:rsidR="004D17CE" w:rsidRDefault="004D17CE" w:rsidP="004D17CE">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Pr>
                <w:rFonts w:ascii="Times New Roman" w:hAnsi="Times New Roman"/>
                <w:sz w:val="24"/>
                <w:szCs w:val="24"/>
                <w:u w:val="single"/>
              </w:rPr>
              <w:t>Laundry</w:t>
            </w:r>
            <w:r w:rsidRPr="00C739EF">
              <w:rPr>
                <w:rFonts w:ascii="Times New Roman" w:hAnsi="Times New Roman"/>
                <w:sz w:val="24"/>
                <w:szCs w:val="24"/>
              </w:rPr>
              <w:t xml:space="preserve">: </w:t>
            </w:r>
            <w:r w:rsidRPr="004D17CE">
              <w:rPr>
                <w:rFonts w:ascii="Times New Roman" w:hAnsi="Times New Roman"/>
                <w:sz w:val="24"/>
                <w:szCs w:val="24"/>
              </w:rPr>
              <w:t>If ESG-CV funds were used for the costs of providing laundry services</w:t>
            </w:r>
            <w:r>
              <w:rPr>
                <w:rFonts w:ascii="Times New Roman" w:hAnsi="Times New Roman"/>
                <w:sz w:val="24"/>
                <w:szCs w:val="24"/>
              </w:rPr>
              <w:t xml:space="preserve">, </w:t>
            </w:r>
            <w:r w:rsidRPr="004D17CE">
              <w:rPr>
                <w:rFonts w:ascii="Times New Roman" w:hAnsi="Times New Roman"/>
                <w:sz w:val="24"/>
                <w:szCs w:val="24"/>
              </w:rPr>
              <w:t>including by paying for laundry trucks</w:t>
            </w:r>
            <w:r>
              <w:rPr>
                <w:rFonts w:ascii="Times New Roman" w:hAnsi="Times New Roman"/>
                <w:sz w:val="24"/>
                <w:szCs w:val="24"/>
              </w:rPr>
              <w:t>, were those services provided for</w:t>
            </w:r>
            <w:r w:rsidRPr="004D17CE">
              <w:rPr>
                <w:rFonts w:ascii="Times New Roman" w:hAnsi="Times New Roman"/>
                <w:sz w:val="24"/>
                <w:szCs w:val="24"/>
              </w:rPr>
              <w:t xml:space="preserve"> individuals and families experiencing unsheltered homelessness</w:t>
            </w:r>
            <w:r>
              <w:rPr>
                <w:rFonts w:ascii="Times New Roman" w:hAnsi="Times New Roman"/>
                <w:sz w:val="24"/>
                <w:szCs w:val="24"/>
              </w:rPr>
              <w:t xml:space="preserve">? </w:t>
            </w:r>
          </w:p>
          <w:p w14:paraId="1873C2A4" w14:textId="77777777" w:rsidR="0002163D" w:rsidRDefault="0002163D" w:rsidP="004D17CE">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p>
          <w:p w14:paraId="5C1D4681" w14:textId="4A49E8D8" w:rsidR="00F57736" w:rsidRDefault="004D17CE" w:rsidP="004D17CE">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t>Section III.E.3.n</w:t>
            </w:r>
            <w:r w:rsidR="0002163D">
              <w:t xml:space="preserve"> </w:t>
            </w:r>
            <w:r>
              <w:t>of Notice CPD-21-08]</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7736" w14:paraId="28B46192" w14:textId="77777777" w:rsidTr="00F70FE0">
              <w:trPr>
                <w:trHeight w:val="170"/>
              </w:trPr>
              <w:tc>
                <w:tcPr>
                  <w:tcW w:w="425" w:type="dxa"/>
                </w:tcPr>
                <w:p w14:paraId="6A26BC9F" w14:textId="77777777" w:rsidR="00F57736" w:rsidRDefault="00F57736"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576" w:type="dxa"/>
                </w:tcPr>
                <w:p w14:paraId="6B1EFFF8" w14:textId="77777777" w:rsidR="00F57736" w:rsidRDefault="00F57736"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606" w:type="dxa"/>
                </w:tcPr>
                <w:p w14:paraId="1F4EAFA0" w14:textId="77777777" w:rsidR="00F57736" w:rsidRDefault="00F57736"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016A4">
                    <w:fldChar w:fldCharType="separate"/>
                  </w:r>
                  <w:r>
                    <w:fldChar w:fldCharType="end"/>
                  </w:r>
                </w:p>
              </w:tc>
            </w:tr>
            <w:tr w:rsidR="00F57736" w14:paraId="162D2CC9" w14:textId="77777777" w:rsidTr="00F70FE0">
              <w:trPr>
                <w:trHeight w:val="225"/>
              </w:trPr>
              <w:tc>
                <w:tcPr>
                  <w:tcW w:w="425" w:type="dxa"/>
                </w:tcPr>
                <w:p w14:paraId="2B0FECB7" w14:textId="77777777" w:rsidR="00F57736" w:rsidRDefault="00F57736"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CF8F7AF" w14:textId="77777777" w:rsidR="00F57736" w:rsidRDefault="00F57736"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642A7D4" w14:textId="77777777" w:rsidR="00F57736" w:rsidRDefault="00F57736"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E1BDA68" w14:textId="77777777" w:rsidR="00F57736" w:rsidRDefault="00F57736"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F57736" w14:paraId="191E4C53" w14:textId="77777777" w:rsidTr="00F70FE0">
        <w:trPr>
          <w:cantSplit/>
        </w:trPr>
        <w:tc>
          <w:tcPr>
            <w:tcW w:w="9010" w:type="dxa"/>
            <w:gridSpan w:val="2"/>
            <w:tcBorders>
              <w:bottom w:val="nil"/>
            </w:tcBorders>
          </w:tcPr>
          <w:p w14:paraId="4A9A3634" w14:textId="77777777" w:rsidR="00F57736" w:rsidRDefault="00F57736"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F57736" w14:paraId="622FBB34" w14:textId="77777777" w:rsidTr="00F70FE0">
        <w:trPr>
          <w:cantSplit/>
        </w:trPr>
        <w:tc>
          <w:tcPr>
            <w:tcW w:w="9010" w:type="dxa"/>
            <w:gridSpan w:val="2"/>
            <w:tcBorders>
              <w:top w:val="nil"/>
            </w:tcBorders>
          </w:tcPr>
          <w:p w14:paraId="3A62C10D" w14:textId="77777777" w:rsidR="00F57736" w:rsidRDefault="00F57736"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94F2B3" w14:textId="77777777" w:rsidR="00F57736" w:rsidRDefault="00F57736" w:rsidP="00F70FE0">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280D0C5A" w14:textId="77777777" w:rsidR="00D463F3" w:rsidRDefault="00D463F3" w:rsidP="008C7C0C">
      <w:pPr>
        <w:widowControl w:val="0"/>
        <w:tabs>
          <w:tab w:val="center" w:pos="4320"/>
        </w:tabs>
        <w:spacing w:after="0" w:line="240" w:lineRule="auto"/>
        <w:rPr>
          <w:rFonts w:ascii="Times New Roman" w:eastAsia="Times New Roman" w:hAnsi="Times New Roman"/>
          <w:sz w:val="24"/>
          <w:szCs w:val="24"/>
        </w:rPr>
      </w:pPr>
    </w:p>
    <w:p w14:paraId="0AEC1CFA" w14:textId="7AEE6E5E" w:rsidR="00F57736" w:rsidRDefault="00A736A5" w:rsidP="008C7C0C">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0330B" w14:paraId="11EE9276" w14:textId="77777777" w:rsidTr="00D463F3">
        <w:trPr>
          <w:trHeight w:val="773"/>
        </w:trPr>
        <w:tc>
          <w:tcPr>
            <w:tcW w:w="7367" w:type="dxa"/>
            <w:tcBorders>
              <w:bottom w:val="single" w:sz="4" w:space="0" w:color="auto"/>
            </w:tcBorders>
          </w:tcPr>
          <w:p w14:paraId="4CA2D28D" w14:textId="051AF117" w:rsidR="00FF6924" w:rsidRDefault="00FF6924" w:rsidP="00FF6924">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739EF">
              <w:rPr>
                <w:rFonts w:ascii="Times New Roman" w:hAnsi="Times New Roman"/>
                <w:sz w:val="24"/>
                <w:szCs w:val="24"/>
                <w:u w:val="single"/>
              </w:rPr>
              <w:t>Minimum Period of Use</w:t>
            </w:r>
            <w:r w:rsidRPr="00C739EF">
              <w:rPr>
                <w:rFonts w:ascii="Times New Roman" w:hAnsi="Times New Roman"/>
                <w:sz w:val="24"/>
                <w:szCs w:val="24"/>
              </w:rPr>
              <w:t xml:space="preserve">:  Did the recipient </w:t>
            </w:r>
            <w:r w:rsidR="00E42EF3">
              <w:rPr>
                <w:rFonts w:ascii="Times New Roman" w:hAnsi="Times New Roman"/>
                <w:sz w:val="24"/>
                <w:szCs w:val="24"/>
              </w:rPr>
              <w:t>ensure that outreach</w:t>
            </w:r>
            <w:r w:rsidRPr="00C739EF">
              <w:rPr>
                <w:rFonts w:ascii="Times New Roman" w:hAnsi="Times New Roman"/>
                <w:sz w:val="24"/>
                <w:szCs w:val="24"/>
              </w:rPr>
              <w:t xml:space="preserve"> services</w:t>
            </w:r>
            <w:r w:rsidR="00E42EF3">
              <w:rPr>
                <w:rFonts w:ascii="Times New Roman" w:hAnsi="Times New Roman"/>
                <w:sz w:val="24"/>
                <w:szCs w:val="24"/>
              </w:rPr>
              <w:t xml:space="preserve"> were provided</w:t>
            </w:r>
            <w:r w:rsidRPr="00C739EF">
              <w:rPr>
                <w:rFonts w:ascii="Times New Roman" w:hAnsi="Times New Roman"/>
                <w:sz w:val="24"/>
                <w:szCs w:val="24"/>
              </w:rPr>
              <w:t xml:space="preserve"> to</w:t>
            </w:r>
            <w:r w:rsidR="00E42EF3">
              <w:rPr>
                <w:rFonts w:ascii="Times New Roman" w:hAnsi="Times New Roman"/>
                <w:sz w:val="24"/>
                <w:szCs w:val="24"/>
              </w:rPr>
              <w:t xml:space="preserve"> unsheltered</w:t>
            </w:r>
            <w:r w:rsidRPr="00C739EF">
              <w:rPr>
                <w:rFonts w:ascii="Times New Roman" w:hAnsi="Times New Roman"/>
                <w:sz w:val="24"/>
                <w:szCs w:val="24"/>
              </w:rPr>
              <w:t xml:space="preserve"> homeless individuals and families for at least the period during which ESG</w:t>
            </w:r>
            <w:r w:rsidR="00F57736">
              <w:rPr>
                <w:rFonts w:ascii="Times New Roman" w:hAnsi="Times New Roman"/>
                <w:sz w:val="24"/>
                <w:szCs w:val="24"/>
              </w:rPr>
              <w:t>-CV</w:t>
            </w:r>
            <w:r w:rsidRPr="00C739EF">
              <w:rPr>
                <w:rFonts w:ascii="Times New Roman" w:hAnsi="Times New Roman"/>
                <w:sz w:val="24"/>
                <w:szCs w:val="24"/>
              </w:rPr>
              <w:t xml:space="preserve"> funds were provided (e.g., the length of the subrecipient agreement)?  </w:t>
            </w:r>
          </w:p>
          <w:p w14:paraId="759FBED1" w14:textId="77777777" w:rsidR="00A177FD" w:rsidRPr="00862ED7" w:rsidRDefault="00A177FD" w:rsidP="00FF6924">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12"/>
                <w:szCs w:val="12"/>
              </w:rPr>
            </w:pPr>
          </w:p>
          <w:p w14:paraId="1D745BFE" w14:textId="77777777" w:rsidR="00C0330B" w:rsidRDefault="00FF6924" w:rsidP="00FF6924">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t xml:space="preserve">24 CFR </w:t>
            </w:r>
            <w:r w:rsidRPr="00C739EF">
              <w:t>576.101(b)]</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330B" w14:paraId="0A4B8FD4" w14:textId="77777777" w:rsidTr="003368EE">
              <w:trPr>
                <w:trHeight w:val="170"/>
              </w:trPr>
              <w:tc>
                <w:tcPr>
                  <w:tcW w:w="425" w:type="dxa"/>
                </w:tcPr>
                <w:p w14:paraId="13F9E0EA"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576" w:type="dxa"/>
                </w:tcPr>
                <w:p w14:paraId="743628FA"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606" w:type="dxa"/>
                </w:tcPr>
                <w:p w14:paraId="5CCEF2F5"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016A4">
                    <w:fldChar w:fldCharType="separate"/>
                  </w:r>
                  <w:r>
                    <w:fldChar w:fldCharType="end"/>
                  </w:r>
                </w:p>
              </w:tc>
            </w:tr>
            <w:tr w:rsidR="00C0330B" w14:paraId="2D4C105D" w14:textId="77777777" w:rsidTr="003368EE">
              <w:trPr>
                <w:trHeight w:val="225"/>
              </w:trPr>
              <w:tc>
                <w:tcPr>
                  <w:tcW w:w="425" w:type="dxa"/>
                </w:tcPr>
                <w:p w14:paraId="0FD95DEF"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0F549DB"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D1F1A97"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A1C7CDA"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C0330B" w14:paraId="1D28EDDE" w14:textId="77777777" w:rsidTr="00D463F3">
        <w:trPr>
          <w:cantSplit/>
        </w:trPr>
        <w:tc>
          <w:tcPr>
            <w:tcW w:w="8990" w:type="dxa"/>
            <w:gridSpan w:val="2"/>
            <w:tcBorders>
              <w:bottom w:val="nil"/>
            </w:tcBorders>
          </w:tcPr>
          <w:p w14:paraId="0875757D"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C0330B" w14:paraId="6A2DC50F" w14:textId="77777777" w:rsidTr="00D463F3">
        <w:trPr>
          <w:cantSplit/>
        </w:trPr>
        <w:tc>
          <w:tcPr>
            <w:tcW w:w="8990" w:type="dxa"/>
            <w:gridSpan w:val="2"/>
            <w:tcBorders>
              <w:top w:val="nil"/>
            </w:tcBorders>
          </w:tcPr>
          <w:p w14:paraId="463A0CA1"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6FCD8F"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3E7FEA61" w14:textId="77777777" w:rsidR="00D463F3" w:rsidRDefault="00D463F3" w:rsidP="000C36C6">
      <w:pPr>
        <w:widowControl w:val="0"/>
        <w:tabs>
          <w:tab w:val="center" w:pos="4320"/>
        </w:tabs>
        <w:spacing w:after="0" w:line="240" w:lineRule="auto"/>
        <w:rPr>
          <w:rFonts w:ascii="Times New Roman" w:eastAsia="Times New Roman" w:hAnsi="Times New Roman"/>
          <w:sz w:val="24"/>
          <w:szCs w:val="24"/>
        </w:rPr>
      </w:pPr>
    </w:p>
    <w:p w14:paraId="78EDAFAE" w14:textId="24893340" w:rsidR="00030D2E" w:rsidRDefault="00A736A5" w:rsidP="000C36C6">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15</w:t>
      </w:r>
      <w:r w:rsidR="00030D2E" w:rsidRPr="00C739E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0330B" w14:paraId="6B65A5CA" w14:textId="77777777" w:rsidTr="00E01259">
        <w:trPr>
          <w:trHeight w:val="404"/>
        </w:trPr>
        <w:tc>
          <w:tcPr>
            <w:tcW w:w="7385" w:type="dxa"/>
            <w:tcBorders>
              <w:bottom w:val="single" w:sz="4" w:space="0" w:color="auto"/>
            </w:tcBorders>
          </w:tcPr>
          <w:p w14:paraId="5179A13E" w14:textId="5B4B336A" w:rsidR="00FF6924" w:rsidRDefault="00FF6924" w:rsidP="00FE37E8">
            <w:pPr>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u w:val="single"/>
              </w:rPr>
              <w:t>Maintenance of Effort</w:t>
            </w:r>
            <w:r w:rsidRPr="0087686A">
              <w:rPr>
                <w:rFonts w:ascii="Times New Roman" w:eastAsia="Times New Roman" w:hAnsi="Times New Roman"/>
                <w:sz w:val="24"/>
                <w:szCs w:val="24"/>
              </w:rPr>
              <w:t>:</w:t>
            </w:r>
            <w:r w:rsidRPr="00C739EF">
              <w:rPr>
                <w:rFonts w:ascii="Times New Roman" w:eastAsia="Times New Roman" w:hAnsi="Times New Roman"/>
                <w:sz w:val="24"/>
                <w:szCs w:val="24"/>
              </w:rPr>
              <w:t xml:space="preserve">  </w:t>
            </w:r>
            <w:r w:rsidR="003C053C">
              <w:rPr>
                <w:rFonts w:ascii="Times New Roman" w:eastAsia="Times New Roman" w:hAnsi="Times New Roman"/>
                <w:sz w:val="24"/>
                <w:szCs w:val="24"/>
              </w:rPr>
              <w:t>If the</w:t>
            </w:r>
            <w:r w:rsidRPr="00C739EF">
              <w:rPr>
                <w:rFonts w:ascii="Times New Roman" w:eastAsia="Times New Roman" w:hAnsi="Times New Roman"/>
                <w:sz w:val="24"/>
                <w:szCs w:val="24"/>
              </w:rPr>
              <w:t xml:space="preserve"> recipient</w:t>
            </w:r>
            <w:r w:rsidR="003C053C">
              <w:rPr>
                <w:rFonts w:ascii="Times New Roman" w:eastAsia="Times New Roman" w:hAnsi="Times New Roman"/>
                <w:sz w:val="24"/>
                <w:szCs w:val="24"/>
              </w:rPr>
              <w:t xml:space="preserve"> or </w:t>
            </w:r>
            <w:r w:rsidRPr="00C739EF">
              <w:rPr>
                <w:rFonts w:ascii="Times New Roman" w:eastAsia="Times New Roman" w:hAnsi="Times New Roman"/>
                <w:sz w:val="24"/>
                <w:szCs w:val="24"/>
              </w:rPr>
              <w:t>subrecipient is a unit of general</w:t>
            </w:r>
            <w:r w:rsidR="00A177FD">
              <w:rPr>
                <w:rFonts w:ascii="Times New Roman" w:eastAsia="Times New Roman" w:hAnsi="Times New Roman"/>
                <w:sz w:val="24"/>
                <w:szCs w:val="24"/>
              </w:rPr>
              <w:t xml:space="preserve"> </w:t>
            </w:r>
            <w:r w:rsidRPr="00C739EF">
              <w:rPr>
                <w:rFonts w:ascii="Times New Roman" w:eastAsia="Times New Roman" w:hAnsi="Times New Roman"/>
                <w:sz w:val="24"/>
                <w:szCs w:val="24"/>
              </w:rPr>
              <w:t xml:space="preserve">purpose local government, and </w:t>
            </w:r>
            <w:r w:rsidR="003C053C">
              <w:rPr>
                <w:rFonts w:ascii="Times New Roman" w:eastAsia="Times New Roman" w:hAnsi="Times New Roman"/>
                <w:sz w:val="24"/>
                <w:szCs w:val="24"/>
              </w:rPr>
              <w:t>its</w:t>
            </w:r>
            <w:r w:rsidRPr="00C739EF">
              <w:rPr>
                <w:rFonts w:ascii="Times New Roman" w:eastAsia="Times New Roman" w:hAnsi="Times New Roman"/>
                <w:sz w:val="24"/>
                <w:szCs w:val="24"/>
              </w:rPr>
              <w:t xml:space="preserve"> ESG</w:t>
            </w:r>
            <w:r w:rsidR="00F57736">
              <w:rPr>
                <w:rFonts w:ascii="Times New Roman" w:eastAsia="Times New Roman" w:hAnsi="Times New Roman"/>
                <w:sz w:val="24"/>
                <w:szCs w:val="24"/>
              </w:rPr>
              <w:t>-CV</w:t>
            </w:r>
            <w:r w:rsidRPr="00C739EF">
              <w:rPr>
                <w:rFonts w:ascii="Times New Roman" w:eastAsia="Times New Roman" w:hAnsi="Times New Roman"/>
                <w:sz w:val="24"/>
                <w:szCs w:val="24"/>
              </w:rPr>
              <w:t xml:space="preserve"> funds</w:t>
            </w:r>
            <w:r w:rsidR="003C053C">
              <w:rPr>
                <w:rFonts w:ascii="Times New Roman" w:eastAsia="Times New Roman" w:hAnsi="Times New Roman"/>
                <w:sz w:val="24"/>
                <w:szCs w:val="24"/>
              </w:rPr>
              <w:t xml:space="preserve"> were used to replace local government funding of street outreach services</w:t>
            </w:r>
            <w:r w:rsidRPr="00C739EF">
              <w:rPr>
                <w:rFonts w:ascii="Times New Roman" w:eastAsia="Times New Roman" w:hAnsi="Times New Roman"/>
                <w:sz w:val="24"/>
                <w:szCs w:val="24"/>
              </w:rPr>
              <w:t xml:space="preserve">, did HUD </w:t>
            </w:r>
            <w:r w:rsidR="00FE37E8">
              <w:rPr>
                <w:rFonts w:ascii="Times New Roman" w:eastAsia="Times New Roman" w:hAnsi="Times New Roman"/>
                <w:sz w:val="24"/>
                <w:szCs w:val="24"/>
              </w:rPr>
              <w:t xml:space="preserve">determine </w:t>
            </w:r>
            <w:r w:rsidRPr="00C739EF">
              <w:rPr>
                <w:rFonts w:ascii="Times New Roman" w:eastAsia="Times New Roman" w:hAnsi="Times New Roman"/>
                <w:sz w:val="24"/>
                <w:szCs w:val="24"/>
              </w:rPr>
              <w:t>that the unit of general purpose local government</w:t>
            </w:r>
            <w:r w:rsidR="00FE37E8">
              <w:rPr>
                <w:rFonts w:ascii="Times New Roman" w:eastAsia="Times New Roman" w:hAnsi="Times New Roman"/>
                <w:sz w:val="24"/>
                <w:szCs w:val="24"/>
              </w:rPr>
              <w:t xml:space="preserve"> </w:t>
            </w:r>
            <w:r w:rsidRPr="00C739EF">
              <w:rPr>
                <w:rFonts w:ascii="Times New Roman" w:eastAsia="Times New Roman" w:hAnsi="Times New Roman"/>
                <w:sz w:val="24"/>
                <w:szCs w:val="24"/>
              </w:rPr>
              <w:t>was in a severe financial deficit</w:t>
            </w:r>
            <w:r w:rsidR="00FE37E8">
              <w:rPr>
                <w:rFonts w:ascii="Times New Roman" w:eastAsia="Times New Roman" w:hAnsi="Times New Roman"/>
                <w:sz w:val="24"/>
                <w:szCs w:val="24"/>
              </w:rPr>
              <w:t xml:space="preserve"> </w:t>
            </w:r>
            <w:r w:rsidRPr="00C739EF">
              <w:rPr>
                <w:rFonts w:ascii="Times New Roman" w:eastAsia="Times New Roman" w:hAnsi="Times New Roman"/>
                <w:sz w:val="24"/>
                <w:szCs w:val="24"/>
              </w:rPr>
              <w:t xml:space="preserve">according to the guidelines at </w:t>
            </w:r>
            <w:r w:rsidR="000374DA">
              <w:rPr>
                <w:rFonts w:ascii="Times New Roman" w:eastAsia="Times New Roman" w:hAnsi="Times New Roman"/>
                <w:sz w:val="24"/>
                <w:szCs w:val="24"/>
              </w:rPr>
              <w:t xml:space="preserve">24 CFR </w:t>
            </w:r>
            <w:r w:rsidRPr="00C739EF">
              <w:rPr>
                <w:rFonts w:ascii="Times New Roman" w:eastAsia="Times New Roman" w:hAnsi="Times New Roman"/>
                <w:sz w:val="24"/>
                <w:szCs w:val="24"/>
              </w:rPr>
              <w:t xml:space="preserve">576.101(c)(2)? </w:t>
            </w:r>
          </w:p>
          <w:p w14:paraId="26DC706A" w14:textId="77777777" w:rsidR="00A177FD" w:rsidRPr="00862ED7" w:rsidRDefault="00A177FD" w:rsidP="00FE37E8">
            <w:pPr>
              <w:spacing w:after="0" w:line="240" w:lineRule="auto"/>
              <w:rPr>
                <w:rFonts w:ascii="Times New Roman" w:eastAsia="Times New Roman" w:hAnsi="Times New Roman"/>
                <w:sz w:val="12"/>
                <w:szCs w:val="12"/>
              </w:rPr>
            </w:pPr>
          </w:p>
          <w:p w14:paraId="422BAB41" w14:textId="77777777" w:rsidR="00C0330B" w:rsidRDefault="00FF6924" w:rsidP="00FF6924">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t xml:space="preserve">24 CFR </w:t>
            </w:r>
            <w:r w:rsidRPr="00C739EF">
              <w:t>576.101(c</w:t>
            </w:r>
            <w:r w:rsidR="00FE37E8">
              <w:t>)</w:t>
            </w:r>
            <w:r w:rsidRPr="00C739E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330B" w14:paraId="30EE8355" w14:textId="77777777" w:rsidTr="003368EE">
              <w:trPr>
                <w:trHeight w:val="170"/>
              </w:trPr>
              <w:tc>
                <w:tcPr>
                  <w:tcW w:w="425" w:type="dxa"/>
                </w:tcPr>
                <w:p w14:paraId="2055AD63"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576" w:type="dxa"/>
                </w:tcPr>
                <w:p w14:paraId="11E98177"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606" w:type="dxa"/>
                </w:tcPr>
                <w:p w14:paraId="4618652F"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016A4">
                    <w:fldChar w:fldCharType="separate"/>
                  </w:r>
                  <w:r>
                    <w:fldChar w:fldCharType="end"/>
                  </w:r>
                </w:p>
              </w:tc>
            </w:tr>
            <w:tr w:rsidR="00C0330B" w14:paraId="47DD353A" w14:textId="77777777" w:rsidTr="003368EE">
              <w:trPr>
                <w:trHeight w:val="225"/>
              </w:trPr>
              <w:tc>
                <w:tcPr>
                  <w:tcW w:w="425" w:type="dxa"/>
                </w:tcPr>
                <w:p w14:paraId="493123C1"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D356EB6"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5E546E3"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C4FC5D8"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C0330B" w14:paraId="5CEFDEBA" w14:textId="77777777" w:rsidTr="003368EE">
        <w:trPr>
          <w:cantSplit/>
        </w:trPr>
        <w:tc>
          <w:tcPr>
            <w:tcW w:w="9010" w:type="dxa"/>
            <w:gridSpan w:val="2"/>
            <w:tcBorders>
              <w:bottom w:val="nil"/>
            </w:tcBorders>
          </w:tcPr>
          <w:p w14:paraId="35962AAC"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C0330B" w14:paraId="01F5F79F" w14:textId="77777777" w:rsidTr="003368EE">
        <w:trPr>
          <w:cantSplit/>
        </w:trPr>
        <w:tc>
          <w:tcPr>
            <w:tcW w:w="9010" w:type="dxa"/>
            <w:gridSpan w:val="2"/>
            <w:tcBorders>
              <w:top w:val="nil"/>
            </w:tcBorders>
          </w:tcPr>
          <w:p w14:paraId="79406207"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682083" w14:textId="77777777" w:rsidR="0087686A" w:rsidRDefault="0087686A"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p w14:paraId="5FC77590" w14:textId="7A12D451" w:rsidR="00D04FF6" w:rsidRDefault="00D04FF6"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1A4A9FF2" w14:textId="77777777" w:rsidR="00D463F3" w:rsidRDefault="00D463F3" w:rsidP="00D02C0E">
      <w:pPr>
        <w:widowControl w:val="0"/>
        <w:tabs>
          <w:tab w:val="center" w:pos="4320"/>
        </w:tabs>
        <w:spacing w:after="0" w:line="240" w:lineRule="auto"/>
        <w:rPr>
          <w:rFonts w:ascii="Times New Roman" w:eastAsia="Times New Roman" w:hAnsi="Times New Roman"/>
          <w:sz w:val="24"/>
          <w:szCs w:val="24"/>
        </w:rPr>
      </w:pPr>
    </w:p>
    <w:p w14:paraId="54294E3A" w14:textId="4C4F53B2" w:rsidR="00087BAC" w:rsidRDefault="00AB1D07" w:rsidP="00D02C0E">
      <w:pPr>
        <w:widowControl w:val="0"/>
        <w:tabs>
          <w:tab w:val="center" w:pos="432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rPr>
        <w:t>1</w:t>
      </w:r>
      <w:r w:rsidR="00A736A5">
        <w:rPr>
          <w:rFonts w:ascii="Times New Roman" w:eastAsia="Times New Roman" w:hAnsi="Times New Roman"/>
          <w:sz w:val="24"/>
          <w:szCs w:val="24"/>
        </w:rPr>
        <w:t>6</w:t>
      </w:r>
      <w:r w:rsidR="00D02C0E" w:rsidRPr="00C739E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0330B" w14:paraId="4AD5D7A3" w14:textId="77777777" w:rsidTr="003368EE">
        <w:trPr>
          <w:trHeight w:val="773"/>
        </w:trPr>
        <w:tc>
          <w:tcPr>
            <w:tcW w:w="7385" w:type="dxa"/>
            <w:tcBorders>
              <w:bottom w:val="single" w:sz="4" w:space="0" w:color="auto"/>
            </w:tcBorders>
          </w:tcPr>
          <w:p w14:paraId="4FAADB24" w14:textId="5A8988FC" w:rsidR="00FB6B3A" w:rsidRDefault="00FB6B3A" w:rsidP="00FB6B3A">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u w:val="single"/>
              </w:rPr>
              <w:t>Written Standards</w:t>
            </w:r>
            <w:r w:rsidRPr="00C739EF">
              <w:rPr>
                <w:rFonts w:ascii="Times New Roman" w:eastAsia="Times New Roman" w:hAnsi="Times New Roman"/>
                <w:sz w:val="24"/>
                <w:szCs w:val="24"/>
              </w:rPr>
              <w:t xml:space="preserve">: </w:t>
            </w:r>
            <w:r w:rsidR="00C2563E">
              <w:rPr>
                <w:rFonts w:ascii="Times New Roman" w:hAnsi="Times New Roman"/>
                <w:sz w:val="24"/>
                <w:szCs w:val="24"/>
              </w:rPr>
              <w:t>W</w:t>
            </w:r>
            <w:r w:rsidRPr="00C739EF">
              <w:rPr>
                <w:rFonts w:ascii="Times New Roman" w:hAnsi="Times New Roman"/>
                <w:sz w:val="24"/>
                <w:szCs w:val="24"/>
              </w:rPr>
              <w:t xml:space="preserve">ere all activities carried out in compliance with the </w:t>
            </w:r>
            <w:r w:rsidR="00646080">
              <w:rPr>
                <w:rFonts w:ascii="Times New Roman" w:hAnsi="Times New Roman"/>
                <w:sz w:val="24"/>
                <w:szCs w:val="24"/>
              </w:rPr>
              <w:t>applicable</w:t>
            </w:r>
            <w:r w:rsidRPr="00C739EF">
              <w:rPr>
                <w:rFonts w:ascii="Times New Roman" w:hAnsi="Times New Roman"/>
                <w:sz w:val="24"/>
                <w:szCs w:val="24"/>
              </w:rPr>
              <w:t xml:space="preserve"> written standards for targeting and providing essential services related to street outreach?</w:t>
            </w:r>
            <w:r w:rsidRPr="00C739EF" w:rsidDel="00030D2E">
              <w:rPr>
                <w:rFonts w:ascii="Times New Roman" w:eastAsia="Times New Roman" w:hAnsi="Times New Roman"/>
                <w:sz w:val="24"/>
                <w:szCs w:val="24"/>
              </w:rPr>
              <w:t xml:space="preserve"> </w:t>
            </w:r>
          </w:p>
          <w:p w14:paraId="6D956E37" w14:textId="77777777" w:rsidR="00A177FD" w:rsidRDefault="00A177FD" w:rsidP="00FB6B3A">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p>
          <w:p w14:paraId="77853DCC" w14:textId="77777777" w:rsidR="00A67CC6" w:rsidRDefault="00FC3ACC" w:rsidP="00A177FD">
            <w:pPr>
              <w:tabs>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A177FD">
              <w:rPr>
                <w:rFonts w:ascii="Times New Roman" w:eastAsia="Times New Roman" w:hAnsi="Times New Roman"/>
                <w:sz w:val="24"/>
                <w:szCs w:val="24"/>
              </w:rPr>
              <w:t xml:space="preserve">NOTE: </w:t>
            </w:r>
          </w:p>
          <w:p w14:paraId="264B1F7D" w14:textId="092F52B9" w:rsidR="00FC3ACC" w:rsidRPr="00A177FD" w:rsidRDefault="00FC3ACC" w:rsidP="00A177FD">
            <w:pPr>
              <w:tabs>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A177FD">
              <w:rPr>
                <w:rFonts w:ascii="Times New Roman" w:eastAsia="Times New Roman" w:hAnsi="Times New Roman"/>
                <w:sz w:val="24"/>
                <w:szCs w:val="24"/>
              </w:rPr>
              <w:t xml:space="preserve">For costs incurred between January 21, 2020 and June 30, 2020 that are allowable under Notice CPD 21-08 but not under 24 CFR Part 576, </w:t>
            </w:r>
            <w:r w:rsidR="00B42E1C" w:rsidRPr="00A177FD">
              <w:rPr>
                <w:rFonts w:ascii="Times New Roman" w:eastAsia="Times New Roman" w:hAnsi="Times New Roman"/>
                <w:sz w:val="24"/>
                <w:szCs w:val="24"/>
              </w:rPr>
              <w:t xml:space="preserve">HUD waived </w:t>
            </w:r>
            <w:r w:rsidRPr="00A177FD">
              <w:rPr>
                <w:rFonts w:ascii="Times New Roman" w:eastAsia="Times New Roman" w:hAnsi="Times New Roman"/>
                <w:sz w:val="24"/>
                <w:szCs w:val="24"/>
              </w:rPr>
              <w:t>the requirement to administer the assistance in accordance with written standards as provided under 24 CFR 576.400(f) for the first 60 days of the project’s operation</w:t>
            </w:r>
            <w:r w:rsidR="009D26CA" w:rsidRPr="00A177FD">
              <w:rPr>
                <w:rFonts w:ascii="Times New Roman" w:eastAsia="Times New Roman" w:hAnsi="Times New Roman"/>
                <w:sz w:val="24"/>
                <w:szCs w:val="24"/>
              </w:rPr>
              <w:t>, as stated in section III.F.5 of Notice CPD-21-08</w:t>
            </w:r>
            <w:r w:rsidRPr="00A177FD">
              <w:rPr>
                <w:rFonts w:ascii="Times New Roman" w:eastAsia="Times New Roman" w:hAnsi="Times New Roman"/>
                <w:sz w:val="24"/>
                <w:szCs w:val="24"/>
              </w:rPr>
              <w:t>.</w:t>
            </w:r>
          </w:p>
          <w:p w14:paraId="089B5680" w14:textId="77777777" w:rsidR="00A177FD" w:rsidRDefault="00A177FD" w:rsidP="00256DFB">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720"/>
              <w:rPr>
                <w:rFonts w:ascii="Times New Roman" w:eastAsia="Times New Roman" w:hAnsi="Times New Roman"/>
                <w:sz w:val="24"/>
                <w:szCs w:val="24"/>
              </w:rPr>
            </w:pPr>
          </w:p>
          <w:p w14:paraId="026E02D1" w14:textId="77777777" w:rsidR="00C0330B" w:rsidRDefault="00FB6B3A" w:rsidP="00FB6B3A">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t xml:space="preserve">24 CFR </w:t>
            </w:r>
            <w:r w:rsidRPr="00C739EF">
              <w:t>576.400(e)</w:t>
            </w:r>
            <w:r w:rsidR="005F4A05">
              <w:t xml:space="preserve">(1), (2), and </w:t>
            </w:r>
            <w:r w:rsidRPr="00C739EF">
              <w:t>(3)(ii)</w:t>
            </w:r>
            <w:r w:rsidR="00FC3ACC">
              <w:t xml:space="preserve">; </w:t>
            </w:r>
            <w:r w:rsidR="00C34CA5">
              <w:t>Section III.F.5</w:t>
            </w:r>
            <w:r w:rsidR="00A177FD">
              <w:t xml:space="preserve"> </w:t>
            </w:r>
            <w:r w:rsidR="00C34CA5">
              <w:t xml:space="preserve">of </w:t>
            </w:r>
            <w:r w:rsidR="00FC3ACC">
              <w:t>Notice CPD-21-08</w:t>
            </w:r>
            <w:r w:rsidRPr="00C739EF">
              <w:t>]</w:t>
            </w:r>
          </w:p>
          <w:p w14:paraId="68A5DD46" w14:textId="4923EDFE" w:rsidR="00D04FF6" w:rsidRDefault="00D04FF6" w:rsidP="00FB6B3A">
            <w:pPr>
              <w:pStyle w:val="Level1"/>
              <w:keepNext/>
              <w:keepLines/>
              <w:tabs>
                <w:tab w:val="clear" w:pos="360"/>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330B" w14:paraId="4F376F46" w14:textId="77777777" w:rsidTr="003368EE">
              <w:trPr>
                <w:trHeight w:val="170"/>
              </w:trPr>
              <w:tc>
                <w:tcPr>
                  <w:tcW w:w="425" w:type="dxa"/>
                </w:tcPr>
                <w:p w14:paraId="3E26C788"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576" w:type="dxa"/>
                </w:tcPr>
                <w:p w14:paraId="70C184F8"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606" w:type="dxa"/>
                </w:tcPr>
                <w:p w14:paraId="4B1712C2"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016A4">
                    <w:fldChar w:fldCharType="separate"/>
                  </w:r>
                  <w:r>
                    <w:fldChar w:fldCharType="end"/>
                  </w:r>
                </w:p>
              </w:tc>
            </w:tr>
            <w:tr w:rsidR="00C0330B" w14:paraId="38C76924" w14:textId="77777777" w:rsidTr="003368EE">
              <w:trPr>
                <w:trHeight w:val="225"/>
              </w:trPr>
              <w:tc>
                <w:tcPr>
                  <w:tcW w:w="425" w:type="dxa"/>
                </w:tcPr>
                <w:p w14:paraId="1CB49F42"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84E5DBF"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16F601F"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51968C9"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C0330B" w14:paraId="0ACD2460" w14:textId="77777777" w:rsidTr="003368EE">
        <w:trPr>
          <w:cantSplit/>
        </w:trPr>
        <w:tc>
          <w:tcPr>
            <w:tcW w:w="9010" w:type="dxa"/>
            <w:gridSpan w:val="2"/>
            <w:tcBorders>
              <w:bottom w:val="nil"/>
            </w:tcBorders>
          </w:tcPr>
          <w:p w14:paraId="08BE6248"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C0330B" w14:paraId="5258AC8E" w14:textId="77777777" w:rsidTr="003368EE">
        <w:trPr>
          <w:cantSplit/>
        </w:trPr>
        <w:tc>
          <w:tcPr>
            <w:tcW w:w="9010" w:type="dxa"/>
            <w:gridSpan w:val="2"/>
            <w:tcBorders>
              <w:top w:val="nil"/>
            </w:tcBorders>
          </w:tcPr>
          <w:p w14:paraId="41EF067B" w14:textId="21AA9151"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0AC016" w14:textId="77777777" w:rsidR="00C0330B" w:rsidRDefault="00C0330B"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p w14:paraId="09D88450" w14:textId="516EC1B9" w:rsidR="00D04FF6" w:rsidRDefault="00D04FF6" w:rsidP="003368E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2EE0A5F8" w14:textId="77777777" w:rsidR="00423BE8" w:rsidRDefault="002979AD" w:rsidP="002979AD">
      <w:pPr>
        <w:widowControl w:val="0"/>
        <w:tabs>
          <w:tab w:val="center" w:pos="4320"/>
        </w:tabs>
        <w:spacing w:after="0" w:line="240" w:lineRule="auto"/>
        <w:rPr>
          <w:rFonts w:ascii="Times New Roman" w:hAnsi="Times New Roman"/>
          <w:sz w:val="24"/>
          <w:szCs w:val="24"/>
        </w:rPr>
      </w:pPr>
      <w:r w:rsidRPr="00C739EF">
        <w:rPr>
          <w:rFonts w:ascii="Times New Roman" w:hAnsi="Times New Roman"/>
          <w:sz w:val="24"/>
          <w:szCs w:val="24"/>
        </w:rPr>
        <w:t xml:space="preserve"> </w:t>
      </w:r>
    </w:p>
    <w:p w14:paraId="51A6535E" w14:textId="77777777" w:rsidR="00581FD1" w:rsidRPr="00A177FD" w:rsidRDefault="00581FD1" w:rsidP="00FC3ACC">
      <w:pPr>
        <w:widowControl w:val="0"/>
        <w:spacing w:after="0" w:line="240" w:lineRule="auto"/>
        <w:rPr>
          <w:rFonts w:ascii="Times New Roman" w:hAnsi="Times New Roman"/>
          <w:sz w:val="24"/>
          <w:szCs w:val="24"/>
        </w:rPr>
      </w:pPr>
      <w:r w:rsidRPr="00A177FD">
        <w:rPr>
          <w:rFonts w:ascii="Times New Roman" w:hAnsi="Times New Roman"/>
          <w:sz w:val="24"/>
          <w:szCs w:val="24"/>
        </w:rPr>
        <w:t xml:space="preserve">17. </w:t>
      </w:r>
    </w:p>
    <w:tbl>
      <w:tblPr>
        <w:tblW w:w="0" w:type="auto"/>
        <w:tblInd w:w="360" w:type="dxa"/>
        <w:tblCellMar>
          <w:left w:w="0" w:type="dxa"/>
          <w:right w:w="0" w:type="dxa"/>
        </w:tblCellMar>
        <w:tblLook w:val="04A0" w:firstRow="1" w:lastRow="0" w:firstColumn="1" w:lastColumn="0" w:noHBand="0" w:noVBand="1"/>
      </w:tblPr>
      <w:tblGrid>
        <w:gridCol w:w="7358"/>
        <w:gridCol w:w="1622"/>
      </w:tblGrid>
      <w:tr w:rsidR="00581FD1" w14:paraId="10C9D44A" w14:textId="77777777" w:rsidTr="00795FA5">
        <w:trPr>
          <w:trHeight w:val="773"/>
        </w:trPr>
        <w:tc>
          <w:tcPr>
            <w:tcW w:w="7385" w:type="dxa"/>
            <w:tcBorders>
              <w:top w:val="single" w:sz="8" w:space="0" w:color="auto"/>
              <w:left w:val="single" w:sz="8" w:space="0" w:color="auto"/>
              <w:bottom w:val="single" w:sz="8" w:space="0" w:color="auto"/>
              <w:right w:val="single" w:sz="8" w:space="0" w:color="auto"/>
            </w:tcBorders>
            <w:hideMark/>
          </w:tcPr>
          <w:p w14:paraId="74D91A95" w14:textId="08E208C0" w:rsidR="00581FD1" w:rsidRPr="008C10C3" w:rsidRDefault="00581FD1" w:rsidP="00795FA5">
            <w:pPr>
              <w:spacing w:line="240" w:lineRule="auto"/>
              <w:rPr>
                <w:rFonts w:ascii="Times New Roman" w:hAnsi="Times New Roman"/>
                <w:sz w:val="24"/>
                <w:szCs w:val="24"/>
              </w:rPr>
            </w:pPr>
            <w:r w:rsidRPr="008C10C3">
              <w:rPr>
                <w:rFonts w:ascii="Times New Roman" w:hAnsi="Times New Roman"/>
                <w:sz w:val="24"/>
                <w:szCs w:val="24"/>
                <w:u w:val="single"/>
              </w:rPr>
              <w:t>Lead-Based Paint</w:t>
            </w:r>
            <w:r w:rsidRPr="008C10C3">
              <w:rPr>
                <w:rFonts w:ascii="Times New Roman" w:hAnsi="Times New Roman"/>
                <w:sz w:val="24"/>
                <w:szCs w:val="24"/>
              </w:rPr>
              <w:t xml:space="preserve">:  Where </w:t>
            </w:r>
            <w:r w:rsidRPr="002E7F5A">
              <w:rPr>
                <w:rFonts w:ascii="Times New Roman" w:hAnsi="Times New Roman"/>
                <w:sz w:val="24"/>
                <w:szCs w:val="24"/>
              </w:rPr>
              <w:t>ESG</w:t>
            </w:r>
            <w:r w:rsidRPr="008C10C3">
              <w:rPr>
                <w:rFonts w:ascii="Times New Roman" w:hAnsi="Times New Roman"/>
                <w:sz w:val="24"/>
                <w:szCs w:val="24"/>
              </w:rPr>
              <w:t xml:space="preserve"> funds</w:t>
            </w:r>
            <w:r>
              <w:rPr>
                <w:rFonts w:ascii="Times New Roman" w:hAnsi="Times New Roman"/>
                <w:sz w:val="24"/>
                <w:szCs w:val="24"/>
              </w:rPr>
              <w:t xml:space="preserve"> were</w:t>
            </w:r>
            <w:r w:rsidRPr="008C10C3">
              <w:rPr>
                <w:rFonts w:ascii="Times New Roman" w:hAnsi="Times New Roman"/>
                <w:sz w:val="24"/>
                <w:szCs w:val="24"/>
              </w:rPr>
              <w:t xml:space="preserve"> used for supportive services</w:t>
            </w:r>
            <w:r w:rsidR="00156828">
              <w:rPr>
                <w:rFonts w:ascii="Times New Roman" w:hAnsi="Times New Roman"/>
                <w:sz w:val="24"/>
                <w:szCs w:val="24"/>
              </w:rPr>
              <w:t xml:space="preserve"> in connection with particular shelter(s) or housing</w:t>
            </w:r>
            <w:r w:rsidRPr="008C10C3">
              <w:rPr>
                <w:rFonts w:ascii="Times New Roman" w:hAnsi="Times New Roman"/>
                <w:sz w:val="24"/>
                <w:szCs w:val="24"/>
              </w:rPr>
              <w:t>, do records reflect that the recipient and its subrecipient(s) complied with all lead-based paint requirements?</w:t>
            </w:r>
          </w:p>
          <w:p w14:paraId="5F84EAC4" w14:textId="77777777" w:rsidR="00A67CC6" w:rsidRDefault="00581FD1" w:rsidP="00A177FD">
            <w:pPr>
              <w:pStyle w:val="level10"/>
              <w:contextualSpacing/>
            </w:pPr>
            <w:r w:rsidRPr="00A177FD">
              <w:t xml:space="preserve">NOTE: </w:t>
            </w:r>
          </w:p>
          <w:p w14:paraId="47DDB360" w14:textId="4CA45C42" w:rsidR="00581FD1" w:rsidRDefault="00581FD1" w:rsidP="00A177FD">
            <w:pPr>
              <w:pStyle w:val="level10"/>
              <w:contextualSpacing/>
            </w:pPr>
            <w:r w:rsidRPr="00A177FD">
              <w:t>The HUD reviewer MUST complete the applicable Exhibits in Chapter 24 of this Handbook to answer this question: Exhibit 24-2.</w:t>
            </w:r>
          </w:p>
          <w:p w14:paraId="76B2A5EA" w14:textId="77777777" w:rsidR="00724E02" w:rsidRPr="00A177FD" w:rsidRDefault="00724E02" w:rsidP="00A177FD">
            <w:pPr>
              <w:pStyle w:val="level10"/>
              <w:contextualSpacing/>
            </w:pPr>
          </w:p>
          <w:p w14:paraId="72749F31" w14:textId="77777777" w:rsidR="00581FD1" w:rsidRDefault="00581FD1" w:rsidP="00795FA5">
            <w:pPr>
              <w:pStyle w:val="Level1"/>
            </w:pPr>
            <w:r w:rsidRPr="008C10C3">
              <w:t xml:space="preserve">[24 CFR 576.403(a); 24 CFR </w:t>
            </w:r>
            <w:r>
              <w:t>Part 35, Subpart K</w:t>
            </w:r>
            <w:r w:rsidRPr="008C10C3">
              <w:t>]</w:t>
            </w:r>
          </w:p>
          <w:p w14:paraId="0D5B13CA" w14:textId="77777777" w:rsidR="00D04FF6" w:rsidRDefault="00D04FF6" w:rsidP="00795FA5">
            <w:pPr>
              <w:pStyle w:val="Level1"/>
            </w:pPr>
          </w:p>
          <w:p w14:paraId="1F373D6C" w14:textId="7F0C13A8" w:rsidR="00D04FF6" w:rsidRPr="008C10C3" w:rsidRDefault="00D04FF6" w:rsidP="00795FA5">
            <w:pPr>
              <w:pStyle w:val="Level1"/>
            </w:pPr>
          </w:p>
        </w:tc>
        <w:tc>
          <w:tcPr>
            <w:tcW w:w="1625" w:type="dxa"/>
            <w:tcBorders>
              <w:top w:val="single" w:sz="8" w:space="0" w:color="auto"/>
              <w:left w:val="nil"/>
              <w:bottom w:val="single" w:sz="8" w:space="0" w:color="auto"/>
              <w:right w:val="single" w:sz="8" w:space="0" w:color="auto"/>
            </w:tcBorders>
            <w:hideMark/>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4"/>
              <w:gridCol w:w="604"/>
            </w:tblGrid>
            <w:tr w:rsidR="00501AE8" w14:paraId="64C3EEB2" w14:textId="77777777" w:rsidTr="004F37EE">
              <w:trPr>
                <w:trHeight w:val="170"/>
              </w:trPr>
              <w:tc>
                <w:tcPr>
                  <w:tcW w:w="425" w:type="dxa"/>
                </w:tcPr>
                <w:p w14:paraId="70D2A118" w14:textId="77777777" w:rsidR="00501AE8" w:rsidRDefault="00501AE8" w:rsidP="00501AE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576" w:type="dxa"/>
                </w:tcPr>
                <w:p w14:paraId="5B7AFEC4" w14:textId="77777777" w:rsidR="00501AE8" w:rsidRDefault="00501AE8" w:rsidP="00501AE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606" w:type="dxa"/>
                </w:tcPr>
                <w:p w14:paraId="188C9885" w14:textId="77777777" w:rsidR="00501AE8" w:rsidRDefault="00501AE8" w:rsidP="00501AE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016A4">
                    <w:fldChar w:fldCharType="separate"/>
                  </w:r>
                  <w:r>
                    <w:fldChar w:fldCharType="end"/>
                  </w:r>
                </w:p>
              </w:tc>
            </w:tr>
            <w:tr w:rsidR="00501AE8" w14:paraId="11048262" w14:textId="77777777" w:rsidTr="004F37EE">
              <w:trPr>
                <w:trHeight w:val="225"/>
              </w:trPr>
              <w:tc>
                <w:tcPr>
                  <w:tcW w:w="425" w:type="dxa"/>
                </w:tcPr>
                <w:p w14:paraId="4BA90E56" w14:textId="77777777" w:rsidR="00501AE8" w:rsidRDefault="00501AE8" w:rsidP="00501AE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F97D3C2" w14:textId="77777777" w:rsidR="00501AE8" w:rsidRDefault="00501AE8" w:rsidP="00501AE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EA37D22" w14:textId="77777777" w:rsidR="00501AE8" w:rsidRDefault="00501AE8" w:rsidP="00501AE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FEDCC77" w14:textId="77777777" w:rsidR="00581FD1" w:rsidRPr="008C10C3" w:rsidRDefault="00581FD1" w:rsidP="00795FA5">
            <w:pPr>
              <w:rPr>
                <w:rFonts w:ascii="Times New Roman" w:eastAsia="Times New Roman" w:hAnsi="Times New Roman"/>
                <w:sz w:val="20"/>
                <w:szCs w:val="20"/>
              </w:rPr>
            </w:pPr>
          </w:p>
        </w:tc>
      </w:tr>
      <w:tr w:rsidR="00581FD1" w14:paraId="5779E84C" w14:textId="77777777" w:rsidTr="00795FA5">
        <w:trPr>
          <w:cantSplit/>
        </w:trPr>
        <w:tc>
          <w:tcPr>
            <w:tcW w:w="9010" w:type="dxa"/>
            <w:gridSpan w:val="2"/>
            <w:tcBorders>
              <w:top w:val="nil"/>
              <w:left w:val="single" w:sz="8" w:space="0" w:color="auto"/>
              <w:bottom w:val="nil"/>
              <w:right w:val="single" w:sz="8" w:space="0" w:color="auto"/>
            </w:tcBorders>
            <w:hideMark/>
          </w:tcPr>
          <w:p w14:paraId="29E1D375" w14:textId="77777777" w:rsidR="00581FD1" w:rsidRPr="008C10C3" w:rsidRDefault="00581FD1" w:rsidP="00795FA5">
            <w:pPr>
              <w:pStyle w:val="Level1"/>
              <w:rPr>
                <w:rFonts w:eastAsiaTheme="minorHAnsi"/>
              </w:rPr>
            </w:pPr>
            <w:r w:rsidRPr="008C10C3">
              <w:rPr>
                <w:b/>
                <w:bCs/>
              </w:rPr>
              <w:t>Describe Basis for Conclusion:</w:t>
            </w:r>
          </w:p>
        </w:tc>
      </w:tr>
      <w:tr w:rsidR="00581FD1" w14:paraId="56E7712F" w14:textId="77777777" w:rsidTr="00795FA5">
        <w:trPr>
          <w:cantSplit/>
        </w:trPr>
        <w:tc>
          <w:tcPr>
            <w:tcW w:w="9010" w:type="dxa"/>
            <w:gridSpan w:val="2"/>
            <w:tcBorders>
              <w:top w:val="nil"/>
              <w:left w:val="single" w:sz="8" w:space="0" w:color="auto"/>
              <w:bottom w:val="single" w:sz="8" w:space="0" w:color="auto"/>
              <w:right w:val="single" w:sz="8" w:space="0" w:color="auto"/>
            </w:tcBorders>
            <w:hideMark/>
          </w:tcPr>
          <w:p w14:paraId="4F6EE66F" w14:textId="77777777" w:rsidR="00E72803" w:rsidRDefault="00724E02" w:rsidP="00724E02">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581FD1" w:rsidRPr="008C10C3">
              <w:t>  </w:t>
            </w:r>
          </w:p>
          <w:p w14:paraId="23771E74" w14:textId="10C0CC6B" w:rsidR="00581FD1" w:rsidRDefault="00581FD1" w:rsidP="00724E02">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8C10C3">
              <w:t>   </w:t>
            </w:r>
          </w:p>
          <w:p w14:paraId="7AD19FAC" w14:textId="4D933578" w:rsidR="00724E02" w:rsidRPr="008C10C3" w:rsidRDefault="00724E02" w:rsidP="00795FA5">
            <w:pPr>
              <w:pStyle w:val="Level1"/>
              <w:rPr>
                <w:sz w:val="20"/>
                <w:szCs w:val="20"/>
              </w:rPr>
            </w:pPr>
          </w:p>
        </w:tc>
      </w:tr>
    </w:tbl>
    <w:p w14:paraId="7FFDDAB9" w14:textId="642A9BC2" w:rsidR="00FC2C6F" w:rsidRDefault="00FC2C6F" w:rsidP="00FC3ACC">
      <w:pPr>
        <w:widowControl w:val="0"/>
        <w:spacing w:after="0" w:line="240" w:lineRule="auto"/>
        <w:rPr>
          <w:rFonts w:ascii="Times New Roman" w:hAnsi="Times New Roman"/>
          <w:sz w:val="24"/>
          <w:szCs w:val="24"/>
          <w:u w:val="single"/>
        </w:rPr>
      </w:pPr>
    </w:p>
    <w:p w14:paraId="306A54DF" w14:textId="18B40973" w:rsidR="00030474" w:rsidRDefault="00030474">
      <w:pPr>
        <w:spacing w:after="0" w:line="240" w:lineRule="auto"/>
        <w:rPr>
          <w:rFonts w:ascii="Times New Roman" w:hAnsi="Times New Roman"/>
          <w:sz w:val="24"/>
          <w:szCs w:val="24"/>
          <w:u w:val="single"/>
        </w:rPr>
      </w:pPr>
    </w:p>
    <w:p w14:paraId="6E8D067B" w14:textId="77777777" w:rsidR="00D04FF6" w:rsidRDefault="00D04FF6">
      <w:pPr>
        <w:spacing w:after="0" w:line="240" w:lineRule="auto"/>
        <w:rPr>
          <w:rFonts w:ascii="Times New Roman" w:hAnsi="Times New Roman"/>
          <w:sz w:val="24"/>
          <w:szCs w:val="24"/>
          <w:u w:val="single"/>
        </w:rPr>
      </w:pPr>
    </w:p>
    <w:p w14:paraId="7B4BE186" w14:textId="140C2168" w:rsidR="00467A2F" w:rsidRPr="00FC3ACC" w:rsidRDefault="00467A2F" w:rsidP="00FC3ACC">
      <w:pPr>
        <w:widowControl w:val="0"/>
        <w:spacing w:after="0" w:line="240" w:lineRule="auto"/>
        <w:rPr>
          <w:rFonts w:ascii="Times New Roman" w:hAnsi="Times New Roman"/>
          <w:sz w:val="24"/>
          <w:szCs w:val="24"/>
          <w:u w:val="single"/>
        </w:rPr>
      </w:pPr>
      <w:r>
        <w:rPr>
          <w:rFonts w:ascii="Times New Roman" w:hAnsi="Times New Roman"/>
          <w:sz w:val="24"/>
          <w:szCs w:val="24"/>
          <w:u w:val="single"/>
        </w:rPr>
        <w:lastRenderedPageBreak/>
        <w:t>B</w:t>
      </w:r>
      <w:r w:rsidRPr="003932DA">
        <w:rPr>
          <w:rFonts w:ascii="Times New Roman" w:hAnsi="Times New Roman"/>
          <w:sz w:val="24"/>
          <w:szCs w:val="24"/>
          <w:u w:val="single"/>
        </w:rPr>
        <w:t>.  EQUAL ACCESS</w:t>
      </w:r>
    </w:p>
    <w:p w14:paraId="2917C7FE" w14:textId="2F79BBE4" w:rsidR="00467A2F" w:rsidRDefault="00467A2F" w:rsidP="00467A2F">
      <w:pPr>
        <w:pStyle w:val="ListParagraph"/>
        <w:spacing w:after="0"/>
        <w:ind w:left="0"/>
        <w:contextualSpacing w:val="0"/>
        <w:rPr>
          <w:rFonts w:ascii="Times New Roman" w:hAnsi="Times New Roman"/>
          <w:sz w:val="24"/>
          <w:szCs w:val="24"/>
        </w:rPr>
      </w:pPr>
      <w:r>
        <w:rPr>
          <w:rFonts w:ascii="Times New Roman" w:hAnsi="Times New Roman"/>
          <w:sz w:val="24"/>
          <w:szCs w:val="24"/>
        </w:rPr>
        <w:t>1</w:t>
      </w:r>
      <w:r w:rsidR="00581FD1">
        <w:rPr>
          <w:rFonts w:ascii="Times New Roman" w:hAnsi="Times New Roman"/>
          <w:sz w:val="24"/>
          <w:szCs w:val="24"/>
        </w:rPr>
        <w:t>8</w:t>
      </w:r>
      <w:r>
        <w:rPr>
          <w:rFonts w:ascii="Times New Roman" w:hAnsi="Times New Roman"/>
          <w:sz w:val="24"/>
          <w:szCs w:val="24"/>
        </w:rPr>
        <w:t>.</w:t>
      </w:r>
    </w:p>
    <w:tbl>
      <w:tblPr>
        <w:tblW w:w="0" w:type="auto"/>
        <w:tblInd w:w="360" w:type="dxa"/>
        <w:tblCellMar>
          <w:left w:w="0" w:type="dxa"/>
          <w:right w:w="0" w:type="dxa"/>
        </w:tblCellMar>
        <w:tblLook w:val="04A0" w:firstRow="1" w:lastRow="0" w:firstColumn="1" w:lastColumn="0" w:noHBand="0" w:noVBand="1"/>
      </w:tblPr>
      <w:tblGrid>
        <w:gridCol w:w="7353"/>
        <w:gridCol w:w="1627"/>
      </w:tblGrid>
      <w:tr w:rsidR="00467A2F" w14:paraId="2899431F" w14:textId="77777777" w:rsidTr="00CC531D">
        <w:trPr>
          <w:trHeight w:val="773"/>
        </w:trPr>
        <w:tc>
          <w:tcPr>
            <w:tcW w:w="7353" w:type="dxa"/>
            <w:tcBorders>
              <w:top w:val="single" w:sz="8" w:space="0" w:color="auto"/>
              <w:left w:val="single" w:sz="8" w:space="0" w:color="auto"/>
              <w:bottom w:val="single" w:sz="8" w:space="0" w:color="auto"/>
              <w:right w:val="single" w:sz="8" w:space="0" w:color="auto"/>
            </w:tcBorders>
            <w:hideMark/>
          </w:tcPr>
          <w:p w14:paraId="54436B4C" w14:textId="096ABD73" w:rsidR="008F5F77" w:rsidRDefault="00467A2F" w:rsidP="00F70FE0">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Did each </w:t>
            </w:r>
            <w:r w:rsidR="00A57101">
              <w:t>service</w:t>
            </w:r>
            <w:r>
              <w:t xml:space="preserve"> provider</w:t>
            </w:r>
            <w:r w:rsidR="00136AC4">
              <w:t xml:space="preserve"> reviewed</w:t>
            </w:r>
            <w:r>
              <w:t xml:space="preserve"> maintain written policies and procedures ensuring equal access </w:t>
            </w:r>
            <w:r w:rsidR="00A57101">
              <w:t xml:space="preserve">is provided </w:t>
            </w:r>
            <w:r>
              <w:t xml:space="preserve">to </w:t>
            </w:r>
            <w:r w:rsidRPr="003932DA">
              <w:t>individuals in accordance with the individual’s gender identity, and in a manner that affords equal access to the individual’s family</w:t>
            </w:r>
            <w:r w:rsidR="00A57101">
              <w:t>?</w:t>
            </w:r>
          </w:p>
          <w:p w14:paraId="5EF289B7" w14:textId="77777777" w:rsidR="006C4CA5" w:rsidRDefault="006C4CA5" w:rsidP="00513CF5">
            <w:pPr>
              <w:pStyle w:val="Level1"/>
              <w:widowControl w:val="0"/>
              <w:tabs>
                <w:tab w:val="clear" w:pos="360"/>
                <w:tab w:val="clear" w:pos="8640"/>
                <w:tab w:val="left" w:pos="720"/>
                <w:tab w:val="left" w:pos="1440"/>
                <w:tab w:val="left" w:pos="2160"/>
                <w:tab w:val="left" w:pos="2880"/>
                <w:tab w:val="left" w:pos="3600"/>
                <w:tab w:val="left" w:pos="5040"/>
                <w:tab w:val="left" w:pos="5760"/>
                <w:tab w:val="left" w:pos="6480"/>
              </w:tabs>
            </w:pPr>
          </w:p>
          <w:p w14:paraId="4EFEE1D5" w14:textId="4DA0BCF6" w:rsidR="006234D1" w:rsidRDefault="00CB5970" w:rsidP="006C4CA5">
            <w:pPr>
              <w:pStyle w:val="Level1"/>
              <w:widowControl w:val="0"/>
              <w:tabs>
                <w:tab w:val="clear" w:pos="360"/>
                <w:tab w:val="left" w:pos="1440"/>
                <w:tab w:val="left" w:pos="2160"/>
                <w:tab w:val="left" w:pos="2880"/>
                <w:tab w:val="left" w:pos="3600"/>
                <w:tab w:val="left" w:pos="5040"/>
                <w:tab w:val="left" w:pos="5760"/>
                <w:tab w:val="left" w:pos="6480"/>
              </w:tabs>
              <w:rPr>
                <w:bCs/>
              </w:rPr>
            </w:pPr>
            <w:r w:rsidRPr="006C4CA5">
              <w:rPr>
                <w:bCs/>
              </w:rPr>
              <w:t>N</w:t>
            </w:r>
            <w:r w:rsidR="00256DFB" w:rsidRPr="006C4CA5">
              <w:rPr>
                <w:bCs/>
              </w:rPr>
              <w:t>OTE</w:t>
            </w:r>
            <w:r w:rsidRPr="006C4CA5">
              <w:rPr>
                <w:bCs/>
              </w:rPr>
              <w:t xml:space="preserve">: </w:t>
            </w:r>
          </w:p>
          <w:p w14:paraId="1AAF91A1" w14:textId="04F891D2" w:rsidR="008F5F77" w:rsidRDefault="00CB5970" w:rsidP="006C4CA5">
            <w:pPr>
              <w:pStyle w:val="Level1"/>
              <w:widowControl w:val="0"/>
              <w:tabs>
                <w:tab w:val="clear" w:pos="360"/>
                <w:tab w:val="left" w:pos="1440"/>
                <w:tab w:val="left" w:pos="2160"/>
                <w:tab w:val="left" w:pos="2880"/>
                <w:tab w:val="left" w:pos="3600"/>
                <w:tab w:val="left" w:pos="5040"/>
                <w:tab w:val="left" w:pos="5760"/>
                <w:tab w:val="left" w:pos="6480"/>
              </w:tabs>
              <w:rPr>
                <w:sz w:val="22"/>
                <w:szCs w:val="22"/>
              </w:rPr>
            </w:pPr>
            <w:r w:rsidRPr="006C4CA5">
              <w:rPr>
                <w:bCs/>
              </w:rPr>
              <w:t>Equal access ensures that, when consideration of sex is prohibited</w:t>
            </w:r>
            <w:r w:rsidRPr="006C4CA5">
              <w:t xml:space="preserve"> or not relevant, individuals will not be discriminated against based on actual or perceived gender identity, and where legitimate consideration of sex or gender is appropriate, such as in a facility providing temporary, short term shelter that is not covered by the Fair Housing Act, and which is legally permitted to operate as a single-sex facility, the individual’s own self-identified gender identity will govern.</w:t>
            </w:r>
          </w:p>
          <w:p w14:paraId="48D8D61F" w14:textId="77777777" w:rsidR="006C4CA5" w:rsidRPr="00256DFB" w:rsidRDefault="006C4CA5" w:rsidP="00256DFB">
            <w:pPr>
              <w:pStyle w:val="Level1"/>
              <w:widowControl w:val="0"/>
              <w:tabs>
                <w:tab w:val="clear" w:pos="360"/>
                <w:tab w:val="left" w:pos="720"/>
                <w:tab w:val="left" w:pos="1440"/>
                <w:tab w:val="left" w:pos="2160"/>
                <w:tab w:val="left" w:pos="2880"/>
                <w:tab w:val="left" w:pos="3600"/>
                <w:tab w:val="left" w:pos="5040"/>
                <w:tab w:val="left" w:pos="5760"/>
                <w:tab w:val="left" w:pos="6480"/>
              </w:tabs>
              <w:ind w:left="720"/>
              <w:rPr>
                <w:sz w:val="22"/>
                <w:szCs w:val="22"/>
              </w:rPr>
            </w:pPr>
          </w:p>
          <w:p w14:paraId="2EEEFAC1" w14:textId="1617ECB6" w:rsidR="00467A2F" w:rsidRDefault="00A57101" w:rsidP="00F70FE0">
            <w:pPr>
              <w:pStyle w:val="Level1"/>
              <w:widowControl w:val="0"/>
              <w:tabs>
                <w:tab w:val="clear" w:pos="360"/>
                <w:tab w:val="left" w:pos="720"/>
                <w:tab w:val="left" w:pos="1440"/>
                <w:tab w:val="left" w:pos="2160"/>
                <w:tab w:val="left" w:pos="2880"/>
                <w:tab w:val="left" w:pos="3600"/>
                <w:tab w:val="left" w:pos="5040"/>
                <w:tab w:val="left" w:pos="5760"/>
                <w:tab w:val="left" w:pos="6480"/>
              </w:tabs>
            </w:pPr>
            <w:r>
              <w:t>[</w:t>
            </w:r>
            <w:r w:rsidR="00467A2F">
              <w:t>24 CFR 5.106(b) and 5.106(d)</w:t>
            </w:r>
            <w:r>
              <w:t>]</w:t>
            </w:r>
          </w:p>
        </w:tc>
        <w:tc>
          <w:tcPr>
            <w:tcW w:w="1627" w:type="dxa"/>
            <w:tcBorders>
              <w:top w:val="single" w:sz="8" w:space="0" w:color="auto"/>
              <w:left w:val="nil"/>
              <w:bottom w:val="single" w:sz="8" w:space="0" w:color="auto"/>
              <w:right w:val="single" w:sz="8" w:space="0" w:color="auto"/>
            </w:tcBorders>
            <w:hideMark/>
          </w:tcPr>
          <w:tbl>
            <w:tblPr>
              <w:tblpPr w:leftFromText="180" w:rightFromText="180" w:vertAnchor="text" w:horzAnchor="margin" w:tblpXSpec="center" w:tblpY="40"/>
              <w:tblOverlap w:val="never"/>
              <w:tblW w:w="860" w:type="dxa"/>
              <w:tblCellMar>
                <w:left w:w="0" w:type="dxa"/>
                <w:right w:w="0" w:type="dxa"/>
              </w:tblCellMar>
              <w:tblLook w:val="04A0" w:firstRow="1" w:lastRow="0" w:firstColumn="1" w:lastColumn="0" w:noHBand="0" w:noVBand="1"/>
            </w:tblPr>
            <w:tblGrid>
              <w:gridCol w:w="564"/>
              <w:gridCol w:w="564"/>
            </w:tblGrid>
            <w:tr w:rsidR="00613F7D" w14:paraId="6D7E1DEF" w14:textId="77777777" w:rsidTr="005919CF">
              <w:trPr>
                <w:trHeight w:val="300"/>
              </w:trPr>
              <w:tc>
                <w:tcPr>
                  <w:tcW w:w="430" w:type="dxa"/>
                  <w:hideMark/>
                </w:tcPr>
                <w:p w14:paraId="45CE5F50" w14:textId="77777777" w:rsidR="00613F7D" w:rsidRDefault="00613F7D" w:rsidP="005919CF">
                  <w:pPr>
                    <w:pStyle w:val="Level1"/>
                    <w:keepNext/>
                    <w:tabs>
                      <w:tab w:val="clear" w:pos="360"/>
                    </w:tabs>
                    <w:spacing w:before="120" w:after="120"/>
                    <w:ind w:left="144" w:right="144"/>
                    <w:jc w:val="center"/>
                    <w:rPr>
                      <w:rFonts w:ascii="Verdana" w:hAnsi="Verdana"/>
                      <w:b/>
                      <w:bCs/>
                      <w:sz w:val="16"/>
                      <w:szCs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430" w:type="dxa"/>
                  <w:hideMark/>
                </w:tcPr>
                <w:p w14:paraId="192B5F99" w14:textId="77777777" w:rsidR="00613F7D" w:rsidRDefault="00613F7D" w:rsidP="005919CF">
                  <w:pPr>
                    <w:pStyle w:val="Level1"/>
                    <w:keepNext/>
                    <w:spacing w:before="120" w:after="120"/>
                    <w:ind w:left="144" w:right="144"/>
                    <w:jc w:val="center"/>
                    <w:rPr>
                      <w:rFonts w:ascii="Verdana" w:hAnsi="Verdana"/>
                      <w:b/>
                      <w:bCs/>
                      <w:sz w:val="16"/>
                      <w:szCs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r>
          </w:tbl>
          <w:tbl>
            <w:tblPr>
              <w:tblpPr w:leftFromText="180" w:rightFromText="180" w:vertAnchor="text" w:horzAnchor="margin" w:tblpXSpec="center" w:tblpY="78"/>
              <w:tblOverlap w:val="never"/>
              <w:tblW w:w="857" w:type="dxa"/>
              <w:tblCellMar>
                <w:left w:w="0" w:type="dxa"/>
                <w:right w:w="0" w:type="dxa"/>
              </w:tblCellMar>
              <w:tblLook w:val="0000" w:firstRow="0" w:lastRow="0" w:firstColumn="0" w:lastColumn="0" w:noHBand="0" w:noVBand="0"/>
            </w:tblPr>
            <w:tblGrid>
              <w:gridCol w:w="594"/>
              <w:gridCol w:w="534"/>
            </w:tblGrid>
            <w:tr w:rsidR="00613F7D" w14:paraId="2D468BB2" w14:textId="77777777" w:rsidTr="0014591A">
              <w:trPr>
                <w:trHeight w:val="316"/>
              </w:trPr>
              <w:tc>
                <w:tcPr>
                  <w:tcW w:w="0" w:type="auto"/>
                  <w:vAlign w:val="center"/>
                </w:tcPr>
                <w:p w14:paraId="1A4F4486" w14:textId="77777777" w:rsidR="00613F7D" w:rsidRDefault="00613F7D" w:rsidP="00513CF5">
                  <w:pPr>
                    <w:pStyle w:val="Level1"/>
                    <w:widowControl w:val="0"/>
                    <w:tabs>
                      <w:tab w:val="clear" w:pos="360"/>
                      <w:tab w:val="left" w:pos="720"/>
                      <w:tab w:val="left" w:pos="1440"/>
                      <w:tab w:val="left" w:pos="2160"/>
                      <w:tab w:val="left" w:pos="2880"/>
                      <w:tab w:val="left" w:pos="3600"/>
                      <w:tab w:val="left" w:pos="5040"/>
                      <w:tab w:val="left" w:pos="5760"/>
                      <w:tab w:val="left" w:pos="6480"/>
                    </w:tabs>
                    <w:spacing w:before="120" w:after="120"/>
                    <w:ind w:left="144" w:right="130"/>
                    <w:rPr>
                      <w:rFonts w:ascii="Verdana" w:hAnsi="Verdana"/>
                      <w:b/>
                      <w:bCs/>
                      <w:sz w:val="16"/>
                    </w:rPr>
                  </w:pPr>
                  <w:r>
                    <w:rPr>
                      <w:rFonts w:ascii="Verdana" w:hAnsi="Verdana"/>
                      <w:b/>
                      <w:bCs/>
                      <w:sz w:val="16"/>
                    </w:rPr>
                    <w:t>Yes</w:t>
                  </w:r>
                </w:p>
              </w:tc>
              <w:tc>
                <w:tcPr>
                  <w:tcW w:w="0" w:type="auto"/>
                </w:tcPr>
                <w:p w14:paraId="6E049554" w14:textId="77777777" w:rsidR="00613F7D" w:rsidRDefault="00613F7D" w:rsidP="005919CF">
                  <w:pPr>
                    <w:pStyle w:val="Level1"/>
                    <w:widowControl w:val="0"/>
                    <w:tabs>
                      <w:tab w:val="clear" w:pos="360"/>
                      <w:tab w:val="left" w:pos="720"/>
                      <w:tab w:val="left" w:pos="1440"/>
                      <w:tab w:val="left" w:pos="2160"/>
                      <w:tab w:val="left" w:pos="2880"/>
                      <w:tab w:val="left" w:pos="3600"/>
                      <w:tab w:val="left" w:pos="5040"/>
                      <w:tab w:val="left" w:pos="5760"/>
                      <w:tab w:val="left" w:pos="6480"/>
                    </w:tabs>
                    <w:spacing w:before="120" w:after="120"/>
                    <w:ind w:left="144" w:right="144"/>
                    <w:jc w:val="center"/>
                    <w:rPr>
                      <w:rFonts w:ascii="Verdana" w:hAnsi="Verdana"/>
                      <w:b/>
                      <w:bCs/>
                      <w:sz w:val="16"/>
                    </w:rPr>
                  </w:pPr>
                  <w:r>
                    <w:rPr>
                      <w:rFonts w:ascii="Verdana" w:hAnsi="Verdana"/>
                      <w:b/>
                      <w:bCs/>
                      <w:sz w:val="16"/>
                    </w:rPr>
                    <w:t>No</w:t>
                  </w:r>
                </w:p>
              </w:tc>
            </w:tr>
          </w:tbl>
          <w:p w14:paraId="0669EC42" w14:textId="77777777" w:rsidR="00467A2F" w:rsidRDefault="00467A2F" w:rsidP="0014591A">
            <w:pPr>
              <w:spacing w:after="0"/>
              <w:rPr>
                <w:rFonts w:eastAsia="Times New Roman"/>
                <w:sz w:val="20"/>
                <w:szCs w:val="20"/>
              </w:rPr>
            </w:pPr>
          </w:p>
        </w:tc>
      </w:tr>
      <w:tr w:rsidR="00467A2F" w14:paraId="08698ACB" w14:textId="77777777" w:rsidTr="00CC531D">
        <w:trPr>
          <w:cantSplit/>
        </w:trPr>
        <w:tc>
          <w:tcPr>
            <w:tcW w:w="8980" w:type="dxa"/>
            <w:gridSpan w:val="2"/>
            <w:tcBorders>
              <w:top w:val="nil"/>
              <w:left w:val="single" w:sz="8" w:space="0" w:color="auto"/>
              <w:bottom w:val="nil"/>
              <w:right w:val="single" w:sz="8" w:space="0" w:color="auto"/>
            </w:tcBorders>
            <w:hideMark/>
          </w:tcPr>
          <w:p w14:paraId="1AB0B702" w14:textId="77777777" w:rsidR="00467A2F" w:rsidRDefault="00467A2F" w:rsidP="00F70FE0">
            <w:pPr>
              <w:pStyle w:val="Level1"/>
              <w:keepNext/>
            </w:pPr>
            <w:r>
              <w:rPr>
                <w:b/>
                <w:bCs/>
              </w:rPr>
              <w:t>Describe Basis for Conclusion:</w:t>
            </w:r>
          </w:p>
        </w:tc>
      </w:tr>
      <w:tr w:rsidR="00467A2F" w14:paraId="3232CCE7" w14:textId="77777777" w:rsidTr="00CC531D">
        <w:trPr>
          <w:cantSplit/>
        </w:trPr>
        <w:tc>
          <w:tcPr>
            <w:tcW w:w="8980" w:type="dxa"/>
            <w:gridSpan w:val="2"/>
            <w:tcBorders>
              <w:top w:val="nil"/>
              <w:left w:val="single" w:sz="8" w:space="0" w:color="auto"/>
              <w:bottom w:val="single" w:sz="8" w:space="0" w:color="auto"/>
              <w:right w:val="single" w:sz="8" w:space="0" w:color="auto"/>
            </w:tcBorders>
          </w:tcPr>
          <w:p w14:paraId="53FE30A9" w14:textId="241FEE5D" w:rsidR="00467A2F" w:rsidRDefault="006234D1" w:rsidP="00F70FE0">
            <w:pPr>
              <w:pStyle w:val="Level1"/>
              <w:keepNext/>
              <w:rPr>
                <w:sz w:val="20"/>
                <w:szCs w:val="20"/>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467A2F">
              <w:t>     </w:t>
            </w:r>
          </w:p>
          <w:p w14:paraId="125A6DCB" w14:textId="77777777" w:rsidR="00467A2F" w:rsidRDefault="00467A2F" w:rsidP="00F70FE0">
            <w:pPr>
              <w:pStyle w:val="Level1"/>
              <w:keepNext/>
            </w:pPr>
          </w:p>
        </w:tc>
      </w:tr>
    </w:tbl>
    <w:p w14:paraId="3DD15E3F" w14:textId="77777777" w:rsidR="00A67CC6" w:rsidRDefault="00A67CC6" w:rsidP="00467A2F">
      <w:pPr>
        <w:pStyle w:val="ListParagraph"/>
        <w:spacing w:after="0"/>
        <w:ind w:left="0"/>
        <w:contextualSpacing w:val="0"/>
        <w:rPr>
          <w:rFonts w:ascii="Times New Roman" w:hAnsi="Times New Roman"/>
          <w:sz w:val="24"/>
          <w:szCs w:val="24"/>
        </w:rPr>
      </w:pPr>
    </w:p>
    <w:p w14:paraId="251A7074" w14:textId="4070AE09" w:rsidR="00467A2F" w:rsidRPr="003932DA" w:rsidRDefault="00467A2F" w:rsidP="00467A2F">
      <w:pPr>
        <w:pStyle w:val="ListParagraph"/>
        <w:spacing w:after="0"/>
        <w:ind w:left="0"/>
        <w:contextualSpacing w:val="0"/>
        <w:rPr>
          <w:rFonts w:ascii="Times New Roman" w:hAnsi="Times New Roman"/>
          <w:sz w:val="24"/>
          <w:szCs w:val="24"/>
        </w:rPr>
      </w:pPr>
      <w:r>
        <w:rPr>
          <w:rFonts w:ascii="Times New Roman" w:hAnsi="Times New Roman"/>
          <w:sz w:val="24"/>
          <w:szCs w:val="24"/>
        </w:rPr>
        <w:t>1</w:t>
      </w:r>
      <w:r w:rsidR="00581FD1">
        <w:rPr>
          <w:rFonts w:ascii="Times New Roman" w:hAnsi="Times New Roman"/>
          <w:sz w:val="24"/>
          <w:szCs w:val="24"/>
        </w:rPr>
        <w:t>9</w:t>
      </w:r>
      <w:r w:rsidRPr="003932DA">
        <w:rPr>
          <w:rFonts w:ascii="Times New Roman" w:hAnsi="Times New Roman"/>
          <w:sz w:val="24"/>
          <w:szCs w:val="24"/>
        </w:rPr>
        <w:t>.</w:t>
      </w:r>
    </w:p>
    <w:tbl>
      <w:tblPr>
        <w:tblW w:w="0" w:type="auto"/>
        <w:tblInd w:w="360" w:type="dxa"/>
        <w:tblCellMar>
          <w:left w:w="0" w:type="dxa"/>
          <w:right w:w="0" w:type="dxa"/>
        </w:tblCellMar>
        <w:tblLook w:val="04A0" w:firstRow="1" w:lastRow="0" w:firstColumn="1" w:lastColumn="0" w:noHBand="0" w:noVBand="1"/>
      </w:tblPr>
      <w:tblGrid>
        <w:gridCol w:w="7362"/>
        <w:gridCol w:w="1618"/>
      </w:tblGrid>
      <w:tr w:rsidR="009C214A" w14:paraId="29917424" w14:textId="77777777" w:rsidTr="009C214A">
        <w:trPr>
          <w:trHeight w:val="773"/>
        </w:trPr>
        <w:tc>
          <w:tcPr>
            <w:tcW w:w="7362" w:type="dxa"/>
            <w:tcBorders>
              <w:top w:val="single" w:sz="8" w:space="0" w:color="auto"/>
              <w:left w:val="single" w:sz="8" w:space="0" w:color="auto"/>
              <w:bottom w:val="single" w:sz="8" w:space="0" w:color="auto"/>
              <w:right w:val="single" w:sz="8" w:space="0" w:color="auto"/>
            </w:tcBorders>
            <w:hideMark/>
          </w:tcPr>
          <w:p w14:paraId="3E11A827" w14:textId="1E0E4BED" w:rsidR="009C214A" w:rsidRDefault="009C214A" w:rsidP="009C214A">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Did each service provider reviewed maintain written policies and procedures ensuring that </w:t>
            </w:r>
            <w:r w:rsidRPr="003932DA">
              <w:t xml:space="preserve">individuals are </w:t>
            </w:r>
            <w:r w:rsidR="00DF02D2">
              <w:t>placed, served, and accommodated in accordance with their gender identity and are</w:t>
            </w:r>
            <w:r w:rsidR="00DF02D2" w:rsidRPr="003932DA">
              <w:t xml:space="preserve"> </w:t>
            </w:r>
            <w:r w:rsidRPr="003932DA">
              <w:t>not subjected to intrusive questioning or asked to provide anatomical information or documentary, physical, or medical evidence of the individual’s gender identity</w:t>
            </w:r>
            <w:r>
              <w:t xml:space="preserve">? </w:t>
            </w:r>
          </w:p>
          <w:p w14:paraId="53093D55" w14:textId="77777777" w:rsidR="009C214A" w:rsidRDefault="009C214A" w:rsidP="009C214A">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2BD35E74" w14:textId="66DB5205" w:rsidR="009C214A" w:rsidRPr="00A67CC6" w:rsidRDefault="009C214A" w:rsidP="009C214A">
            <w:pPr>
              <w:pStyle w:val="Level1"/>
              <w:widowControl w:val="0"/>
              <w:tabs>
                <w:tab w:val="clear" w:pos="360"/>
                <w:tab w:val="left" w:pos="720"/>
                <w:tab w:val="left" w:pos="1440"/>
                <w:tab w:val="left" w:pos="2160"/>
                <w:tab w:val="left" w:pos="2880"/>
                <w:tab w:val="left" w:pos="3600"/>
                <w:tab w:val="left" w:pos="5040"/>
                <w:tab w:val="left" w:pos="5760"/>
                <w:tab w:val="left" w:pos="6480"/>
              </w:tabs>
              <w:rPr>
                <w:bCs/>
                <w:sz w:val="22"/>
                <w:szCs w:val="22"/>
              </w:rPr>
            </w:pPr>
            <w:r w:rsidRPr="00A67CC6">
              <w:rPr>
                <w:bCs/>
                <w:sz w:val="22"/>
                <w:szCs w:val="22"/>
              </w:rPr>
              <w:t xml:space="preserve">NOTES: </w:t>
            </w:r>
          </w:p>
          <w:p w14:paraId="71B42D47" w14:textId="1A6B922C" w:rsidR="009C214A" w:rsidRPr="00DF02D2" w:rsidRDefault="009C214A" w:rsidP="009C214A">
            <w:pPr>
              <w:pStyle w:val="Level1"/>
              <w:widowControl w:val="0"/>
              <w:numPr>
                <w:ilvl w:val="0"/>
                <w:numId w:val="30"/>
              </w:numPr>
              <w:tabs>
                <w:tab w:val="left" w:pos="1440"/>
                <w:tab w:val="left" w:pos="2160"/>
                <w:tab w:val="left" w:pos="2880"/>
                <w:tab w:val="left" w:pos="3600"/>
                <w:tab w:val="left" w:pos="5040"/>
                <w:tab w:val="left" w:pos="5760"/>
                <w:tab w:val="left" w:pos="6480"/>
              </w:tabs>
              <w:ind w:left="430"/>
            </w:pPr>
            <w:r w:rsidRPr="00DF02D2">
              <w:t>Examples of asking a client to provide evidence would be asking to provide evidence about someone’s physical anatomy, medical records, or identification documents that record their gender identity.</w:t>
            </w:r>
          </w:p>
          <w:p w14:paraId="4575195D" w14:textId="77777777" w:rsidR="009C214A" w:rsidRDefault="009C214A" w:rsidP="009C214A">
            <w:pPr>
              <w:pStyle w:val="Level1"/>
              <w:widowControl w:val="0"/>
              <w:numPr>
                <w:ilvl w:val="0"/>
                <w:numId w:val="30"/>
              </w:numPr>
              <w:tabs>
                <w:tab w:val="left" w:pos="1440"/>
                <w:tab w:val="left" w:pos="2160"/>
                <w:tab w:val="left" w:pos="2880"/>
                <w:tab w:val="left" w:pos="3600"/>
                <w:tab w:val="left" w:pos="5040"/>
                <w:tab w:val="left" w:pos="5760"/>
                <w:tab w:val="left" w:pos="6480"/>
              </w:tabs>
              <w:ind w:left="430"/>
            </w:pPr>
            <w:r>
              <w:t>Examples of unnecessary, intrusive questioning would be asking about surgeries or other medical treatment, physical anatomy, and any other topics that are not necessary for placing and serving a client in the facility.</w:t>
            </w:r>
          </w:p>
          <w:p w14:paraId="10077E37" w14:textId="77777777" w:rsidR="009C214A" w:rsidRDefault="009C214A" w:rsidP="009C214A">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0258D4AE" w14:textId="5D1F722A" w:rsidR="009C214A" w:rsidRDefault="009C214A" w:rsidP="009C214A">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5.106(b)(3) and 5.106(d)]</w:t>
            </w:r>
          </w:p>
        </w:tc>
        <w:tc>
          <w:tcPr>
            <w:tcW w:w="1618" w:type="dxa"/>
            <w:tcBorders>
              <w:top w:val="single" w:sz="8" w:space="0" w:color="auto"/>
              <w:left w:val="nil"/>
              <w:bottom w:val="single" w:sz="8" w:space="0" w:color="auto"/>
              <w:right w:val="single" w:sz="8" w:space="0" w:color="auto"/>
            </w:tcBorders>
            <w:hideMark/>
          </w:tcPr>
          <w:tbl>
            <w:tblPr>
              <w:tblpPr w:leftFromText="180" w:rightFromText="180" w:vertAnchor="text" w:horzAnchor="margin" w:tblpXSpec="center" w:tblpY="40"/>
              <w:tblOverlap w:val="never"/>
              <w:tblW w:w="860" w:type="dxa"/>
              <w:tblCellMar>
                <w:left w:w="0" w:type="dxa"/>
                <w:right w:w="0" w:type="dxa"/>
              </w:tblCellMar>
              <w:tblLook w:val="04A0" w:firstRow="1" w:lastRow="0" w:firstColumn="1" w:lastColumn="0" w:noHBand="0" w:noVBand="1"/>
            </w:tblPr>
            <w:tblGrid>
              <w:gridCol w:w="564"/>
              <w:gridCol w:w="564"/>
            </w:tblGrid>
            <w:tr w:rsidR="009C214A" w14:paraId="77A0679C" w14:textId="77777777" w:rsidTr="004F37EE">
              <w:trPr>
                <w:trHeight w:val="300"/>
              </w:trPr>
              <w:tc>
                <w:tcPr>
                  <w:tcW w:w="430" w:type="dxa"/>
                  <w:hideMark/>
                </w:tcPr>
                <w:p w14:paraId="73A5D863" w14:textId="77777777" w:rsidR="009C214A" w:rsidRDefault="009C214A" w:rsidP="009C214A">
                  <w:pPr>
                    <w:pStyle w:val="Level1"/>
                    <w:keepNext/>
                    <w:tabs>
                      <w:tab w:val="clear" w:pos="360"/>
                    </w:tabs>
                    <w:spacing w:before="120" w:after="120"/>
                    <w:ind w:left="144" w:right="144"/>
                    <w:jc w:val="center"/>
                    <w:rPr>
                      <w:rFonts w:ascii="Verdana" w:hAnsi="Verdana"/>
                      <w:b/>
                      <w:bCs/>
                      <w:sz w:val="16"/>
                      <w:szCs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c>
                <w:tcPr>
                  <w:tcW w:w="430" w:type="dxa"/>
                  <w:hideMark/>
                </w:tcPr>
                <w:p w14:paraId="3C6B336B" w14:textId="77777777" w:rsidR="009C214A" w:rsidRDefault="009C214A" w:rsidP="009C214A">
                  <w:pPr>
                    <w:pStyle w:val="Level1"/>
                    <w:keepNext/>
                    <w:spacing w:before="120" w:after="120"/>
                    <w:ind w:left="144" w:right="144"/>
                    <w:jc w:val="center"/>
                    <w:rPr>
                      <w:rFonts w:ascii="Verdana" w:hAnsi="Verdana"/>
                      <w:b/>
                      <w:bCs/>
                      <w:sz w:val="16"/>
                      <w:szCs w:val="16"/>
                    </w:rPr>
                  </w:pPr>
                  <w:r>
                    <w:fldChar w:fldCharType="begin">
                      <w:ffData>
                        <w:name w:val="Check1"/>
                        <w:enabled/>
                        <w:calcOnExit w:val="0"/>
                        <w:checkBox>
                          <w:sizeAuto/>
                          <w:default w:val="0"/>
                        </w:checkBox>
                      </w:ffData>
                    </w:fldChar>
                  </w:r>
                  <w:r>
                    <w:instrText xml:space="preserve"> FORMCHECKBOX </w:instrText>
                  </w:r>
                  <w:r w:rsidR="006016A4">
                    <w:fldChar w:fldCharType="separate"/>
                  </w:r>
                  <w:r>
                    <w:fldChar w:fldCharType="end"/>
                  </w:r>
                </w:p>
              </w:tc>
            </w:tr>
          </w:tbl>
          <w:tbl>
            <w:tblPr>
              <w:tblpPr w:leftFromText="180" w:rightFromText="180" w:vertAnchor="text" w:horzAnchor="margin" w:tblpXSpec="center" w:tblpY="78"/>
              <w:tblOverlap w:val="never"/>
              <w:tblW w:w="857" w:type="dxa"/>
              <w:tblCellMar>
                <w:left w:w="0" w:type="dxa"/>
                <w:right w:w="0" w:type="dxa"/>
              </w:tblCellMar>
              <w:tblLook w:val="0000" w:firstRow="0" w:lastRow="0" w:firstColumn="0" w:lastColumn="0" w:noHBand="0" w:noVBand="0"/>
            </w:tblPr>
            <w:tblGrid>
              <w:gridCol w:w="594"/>
              <w:gridCol w:w="534"/>
            </w:tblGrid>
            <w:tr w:rsidR="009C214A" w14:paraId="4B947638" w14:textId="77777777" w:rsidTr="004F37EE">
              <w:trPr>
                <w:trHeight w:val="316"/>
              </w:trPr>
              <w:tc>
                <w:tcPr>
                  <w:tcW w:w="0" w:type="auto"/>
                  <w:vAlign w:val="center"/>
                </w:tcPr>
                <w:p w14:paraId="5FB3C069" w14:textId="77777777" w:rsidR="009C214A" w:rsidRDefault="009C214A" w:rsidP="009C214A">
                  <w:pPr>
                    <w:pStyle w:val="Level1"/>
                    <w:widowControl w:val="0"/>
                    <w:tabs>
                      <w:tab w:val="clear" w:pos="360"/>
                      <w:tab w:val="left" w:pos="720"/>
                      <w:tab w:val="left" w:pos="1440"/>
                      <w:tab w:val="left" w:pos="2160"/>
                      <w:tab w:val="left" w:pos="2880"/>
                      <w:tab w:val="left" w:pos="3600"/>
                      <w:tab w:val="left" w:pos="5040"/>
                      <w:tab w:val="left" w:pos="5760"/>
                      <w:tab w:val="left" w:pos="6480"/>
                    </w:tabs>
                    <w:spacing w:before="120" w:after="120"/>
                    <w:ind w:left="144" w:right="130"/>
                    <w:rPr>
                      <w:rFonts w:ascii="Verdana" w:hAnsi="Verdana"/>
                      <w:b/>
                      <w:bCs/>
                      <w:sz w:val="16"/>
                    </w:rPr>
                  </w:pPr>
                  <w:r>
                    <w:rPr>
                      <w:rFonts w:ascii="Verdana" w:hAnsi="Verdana"/>
                      <w:b/>
                      <w:bCs/>
                      <w:sz w:val="16"/>
                    </w:rPr>
                    <w:t>Yes</w:t>
                  </w:r>
                </w:p>
              </w:tc>
              <w:tc>
                <w:tcPr>
                  <w:tcW w:w="0" w:type="auto"/>
                </w:tcPr>
                <w:p w14:paraId="0DE955FD" w14:textId="77777777" w:rsidR="009C214A" w:rsidRDefault="009C214A" w:rsidP="009C214A">
                  <w:pPr>
                    <w:pStyle w:val="Level1"/>
                    <w:widowControl w:val="0"/>
                    <w:tabs>
                      <w:tab w:val="clear" w:pos="360"/>
                      <w:tab w:val="left" w:pos="720"/>
                      <w:tab w:val="left" w:pos="1440"/>
                      <w:tab w:val="left" w:pos="2160"/>
                      <w:tab w:val="left" w:pos="2880"/>
                      <w:tab w:val="left" w:pos="3600"/>
                      <w:tab w:val="left" w:pos="5040"/>
                      <w:tab w:val="left" w:pos="5760"/>
                      <w:tab w:val="left" w:pos="6480"/>
                    </w:tabs>
                    <w:spacing w:before="120" w:after="120"/>
                    <w:ind w:left="144" w:right="144"/>
                    <w:jc w:val="center"/>
                    <w:rPr>
                      <w:rFonts w:ascii="Verdana" w:hAnsi="Verdana"/>
                      <w:b/>
                      <w:bCs/>
                      <w:sz w:val="16"/>
                    </w:rPr>
                  </w:pPr>
                  <w:r>
                    <w:rPr>
                      <w:rFonts w:ascii="Verdana" w:hAnsi="Verdana"/>
                      <w:b/>
                      <w:bCs/>
                      <w:sz w:val="16"/>
                    </w:rPr>
                    <w:t>No</w:t>
                  </w:r>
                </w:p>
              </w:tc>
            </w:tr>
          </w:tbl>
          <w:p w14:paraId="2C8C9DE0" w14:textId="77777777" w:rsidR="009C214A" w:rsidRDefault="009C214A" w:rsidP="009C214A">
            <w:pPr>
              <w:rPr>
                <w:rFonts w:eastAsia="Times New Roman"/>
                <w:sz w:val="20"/>
                <w:szCs w:val="20"/>
              </w:rPr>
            </w:pPr>
          </w:p>
        </w:tc>
      </w:tr>
      <w:tr w:rsidR="009C214A" w14:paraId="3597FD2B" w14:textId="77777777" w:rsidTr="009C214A">
        <w:trPr>
          <w:cantSplit/>
        </w:trPr>
        <w:tc>
          <w:tcPr>
            <w:tcW w:w="8980" w:type="dxa"/>
            <w:gridSpan w:val="2"/>
            <w:tcBorders>
              <w:top w:val="nil"/>
              <w:left w:val="single" w:sz="8" w:space="0" w:color="auto"/>
              <w:bottom w:val="nil"/>
              <w:right w:val="single" w:sz="8" w:space="0" w:color="auto"/>
            </w:tcBorders>
            <w:hideMark/>
          </w:tcPr>
          <w:p w14:paraId="4C2153C8" w14:textId="77777777" w:rsidR="009C214A" w:rsidRDefault="009C214A" w:rsidP="009C214A">
            <w:pPr>
              <w:pStyle w:val="Level1"/>
              <w:keepNext/>
            </w:pPr>
            <w:r>
              <w:rPr>
                <w:b/>
                <w:bCs/>
              </w:rPr>
              <w:t>Describe Basis for Conclusion:</w:t>
            </w:r>
          </w:p>
        </w:tc>
      </w:tr>
      <w:tr w:rsidR="009C214A" w14:paraId="22F25177" w14:textId="77777777" w:rsidTr="009C214A">
        <w:trPr>
          <w:cantSplit/>
        </w:trPr>
        <w:tc>
          <w:tcPr>
            <w:tcW w:w="8980" w:type="dxa"/>
            <w:gridSpan w:val="2"/>
            <w:tcBorders>
              <w:top w:val="nil"/>
              <w:left w:val="single" w:sz="8" w:space="0" w:color="auto"/>
              <w:bottom w:val="single" w:sz="8" w:space="0" w:color="auto"/>
              <w:right w:val="single" w:sz="8" w:space="0" w:color="auto"/>
            </w:tcBorders>
          </w:tcPr>
          <w:p w14:paraId="22D82879" w14:textId="4833D63D" w:rsidR="009C214A" w:rsidRDefault="009C214A" w:rsidP="009C214A">
            <w:pPr>
              <w:pStyle w:val="Level1"/>
              <w:keepNext/>
              <w:rPr>
                <w:sz w:val="20"/>
                <w:szCs w:val="20"/>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p>
          <w:p w14:paraId="5658AD04" w14:textId="77777777" w:rsidR="009C214A" w:rsidRDefault="009C214A" w:rsidP="009C214A">
            <w:pPr>
              <w:pStyle w:val="Level1"/>
              <w:keepNext/>
            </w:pPr>
          </w:p>
        </w:tc>
      </w:tr>
    </w:tbl>
    <w:p w14:paraId="452C01FF" w14:textId="77777777" w:rsidR="00467A2F" w:rsidRPr="000E1C1E" w:rsidRDefault="00467A2F" w:rsidP="00467A2F">
      <w:pPr>
        <w:widowControl w:val="0"/>
        <w:rPr>
          <w:rFonts w:ascii="Times New Roman" w:hAnsi="Times New Roman"/>
          <w:sz w:val="24"/>
          <w:szCs w:val="24"/>
        </w:rPr>
      </w:pPr>
    </w:p>
    <w:sectPr w:rsidR="00467A2F" w:rsidRPr="000E1C1E" w:rsidSect="007C4C2F">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44028" w14:textId="77777777" w:rsidR="0026221A" w:rsidRDefault="0026221A" w:rsidP="006D5305">
      <w:pPr>
        <w:spacing w:after="0" w:line="240" w:lineRule="auto"/>
      </w:pPr>
      <w:r>
        <w:separator/>
      </w:r>
    </w:p>
  </w:endnote>
  <w:endnote w:type="continuationSeparator" w:id="0">
    <w:p w14:paraId="6991B7C1" w14:textId="77777777" w:rsidR="0026221A" w:rsidRDefault="0026221A" w:rsidP="006D5305">
      <w:pPr>
        <w:spacing w:after="0" w:line="240" w:lineRule="auto"/>
      </w:pPr>
      <w:r>
        <w:continuationSeparator/>
      </w:r>
    </w:p>
  </w:endnote>
  <w:endnote w:type="continuationNotice" w:id="1">
    <w:p w14:paraId="2F8F6640" w14:textId="77777777" w:rsidR="0026221A" w:rsidRDefault="002622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A385" w14:textId="23D6D695" w:rsidR="00E66E13" w:rsidRPr="00FC41FD" w:rsidRDefault="00E66E13">
    <w:pPr>
      <w:pStyle w:val="Footer"/>
      <w:jc w:val="center"/>
      <w:rPr>
        <w:rFonts w:ascii="Times New Roman" w:hAnsi="Times New Roman"/>
      </w:rPr>
    </w:pPr>
    <w:r>
      <w:tab/>
    </w:r>
    <w:r w:rsidRPr="00FC41FD">
      <w:rPr>
        <w:rFonts w:ascii="Times New Roman" w:hAnsi="Times New Roman"/>
      </w:rPr>
      <w:t xml:space="preserve">36-36.4-4 Page </w:t>
    </w:r>
    <w:sdt>
      <w:sdtPr>
        <w:rPr>
          <w:rFonts w:ascii="Times New Roman" w:hAnsi="Times New Roman"/>
        </w:rPr>
        <w:id w:val="-1680884316"/>
        <w:docPartObj>
          <w:docPartGallery w:val="Page Numbers (Bottom of Page)"/>
          <w:docPartUnique/>
        </w:docPartObj>
      </w:sdtPr>
      <w:sdtEndPr>
        <w:rPr>
          <w:noProof/>
        </w:rPr>
      </w:sdtEndPr>
      <w:sdtContent>
        <w:r w:rsidRPr="00FC41FD">
          <w:rPr>
            <w:rFonts w:ascii="Times New Roman" w:hAnsi="Times New Roman"/>
          </w:rPr>
          <w:fldChar w:fldCharType="begin"/>
        </w:r>
        <w:r w:rsidRPr="00FC41FD">
          <w:rPr>
            <w:rFonts w:ascii="Times New Roman" w:hAnsi="Times New Roman"/>
          </w:rPr>
          <w:instrText xml:space="preserve"> PAGE   \* MERGEFORMAT </w:instrText>
        </w:r>
        <w:r w:rsidRPr="00FC41FD">
          <w:rPr>
            <w:rFonts w:ascii="Times New Roman" w:hAnsi="Times New Roman"/>
          </w:rPr>
          <w:fldChar w:fldCharType="separate"/>
        </w:r>
        <w:r w:rsidRPr="00FC41FD">
          <w:rPr>
            <w:rFonts w:ascii="Times New Roman" w:hAnsi="Times New Roman"/>
            <w:noProof/>
          </w:rPr>
          <w:t>2</w:t>
        </w:r>
        <w:r w:rsidRPr="00FC41FD">
          <w:rPr>
            <w:rFonts w:ascii="Times New Roman" w:hAnsi="Times New Roman"/>
            <w:noProof/>
          </w:rPr>
          <w:fldChar w:fldCharType="end"/>
        </w:r>
        <w:r w:rsidRPr="00FC41FD">
          <w:rPr>
            <w:rFonts w:ascii="Times New Roman" w:hAnsi="Times New Roman"/>
            <w:noProof/>
          </w:rPr>
          <w:tab/>
        </w:r>
        <w:r w:rsidR="00C230E9">
          <w:rPr>
            <w:rFonts w:ascii="Times New Roman" w:hAnsi="Times New Roman"/>
            <w:noProof/>
          </w:rPr>
          <w:t>June</w:t>
        </w:r>
        <w:r w:rsidRPr="00FC41FD">
          <w:rPr>
            <w:rFonts w:ascii="Times New Roman" w:hAnsi="Times New Roman"/>
            <w:noProof/>
          </w:rPr>
          <w:t xml:space="preserve"> 2022</w:t>
        </w:r>
      </w:sdtContent>
    </w:sdt>
  </w:p>
  <w:p w14:paraId="0E610AFF" w14:textId="77777777" w:rsidR="004E469A" w:rsidRDefault="004E4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25E1" w14:textId="0141828B" w:rsidR="00E66E13" w:rsidRPr="00FC41FD" w:rsidRDefault="00E66E13">
    <w:pPr>
      <w:pStyle w:val="Footer"/>
      <w:jc w:val="center"/>
      <w:rPr>
        <w:rFonts w:ascii="Times New Roman" w:hAnsi="Times New Roman"/>
      </w:rPr>
    </w:pPr>
    <w:r>
      <w:tab/>
    </w:r>
    <w:r w:rsidRPr="00FC41FD">
      <w:rPr>
        <w:rFonts w:ascii="Times New Roman" w:hAnsi="Times New Roman"/>
      </w:rPr>
      <w:t>36-4</w:t>
    </w:r>
    <w:r w:rsidR="006016A4">
      <w:rPr>
        <w:rFonts w:ascii="Times New Roman" w:hAnsi="Times New Roman"/>
      </w:rPr>
      <w:t>D</w:t>
    </w:r>
    <w:r w:rsidR="007C4C2F">
      <w:rPr>
        <w:rFonts w:ascii="Times New Roman" w:hAnsi="Times New Roman"/>
      </w:rPr>
      <w:t xml:space="preserve"> </w:t>
    </w:r>
    <w:r w:rsidRPr="00FC41FD">
      <w:rPr>
        <w:rFonts w:ascii="Times New Roman" w:hAnsi="Times New Roman"/>
      </w:rPr>
      <w:t xml:space="preserve">Page </w:t>
    </w:r>
    <w:sdt>
      <w:sdtPr>
        <w:rPr>
          <w:rFonts w:ascii="Times New Roman" w:hAnsi="Times New Roman"/>
        </w:rPr>
        <w:id w:val="-106365154"/>
        <w:docPartObj>
          <w:docPartGallery w:val="Page Numbers (Bottom of Page)"/>
          <w:docPartUnique/>
        </w:docPartObj>
      </w:sdtPr>
      <w:sdtEndPr>
        <w:rPr>
          <w:noProof/>
        </w:rPr>
      </w:sdtEndPr>
      <w:sdtContent>
        <w:r w:rsidRPr="00FC41FD">
          <w:rPr>
            <w:rFonts w:ascii="Times New Roman" w:hAnsi="Times New Roman"/>
          </w:rPr>
          <w:fldChar w:fldCharType="begin"/>
        </w:r>
        <w:r w:rsidRPr="00FC41FD">
          <w:rPr>
            <w:rFonts w:ascii="Times New Roman" w:hAnsi="Times New Roman"/>
          </w:rPr>
          <w:instrText xml:space="preserve"> PAGE   \* MERGEFORMAT </w:instrText>
        </w:r>
        <w:r w:rsidRPr="00FC41FD">
          <w:rPr>
            <w:rFonts w:ascii="Times New Roman" w:hAnsi="Times New Roman"/>
          </w:rPr>
          <w:fldChar w:fldCharType="separate"/>
        </w:r>
        <w:r w:rsidRPr="00FC41FD">
          <w:rPr>
            <w:rFonts w:ascii="Times New Roman" w:hAnsi="Times New Roman"/>
            <w:noProof/>
          </w:rPr>
          <w:t>2</w:t>
        </w:r>
        <w:r w:rsidRPr="00FC41FD">
          <w:rPr>
            <w:rFonts w:ascii="Times New Roman" w:hAnsi="Times New Roman"/>
            <w:noProof/>
          </w:rPr>
          <w:fldChar w:fldCharType="end"/>
        </w:r>
        <w:r w:rsidRPr="00FC41FD">
          <w:rPr>
            <w:rFonts w:ascii="Times New Roman" w:hAnsi="Times New Roman"/>
            <w:noProof/>
          </w:rPr>
          <w:tab/>
        </w:r>
        <w:r w:rsidR="00C230E9">
          <w:rPr>
            <w:rFonts w:ascii="Times New Roman" w:hAnsi="Times New Roman"/>
            <w:noProof/>
          </w:rPr>
          <w:t>June</w:t>
        </w:r>
        <w:r w:rsidRPr="00FC41FD">
          <w:rPr>
            <w:rFonts w:ascii="Times New Roman" w:hAnsi="Times New Roman"/>
            <w:noProof/>
          </w:rPr>
          <w:t xml:space="preserve"> 2022</w:t>
        </w:r>
      </w:sdtContent>
    </w:sdt>
  </w:p>
  <w:p w14:paraId="47E70B37" w14:textId="77777777" w:rsidR="00461AC3" w:rsidRPr="00FC41FD" w:rsidRDefault="00461AC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8668" w14:textId="77777777" w:rsidR="006016A4" w:rsidRDefault="00601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CA788" w14:textId="77777777" w:rsidR="0026221A" w:rsidRDefault="0026221A" w:rsidP="006D5305">
      <w:pPr>
        <w:spacing w:after="0" w:line="240" w:lineRule="auto"/>
      </w:pPr>
      <w:r>
        <w:separator/>
      </w:r>
    </w:p>
  </w:footnote>
  <w:footnote w:type="continuationSeparator" w:id="0">
    <w:p w14:paraId="2807A1C7" w14:textId="77777777" w:rsidR="0026221A" w:rsidRDefault="0026221A" w:rsidP="006D5305">
      <w:pPr>
        <w:spacing w:after="0" w:line="240" w:lineRule="auto"/>
      </w:pPr>
      <w:r>
        <w:continuationSeparator/>
      </w:r>
    </w:p>
  </w:footnote>
  <w:footnote w:type="continuationNotice" w:id="1">
    <w:p w14:paraId="7ACA337D" w14:textId="77777777" w:rsidR="0026221A" w:rsidRDefault="002622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8BAD" w14:textId="4F6AE0E3" w:rsidR="004E469A" w:rsidRPr="00C739EF" w:rsidRDefault="00F07EE1" w:rsidP="00E66E13">
    <w:pPr>
      <w:pStyle w:val="Header"/>
      <w:rPr>
        <w:rFonts w:ascii="Times New Roman" w:hAnsi="Times New Roman"/>
        <w:sz w:val="24"/>
        <w:szCs w:val="24"/>
      </w:rPr>
    </w:pPr>
    <w:r>
      <w:rPr>
        <w:rFonts w:ascii="Times New Roman" w:hAnsi="Times New Roman"/>
        <w:sz w:val="24"/>
        <w:szCs w:val="24"/>
      </w:rPr>
      <w:tab/>
    </w:r>
    <w:r w:rsidR="004E469A" w:rsidRPr="00C739EF">
      <w:rPr>
        <w:rFonts w:ascii="Times New Roman" w:hAnsi="Times New Roman"/>
        <w:sz w:val="24"/>
        <w:szCs w:val="24"/>
      </w:rPr>
      <w:t xml:space="preserve">Exhibit </w:t>
    </w:r>
    <w:r w:rsidR="00E66E13">
      <w:rPr>
        <w:rFonts w:ascii="Times New Roman" w:hAnsi="Times New Roman"/>
        <w:sz w:val="24"/>
        <w:szCs w:val="24"/>
      </w:rPr>
      <w:t xml:space="preserve">36-36.4-4 </w:t>
    </w:r>
    <w:r w:rsidR="00E66E13">
      <w:rPr>
        <w:rFonts w:ascii="Times New Roman" w:hAnsi="Times New Roman"/>
        <w:sz w:val="24"/>
        <w:szCs w:val="24"/>
      </w:rPr>
      <w:tab/>
      <w:t>6509.2 REV-7 CHG-4</w:t>
    </w:r>
    <w:r w:rsidR="003630CB">
      <w:rPr>
        <w:rFonts w:ascii="Times New Roman" w:hAnsi="Times New Roman"/>
        <w:sz w:val="24"/>
        <w:szCs w:val="24"/>
      </w:rPr>
      <w:t xml:space="preserve"> </w:t>
    </w:r>
    <w:r w:rsidR="004E469A" w:rsidRPr="00C739EF">
      <w:rPr>
        <w:rFonts w:ascii="Times New Roman" w:hAnsi="Times New Roman"/>
        <w:sz w:val="24"/>
        <w:szCs w:val="24"/>
      </w:rPr>
      <w:t xml:space="preserve"> </w:t>
    </w:r>
    <w:r w:rsidR="004E469A">
      <w:rPr>
        <w:rFonts w:ascii="Times New Roman" w:hAnsi="Times New Roman"/>
        <w:sz w:val="24"/>
        <w:szCs w:val="24"/>
      </w:rPr>
      <w:tab/>
      <w:t>Emergency Solutions Grants</w:t>
    </w:r>
    <w:r w:rsidR="003630CB">
      <w:rPr>
        <w:rFonts w:ascii="Times New Roman" w:hAnsi="Times New Roman"/>
        <w:sz w:val="24"/>
        <w:szCs w:val="24"/>
      </w:rPr>
      <w:t xml:space="preserve"> – CARES Act</w:t>
    </w:r>
  </w:p>
  <w:p w14:paraId="56C33BCC" w14:textId="1879744E" w:rsidR="004E469A" w:rsidRPr="00C230E9" w:rsidRDefault="00C230E9" w:rsidP="00C230E9">
    <w:pPr>
      <w:pStyle w:val="Footer"/>
      <w:jc w:val="center"/>
      <w:rPr>
        <w:b/>
        <w:bCs/>
        <w:color w:val="FF0000"/>
        <w:sz w:val="24"/>
        <w:szCs w:val="24"/>
      </w:rPr>
    </w:pPr>
    <w:r>
      <w:rPr>
        <w:b/>
        <w:bCs/>
        <w:color w:val="FF0000"/>
      </w:rPr>
      <w:t>Pre-Decisional, NOT for DISTRIBUTION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65D7" w14:textId="6655D565" w:rsidR="007C4C2F" w:rsidRPr="00255A78" w:rsidRDefault="006A0CEC" w:rsidP="00255A78">
    <w:pPr>
      <w:pStyle w:val="Header"/>
      <w:ind w:firstLine="2160"/>
      <w:jc w:val="center"/>
      <w:rPr>
        <w:rFonts w:ascii="Times New Roman" w:hAnsi="Times New Roman"/>
        <w:sz w:val="24"/>
        <w:szCs w:val="24"/>
      </w:rPr>
    </w:pPr>
    <w:r>
      <w:rPr>
        <w:rFonts w:ascii="Times New Roman" w:hAnsi="Times New Roman"/>
        <w:sz w:val="24"/>
        <w:szCs w:val="24"/>
      </w:rPr>
      <w:t xml:space="preserve">                                 </w:t>
    </w:r>
    <w:r w:rsidR="00255A78" w:rsidRPr="00255A78">
      <w:rPr>
        <w:rFonts w:ascii="Times New Roman" w:hAnsi="Times New Roman"/>
        <w:sz w:val="24"/>
        <w:szCs w:val="24"/>
      </w:rPr>
      <w:t>Exhibit 36-4</w:t>
    </w:r>
    <w:r w:rsidR="006016A4">
      <w:rPr>
        <w:rFonts w:ascii="Times New Roman" w:hAnsi="Times New Roman"/>
        <w:sz w:val="24"/>
        <w:szCs w:val="24"/>
      </w:rPr>
      <w:t>D</w:t>
    </w:r>
    <w:r w:rsidR="00255A78" w:rsidRPr="00255A78">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sidR="007C4C2F" w:rsidRPr="00255A78">
      <w:rPr>
        <w:rFonts w:ascii="Times New Roman" w:hAnsi="Times New Roman"/>
        <w:sz w:val="24"/>
        <w:szCs w:val="24"/>
      </w:rPr>
      <w:t>6509.2 REV-7 CHG 4</w:t>
    </w:r>
  </w:p>
  <w:p w14:paraId="01E79997" w14:textId="77777777" w:rsidR="007C4C2F" w:rsidRPr="007C4C2F" w:rsidRDefault="007C4C2F" w:rsidP="007C4C2F">
    <w:pPr>
      <w:pStyle w:val="Header"/>
      <w:jc w:val="center"/>
      <w:rPr>
        <w:rFonts w:ascii="Times New Roman" w:hAnsi="Times New Roman"/>
        <w:sz w:val="24"/>
        <w:szCs w:val="24"/>
      </w:rPr>
    </w:pPr>
    <w:r w:rsidRPr="007C4C2F">
      <w:rPr>
        <w:rFonts w:ascii="Times New Roman" w:hAnsi="Times New Roman"/>
        <w:sz w:val="24"/>
        <w:szCs w:val="24"/>
      </w:rPr>
      <w:t>Emergency Solutions Grants (ESG) Program</w:t>
    </w:r>
  </w:p>
  <w:p w14:paraId="2CFBD6FA" w14:textId="77777777" w:rsidR="007C4C2F" w:rsidRPr="007C4C2F" w:rsidRDefault="007C4C2F" w:rsidP="007C4C2F">
    <w:pPr>
      <w:pStyle w:val="Header"/>
      <w:jc w:val="center"/>
      <w:rPr>
        <w:rFonts w:ascii="Times New Roman" w:hAnsi="Times New Roman"/>
        <w:sz w:val="24"/>
        <w:szCs w:val="24"/>
      </w:rPr>
    </w:pPr>
    <w:r w:rsidRPr="007C4C2F">
      <w:rPr>
        <w:rFonts w:ascii="Times New Roman" w:hAnsi="Times New Roman"/>
        <w:sz w:val="24"/>
        <w:szCs w:val="24"/>
      </w:rPr>
      <w:t>Coronavirus Relief and Economic Security Act (CARES Act)</w:t>
    </w:r>
  </w:p>
  <w:p w14:paraId="2F43AEDC" w14:textId="77777777" w:rsidR="007C4C2F" w:rsidRDefault="007C4C2F" w:rsidP="007C4C2F">
    <w:pPr>
      <w:pStyle w:val="Header"/>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D8E7" w14:textId="77777777" w:rsidR="006016A4" w:rsidRDefault="00601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BA8B2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353231"/>
    <w:multiLevelType w:val="hybridMultilevel"/>
    <w:tmpl w:val="3586E1DA"/>
    <w:lvl w:ilvl="0" w:tplc="06880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31652"/>
    <w:multiLevelType w:val="hybridMultilevel"/>
    <w:tmpl w:val="E8BAC5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278F7"/>
    <w:multiLevelType w:val="hybridMultilevel"/>
    <w:tmpl w:val="D164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2A4"/>
    <w:multiLevelType w:val="hybridMultilevel"/>
    <w:tmpl w:val="05F4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5555E"/>
    <w:multiLevelType w:val="hybridMultilevel"/>
    <w:tmpl w:val="01EE4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275F0"/>
    <w:multiLevelType w:val="hybridMultilevel"/>
    <w:tmpl w:val="D02008BC"/>
    <w:lvl w:ilvl="0" w:tplc="729423F6">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3658ED"/>
    <w:multiLevelType w:val="hybridMultilevel"/>
    <w:tmpl w:val="6D80524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26611524"/>
    <w:multiLevelType w:val="hybridMultilevel"/>
    <w:tmpl w:val="62BC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32AEB"/>
    <w:multiLevelType w:val="hybridMultilevel"/>
    <w:tmpl w:val="4CE8B53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286A1AFD"/>
    <w:multiLevelType w:val="hybridMultilevel"/>
    <w:tmpl w:val="34029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34C3D"/>
    <w:multiLevelType w:val="hybridMultilevel"/>
    <w:tmpl w:val="119CD6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0C821DC"/>
    <w:multiLevelType w:val="hybridMultilevel"/>
    <w:tmpl w:val="9B023C5C"/>
    <w:lvl w:ilvl="0" w:tplc="2B0CC69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54D1C"/>
    <w:multiLevelType w:val="hybridMultilevel"/>
    <w:tmpl w:val="F064F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A51860"/>
    <w:multiLevelType w:val="hybridMultilevel"/>
    <w:tmpl w:val="530C4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574FA6"/>
    <w:multiLevelType w:val="hybridMultilevel"/>
    <w:tmpl w:val="B0E4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C23A2"/>
    <w:multiLevelType w:val="hybridMultilevel"/>
    <w:tmpl w:val="021AF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7F06FA"/>
    <w:multiLevelType w:val="hybridMultilevel"/>
    <w:tmpl w:val="1FD802BE"/>
    <w:lvl w:ilvl="0" w:tplc="04090011">
      <w:start w:val="1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6D9143B"/>
    <w:multiLevelType w:val="hybridMultilevel"/>
    <w:tmpl w:val="4E9E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3E4D17"/>
    <w:multiLevelType w:val="hybridMultilevel"/>
    <w:tmpl w:val="6260766E"/>
    <w:lvl w:ilvl="0" w:tplc="402AF8DA">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3B4014"/>
    <w:multiLevelType w:val="multilevel"/>
    <w:tmpl w:val="45A4171A"/>
    <w:lvl w:ilvl="0">
      <w:start w:val="1"/>
      <w:numFmt w:val="none"/>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1" w15:restartNumberingAfterBreak="0">
    <w:nsid w:val="6224588E"/>
    <w:multiLevelType w:val="hybridMultilevel"/>
    <w:tmpl w:val="0136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B5511"/>
    <w:multiLevelType w:val="hybridMultilevel"/>
    <w:tmpl w:val="8F565F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73401E6"/>
    <w:multiLevelType w:val="hybridMultilevel"/>
    <w:tmpl w:val="6260766E"/>
    <w:lvl w:ilvl="0" w:tplc="402AF8DA">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AB46BC"/>
    <w:multiLevelType w:val="hybridMultilevel"/>
    <w:tmpl w:val="BEA6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5F79D2"/>
    <w:multiLevelType w:val="hybridMultilevel"/>
    <w:tmpl w:val="14429DEA"/>
    <w:lvl w:ilvl="0" w:tplc="8948192E">
      <w:start w:val="1"/>
      <w:numFmt w:val="lowerLetter"/>
      <w:lvlText w:val="%1."/>
      <w:lvlJc w:val="left"/>
      <w:pPr>
        <w:ind w:left="780" w:hanging="360"/>
      </w:pPr>
      <w:rPr>
        <w:rFonts w:ascii="Times New Roman" w:eastAsia="Calibri" w:hAnsi="Times New Roman" w:cs="Times New Roman"/>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70C3341D"/>
    <w:multiLevelType w:val="hybridMultilevel"/>
    <w:tmpl w:val="D884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A72654"/>
    <w:multiLevelType w:val="hybridMultilevel"/>
    <w:tmpl w:val="BB24D5FA"/>
    <w:lvl w:ilvl="0" w:tplc="59E2CD54">
      <w:start w:val="17"/>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9D76D1"/>
    <w:multiLevelType w:val="hybridMultilevel"/>
    <w:tmpl w:val="D0EC8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A617CD"/>
    <w:multiLevelType w:val="hybridMultilevel"/>
    <w:tmpl w:val="B440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3510457">
    <w:abstractNumId w:val="22"/>
  </w:num>
  <w:num w:numId="2" w16cid:durableId="1203639018">
    <w:abstractNumId w:val="4"/>
  </w:num>
  <w:num w:numId="3" w16cid:durableId="956133017">
    <w:abstractNumId w:val="24"/>
  </w:num>
  <w:num w:numId="4" w16cid:durableId="98570721">
    <w:abstractNumId w:val="3"/>
  </w:num>
  <w:num w:numId="5" w16cid:durableId="1648431144">
    <w:abstractNumId w:val="8"/>
  </w:num>
  <w:num w:numId="6" w16cid:durableId="1075787639">
    <w:abstractNumId w:val="15"/>
  </w:num>
  <w:num w:numId="7" w16cid:durableId="725950697">
    <w:abstractNumId w:val="29"/>
  </w:num>
  <w:num w:numId="8" w16cid:durableId="710030970">
    <w:abstractNumId w:val="17"/>
  </w:num>
  <w:num w:numId="9" w16cid:durableId="868448926">
    <w:abstractNumId w:val="5"/>
  </w:num>
  <w:num w:numId="10" w16cid:durableId="1053233040">
    <w:abstractNumId w:val="13"/>
  </w:num>
  <w:num w:numId="11" w16cid:durableId="1089231236">
    <w:abstractNumId w:val="16"/>
  </w:num>
  <w:num w:numId="12" w16cid:durableId="1068306932">
    <w:abstractNumId w:val="11"/>
  </w:num>
  <w:num w:numId="13" w16cid:durableId="78908757">
    <w:abstractNumId w:val="9"/>
  </w:num>
  <w:num w:numId="14" w16cid:durableId="1831673613">
    <w:abstractNumId w:val="7"/>
  </w:num>
  <w:num w:numId="15" w16cid:durableId="998119379">
    <w:abstractNumId w:val="12"/>
  </w:num>
  <w:num w:numId="16" w16cid:durableId="1469854866">
    <w:abstractNumId w:val="14"/>
  </w:num>
  <w:num w:numId="17" w16cid:durableId="1097749719">
    <w:abstractNumId w:val="1"/>
  </w:num>
  <w:num w:numId="18" w16cid:durableId="1933390952">
    <w:abstractNumId w:val="6"/>
  </w:num>
  <w:num w:numId="19" w16cid:durableId="689187796">
    <w:abstractNumId w:val="25"/>
  </w:num>
  <w:num w:numId="20" w16cid:durableId="1506749978">
    <w:abstractNumId w:val="28"/>
  </w:num>
  <w:num w:numId="21" w16cid:durableId="46419334">
    <w:abstractNumId w:val="20"/>
  </w:num>
  <w:num w:numId="22" w16cid:durableId="350182169">
    <w:abstractNumId w:val="27"/>
  </w:num>
  <w:num w:numId="23" w16cid:durableId="444690835">
    <w:abstractNumId w:val="23"/>
  </w:num>
  <w:num w:numId="24" w16cid:durableId="853232566">
    <w:abstractNumId w:val="0"/>
  </w:num>
  <w:num w:numId="25" w16cid:durableId="924456698">
    <w:abstractNumId w:val="19"/>
  </w:num>
  <w:num w:numId="26" w16cid:durableId="1655333316">
    <w:abstractNumId w:val="10"/>
  </w:num>
  <w:num w:numId="27" w16cid:durableId="167528885">
    <w:abstractNumId w:val="21"/>
  </w:num>
  <w:num w:numId="28" w16cid:durableId="160705159">
    <w:abstractNumId w:val="2"/>
  </w:num>
  <w:num w:numId="29" w16cid:durableId="282002943">
    <w:abstractNumId w:val="26"/>
  </w:num>
  <w:num w:numId="30" w16cid:durableId="72672933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57F"/>
    <w:rsid w:val="00010189"/>
    <w:rsid w:val="0001063D"/>
    <w:rsid w:val="00010CA6"/>
    <w:rsid w:val="00011F6B"/>
    <w:rsid w:val="00016C9F"/>
    <w:rsid w:val="00017C4E"/>
    <w:rsid w:val="0002163D"/>
    <w:rsid w:val="00023CD8"/>
    <w:rsid w:val="000261FC"/>
    <w:rsid w:val="000278FE"/>
    <w:rsid w:val="00030263"/>
    <w:rsid w:val="00030474"/>
    <w:rsid w:val="00030D2E"/>
    <w:rsid w:val="000374DA"/>
    <w:rsid w:val="0003763F"/>
    <w:rsid w:val="00037B21"/>
    <w:rsid w:val="00041322"/>
    <w:rsid w:val="00042030"/>
    <w:rsid w:val="00051FF5"/>
    <w:rsid w:val="00056297"/>
    <w:rsid w:val="000563D5"/>
    <w:rsid w:val="00056B5E"/>
    <w:rsid w:val="00056F39"/>
    <w:rsid w:val="000579CE"/>
    <w:rsid w:val="00071C62"/>
    <w:rsid w:val="000727BF"/>
    <w:rsid w:val="000728E3"/>
    <w:rsid w:val="000741D0"/>
    <w:rsid w:val="00074C07"/>
    <w:rsid w:val="000836DF"/>
    <w:rsid w:val="00087BAC"/>
    <w:rsid w:val="000A2FAC"/>
    <w:rsid w:val="000B64D1"/>
    <w:rsid w:val="000C199A"/>
    <w:rsid w:val="000C36C6"/>
    <w:rsid w:val="000C4C15"/>
    <w:rsid w:val="000C714A"/>
    <w:rsid w:val="000D0211"/>
    <w:rsid w:val="000D2877"/>
    <w:rsid w:val="000E100B"/>
    <w:rsid w:val="000E6AAB"/>
    <w:rsid w:val="000E6BC2"/>
    <w:rsid w:val="000F6E45"/>
    <w:rsid w:val="00100671"/>
    <w:rsid w:val="00112530"/>
    <w:rsid w:val="00123DDB"/>
    <w:rsid w:val="00123F99"/>
    <w:rsid w:val="00127D8B"/>
    <w:rsid w:val="00132D96"/>
    <w:rsid w:val="00133E19"/>
    <w:rsid w:val="00136AC4"/>
    <w:rsid w:val="001413D5"/>
    <w:rsid w:val="0014591A"/>
    <w:rsid w:val="00147DFD"/>
    <w:rsid w:val="00147E3E"/>
    <w:rsid w:val="00151192"/>
    <w:rsid w:val="00151BD1"/>
    <w:rsid w:val="00156828"/>
    <w:rsid w:val="001575F0"/>
    <w:rsid w:val="001605DC"/>
    <w:rsid w:val="00161B65"/>
    <w:rsid w:val="00161EC9"/>
    <w:rsid w:val="00166DD3"/>
    <w:rsid w:val="00171C93"/>
    <w:rsid w:val="00183A10"/>
    <w:rsid w:val="0019252A"/>
    <w:rsid w:val="0019546F"/>
    <w:rsid w:val="001A1DDA"/>
    <w:rsid w:val="001A4266"/>
    <w:rsid w:val="001A4DEF"/>
    <w:rsid w:val="001A519D"/>
    <w:rsid w:val="001A75A1"/>
    <w:rsid w:val="001B7C60"/>
    <w:rsid w:val="001C0658"/>
    <w:rsid w:val="001C0B25"/>
    <w:rsid w:val="001C1FE5"/>
    <w:rsid w:val="001C3025"/>
    <w:rsid w:val="001C3672"/>
    <w:rsid w:val="001C7BA2"/>
    <w:rsid w:val="001D686A"/>
    <w:rsid w:val="001E294D"/>
    <w:rsid w:val="001F1754"/>
    <w:rsid w:val="001F2804"/>
    <w:rsid w:val="001F3B84"/>
    <w:rsid w:val="001F4E07"/>
    <w:rsid w:val="001F5209"/>
    <w:rsid w:val="001F66D6"/>
    <w:rsid w:val="00200BE8"/>
    <w:rsid w:val="0020249D"/>
    <w:rsid w:val="00212B2C"/>
    <w:rsid w:val="0021756F"/>
    <w:rsid w:val="00220044"/>
    <w:rsid w:val="002365D3"/>
    <w:rsid w:val="002372F5"/>
    <w:rsid w:val="0025070D"/>
    <w:rsid w:val="00251917"/>
    <w:rsid w:val="00255A78"/>
    <w:rsid w:val="00256DFB"/>
    <w:rsid w:val="002613C6"/>
    <w:rsid w:val="00261C33"/>
    <w:rsid w:val="0026221A"/>
    <w:rsid w:val="00262BA6"/>
    <w:rsid w:val="002766EF"/>
    <w:rsid w:val="00280FA2"/>
    <w:rsid w:val="0028457F"/>
    <w:rsid w:val="002866DB"/>
    <w:rsid w:val="00295A8D"/>
    <w:rsid w:val="00297987"/>
    <w:rsid w:val="002979AD"/>
    <w:rsid w:val="002A0A8A"/>
    <w:rsid w:val="002A1AC1"/>
    <w:rsid w:val="002A74AE"/>
    <w:rsid w:val="002A7ABF"/>
    <w:rsid w:val="002C134F"/>
    <w:rsid w:val="002C6057"/>
    <w:rsid w:val="002D3890"/>
    <w:rsid w:val="002D6552"/>
    <w:rsid w:val="002E170A"/>
    <w:rsid w:val="002F05FF"/>
    <w:rsid w:val="002F24DA"/>
    <w:rsid w:val="002F2F3A"/>
    <w:rsid w:val="002F46C0"/>
    <w:rsid w:val="00300A03"/>
    <w:rsid w:val="00301DB2"/>
    <w:rsid w:val="00303321"/>
    <w:rsid w:val="00303B2B"/>
    <w:rsid w:val="0031039C"/>
    <w:rsid w:val="00310D5A"/>
    <w:rsid w:val="00316605"/>
    <w:rsid w:val="0032624C"/>
    <w:rsid w:val="00332AB3"/>
    <w:rsid w:val="003368EE"/>
    <w:rsid w:val="00343236"/>
    <w:rsid w:val="00351711"/>
    <w:rsid w:val="00360795"/>
    <w:rsid w:val="00361139"/>
    <w:rsid w:val="003630CB"/>
    <w:rsid w:val="00377FB8"/>
    <w:rsid w:val="00385A94"/>
    <w:rsid w:val="00386613"/>
    <w:rsid w:val="003A19A0"/>
    <w:rsid w:val="003A4AB4"/>
    <w:rsid w:val="003A523A"/>
    <w:rsid w:val="003C03DD"/>
    <w:rsid w:val="003C053C"/>
    <w:rsid w:val="003C0611"/>
    <w:rsid w:val="003C0D30"/>
    <w:rsid w:val="003C1D7B"/>
    <w:rsid w:val="003C482D"/>
    <w:rsid w:val="003D4072"/>
    <w:rsid w:val="003E1886"/>
    <w:rsid w:val="003F0B0E"/>
    <w:rsid w:val="003F1922"/>
    <w:rsid w:val="003F1C5B"/>
    <w:rsid w:val="00400720"/>
    <w:rsid w:val="00423BE8"/>
    <w:rsid w:val="00430556"/>
    <w:rsid w:val="00431FD7"/>
    <w:rsid w:val="00440EB5"/>
    <w:rsid w:val="00443331"/>
    <w:rsid w:val="00452C14"/>
    <w:rsid w:val="00454C1D"/>
    <w:rsid w:val="00454E34"/>
    <w:rsid w:val="00455B20"/>
    <w:rsid w:val="00461AC3"/>
    <w:rsid w:val="00462CDB"/>
    <w:rsid w:val="00467A2F"/>
    <w:rsid w:val="0047252D"/>
    <w:rsid w:val="00476E42"/>
    <w:rsid w:val="00482D8F"/>
    <w:rsid w:val="004832CB"/>
    <w:rsid w:val="0048599E"/>
    <w:rsid w:val="00485A06"/>
    <w:rsid w:val="004867C3"/>
    <w:rsid w:val="00486F71"/>
    <w:rsid w:val="004A34F0"/>
    <w:rsid w:val="004A6795"/>
    <w:rsid w:val="004A6A08"/>
    <w:rsid w:val="004B62BD"/>
    <w:rsid w:val="004C0BEC"/>
    <w:rsid w:val="004C6B4B"/>
    <w:rsid w:val="004D02B8"/>
    <w:rsid w:val="004D17CE"/>
    <w:rsid w:val="004E469A"/>
    <w:rsid w:val="004F117B"/>
    <w:rsid w:val="004F437B"/>
    <w:rsid w:val="00501A25"/>
    <w:rsid w:val="00501AE8"/>
    <w:rsid w:val="00503946"/>
    <w:rsid w:val="0050592B"/>
    <w:rsid w:val="00507154"/>
    <w:rsid w:val="00513CF5"/>
    <w:rsid w:val="00550B85"/>
    <w:rsid w:val="0055480B"/>
    <w:rsid w:val="005601B0"/>
    <w:rsid w:val="00581FD1"/>
    <w:rsid w:val="00583059"/>
    <w:rsid w:val="00583765"/>
    <w:rsid w:val="005919CF"/>
    <w:rsid w:val="005A1B90"/>
    <w:rsid w:val="005B16E2"/>
    <w:rsid w:val="005B2B58"/>
    <w:rsid w:val="005C1CC8"/>
    <w:rsid w:val="005C6090"/>
    <w:rsid w:val="005D2292"/>
    <w:rsid w:val="005D47B5"/>
    <w:rsid w:val="005D6489"/>
    <w:rsid w:val="005E67CA"/>
    <w:rsid w:val="005F4A05"/>
    <w:rsid w:val="005F52A5"/>
    <w:rsid w:val="005F52F1"/>
    <w:rsid w:val="006016A4"/>
    <w:rsid w:val="00604D9C"/>
    <w:rsid w:val="00610CA5"/>
    <w:rsid w:val="00613F7D"/>
    <w:rsid w:val="00615517"/>
    <w:rsid w:val="006234D1"/>
    <w:rsid w:val="00627FFC"/>
    <w:rsid w:val="006302E7"/>
    <w:rsid w:val="0063199F"/>
    <w:rsid w:val="006358E7"/>
    <w:rsid w:val="00640EBD"/>
    <w:rsid w:val="00641AB0"/>
    <w:rsid w:val="00645A9B"/>
    <w:rsid w:val="00646080"/>
    <w:rsid w:val="00651398"/>
    <w:rsid w:val="00651F12"/>
    <w:rsid w:val="0067077C"/>
    <w:rsid w:val="00675884"/>
    <w:rsid w:val="00682D5A"/>
    <w:rsid w:val="00691935"/>
    <w:rsid w:val="006976FE"/>
    <w:rsid w:val="006A0CEC"/>
    <w:rsid w:val="006B6803"/>
    <w:rsid w:val="006B6FD1"/>
    <w:rsid w:val="006C36FC"/>
    <w:rsid w:val="006C4CA5"/>
    <w:rsid w:val="006C68F3"/>
    <w:rsid w:val="006C78E2"/>
    <w:rsid w:val="006D35EF"/>
    <w:rsid w:val="006D5305"/>
    <w:rsid w:val="006E6974"/>
    <w:rsid w:val="006F05CC"/>
    <w:rsid w:val="006F3ABE"/>
    <w:rsid w:val="006F4851"/>
    <w:rsid w:val="007116D8"/>
    <w:rsid w:val="00713AD5"/>
    <w:rsid w:val="00724E02"/>
    <w:rsid w:val="0072580B"/>
    <w:rsid w:val="00732B25"/>
    <w:rsid w:val="007348A7"/>
    <w:rsid w:val="00737F5B"/>
    <w:rsid w:val="0074621F"/>
    <w:rsid w:val="00753326"/>
    <w:rsid w:val="00755FD7"/>
    <w:rsid w:val="007615EF"/>
    <w:rsid w:val="007708EB"/>
    <w:rsid w:val="00771D82"/>
    <w:rsid w:val="0077332F"/>
    <w:rsid w:val="00777F33"/>
    <w:rsid w:val="00783843"/>
    <w:rsid w:val="00785910"/>
    <w:rsid w:val="00787DBE"/>
    <w:rsid w:val="007909FF"/>
    <w:rsid w:val="00790A45"/>
    <w:rsid w:val="00791672"/>
    <w:rsid w:val="00792664"/>
    <w:rsid w:val="00793CC7"/>
    <w:rsid w:val="0079594F"/>
    <w:rsid w:val="007A06C3"/>
    <w:rsid w:val="007A144F"/>
    <w:rsid w:val="007B2E4C"/>
    <w:rsid w:val="007B37D7"/>
    <w:rsid w:val="007B4239"/>
    <w:rsid w:val="007B5FF1"/>
    <w:rsid w:val="007C000E"/>
    <w:rsid w:val="007C0D69"/>
    <w:rsid w:val="007C2E03"/>
    <w:rsid w:val="007C4C2F"/>
    <w:rsid w:val="007D2138"/>
    <w:rsid w:val="007D21EB"/>
    <w:rsid w:val="007E0B7C"/>
    <w:rsid w:val="007F1611"/>
    <w:rsid w:val="007F46AC"/>
    <w:rsid w:val="007F7843"/>
    <w:rsid w:val="0080075B"/>
    <w:rsid w:val="00803424"/>
    <w:rsid w:val="00803E57"/>
    <w:rsid w:val="00807B5F"/>
    <w:rsid w:val="00817878"/>
    <w:rsid w:val="008260A3"/>
    <w:rsid w:val="00833BBE"/>
    <w:rsid w:val="00833E07"/>
    <w:rsid w:val="00837ADF"/>
    <w:rsid w:val="00837AF9"/>
    <w:rsid w:val="008522AC"/>
    <w:rsid w:val="00854AA2"/>
    <w:rsid w:val="008564AE"/>
    <w:rsid w:val="00862ED7"/>
    <w:rsid w:val="008644E8"/>
    <w:rsid w:val="0087686A"/>
    <w:rsid w:val="00882DD2"/>
    <w:rsid w:val="0088727A"/>
    <w:rsid w:val="008902D3"/>
    <w:rsid w:val="0089330A"/>
    <w:rsid w:val="00894D6C"/>
    <w:rsid w:val="0089662D"/>
    <w:rsid w:val="0089768B"/>
    <w:rsid w:val="008A0753"/>
    <w:rsid w:val="008A48A1"/>
    <w:rsid w:val="008A5340"/>
    <w:rsid w:val="008C24BE"/>
    <w:rsid w:val="008C294B"/>
    <w:rsid w:val="008C472A"/>
    <w:rsid w:val="008C7C0C"/>
    <w:rsid w:val="008C7C4F"/>
    <w:rsid w:val="008D1D2E"/>
    <w:rsid w:val="008D45AA"/>
    <w:rsid w:val="008D522A"/>
    <w:rsid w:val="008D7869"/>
    <w:rsid w:val="008E1AEB"/>
    <w:rsid w:val="008E2C86"/>
    <w:rsid w:val="008E6C0C"/>
    <w:rsid w:val="008E735B"/>
    <w:rsid w:val="008F26EC"/>
    <w:rsid w:val="008F2EE2"/>
    <w:rsid w:val="008F4C72"/>
    <w:rsid w:val="008F59F5"/>
    <w:rsid w:val="008F5F77"/>
    <w:rsid w:val="00906CAE"/>
    <w:rsid w:val="00910283"/>
    <w:rsid w:val="0093039A"/>
    <w:rsid w:val="00933CC6"/>
    <w:rsid w:val="00934994"/>
    <w:rsid w:val="009363C7"/>
    <w:rsid w:val="00947487"/>
    <w:rsid w:val="009501BB"/>
    <w:rsid w:val="009563BE"/>
    <w:rsid w:val="0096662A"/>
    <w:rsid w:val="009670E2"/>
    <w:rsid w:val="0097330B"/>
    <w:rsid w:val="00974DD7"/>
    <w:rsid w:val="009759DC"/>
    <w:rsid w:val="00976501"/>
    <w:rsid w:val="00981B0C"/>
    <w:rsid w:val="009919D9"/>
    <w:rsid w:val="00996DC9"/>
    <w:rsid w:val="0099796C"/>
    <w:rsid w:val="009A434F"/>
    <w:rsid w:val="009A75FD"/>
    <w:rsid w:val="009B01A9"/>
    <w:rsid w:val="009B0713"/>
    <w:rsid w:val="009C214A"/>
    <w:rsid w:val="009C3981"/>
    <w:rsid w:val="009D26CA"/>
    <w:rsid w:val="009F3D74"/>
    <w:rsid w:val="00A00657"/>
    <w:rsid w:val="00A15CBD"/>
    <w:rsid w:val="00A177FD"/>
    <w:rsid w:val="00A255E5"/>
    <w:rsid w:val="00A341DF"/>
    <w:rsid w:val="00A46AF6"/>
    <w:rsid w:val="00A53061"/>
    <w:rsid w:val="00A5456D"/>
    <w:rsid w:val="00A55BD4"/>
    <w:rsid w:val="00A57101"/>
    <w:rsid w:val="00A6295F"/>
    <w:rsid w:val="00A6453F"/>
    <w:rsid w:val="00A67142"/>
    <w:rsid w:val="00A67CC6"/>
    <w:rsid w:val="00A7224B"/>
    <w:rsid w:val="00A736A5"/>
    <w:rsid w:val="00A739F5"/>
    <w:rsid w:val="00A84CD4"/>
    <w:rsid w:val="00A92BD7"/>
    <w:rsid w:val="00A94B1D"/>
    <w:rsid w:val="00AA2BA3"/>
    <w:rsid w:val="00AB0A14"/>
    <w:rsid w:val="00AB1D07"/>
    <w:rsid w:val="00AB315B"/>
    <w:rsid w:val="00AC06C2"/>
    <w:rsid w:val="00AC0996"/>
    <w:rsid w:val="00AC359C"/>
    <w:rsid w:val="00AD43A1"/>
    <w:rsid w:val="00AE4968"/>
    <w:rsid w:val="00AE5110"/>
    <w:rsid w:val="00AF07C5"/>
    <w:rsid w:val="00AF14C9"/>
    <w:rsid w:val="00AF165F"/>
    <w:rsid w:val="00AF3003"/>
    <w:rsid w:val="00AF3374"/>
    <w:rsid w:val="00AF3DA2"/>
    <w:rsid w:val="00AF5FE8"/>
    <w:rsid w:val="00AF7F24"/>
    <w:rsid w:val="00B06BFA"/>
    <w:rsid w:val="00B16990"/>
    <w:rsid w:val="00B22513"/>
    <w:rsid w:val="00B27699"/>
    <w:rsid w:val="00B32642"/>
    <w:rsid w:val="00B37A98"/>
    <w:rsid w:val="00B42E1C"/>
    <w:rsid w:val="00B43670"/>
    <w:rsid w:val="00B449E5"/>
    <w:rsid w:val="00B451B4"/>
    <w:rsid w:val="00B46CEC"/>
    <w:rsid w:val="00B5030B"/>
    <w:rsid w:val="00B5425B"/>
    <w:rsid w:val="00B64CED"/>
    <w:rsid w:val="00B66489"/>
    <w:rsid w:val="00B7468F"/>
    <w:rsid w:val="00B76A56"/>
    <w:rsid w:val="00B91A13"/>
    <w:rsid w:val="00B91AC6"/>
    <w:rsid w:val="00BA3F5F"/>
    <w:rsid w:val="00BC2DEE"/>
    <w:rsid w:val="00BC3067"/>
    <w:rsid w:val="00BC77F5"/>
    <w:rsid w:val="00BC7D03"/>
    <w:rsid w:val="00BD25BB"/>
    <w:rsid w:val="00BD60F2"/>
    <w:rsid w:val="00BE32C9"/>
    <w:rsid w:val="00C02C2C"/>
    <w:rsid w:val="00C0330B"/>
    <w:rsid w:val="00C107F1"/>
    <w:rsid w:val="00C10E3F"/>
    <w:rsid w:val="00C1266A"/>
    <w:rsid w:val="00C126B5"/>
    <w:rsid w:val="00C1431F"/>
    <w:rsid w:val="00C158CE"/>
    <w:rsid w:val="00C230E9"/>
    <w:rsid w:val="00C24355"/>
    <w:rsid w:val="00C2563E"/>
    <w:rsid w:val="00C27DE5"/>
    <w:rsid w:val="00C30B69"/>
    <w:rsid w:val="00C31024"/>
    <w:rsid w:val="00C31497"/>
    <w:rsid w:val="00C34820"/>
    <w:rsid w:val="00C34CA5"/>
    <w:rsid w:val="00C3529B"/>
    <w:rsid w:val="00C3669A"/>
    <w:rsid w:val="00C42A5B"/>
    <w:rsid w:val="00C47822"/>
    <w:rsid w:val="00C57AC0"/>
    <w:rsid w:val="00C649D4"/>
    <w:rsid w:val="00C64DE7"/>
    <w:rsid w:val="00C664BC"/>
    <w:rsid w:val="00C71D1C"/>
    <w:rsid w:val="00C739EF"/>
    <w:rsid w:val="00C80175"/>
    <w:rsid w:val="00C86828"/>
    <w:rsid w:val="00C907CE"/>
    <w:rsid w:val="00C90B25"/>
    <w:rsid w:val="00CA117B"/>
    <w:rsid w:val="00CA4D7D"/>
    <w:rsid w:val="00CA6C9B"/>
    <w:rsid w:val="00CA6D0F"/>
    <w:rsid w:val="00CB1364"/>
    <w:rsid w:val="00CB5970"/>
    <w:rsid w:val="00CC34F4"/>
    <w:rsid w:val="00CC531D"/>
    <w:rsid w:val="00CD02FC"/>
    <w:rsid w:val="00CD040C"/>
    <w:rsid w:val="00CD278B"/>
    <w:rsid w:val="00CD738C"/>
    <w:rsid w:val="00CE009D"/>
    <w:rsid w:val="00CE0340"/>
    <w:rsid w:val="00CE1DB4"/>
    <w:rsid w:val="00CE2855"/>
    <w:rsid w:val="00CF56C3"/>
    <w:rsid w:val="00D024DE"/>
    <w:rsid w:val="00D02C0E"/>
    <w:rsid w:val="00D04FF6"/>
    <w:rsid w:val="00D16421"/>
    <w:rsid w:val="00D17629"/>
    <w:rsid w:val="00D246CF"/>
    <w:rsid w:val="00D257E3"/>
    <w:rsid w:val="00D463F3"/>
    <w:rsid w:val="00D570CC"/>
    <w:rsid w:val="00D648A7"/>
    <w:rsid w:val="00D66546"/>
    <w:rsid w:val="00D7192A"/>
    <w:rsid w:val="00D74C4B"/>
    <w:rsid w:val="00D7539C"/>
    <w:rsid w:val="00D76EEA"/>
    <w:rsid w:val="00D7745D"/>
    <w:rsid w:val="00D86142"/>
    <w:rsid w:val="00D93AB5"/>
    <w:rsid w:val="00D93E0C"/>
    <w:rsid w:val="00D94535"/>
    <w:rsid w:val="00D97717"/>
    <w:rsid w:val="00DA04DC"/>
    <w:rsid w:val="00DA1835"/>
    <w:rsid w:val="00DA2C60"/>
    <w:rsid w:val="00DA649F"/>
    <w:rsid w:val="00DB149B"/>
    <w:rsid w:val="00DC0A06"/>
    <w:rsid w:val="00DC0EDE"/>
    <w:rsid w:val="00DC2AE1"/>
    <w:rsid w:val="00DC6605"/>
    <w:rsid w:val="00DD06BA"/>
    <w:rsid w:val="00DD3240"/>
    <w:rsid w:val="00DE1ED1"/>
    <w:rsid w:val="00DE2729"/>
    <w:rsid w:val="00DE4038"/>
    <w:rsid w:val="00DF02D2"/>
    <w:rsid w:val="00DF18EF"/>
    <w:rsid w:val="00DF62F5"/>
    <w:rsid w:val="00E01259"/>
    <w:rsid w:val="00E12E69"/>
    <w:rsid w:val="00E23C92"/>
    <w:rsid w:val="00E30372"/>
    <w:rsid w:val="00E33CA8"/>
    <w:rsid w:val="00E3457F"/>
    <w:rsid w:val="00E3651F"/>
    <w:rsid w:val="00E416F8"/>
    <w:rsid w:val="00E42EF3"/>
    <w:rsid w:val="00E45258"/>
    <w:rsid w:val="00E45567"/>
    <w:rsid w:val="00E502D7"/>
    <w:rsid w:val="00E5089B"/>
    <w:rsid w:val="00E556E9"/>
    <w:rsid w:val="00E57EF2"/>
    <w:rsid w:val="00E65DAB"/>
    <w:rsid w:val="00E66E13"/>
    <w:rsid w:val="00E70EEF"/>
    <w:rsid w:val="00E72803"/>
    <w:rsid w:val="00E72822"/>
    <w:rsid w:val="00E758C8"/>
    <w:rsid w:val="00E76CEA"/>
    <w:rsid w:val="00E86122"/>
    <w:rsid w:val="00E9144A"/>
    <w:rsid w:val="00E91C87"/>
    <w:rsid w:val="00E95B09"/>
    <w:rsid w:val="00E968B8"/>
    <w:rsid w:val="00EA0A22"/>
    <w:rsid w:val="00EC6337"/>
    <w:rsid w:val="00EC6EFA"/>
    <w:rsid w:val="00EC79BE"/>
    <w:rsid w:val="00ED2572"/>
    <w:rsid w:val="00ED4D6D"/>
    <w:rsid w:val="00EE0BF8"/>
    <w:rsid w:val="00EE3AC0"/>
    <w:rsid w:val="00EE3EC7"/>
    <w:rsid w:val="00EE4D79"/>
    <w:rsid w:val="00EF0C2A"/>
    <w:rsid w:val="00EF698D"/>
    <w:rsid w:val="00F06152"/>
    <w:rsid w:val="00F07EE1"/>
    <w:rsid w:val="00F1322B"/>
    <w:rsid w:val="00F1783A"/>
    <w:rsid w:val="00F2452B"/>
    <w:rsid w:val="00F271D9"/>
    <w:rsid w:val="00F32BCC"/>
    <w:rsid w:val="00F5232F"/>
    <w:rsid w:val="00F57736"/>
    <w:rsid w:val="00F66E36"/>
    <w:rsid w:val="00F66FA0"/>
    <w:rsid w:val="00F67628"/>
    <w:rsid w:val="00F70FE0"/>
    <w:rsid w:val="00F74AAE"/>
    <w:rsid w:val="00F860B3"/>
    <w:rsid w:val="00F866A7"/>
    <w:rsid w:val="00F93C64"/>
    <w:rsid w:val="00F94607"/>
    <w:rsid w:val="00FA1973"/>
    <w:rsid w:val="00FB13F4"/>
    <w:rsid w:val="00FB6B3A"/>
    <w:rsid w:val="00FC2C6F"/>
    <w:rsid w:val="00FC3ACC"/>
    <w:rsid w:val="00FC41FD"/>
    <w:rsid w:val="00FE14B2"/>
    <w:rsid w:val="00FE30DA"/>
    <w:rsid w:val="00FE37E8"/>
    <w:rsid w:val="00FE5A3A"/>
    <w:rsid w:val="00FE5AA5"/>
    <w:rsid w:val="00FF69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400720"/>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qFormat/>
    <w:rsid w:val="00DE4038"/>
    <w:pPr>
      <w:ind w:left="720"/>
      <w:contextualSpacing/>
    </w:pPr>
  </w:style>
  <w:style w:type="paragraph" w:styleId="Header">
    <w:name w:val="header"/>
    <w:basedOn w:val="Normal"/>
    <w:link w:val="HeaderChar"/>
    <w:uiPriority w:val="99"/>
    <w:unhideWhenUsed/>
    <w:rsid w:val="006D5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305"/>
  </w:style>
  <w:style w:type="paragraph" w:styleId="Footer">
    <w:name w:val="footer"/>
    <w:basedOn w:val="Normal"/>
    <w:link w:val="FooterChar"/>
    <w:uiPriority w:val="99"/>
    <w:unhideWhenUsed/>
    <w:rsid w:val="006D5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305"/>
  </w:style>
  <w:style w:type="table" w:styleId="TableGrid">
    <w:name w:val="Table Grid"/>
    <w:basedOn w:val="TableNormal"/>
    <w:uiPriority w:val="59"/>
    <w:rsid w:val="0045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7D2138"/>
    <w:pPr>
      <w:spacing w:after="0" w:line="240" w:lineRule="auto"/>
      <w:ind w:left="720"/>
    </w:pPr>
    <w:rPr>
      <w:rFonts w:ascii="Times New Roman" w:eastAsia="Times New Roman" w:hAnsi="Times New Roman"/>
      <w:sz w:val="20"/>
      <w:szCs w:val="24"/>
    </w:rPr>
  </w:style>
  <w:style w:type="character" w:customStyle="1" w:styleId="BodyTextIndentChar">
    <w:name w:val="Body Text Indent Char"/>
    <w:link w:val="BodyTextIndent"/>
    <w:uiPriority w:val="99"/>
    <w:rsid w:val="007D2138"/>
    <w:rPr>
      <w:rFonts w:ascii="Times New Roman" w:eastAsia="Times New Roman" w:hAnsi="Times New Roman" w:cs="Times New Roman"/>
      <w:sz w:val="20"/>
      <w:szCs w:val="24"/>
    </w:rPr>
  </w:style>
  <w:style w:type="paragraph" w:customStyle="1" w:styleId="MediumGrid21">
    <w:name w:val="Medium Grid 21"/>
    <w:uiPriority w:val="1"/>
    <w:qFormat/>
    <w:rsid w:val="00EF0C2A"/>
    <w:rPr>
      <w:sz w:val="22"/>
      <w:szCs w:val="22"/>
    </w:rPr>
  </w:style>
  <w:style w:type="character" w:styleId="CommentReference">
    <w:name w:val="annotation reference"/>
    <w:unhideWhenUsed/>
    <w:rsid w:val="00DE1ED1"/>
    <w:rPr>
      <w:sz w:val="16"/>
      <w:szCs w:val="16"/>
    </w:rPr>
  </w:style>
  <w:style w:type="paragraph" w:styleId="CommentText">
    <w:name w:val="annotation text"/>
    <w:basedOn w:val="Normal"/>
    <w:link w:val="CommentTextChar"/>
    <w:unhideWhenUsed/>
    <w:rsid w:val="00DE1ED1"/>
    <w:pPr>
      <w:spacing w:line="240" w:lineRule="auto"/>
    </w:pPr>
    <w:rPr>
      <w:sz w:val="20"/>
      <w:szCs w:val="20"/>
    </w:rPr>
  </w:style>
  <w:style w:type="character" w:customStyle="1" w:styleId="CommentTextChar">
    <w:name w:val="Comment Text Char"/>
    <w:link w:val="CommentText"/>
    <w:rsid w:val="00DE1ED1"/>
    <w:rPr>
      <w:sz w:val="20"/>
      <w:szCs w:val="20"/>
    </w:rPr>
  </w:style>
  <w:style w:type="paragraph" w:styleId="CommentSubject">
    <w:name w:val="annotation subject"/>
    <w:basedOn w:val="CommentText"/>
    <w:next w:val="CommentText"/>
    <w:link w:val="CommentSubjectChar"/>
    <w:uiPriority w:val="99"/>
    <w:semiHidden/>
    <w:unhideWhenUsed/>
    <w:rsid w:val="00DE1ED1"/>
    <w:rPr>
      <w:b/>
      <w:bCs/>
    </w:rPr>
  </w:style>
  <w:style w:type="character" w:customStyle="1" w:styleId="CommentSubjectChar">
    <w:name w:val="Comment Subject Char"/>
    <w:link w:val="CommentSubject"/>
    <w:uiPriority w:val="99"/>
    <w:semiHidden/>
    <w:rsid w:val="00DE1ED1"/>
    <w:rPr>
      <w:b/>
      <w:bCs/>
      <w:sz w:val="20"/>
      <w:szCs w:val="20"/>
    </w:rPr>
  </w:style>
  <w:style w:type="paragraph" w:styleId="BalloonText">
    <w:name w:val="Balloon Text"/>
    <w:basedOn w:val="Normal"/>
    <w:link w:val="BalloonTextChar"/>
    <w:uiPriority w:val="99"/>
    <w:semiHidden/>
    <w:unhideWhenUsed/>
    <w:rsid w:val="00DE1E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1ED1"/>
    <w:rPr>
      <w:rFonts w:ascii="Tahoma" w:hAnsi="Tahoma" w:cs="Tahoma"/>
      <w:sz w:val="16"/>
      <w:szCs w:val="16"/>
    </w:rPr>
  </w:style>
  <w:style w:type="character" w:customStyle="1" w:styleId="Heading1Char">
    <w:name w:val="Heading 1 Char"/>
    <w:link w:val="Heading1"/>
    <w:rsid w:val="00400720"/>
    <w:rPr>
      <w:rFonts w:ascii="Times New Roman" w:eastAsia="Times New Roman" w:hAnsi="Times New Roman" w:cs="Times New Roman"/>
      <w:b/>
      <w:bCs/>
      <w:sz w:val="24"/>
      <w:szCs w:val="24"/>
    </w:rPr>
  </w:style>
  <w:style w:type="paragraph" w:customStyle="1" w:styleId="Level1">
    <w:name w:val="Level 1"/>
    <w:basedOn w:val="Header"/>
    <w:link w:val="Level1Char"/>
    <w:rsid w:val="00947487"/>
    <w:pPr>
      <w:tabs>
        <w:tab w:val="clear" w:pos="4680"/>
        <w:tab w:val="clear" w:pos="9360"/>
        <w:tab w:val="num" w:pos="360"/>
        <w:tab w:val="center" w:pos="4320"/>
        <w:tab w:val="right" w:pos="8640"/>
      </w:tabs>
    </w:pPr>
    <w:rPr>
      <w:rFonts w:ascii="Times New Roman" w:eastAsia="Times New Roman" w:hAnsi="Times New Roman"/>
      <w:sz w:val="24"/>
      <w:szCs w:val="24"/>
    </w:rPr>
  </w:style>
  <w:style w:type="paragraph" w:styleId="ListParagraph">
    <w:name w:val="List Paragraph"/>
    <w:basedOn w:val="Normal"/>
    <w:uiPriority w:val="34"/>
    <w:qFormat/>
    <w:rsid w:val="00467A2F"/>
    <w:pPr>
      <w:ind w:left="720"/>
      <w:contextualSpacing/>
    </w:pPr>
  </w:style>
  <w:style w:type="character" w:customStyle="1" w:styleId="Level1Char">
    <w:name w:val="Level 1 Char"/>
    <w:link w:val="Level1"/>
    <w:locked/>
    <w:rsid w:val="00467A2F"/>
    <w:rPr>
      <w:rFonts w:ascii="Times New Roman" w:eastAsia="Times New Roman" w:hAnsi="Times New Roman"/>
      <w:sz w:val="24"/>
      <w:szCs w:val="24"/>
    </w:rPr>
  </w:style>
  <w:style w:type="paragraph" w:styleId="Revision">
    <w:name w:val="Revision"/>
    <w:hidden/>
    <w:uiPriority w:val="99"/>
    <w:semiHidden/>
    <w:rsid w:val="0025070D"/>
    <w:rPr>
      <w:sz w:val="22"/>
      <w:szCs w:val="22"/>
    </w:rPr>
  </w:style>
  <w:style w:type="paragraph" w:customStyle="1" w:styleId="level10">
    <w:name w:val="level1"/>
    <w:basedOn w:val="Normal"/>
    <w:rsid w:val="00581FD1"/>
    <w:pPr>
      <w:spacing w:after="0"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871432">
      <w:bodyDiv w:val="1"/>
      <w:marLeft w:val="0"/>
      <w:marRight w:val="0"/>
      <w:marTop w:val="0"/>
      <w:marBottom w:val="0"/>
      <w:divBdr>
        <w:top w:val="none" w:sz="0" w:space="0" w:color="auto"/>
        <w:left w:val="none" w:sz="0" w:space="0" w:color="auto"/>
        <w:bottom w:val="none" w:sz="0" w:space="0" w:color="auto"/>
        <w:right w:val="none" w:sz="0" w:space="0" w:color="auto"/>
      </w:divBdr>
    </w:div>
    <w:div w:id="854925733">
      <w:bodyDiv w:val="1"/>
      <w:marLeft w:val="0"/>
      <w:marRight w:val="0"/>
      <w:marTop w:val="0"/>
      <w:marBottom w:val="0"/>
      <w:divBdr>
        <w:top w:val="none" w:sz="0" w:space="0" w:color="auto"/>
        <w:left w:val="none" w:sz="0" w:space="0" w:color="auto"/>
        <w:bottom w:val="none" w:sz="0" w:space="0" w:color="auto"/>
        <w:right w:val="none" w:sz="0" w:space="0" w:color="auto"/>
      </w:divBdr>
      <w:divsChild>
        <w:div w:id="175190317">
          <w:marLeft w:val="0"/>
          <w:marRight w:val="0"/>
          <w:marTop w:val="0"/>
          <w:marBottom w:val="0"/>
          <w:divBdr>
            <w:top w:val="none" w:sz="0" w:space="0" w:color="auto"/>
            <w:left w:val="none" w:sz="0" w:space="0" w:color="auto"/>
            <w:bottom w:val="none" w:sz="0" w:space="0" w:color="auto"/>
            <w:right w:val="none" w:sz="0" w:space="0" w:color="auto"/>
          </w:divBdr>
        </w:div>
      </w:divsChild>
    </w:div>
    <w:div w:id="1120534661">
      <w:bodyDiv w:val="1"/>
      <w:marLeft w:val="0"/>
      <w:marRight w:val="0"/>
      <w:marTop w:val="0"/>
      <w:marBottom w:val="0"/>
      <w:divBdr>
        <w:top w:val="none" w:sz="0" w:space="0" w:color="auto"/>
        <w:left w:val="none" w:sz="0" w:space="0" w:color="auto"/>
        <w:bottom w:val="none" w:sz="0" w:space="0" w:color="auto"/>
        <w:right w:val="none" w:sz="0" w:space="0" w:color="auto"/>
      </w:divBdr>
    </w:div>
    <w:div w:id="191019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9979162-b859-4b73-a23b-882159dd20dd">
      <UserInfo>
        <DisplayName>Varrieur, Brian M</DisplayName>
        <AccountId>82</AccountId>
        <AccountType/>
      </UserInfo>
      <UserInfo>
        <DisplayName>Gayles, Ebony N</DisplayName>
        <AccountId>81</AccountId>
        <AccountType/>
      </UserInfo>
      <UserInfo>
        <DisplayName>Deblasio, Karen M</DisplayName>
        <AccountId>55</AccountId>
        <AccountType/>
      </UserInfo>
      <UserInfo>
        <DisplayName>Thomas, Tamura H</DisplayName>
        <AccountId>39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48234782FFCA42875AF975AD80665F" ma:contentTypeVersion="4" ma:contentTypeDescription="Create a new document." ma:contentTypeScope="" ma:versionID="94424774801366880773b694c6cb2ab3">
  <xsd:schema xmlns:xsd="http://www.w3.org/2001/XMLSchema" xmlns:xs="http://www.w3.org/2001/XMLSchema" xmlns:p="http://schemas.microsoft.com/office/2006/metadata/properties" xmlns:ns2="533b647e-c6ce-41dd-9975-d3bf13680656" xmlns:ns3="a9979162-b859-4b73-a23b-882159dd20dd" targetNamespace="http://schemas.microsoft.com/office/2006/metadata/properties" ma:root="true" ma:fieldsID="a25700d1695d6a16a3317b8134183445" ns2:_="" ns3:_="">
    <xsd:import namespace="533b647e-c6ce-41dd-9975-d3bf13680656"/>
    <xsd:import namespace="a9979162-b859-4b73-a23b-882159dd2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647e-c6ce-41dd-9975-d3bf1368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79162-b859-4b73-a23b-882159dd2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06836-4E59-4C83-B515-3DBA6504C5A2}">
  <ds:schemaRefs>
    <ds:schemaRef ds:uri="http://schemas.microsoft.com/sharepoint/v3/contenttype/forms"/>
  </ds:schemaRefs>
</ds:datastoreItem>
</file>

<file path=customXml/itemProps2.xml><?xml version="1.0" encoding="utf-8"?>
<ds:datastoreItem xmlns:ds="http://schemas.openxmlformats.org/officeDocument/2006/customXml" ds:itemID="{B7B6999D-E0EA-433D-A085-2E0906E2DF1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33b647e-c6ce-41dd-9975-d3bf13680656"/>
    <ds:schemaRef ds:uri="http://purl.org/dc/elements/1.1/"/>
    <ds:schemaRef ds:uri="http://schemas.microsoft.com/office/2006/metadata/properties"/>
    <ds:schemaRef ds:uri="a9979162-b859-4b73-a23b-882159dd20dd"/>
    <ds:schemaRef ds:uri="http://www.w3.org/XML/1998/namespace"/>
    <ds:schemaRef ds:uri="http://purl.org/dc/dcmitype/"/>
  </ds:schemaRefs>
</ds:datastoreItem>
</file>

<file path=customXml/itemProps3.xml><?xml version="1.0" encoding="utf-8"?>
<ds:datastoreItem xmlns:ds="http://schemas.openxmlformats.org/officeDocument/2006/customXml" ds:itemID="{0BFCA0ED-A653-4FFB-8F11-2DE41FA08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647e-c6ce-41dd-9975-d3bf13680656"/>
    <ds:schemaRef ds:uri="a9979162-b859-4b73-a23b-882159dd2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E6696-EAB4-43D0-908D-75750473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2318</Words>
  <Characters>13980</Characters>
  <Application>Microsoft Office Word</Application>
  <DocSecurity>0</DocSecurity>
  <Lines>367</Lines>
  <Paragraphs>301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2022-06-28T18:24:00Z</dcterms:created>
  <dcterms:modified xsi:type="dcterms:W3CDTF">2022-06-29T16:20:00Z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0x010100E248234782FFCA42875AF975AD80665F</vt:lpwstr>
  </property>
  <property fmtid="{D5CDD505-2E9C-101B-9397-08002B2CF9AE}" pid="3" name="_dlc_DocIdItemGuid">
    <vt:lpwstr>632325c9-fb76-402b-a2e1-c3627ff7bf23</vt:lpwstr>
  </property>
  <property fmtid="{D5CDD505-2E9C-101B-9397-08002B2CF9AE}" pid="4" name="_NewReviewCycle">
    <vt:lpwstr/>
  </property>
</Properties>
</file>