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E28CD" w14:textId="19F82104" w:rsidR="007A5E7B" w:rsidRPr="00C642F2" w:rsidRDefault="00A12725" w:rsidP="00756C21">
      <w:pPr>
        <w:spacing w:after="160" w:line="252" w:lineRule="auto"/>
        <w:contextualSpacing/>
        <w:rPr>
          <w:sz w:val="21"/>
          <w:szCs w:val="21"/>
          <w:shd w:val="clear" w:color="auto" w:fill="FFFFFF" w:themeFill="background1"/>
        </w:rPr>
      </w:pPr>
      <w:r w:rsidRPr="00C642F2">
        <w:rPr>
          <w:sz w:val="21"/>
          <w:szCs w:val="21"/>
          <w:shd w:val="clear" w:color="auto" w:fill="FFFFFF" w:themeFill="background1"/>
        </w:rPr>
        <w:t>The information collection requirements contained in this document have been approved by the Office of Management and Budget (OMB) under the Paperwork Reduction Act of 1995 (44 U.S.C. 3501-3520) and assigned OMB control number 2577-0075.</w:t>
      </w:r>
      <w:r w:rsidR="00507B5E" w:rsidRPr="00C642F2">
        <w:rPr>
          <w:sz w:val="21"/>
          <w:szCs w:val="21"/>
          <w:shd w:val="clear" w:color="auto" w:fill="FFFFFF" w:themeFill="background1"/>
        </w:rPr>
        <w:t xml:space="preserve"> </w:t>
      </w:r>
      <w:r w:rsidRPr="00C642F2">
        <w:rPr>
          <w:sz w:val="21"/>
          <w:szCs w:val="21"/>
          <w:shd w:val="clear" w:color="auto" w:fill="FFFFFF" w:themeFill="background1"/>
        </w:rPr>
        <w:t xml:space="preserve"> There is no personal information</w:t>
      </w:r>
      <w:r w:rsidR="00507B5E" w:rsidRPr="00C642F2">
        <w:rPr>
          <w:sz w:val="21"/>
          <w:szCs w:val="21"/>
          <w:shd w:val="clear" w:color="auto" w:fill="FFFFFF" w:themeFill="background1"/>
        </w:rPr>
        <w:t xml:space="preserve"> contained in this application. </w:t>
      </w:r>
      <w:r w:rsidRPr="00C642F2">
        <w:rPr>
          <w:sz w:val="21"/>
          <w:szCs w:val="21"/>
          <w:shd w:val="clear" w:color="auto" w:fill="FFFFFF" w:themeFill="background1"/>
        </w:rPr>
        <w:t xml:space="preserve"> Information on activities and expenditures of grant funds is public information and is generally available for disclosure.  Recipients are responsible for ensuring confidentiality w</w:t>
      </w:r>
      <w:r w:rsidR="00507B5E" w:rsidRPr="00C642F2">
        <w:rPr>
          <w:sz w:val="21"/>
          <w:szCs w:val="21"/>
          <w:shd w:val="clear" w:color="auto" w:fill="FFFFFF" w:themeFill="background1"/>
        </w:rPr>
        <w:t xml:space="preserve">hen disclosure is not required. </w:t>
      </w:r>
      <w:r w:rsidRPr="00C642F2">
        <w:rPr>
          <w:sz w:val="21"/>
          <w:szCs w:val="21"/>
          <w:shd w:val="clear" w:color="auto" w:fill="FFFFFF" w:themeFill="background1"/>
        </w:rPr>
        <w:t xml:space="preserve"> In accordance with the Paperwork Reduction Act, HUD may not conduct or sponsor, and a person is not required to respond to, a collection of information unless the collection displays a currently valid OMB control number.</w:t>
      </w:r>
    </w:p>
    <w:p w14:paraId="5F175278" w14:textId="77777777" w:rsidR="00756C21" w:rsidRPr="00CC2C9B" w:rsidRDefault="00756C21" w:rsidP="00756C21">
      <w:pPr>
        <w:spacing w:after="160" w:line="252" w:lineRule="auto"/>
        <w:contextualSpacing/>
        <w:rPr>
          <w:sz w:val="20"/>
          <w:szCs w:val="20"/>
          <w:shd w:val="clear" w:color="auto" w:fill="FFFFFF" w:themeFill="background1"/>
        </w:rPr>
      </w:pPr>
    </w:p>
    <w:tbl>
      <w:tblPr>
        <w:tblW w:w="112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966"/>
        <w:gridCol w:w="1710"/>
        <w:gridCol w:w="1110"/>
        <w:gridCol w:w="6449"/>
      </w:tblGrid>
      <w:tr w:rsidR="00EF5A18" w:rsidRPr="00C642F2" w14:paraId="6882B525" w14:textId="77777777" w:rsidTr="00B92392">
        <w:trPr>
          <w:trHeight w:val="328"/>
        </w:trPr>
        <w:tc>
          <w:tcPr>
            <w:tcW w:w="5000" w:type="pct"/>
            <w:gridSpan w:val="4"/>
            <w:tcBorders>
              <w:top w:val="single" w:sz="12" w:space="0" w:color="auto"/>
              <w:left w:val="single" w:sz="12" w:space="0" w:color="auto"/>
              <w:bottom w:val="single" w:sz="2" w:space="0" w:color="auto"/>
              <w:right w:val="single" w:sz="12" w:space="0" w:color="auto"/>
            </w:tcBorders>
          </w:tcPr>
          <w:p w14:paraId="0F16608D" w14:textId="2CE43A1B" w:rsidR="00EF5A18" w:rsidRPr="00C642F2" w:rsidRDefault="00EF5A18" w:rsidP="00511286">
            <w:pPr>
              <w:spacing w:before="20" w:after="20"/>
              <w:ind w:right="-43"/>
              <w:rPr>
                <w:sz w:val="21"/>
                <w:szCs w:val="21"/>
                <w:shd w:val="clear" w:color="auto" w:fill="FFFFFF" w:themeFill="background1"/>
              </w:rPr>
            </w:pPr>
            <w:r w:rsidRPr="00C642F2">
              <w:rPr>
                <w:b/>
                <w:bCs/>
                <w:sz w:val="21"/>
                <w:szCs w:val="21"/>
                <w:shd w:val="clear" w:color="auto" w:fill="FFFFFF" w:themeFill="background1"/>
              </w:rPr>
              <w:t>Section 1.  Demolition</w:t>
            </w:r>
          </w:p>
        </w:tc>
      </w:tr>
      <w:tr w:rsidR="00A64558" w:rsidRPr="00C642F2" w14:paraId="257C2CDE" w14:textId="77777777" w:rsidTr="00756C21">
        <w:trPr>
          <w:trHeight w:val="2047"/>
        </w:trPr>
        <w:tc>
          <w:tcPr>
            <w:tcW w:w="2130" w:type="pct"/>
            <w:gridSpan w:val="3"/>
            <w:tcBorders>
              <w:top w:val="single" w:sz="2" w:space="0" w:color="auto"/>
              <w:left w:val="single" w:sz="12" w:space="0" w:color="auto"/>
              <w:bottom w:val="single" w:sz="2" w:space="0" w:color="auto"/>
              <w:right w:val="single" w:sz="2" w:space="0" w:color="auto"/>
            </w:tcBorders>
            <w:vAlign w:val="center"/>
          </w:tcPr>
          <w:p w14:paraId="22D6057C" w14:textId="5B94E31D" w:rsidR="00964EF2" w:rsidRPr="00C642F2" w:rsidRDefault="00EE6D8B" w:rsidP="00511286">
            <w:pPr>
              <w:pStyle w:val="ListParagraph"/>
              <w:numPr>
                <w:ilvl w:val="0"/>
                <w:numId w:val="6"/>
              </w:numPr>
              <w:spacing w:before="20" w:after="20"/>
              <w:ind w:right="-43"/>
              <w:rPr>
                <w:iCs/>
                <w:sz w:val="21"/>
                <w:szCs w:val="21"/>
                <w:shd w:val="clear" w:color="auto" w:fill="FFFFFF" w:themeFill="background1"/>
              </w:rPr>
            </w:pPr>
            <w:r w:rsidRPr="00C642F2">
              <w:rPr>
                <w:iCs/>
                <w:sz w:val="21"/>
                <w:szCs w:val="21"/>
                <w:shd w:val="clear" w:color="auto" w:fill="FFFFFF" w:themeFill="background1"/>
              </w:rPr>
              <w:t>Does the removal action include the demolition of a</w:t>
            </w:r>
            <w:r w:rsidR="00AC1894" w:rsidRPr="00C642F2">
              <w:rPr>
                <w:iCs/>
                <w:sz w:val="21"/>
                <w:szCs w:val="21"/>
                <w:shd w:val="clear" w:color="auto" w:fill="FFFFFF" w:themeFill="background1"/>
              </w:rPr>
              <w:t>ll or a portion of a</w:t>
            </w:r>
            <w:r w:rsidR="00B7214A" w:rsidRPr="00C642F2">
              <w:rPr>
                <w:iCs/>
                <w:sz w:val="21"/>
                <w:szCs w:val="21"/>
                <w:shd w:val="clear" w:color="auto" w:fill="FFFFFF" w:themeFill="background1"/>
              </w:rPr>
              <w:t xml:space="preserve"> </w:t>
            </w:r>
            <w:r w:rsidRPr="00C642F2">
              <w:rPr>
                <w:iCs/>
                <w:sz w:val="21"/>
                <w:szCs w:val="21"/>
                <w:shd w:val="clear" w:color="auto" w:fill="FFFFFF" w:themeFill="background1"/>
              </w:rPr>
              <w:t xml:space="preserve">development </w:t>
            </w:r>
            <w:r w:rsidR="008D7F3D" w:rsidRPr="00C642F2">
              <w:rPr>
                <w:iCs/>
                <w:sz w:val="21"/>
                <w:szCs w:val="21"/>
                <w:shd w:val="clear" w:color="auto" w:fill="FFFFFF" w:themeFill="background1"/>
              </w:rPr>
              <w:t>(AMP)</w:t>
            </w:r>
            <w:r w:rsidR="00AC1894" w:rsidRPr="00C642F2">
              <w:rPr>
                <w:iCs/>
                <w:sz w:val="21"/>
                <w:szCs w:val="21"/>
                <w:shd w:val="clear" w:color="auto" w:fill="FFFFFF" w:themeFill="background1"/>
              </w:rPr>
              <w:t xml:space="preserve"> </w:t>
            </w:r>
            <w:r w:rsidRPr="00C642F2">
              <w:rPr>
                <w:iCs/>
                <w:sz w:val="21"/>
                <w:szCs w:val="21"/>
                <w:shd w:val="clear" w:color="auto" w:fill="FFFFFF" w:themeFill="background1"/>
              </w:rPr>
              <w:t>or other public housing property?</w:t>
            </w:r>
            <w:r w:rsidRPr="00C642F2">
              <w:rPr>
                <w:i/>
                <w:iCs/>
                <w:sz w:val="21"/>
                <w:szCs w:val="21"/>
                <w:shd w:val="clear" w:color="auto" w:fill="FFFFFF" w:themeFill="background1"/>
              </w:rPr>
              <w:t xml:space="preserve"> </w:t>
            </w:r>
          </w:p>
        </w:tc>
        <w:tc>
          <w:tcPr>
            <w:tcW w:w="287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6414C2E" w14:textId="0A572E71" w:rsidR="00EE6D8B" w:rsidRPr="00C642F2" w:rsidRDefault="00EE6D8B"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p w14:paraId="6055F6BD" w14:textId="77777777" w:rsidR="00AC1894" w:rsidRPr="00C642F2" w:rsidRDefault="00535B51" w:rsidP="00511286">
            <w:pPr>
              <w:spacing w:before="20" w:after="20"/>
              <w:ind w:right="-43"/>
              <w:rPr>
                <w:sz w:val="21"/>
                <w:szCs w:val="21"/>
                <w:shd w:val="clear" w:color="auto" w:fill="FFFFFF" w:themeFill="background1"/>
              </w:rPr>
            </w:pPr>
            <w:r w:rsidRPr="00C642F2">
              <w:rPr>
                <w:sz w:val="21"/>
                <w:szCs w:val="21"/>
                <w:shd w:val="clear" w:color="auto" w:fill="FFFFFF" w:themeFill="background1"/>
              </w:rPr>
              <w:t>If yes:</w:t>
            </w:r>
          </w:p>
          <w:p w14:paraId="5CE7A9AC" w14:textId="77777777" w:rsidR="00EE6D8B" w:rsidRPr="00C642F2" w:rsidRDefault="00AC1894"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All units at a development site</w:t>
            </w:r>
          </w:p>
          <w:p w14:paraId="3E650360" w14:textId="5799096D" w:rsidR="00AC1894" w:rsidRPr="00C642F2" w:rsidRDefault="00AC1894"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A portion of units at a development site</w:t>
            </w:r>
          </w:p>
          <w:p w14:paraId="443F5630" w14:textId="77777777" w:rsidR="00AC1894" w:rsidRPr="00C642F2" w:rsidRDefault="00AC1894"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8E15A9" w:rsidRPr="00C642F2">
              <w:rPr>
                <w:sz w:val="21"/>
                <w:szCs w:val="21"/>
                <w:shd w:val="clear" w:color="auto" w:fill="FFFFFF" w:themeFill="background1"/>
              </w:rPr>
              <w:t>Non-dwelling property at a development site</w:t>
            </w:r>
          </w:p>
          <w:p w14:paraId="6BF808F2" w14:textId="1BE1D33A" w:rsidR="00A64558" w:rsidRPr="00C642F2" w:rsidRDefault="00535B51" w:rsidP="00511286">
            <w:pPr>
              <w:spacing w:before="20" w:after="20"/>
              <w:ind w:left="315" w:right="-43" w:hanging="315"/>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8E15A9" w:rsidRPr="00C642F2">
              <w:rPr>
                <w:sz w:val="21"/>
                <w:szCs w:val="21"/>
                <w:shd w:val="clear" w:color="auto" w:fill="FFFFFF" w:themeFill="background1"/>
              </w:rPr>
              <w:t>Non-dwelling property not at a development site (e.g. central PHA administrative building)</w:t>
            </w:r>
          </w:p>
        </w:tc>
      </w:tr>
      <w:tr w:rsidR="00B30575" w:rsidRPr="00C642F2" w14:paraId="7927F783" w14:textId="77777777" w:rsidTr="00C810A9">
        <w:trPr>
          <w:trHeight w:val="445"/>
        </w:trPr>
        <w:tc>
          <w:tcPr>
            <w:tcW w:w="5000" w:type="pct"/>
            <w:gridSpan w:val="4"/>
            <w:tcBorders>
              <w:top w:val="single" w:sz="2" w:space="0" w:color="auto"/>
              <w:left w:val="single" w:sz="12" w:space="0" w:color="auto"/>
              <w:bottom w:val="single" w:sz="2" w:space="0" w:color="auto"/>
              <w:right w:val="single" w:sz="12" w:space="0" w:color="auto"/>
            </w:tcBorders>
            <w:vAlign w:val="center"/>
          </w:tcPr>
          <w:p w14:paraId="41E7EAD0" w14:textId="717748B9" w:rsidR="00B30575" w:rsidRPr="00C642F2" w:rsidRDefault="00B30575" w:rsidP="00511286">
            <w:pPr>
              <w:spacing w:before="20" w:after="20"/>
              <w:ind w:left="778" w:right="-43"/>
              <w:rPr>
                <w:sz w:val="21"/>
                <w:szCs w:val="21"/>
                <w:shd w:val="clear" w:color="auto" w:fill="FFFFFF" w:themeFill="background1"/>
              </w:rPr>
            </w:pPr>
            <w:r w:rsidRPr="00C642F2">
              <w:rPr>
                <w:i/>
                <w:iCs/>
                <w:sz w:val="21"/>
                <w:szCs w:val="21"/>
                <w:shd w:val="clear" w:color="auto" w:fill="FFFFFF" w:themeFill="background1"/>
              </w:rPr>
              <w:t>If yes, complete questions 2-6 of this section. If no, move on to section 2.</w:t>
            </w:r>
          </w:p>
        </w:tc>
      </w:tr>
      <w:tr w:rsidR="00A64558" w:rsidRPr="00C642F2" w14:paraId="680D141A" w14:textId="77777777" w:rsidTr="0048716B">
        <w:trPr>
          <w:trHeight w:val="445"/>
        </w:trPr>
        <w:tc>
          <w:tcPr>
            <w:tcW w:w="2130" w:type="pct"/>
            <w:gridSpan w:val="3"/>
            <w:tcBorders>
              <w:top w:val="single" w:sz="2" w:space="0" w:color="auto"/>
              <w:left w:val="single" w:sz="12" w:space="0" w:color="auto"/>
              <w:bottom w:val="single" w:sz="2" w:space="0" w:color="auto"/>
              <w:right w:val="single" w:sz="2" w:space="0" w:color="auto"/>
            </w:tcBorders>
            <w:vAlign w:val="center"/>
          </w:tcPr>
          <w:p w14:paraId="27D20B5B" w14:textId="441644F7" w:rsidR="00A64558" w:rsidRPr="00C642F2" w:rsidRDefault="00EE6D8B" w:rsidP="00511286">
            <w:pPr>
              <w:pStyle w:val="ListParagraph"/>
              <w:numPr>
                <w:ilvl w:val="0"/>
                <w:numId w:val="6"/>
              </w:numPr>
              <w:spacing w:before="20" w:after="20"/>
              <w:ind w:right="-43"/>
              <w:rPr>
                <w:iCs/>
                <w:sz w:val="21"/>
                <w:szCs w:val="21"/>
                <w:shd w:val="clear" w:color="auto" w:fill="FFFFFF" w:themeFill="background1"/>
              </w:rPr>
            </w:pPr>
            <w:r w:rsidRPr="00C642F2">
              <w:rPr>
                <w:iCs/>
                <w:sz w:val="21"/>
                <w:szCs w:val="21"/>
                <w:shd w:val="clear" w:color="auto" w:fill="FFFFFF" w:themeFill="background1"/>
              </w:rPr>
              <w:t>What is the estimated demolition cost?</w:t>
            </w:r>
          </w:p>
        </w:tc>
        <w:tc>
          <w:tcPr>
            <w:tcW w:w="287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400A5935" w14:textId="43B59C25" w:rsidR="00A64558" w:rsidRPr="00C642F2" w:rsidRDefault="00EE6D8B" w:rsidP="00511286">
            <w:pPr>
              <w:spacing w:before="20" w:after="20"/>
              <w:ind w:right="-43"/>
              <w:rPr>
                <w:sz w:val="21"/>
                <w:szCs w:val="21"/>
                <w:shd w:val="clear" w:color="auto" w:fill="FFFFFF" w:themeFill="background1"/>
              </w:rPr>
            </w:pPr>
            <w:r w:rsidRPr="00C642F2">
              <w:rPr>
                <w:sz w:val="21"/>
                <w:szCs w:val="21"/>
                <w:shd w:val="clear" w:color="auto" w:fill="FFFFFF" w:themeFill="background1"/>
              </w:rPr>
              <w:t>$</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rsidR="00A64558" w:rsidRPr="00C642F2" w14:paraId="6A1F23C0" w14:textId="77777777" w:rsidTr="0048716B">
        <w:trPr>
          <w:trHeight w:val="1354"/>
        </w:trPr>
        <w:tc>
          <w:tcPr>
            <w:tcW w:w="2130" w:type="pct"/>
            <w:gridSpan w:val="3"/>
            <w:tcBorders>
              <w:top w:val="single" w:sz="2" w:space="0" w:color="auto"/>
              <w:left w:val="single" w:sz="12" w:space="0" w:color="auto"/>
              <w:bottom w:val="single" w:sz="2" w:space="0" w:color="auto"/>
              <w:right w:val="single" w:sz="2" w:space="0" w:color="auto"/>
            </w:tcBorders>
            <w:vAlign w:val="center"/>
          </w:tcPr>
          <w:p w14:paraId="23977BA1" w14:textId="3EF9A2B4" w:rsidR="00A64558" w:rsidRPr="00C642F2" w:rsidRDefault="00EE6D8B" w:rsidP="00511286">
            <w:pPr>
              <w:pStyle w:val="ListParagraph"/>
              <w:numPr>
                <w:ilvl w:val="0"/>
                <w:numId w:val="6"/>
              </w:numPr>
              <w:spacing w:before="20" w:after="20"/>
              <w:ind w:right="-43"/>
              <w:rPr>
                <w:i/>
                <w:iCs/>
                <w:sz w:val="21"/>
                <w:szCs w:val="21"/>
                <w:shd w:val="clear" w:color="auto" w:fill="FFFFFF" w:themeFill="background1"/>
              </w:rPr>
            </w:pPr>
            <w:r w:rsidRPr="00C642F2">
              <w:rPr>
                <w:iCs/>
                <w:sz w:val="21"/>
                <w:szCs w:val="21"/>
                <w:shd w:val="clear" w:color="auto" w:fill="FFFFFF" w:themeFill="background1"/>
              </w:rPr>
              <w:t>What is the anticipated source of funds for the demolition cost?</w:t>
            </w:r>
          </w:p>
        </w:tc>
        <w:tc>
          <w:tcPr>
            <w:tcW w:w="287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056E8F42" w14:textId="77777777" w:rsidR="00A64558" w:rsidRPr="00C642F2" w:rsidRDefault="00A64558"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Capital Funds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CDBG </w:t>
            </w:r>
          </w:p>
          <w:p w14:paraId="7D7A7A30" w14:textId="77777777" w:rsidR="00A64558" w:rsidRPr="00C642F2" w:rsidRDefault="00A64558"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Operating Funds </w:t>
            </w:r>
          </w:p>
          <w:p w14:paraId="3B32858E" w14:textId="77777777" w:rsidR="00A64558" w:rsidRPr="00C642F2" w:rsidRDefault="00A64558"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00EE6D8B" w:rsidRPr="00C642F2">
              <w:rPr>
                <w:sz w:val="21"/>
                <w:szCs w:val="21"/>
                <w:shd w:val="clear" w:color="auto" w:fill="FFFFFF" w:themeFill="background1"/>
              </w:rPr>
              <w:t xml:space="preserve"> </w:t>
            </w:r>
            <w:r w:rsidR="00872BFA" w:rsidRPr="00C642F2">
              <w:rPr>
                <w:sz w:val="21"/>
                <w:szCs w:val="21"/>
                <w:shd w:val="clear" w:color="auto" w:fill="FFFFFF" w:themeFill="background1"/>
              </w:rPr>
              <w:t>Fiscal Year: _________</w:t>
            </w:r>
          </w:p>
          <w:p w14:paraId="5EAE91E0" w14:textId="26A639BA" w:rsidR="008D7F3D" w:rsidRPr="00C642F2" w:rsidRDefault="008D7F3D"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Non-Public Housing Funds (describe: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t>)</w:t>
            </w:r>
          </w:p>
        </w:tc>
      </w:tr>
      <w:tr w:rsidR="00964EF2" w:rsidRPr="00C642F2" w14:paraId="576A3A87" w14:textId="77777777" w:rsidTr="0048716B">
        <w:trPr>
          <w:trHeight w:val="1705"/>
        </w:trPr>
        <w:tc>
          <w:tcPr>
            <w:tcW w:w="1636" w:type="pct"/>
            <w:gridSpan w:val="2"/>
            <w:tcBorders>
              <w:top w:val="single" w:sz="2" w:space="0" w:color="auto"/>
              <w:left w:val="single" w:sz="12" w:space="0" w:color="auto"/>
              <w:bottom w:val="single" w:sz="2" w:space="0" w:color="auto"/>
              <w:right w:val="single" w:sz="2" w:space="0" w:color="auto"/>
            </w:tcBorders>
            <w:vAlign w:val="center"/>
          </w:tcPr>
          <w:p w14:paraId="0D96C36E" w14:textId="7406E9BF" w:rsidR="00C34082" w:rsidRPr="00C642F2" w:rsidRDefault="00964EF2" w:rsidP="00511286">
            <w:pPr>
              <w:pStyle w:val="ListParagraph"/>
              <w:numPr>
                <w:ilvl w:val="0"/>
                <w:numId w:val="6"/>
              </w:numPr>
              <w:spacing w:before="20" w:after="20"/>
              <w:ind w:right="-43"/>
              <w:rPr>
                <w:i/>
                <w:sz w:val="21"/>
                <w:szCs w:val="21"/>
                <w:shd w:val="clear" w:color="auto" w:fill="FFFFFF" w:themeFill="background1"/>
              </w:rPr>
            </w:pPr>
            <w:r w:rsidRPr="00C642F2">
              <w:rPr>
                <w:iCs/>
                <w:sz w:val="21"/>
                <w:szCs w:val="21"/>
                <w:shd w:val="clear" w:color="auto" w:fill="FFFFFF" w:themeFill="background1"/>
              </w:rPr>
              <w:t>What is the justification for the demolition?</w:t>
            </w:r>
          </w:p>
        </w:tc>
        <w:tc>
          <w:tcPr>
            <w:tcW w:w="3364"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BD40383" w14:textId="68CA582D" w:rsidR="00964EF2" w:rsidRPr="00C642F2" w:rsidRDefault="00964EF2"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Obsolete</w:t>
            </w:r>
            <w:r w:rsidR="00C810A9" w:rsidRPr="00C642F2">
              <w:rPr>
                <w:sz w:val="21"/>
                <w:szCs w:val="21"/>
                <w:shd w:val="clear" w:color="auto" w:fill="FFFFFF" w:themeFill="background1"/>
              </w:rPr>
              <w:t xml:space="preserve"> </w:t>
            </w:r>
            <w:r w:rsidRPr="00C642F2">
              <w:rPr>
                <w:sz w:val="21"/>
                <w:szCs w:val="21"/>
                <w:shd w:val="clear" w:color="auto" w:fill="FFFFFF" w:themeFill="background1"/>
              </w:rPr>
              <w:t>-</w:t>
            </w:r>
            <w:r w:rsidR="00C810A9" w:rsidRPr="00C642F2">
              <w:rPr>
                <w:sz w:val="21"/>
                <w:szCs w:val="21"/>
                <w:shd w:val="clear" w:color="auto" w:fill="FFFFFF" w:themeFill="background1"/>
              </w:rPr>
              <w:t xml:space="preserve"> </w:t>
            </w:r>
            <w:r w:rsidRPr="00C642F2">
              <w:rPr>
                <w:sz w:val="21"/>
                <w:szCs w:val="21"/>
                <w:shd w:val="clear" w:color="auto" w:fill="FFFFFF" w:themeFill="background1"/>
              </w:rPr>
              <w:t>Physical Condition</w:t>
            </w:r>
            <w:r w:rsidR="008D02B5" w:rsidRPr="00C642F2">
              <w:rPr>
                <w:sz w:val="21"/>
                <w:szCs w:val="21"/>
                <w:shd w:val="clear" w:color="auto" w:fill="FFFFFF" w:themeFill="background1"/>
              </w:rPr>
              <w:t xml:space="preserve"> </w:t>
            </w:r>
          </w:p>
          <w:p w14:paraId="3F97AD67" w14:textId="24122D22" w:rsidR="00964EF2" w:rsidRPr="00C642F2" w:rsidRDefault="00964EF2"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Obsolete</w:t>
            </w:r>
            <w:r w:rsidR="00C810A9" w:rsidRPr="00C642F2">
              <w:rPr>
                <w:sz w:val="21"/>
                <w:szCs w:val="21"/>
                <w:shd w:val="clear" w:color="auto" w:fill="FFFFFF" w:themeFill="background1"/>
              </w:rPr>
              <w:t xml:space="preserve"> </w:t>
            </w:r>
            <w:r w:rsidRPr="00C642F2">
              <w:rPr>
                <w:sz w:val="21"/>
                <w:szCs w:val="21"/>
                <w:shd w:val="clear" w:color="auto" w:fill="FFFFFF" w:themeFill="background1"/>
              </w:rPr>
              <w:t>-</w:t>
            </w:r>
            <w:r w:rsidR="00C810A9" w:rsidRPr="00C642F2">
              <w:rPr>
                <w:sz w:val="21"/>
                <w:szCs w:val="21"/>
                <w:shd w:val="clear" w:color="auto" w:fill="FFFFFF" w:themeFill="background1"/>
              </w:rPr>
              <w:t xml:space="preserve"> </w:t>
            </w:r>
            <w:r w:rsidRPr="00C642F2">
              <w:rPr>
                <w:sz w:val="21"/>
                <w:szCs w:val="21"/>
                <w:shd w:val="clear" w:color="auto" w:fill="FFFFFF" w:themeFill="background1"/>
              </w:rPr>
              <w:t>Location</w:t>
            </w:r>
            <w:r w:rsidR="008D02B5" w:rsidRPr="00C642F2">
              <w:rPr>
                <w:sz w:val="21"/>
                <w:szCs w:val="21"/>
                <w:shd w:val="clear" w:color="auto" w:fill="FFFFFF" w:themeFill="background1"/>
              </w:rPr>
              <w:t xml:space="preserve">  </w:t>
            </w:r>
          </w:p>
          <w:p w14:paraId="38E42927" w14:textId="3AC8BADB" w:rsidR="00964EF2" w:rsidRPr="00C642F2" w:rsidRDefault="00964EF2"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Obsolete</w:t>
            </w:r>
            <w:r w:rsidR="00C810A9" w:rsidRPr="00C642F2">
              <w:rPr>
                <w:sz w:val="21"/>
                <w:szCs w:val="21"/>
                <w:shd w:val="clear" w:color="auto" w:fill="FFFFFF" w:themeFill="background1"/>
              </w:rPr>
              <w:t xml:space="preserve"> </w:t>
            </w:r>
            <w:r w:rsidRPr="00C642F2">
              <w:rPr>
                <w:sz w:val="21"/>
                <w:szCs w:val="21"/>
                <w:shd w:val="clear" w:color="auto" w:fill="FFFFFF" w:themeFill="background1"/>
              </w:rPr>
              <w:t>-</w:t>
            </w:r>
            <w:r w:rsidR="00C810A9" w:rsidRPr="00C642F2">
              <w:rPr>
                <w:sz w:val="21"/>
                <w:szCs w:val="21"/>
                <w:shd w:val="clear" w:color="auto" w:fill="FFFFFF" w:themeFill="background1"/>
              </w:rPr>
              <w:t xml:space="preserve"> </w:t>
            </w:r>
            <w:r w:rsidRPr="00C642F2">
              <w:rPr>
                <w:sz w:val="21"/>
                <w:szCs w:val="21"/>
                <w:shd w:val="clear" w:color="auto" w:fill="FFFFFF" w:themeFill="background1"/>
              </w:rPr>
              <w:t>Other Factors</w:t>
            </w:r>
          </w:p>
          <w:p w14:paraId="3138498C" w14:textId="77777777" w:rsidR="00964EF2" w:rsidRPr="00C642F2" w:rsidRDefault="009B39B3" w:rsidP="00511286">
            <w:pPr>
              <w:spacing w:before="20" w:after="20"/>
              <w:ind w:left="315" w:right="-43" w:hanging="315"/>
              <w:rPr>
                <w:rFonts w:eastAsia="Calibri"/>
                <w:i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De Minimis Demolition (</w:t>
            </w:r>
            <w:r w:rsidR="00C34082" w:rsidRPr="00C642F2">
              <w:rPr>
                <w:rFonts w:eastAsia="Calibri"/>
                <w:iCs/>
                <w:sz w:val="21"/>
                <w:szCs w:val="21"/>
                <w:shd w:val="clear" w:color="auto" w:fill="FFFFFF" w:themeFill="background1"/>
              </w:rPr>
              <w:t>the lesser of 5 units or 5 percent of the total public housing units in any 5-year period)</w:t>
            </w:r>
          </w:p>
        </w:tc>
      </w:tr>
      <w:tr w:rsidR="00B30575" w:rsidRPr="00C642F2" w14:paraId="58FB9C6C" w14:textId="77777777" w:rsidTr="00A12725">
        <w:trPr>
          <w:trHeight w:val="1219"/>
        </w:trPr>
        <w:tc>
          <w:tcPr>
            <w:tcW w:w="5000" w:type="pct"/>
            <w:gridSpan w:val="4"/>
            <w:tcBorders>
              <w:top w:val="single" w:sz="2" w:space="0" w:color="auto"/>
              <w:left w:val="single" w:sz="12" w:space="0" w:color="auto"/>
              <w:bottom w:val="single" w:sz="2" w:space="0" w:color="auto"/>
              <w:right w:val="single" w:sz="12" w:space="0" w:color="auto"/>
            </w:tcBorders>
            <w:vAlign w:val="center"/>
          </w:tcPr>
          <w:p w14:paraId="21EB3FCF" w14:textId="032D88F4" w:rsidR="00B30575" w:rsidRPr="00C642F2" w:rsidRDefault="00B30575" w:rsidP="00511286">
            <w:pPr>
              <w:spacing w:before="20" w:after="20"/>
              <w:ind w:right="-43"/>
              <w:rPr>
                <w:sz w:val="21"/>
                <w:szCs w:val="21"/>
                <w:shd w:val="clear" w:color="auto" w:fill="FFFFFF" w:themeFill="background1"/>
              </w:rPr>
            </w:pPr>
            <w:r w:rsidRPr="00C642F2">
              <w:rPr>
                <w:i/>
                <w:iCs/>
                <w:sz w:val="21"/>
                <w:szCs w:val="21"/>
                <w:shd w:val="clear" w:color="auto" w:fill="FFFFFF" w:themeFill="background1"/>
              </w:rPr>
              <w:t xml:space="preserve">Attach a narrative statement describing the justification for demolition, along with other supporting documentation, in accordance with 24 CFR part 970 and PIH Notice </w:t>
            </w:r>
            <w:r w:rsidR="00A2342F" w:rsidRPr="00C642F2">
              <w:rPr>
                <w:i/>
                <w:iCs/>
                <w:sz w:val="21"/>
                <w:szCs w:val="21"/>
                <w:shd w:val="clear" w:color="auto" w:fill="FFFFFF" w:themeFill="background1"/>
              </w:rPr>
              <w:t>2018-04</w:t>
            </w:r>
            <w:r w:rsidRPr="00C642F2">
              <w:rPr>
                <w:i/>
                <w:iCs/>
                <w:sz w:val="21"/>
                <w:szCs w:val="21"/>
                <w:shd w:val="clear" w:color="auto" w:fill="FFFFFF" w:themeFill="background1"/>
              </w:rPr>
              <w:t xml:space="preserve"> (or any successor notice).  If the demolition is for a portion </w:t>
            </w:r>
            <w:r w:rsidRPr="00C642F2">
              <w:rPr>
                <w:i/>
                <w:sz w:val="21"/>
                <w:szCs w:val="21"/>
                <w:shd w:val="clear" w:color="auto" w:fill="FFFFFF" w:themeFill="background1"/>
              </w:rPr>
              <w:t>of a development, the narrative statement must specifically address how the demolition will help to ensure the</w:t>
            </w:r>
            <w:r w:rsidRPr="00C642F2">
              <w:rPr>
                <w:i/>
                <w:iCs/>
                <w:sz w:val="21"/>
                <w:szCs w:val="21"/>
                <w:shd w:val="clear" w:color="auto" w:fill="FFFFFF" w:themeFill="background1"/>
              </w:rPr>
              <w:t xml:space="preserve"> </w:t>
            </w:r>
            <w:r w:rsidRPr="00C642F2">
              <w:rPr>
                <w:i/>
                <w:sz w:val="21"/>
                <w:szCs w:val="21"/>
                <w:shd w:val="clear" w:color="auto" w:fill="FFFFFF" w:themeFill="background1"/>
              </w:rPr>
              <w:t>viability of the remaining portion of the</w:t>
            </w:r>
            <w:r w:rsidRPr="00C642F2">
              <w:rPr>
                <w:i/>
                <w:iCs/>
                <w:sz w:val="21"/>
                <w:szCs w:val="21"/>
                <w:shd w:val="clear" w:color="auto" w:fill="FFFFFF" w:themeFill="background1"/>
              </w:rPr>
              <w:t xml:space="preserve"> </w:t>
            </w:r>
            <w:r w:rsidRPr="00C642F2">
              <w:rPr>
                <w:i/>
                <w:sz w:val="21"/>
                <w:szCs w:val="21"/>
                <w:shd w:val="clear" w:color="auto" w:fill="FFFFFF" w:themeFill="background1"/>
              </w:rPr>
              <w:t>development.</w:t>
            </w:r>
            <w:r w:rsidRPr="00C642F2">
              <w:rPr>
                <w:sz w:val="21"/>
                <w:szCs w:val="21"/>
                <w:shd w:val="clear" w:color="auto" w:fill="FFFFFF" w:themeFill="background1"/>
              </w:rPr>
              <w:t xml:space="preserve"> </w:t>
            </w:r>
          </w:p>
        </w:tc>
      </w:tr>
      <w:tr w:rsidR="00AB4D4B" w:rsidRPr="00C642F2" w14:paraId="5A5DFA78" w14:textId="77777777" w:rsidTr="00B92392">
        <w:trPr>
          <w:trHeight w:val="625"/>
        </w:trPr>
        <w:tc>
          <w:tcPr>
            <w:tcW w:w="875" w:type="pct"/>
            <w:tcBorders>
              <w:top w:val="single" w:sz="2" w:space="0" w:color="auto"/>
              <w:left w:val="single" w:sz="12" w:space="0" w:color="auto"/>
              <w:bottom w:val="single" w:sz="2" w:space="0" w:color="auto"/>
              <w:right w:val="single" w:sz="12" w:space="0" w:color="auto"/>
            </w:tcBorders>
            <w:vAlign w:val="center"/>
          </w:tcPr>
          <w:p w14:paraId="44F4CC4A" w14:textId="77777777" w:rsidR="00AB4D4B" w:rsidRPr="00C642F2" w:rsidRDefault="00AB4D4B" w:rsidP="00511286">
            <w:pPr>
              <w:pStyle w:val="ListParagraph"/>
              <w:numPr>
                <w:ilvl w:val="0"/>
                <w:numId w:val="6"/>
              </w:numPr>
              <w:spacing w:before="20" w:after="20"/>
              <w:ind w:right="-43"/>
              <w:rPr>
                <w:sz w:val="21"/>
                <w:szCs w:val="21"/>
                <w:shd w:val="clear" w:color="auto" w:fill="FFFFFF" w:themeFill="background1"/>
              </w:rPr>
            </w:pPr>
            <w:r w:rsidRPr="00C642F2">
              <w:rPr>
                <w:iCs/>
                <w:sz w:val="21"/>
                <w:szCs w:val="21"/>
                <w:shd w:val="clear" w:color="auto" w:fill="FFFFFF" w:themeFill="background1"/>
              </w:rPr>
              <w:t xml:space="preserve">Cost-test: </w:t>
            </w:r>
          </w:p>
        </w:tc>
        <w:tc>
          <w:tcPr>
            <w:tcW w:w="4125" w:type="pct"/>
            <w:gridSpan w:val="3"/>
            <w:tcBorders>
              <w:top w:val="single" w:sz="2" w:space="0" w:color="auto"/>
              <w:left w:val="single" w:sz="12" w:space="0" w:color="auto"/>
              <w:bottom w:val="single" w:sz="2" w:space="0" w:color="auto"/>
              <w:right w:val="single" w:sz="12" w:space="0" w:color="auto"/>
            </w:tcBorders>
            <w:vAlign w:val="center"/>
          </w:tcPr>
          <w:p w14:paraId="292DBAA4" w14:textId="1AF85C2C" w:rsidR="00AB4D4B" w:rsidRPr="00C642F2" w:rsidRDefault="00AB4D4B" w:rsidP="00511286">
            <w:pPr>
              <w:pStyle w:val="ListParagraph"/>
              <w:spacing w:before="20" w:after="20"/>
              <w:ind w:left="69" w:right="-43"/>
              <w:rPr>
                <w:sz w:val="21"/>
                <w:szCs w:val="21"/>
                <w:shd w:val="clear" w:color="auto" w:fill="FFFFFF" w:themeFill="background1"/>
              </w:rPr>
            </w:pPr>
            <w:r w:rsidRPr="00C642F2">
              <w:rPr>
                <w:iCs/>
                <w:sz w:val="21"/>
                <w:szCs w:val="21"/>
                <w:shd w:val="clear" w:color="auto" w:fill="FFFFFF" w:themeFill="background1"/>
              </w:rPr>
              <w:t>The PHA must certify and present supporting evidence that n</w:t>
            </w:r>
            <w:r w:rsidRPr="00C642F2">
              <w:rPr>
                <w:sz w:val="21"/>
                <w:szCs w:val="21"/>
                <w:shd w:val="clear" w:color="auto" w:fill="FFFFFF" w:themeFill="background1"/>
              </w:rPr>
              <w:t>o reasonable program of</w:t>
            </w:r>
            <w:r w:rsidRPr="00C642F2">
              <w:rPr>
                <w:iCs/>
                <w:sz w:val="21"/>
                <w:szCs w:val="21"/>
                <w:shd w:val="clear" w:color="auto" w:fill="FFFFFF" w:themeFill="background1"/>
              </w:rPr>
              <w:t xml:space="preserve"> </w:t>
            </w:r>
            <w:r w:rsidRPr="00C642F2">
              <w:rPr>
                <w:sz w:val="21"/>
                <w:szCs w:val="21"/>
                <w:shd w:val="clear" w:color="auto" w:fill="FFFFFF" w:themeFill="background1"/>
              </w:rPr>
              <w:t>modifications is cost-effective to return</w:t>
            </w:r>
            <w:r w:rsidRPr="00C642F2">
              <w:rPr>
                <w:iCs/>
                <w:sz w:val="21"/>
                <w:szCs w:val="21"/>
                <w:shd w:val="clear" w:color="auto" w:fill="FFFFFF" w:themeFill="background1"/>
              </w:rPr>
              <w:t xml:space="preserve"> </w:t>
            </w:r>
            <w:r w:rsidRPr="00C642F2">
              <w:rPr>
                <w:sz w:val="21"/>
                <w:szCs w:val="21"/>
                <w:shd w:val="clear" w:color="auto" w:fill="FFFFFF" w:themeFill="background1"/>
              </w:rPr>
              <w:t>the public housing development (or portion thereof) to useful life.</w:t>
            </w:r>
          </w:p>
        </w:tc>
      </w:tr>
      <w:tr w:rsidR="00E42D2B" w:rsidRPr="00C642F2" w14:paraId="1637AA28" w14:textId="77777777" w:rsidTr="00C810A9">
        <w:trPr>
          <w:trHeight w:val="625"/>
        </w:trPr>
        <w:tc>
          <w:tcPr>
            <w:tcW w:w="5000" w:type="pct"/>
            <w:gridSpan w:val="4"/>
            <w:tcBorders>
              <w:top w:val="single" w:sz="2" w:space="0" w:color="auto"/>
              <w:left w:val="single" w:sz="12" w:space="0" w:color="auto"/>
              <w:bottom w:val="single" w:sz="12" w:space="0" w:color="auto"/>
              <w:right w:val="single" w:sz="12" w:space="0" w:color="auto"/>
            </w:tcBorders>
            <w:vAlign w:val="center"/>
          </w:tcPr>
          <w:p w14:paraId="6C911DF8" w14:textId="322D290B" w:rsidR="00E42D2B" w:rsidRPr="00C642F2" w:rsidRDefault="00E42D2B" w:rsidP="00511286">
            <w:pPr>
              <w:pStyle w:val="ListParagraph"/>
              <w:spacing w:before="20" w:after="20"/>
              <w:ind w:right="-43"/>
              <w:rPr>
                <w:iCs/>
                <w:sz w:val="21"/>
                <w:szCs w:val="21"/>
                <w:shd w:val="clear" w:color="auto" w:fill="FFFFFF" w:themeFill="background1"/>
              </w:rPr>
            </w:pPr>
            <w:r w:rsidRPr="00C642F2">
              <w:rPr>
                <w:i/>
                <w:iCs/>
                <w:sz w:val="21"/>
                <w:szCs w:val="21"/>
                <w:shd w:val="clear" w:color="auto" w:fill="FFFFFF" w:themeFill="background1"/>
              </w:rPr>
              <w:t xml:space="preserve">Attach a completed HUD-52860-B, narrative statement, </w:t>
            </w:r>
            <w:r w:rsidR="00F526D2" w:rsidRPr="00C642F2">
              <w:rPr>
                <w:i/>
                <w:iCs/>
                <w:sz w:val="21"/>
                <w:szCs w:val="21"/>
                <w:shd w:val="clear" w:color="auto" w:fill="FFFFFF" w:themeFill="background1"/>
              </w:rPr>
              <w:t>and</w:t>
            </w:r>
            <w:r w:rsidRPr="00C642F2">
              <w:rPr>
                <w:i/>
                <w:iCs/>
                <w:sz w:val="21"/>
                <w:szCs w:val="21"/>
                <w:shd w:val="clear" w:color="auto" w:fill="FFFFFF" w:themeFill="background1"/>
              </w:rPr>
              <w:t xml:space="preserve"> other supporting documentation as described in the instructions</w:t>
            </w:r>
          </w:p>
        </w:tc>
      </w:tr>
    </w:tbl>
    <w:p w14:paraId="3E4D58F3" w14:textId="609967D5" w:rsidR="00CD1C71" w:rsidRPr="00C642F2" w:rsidRDefault="00CD1C71" w:rsidP="00511286">
      <w:pPr>
        <w:ind w:right="-43"/>
        <w:rPr>
          <w:b/>
          <w:bCs/>
          <w:sz w:val="21"/>
          <w:szCs w:val="21"/>
          <w:shd w:val="clear" w:color="auto" w:fill="FFFFFF" w:themeFill="background1"/>
        </w:rPr>
      </w:pPr>
    </w:p>
    <w:p w14:paraId="78314E1C" w14:textId="77777777" w:rsidR="00CD1C71" w:rsidRPr="00C642F2" w:rsidRDefault="00CD1C71" w:rsidP="00511286">
      <w:pPr>
        <w:rPr>
          <w:b/>
          <w:bCs/>
          <w:sz w:val="21"/>
          <w:szCs w:val="21"/>
          <w:shd w:val="clear" w:color="auto" w:fill="FFFFFF" w:themeFill="background1"/>
        </w:rPr>
      </w:pPr>
      <w:r w:rsidRPr="00C642F2">
        <w:rPr>
          <w:b/>
          <w:bCs/>
          <w:sz w:val="21"/>
          <w:szCs w:val="21"/>
          <w:shd w:val="clear" w:color="auto" w:fill="FFFFFF" w:themeFill="background1"/>
        </w:rPr>
        <w:br w:type="page"/>
      </w:r>
    </w:p>
    <w:tbl>
      <w:tblPr>
        <w:tblW w:w="1132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2331"/>
        <w:gridCol w:w="2070"/>
        <w:gridCol w:w="2514"/>
        <w:gridCol w:w="4410"/>
      </w:tblGrid>
      <w:tr w:rsidR="00E42D2B" w:rsidRPr="00C642F2" w14:paraId="7435F726" w14:textId="77777777" w:rsidTr="00E82BF8">
        <w:trPr>
          <w:trHeight w:val="265"/>
        </w:trPr>
        <w:tc>
          <w:tcPr>
            <w:tcW w:w="5000" w:type="pct"/>
            <w:gridSpan w:val="4"/>
            <w:tcBorders>
              <w:top w:val="single" w:sz="12" w:space="0" w:color="auto"/>
              <w:left w:val="single" w:sz="12" w:space="0" w:color="auto"/>
              <w:bottom w:val="single" w:sz="2" w:space="0" w:color="auto"/>
              <w:right w:val="single" w:sz="12" w:space="0" w:color="auto"/>
            </w:tcBorders>
          </w:tcPr>
          <w:p w14:paraId="3A1FE236" w14:textId="20A89207" w:rsidR="00E42D2B" w:rsidRPr="00C642F2" w:rsidRDefault="00E42D2B" w:rsidP="00511286">
            <w:pPr>
              <w:spacing w:before="20" w:after="20"/>
              <w:ind w:right="-43"/>
              <w:rPr>
                <w:sz w:val="21"/>
                <w:szCs w:val="21"/>
                <w:shd w:val="clear" w:color="auto" w:fill="FFFFFF" w:themeFill="background1"/>
              </w:rPr>
            </w:pPr>
            <w:r w:rsidRPr="00C642F2">
              <w:rPr>
                <w:b/>
                <w:bCs/>
                <w:sz w:val="21"/>
                <w:szCs w:val="21"/>
                <w:shd w:val="clear" w:color="auto" w:fill="FFFFFF" w:themeFill="background1"/>
              </w:rPr>
              <w:lastRenderedPageBreak/>
              <w:t>Section 2.  Disposition</w:t>
            </w:r>
          </w:p>
        </w:tc>
      </w:tr>
      <w:tr w:rsidR="00B123AA" w:rsidRPr="00C642F2" w14:paraId="3FE57106" w14:textId="77777777" w:rsidTr="0048716B">
        <w:trPr>
          <w:trHeight w:val="625"/>
        </w:trPr>
        <w:tc>
          <w:tcPr>
            <w:tcW w:w="1029" w:type="pct"/>
            <w:tcBorders>
              <w:top w:val="single" w:sz="2" w:space="0" w:color="auto"/>
              <w:left w:val="single" w:sz="12" w:space="0" w:color="auto"/>
              <w:bottom w:val="single" w:sz="2" w:space="0" w:color="auto"/>
              <w:right w:val="single" w:sz="2" w:space="0" w:color="auto"/>
            </w:tcBorders>
            <w:vAlign w:val="center"/>
          </w:tcPr>
          <w:p w14:paraId="2950BF3D" w14:textId="0FD4FDBF" w:rsidR="00762133" w:rsidRPr="00C642F2" w:rsidRDefault="009867D4" w:rsidP="00511286">
            <w:pPr>
              <w:pStyle w:val="ListParagraph"/>
              <w:numPr>
                <w:ilvl w:val="0"/>
                <w:numId w:val="7"/>
              </w:numPr>
              <w:spacing w:before="20" w:after="20"/>
              <w:ind w:right="-43"/>
              <w:rPr>
                <w:i/>
                <w:iCs/>
                <w:sz w:val="21"/>
                <w:szCs w:val="21"/>
                <w:shd w:val="clear" w:color="auto" w:fill="FFFFFF" w:themeFill="background1"/>
              </w:rPr>
            </w:pPr>
            <w:r w:rsidRPr="00C642F2">
              <w:rPr>
                <w:iCs/>
                <w:sz w:val="21"/>
                <w:szCs w:val="21"/>
                <w:shd w:val="clear" w:color="auto" w:fill="FFFFFF" w:themeFill="background1"/>
              </w:rPr>
              <w:t>Wh</w:t>
            </w:r>
            <w:r w:rsidR="00B123AA" w:rsidRPr="00C642F2">
              <w:rPr>
                <w:iCs/>
                <w:sz w:val="21"/>
                <w:szCs w:val="21"/>
                <w:shd w:val="clear" w:color="auto" w:fill="FFFFFF" w:themeFill="background1"/>
              </w:rPr>
              <w:t xml:space="preserve">at is the justification for the </w:t>
            </w:r>
            <w:r w:rsidR="00762133" w:rsidRPr="00C642F2">
              <w:rPr>
                <w:iCs/>
                <w:sz w:val="21"/>
                <w:szCs w:val="21"/>
                <w:shd w:val="clear" w:color="auto" w:fill="FFFFFF" w:themeFill="background1"/>
              </w:rPr>
              <w:t>disposition?</w:t>
            </w:r>
          </w:p>
        </w:tc>
        <w:tc>
          <w:tcPr>
            <w:tcW w:w="3971" w:type="pct"/>
            <w:gridSpan w:val="3"/>
            <w:tcBorders>
              <w:top w:val="single" w:sz="2" w:space="0" w:color="auto"/>
              <w:left w:val="single" w:sz="2" w:space="0" w:color="auto"/>
              <w:bottom w:val="single" w:sz="2" w:space="0" w:color="auto"/>
              <w:right w:val="single" w:sz="12" w:space="0" w:color="auto"/>
            </w:tcBorders>
            <w:shd w:val="clear" w:color="auto" w:fill="FFFFFF" w:themeFill="background1"/>
          </w:tcPr>
          <w:p w14:paraId="19C55F81" w14:textId="77777777" w:rsidR="00B123AA" w:rsidRPr="00C642F2" w:rsidRDefault="00B123AA" w:rsidP="00511286">
            <w:pPr>
              <w:spacing w:before="20" w:after="20"/>
              <w:ind w:right="-43"/>
              <w:rPr>
                <w:b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762133" w:rsidRPr="00C642F2">
              <w:rPr>
                <w:bCs/>
                <w:sz w:val="21"/>
                <w:szCs w:val="21"/>
                <w:shd w:val="clear" w:color="auto" w:fill="FFFFFF" w:themeFill="background1"/>
              </w:rPr>
              <w:t>Conditions in Surrounding Area: 24 CFR 970.17(a)</w:t>
            </w:r>
          </w:p>
          <w:p w14:paraId="7DCD4BBD" w14:textId="77777777" w:rsidR="001610C3" w:rsidRPr="00C642F2" w:rsidRDefault="00E07F41" w:rsidP="00511286">
            <w:pPr>
              <w:spacing w:before="20" w:after="20"/>
              <w:ind w:left="81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Health and/or Safety</w:t>
            </w:r>
          </w:p>
          <w:p w14:paraId="0BEA7010" w14:textId="2CACD753" w:rsidR="00E07F41" w:rsidRPr="00C642F2" w:rsidRDefault="00E07F41" w:rsidP="00511286">
            <w:pPr>
              <w:spacing w:before="20" w:after="20"/>
              <w:ind w:left="81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Infeasible Operation</w:t>
            </w:r>
          </w:p>
          <w:p w14:paraId="3BD9DC8C" w14:textId="77777777" w:rsidR="00B123AA" w:rsidRPr="00C642F2" w:rsidRDefault="00B123AA"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9867D4" w:rsidRPr="00C642F2">
              <w:rPr>
                <w:bCs/>
                <w:sz w:val="21"/>
                <w:szCs w:val="21"/>
                <w:shd w:val="clear" w:color="auto" w:fill="FFFFFF" w:themeFill="background1"/>
              </w:rPr>
              <w:t>More Efficient/Effective Low-Income Housing: 24 CFR 970.17(b)</w:t>
            </w:r>
          </w:p>
          <w:p w14:paraId="3C7D9746" w14:textId="77777777" w:rsidR="00B36D1D" w:rsidRPr="00C642F2" w:rsidRDefault="00B123AA" w:rsidP="00511286">
            <w:pPr>
              <w:spacing w:before="20" w:after="20"/>
              <w:ind w:left="330" w:right="-43" w:hanging="330"/>
              <w:rPr>
                <w:b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762133" w:rsidRPr="00C642F2">
              <w:rPr>
                <w:bCs/>
                <w:sz w:val="21"/>
                <w:szCs w:val="21"/>
                <w:shd w:val="clear" w:color="auto" w:fill="FFFFFF" w:themeFill="background1"/>
              </w:rPr>
              <w:t>Best Interests of PHA and Residents &amp; Consistent with PHA Plan &amp; 1937 Act: 970.17(c</w:t>
            </w:r>
            <w:r w:rsidR="009867D4" w:rsidRPr="00C642F2">
              <w:rPr>
                <w:bCs/>
                <w:sz w:val="21"/>
                <w:szCs w:val="21"/>
                <w:shd w:val="clear" w:color="auto" w:fill="FFFFFF" w:themeFill="background1"/>
              </w:rPr>
              <w:t>)</w:t>
            </w:r>
          </w:p>
          <w:p w14:paraId="55271ECB" w14:textId="03094084" w:rsidR="00495A45" w:rsidRPr="00C642F2" w:rsidRDefault="00495A45" w:rsidP="00511286">
            <w:pPr>
              <w:ind w:left="330" w:right="-43" w:hanging="330"/>
              <w:rPr>
                <w:cap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The </w:t>
            </w:r>
            <w:r w:rsidR="00451938" w:rsidRPr="00C642F2">
              <w:rPr>
                <w:sz w:val="21"/>
                <w:szCs w:val="21"/>
                <w:shd w:val="clear" w:color="auto" w:fill="FFFFFF" w:themeFill="background1"/>
              </w:rPr>
              <w:t>N</w:t>
            </w:r>
            <w:r w:rsidRPr="00C642F2">
              <w:rPr>
                <w:sz w:val="21"/>
                <w:szCs w:val="21"/>
                <w:shd w:val="clear" w:color="auto" w:fill="FFFFFF" w:themeFill="background1"/>
              </w:rPr>
              <w:t>on-</w:t>
            </w:r>
            <w:r w:rsidR="00451938" w:rsidRPr="00C642F2">
              <w:rPr>
                <w:sz w:val="21"/>
                <w:szCs w:val="21"/>
                <w:shd w:val="clear" w:color="auto" w:fill="FFFFFF" w:themeFill="background1"/>
              </w:rPr>
              <w:t>Dwelling</w:t>
            </w:r>
            <w:r w:rsidRPr="00C642F2">
              <w:rPr>
                <w:sz w:val="21"/>
                <w:szCs w:val="21"/>
                <w:shd w:val="clear" w:color="auto" w:fill="FFFFFF" w:themeFill="background1"/>
              </w:rPr>
              <w:t xml:space="preserve"> </w:t>
            </w:r>
            <w:r w:rsidR="00451938" w:rsidRPr="00C642F2">
              <w:rPr>
                <w:sz w:val="21"/>
                <w:szCs w:val="21"/>
                <w:shd w:val="clear" w:color="auto" w:fill="FFFFFF" w:themeFill="background1"/>
              </w:rPr>
              <w:t>Str</w:t>
            </w:r>
            <w:r w:rsidRPr="00C642F2">
              <w:rPr>
                <w:sz w:val="21"/>
                <w:szCs w:val="21"/>
                <w:shd w:val="clear" w:color="auto" w:fill="FFFFFF" w:themeFill="background1"/>
              </w:rPr>
              <w:t xml:space="preserve">ucture </w:t>
            </w:r>
            <w:r w:rsidR="00451938" w:rsidRPr="00C642F2">
              <w:rPr>
                <w:sz w:val="21"/>
                <w:szCs w:val="21"/>
                <w:shd w:val="clear" w:color="auto" w:fill="FFFFFF" w:themeFill="background1"/>
              </w:rPr>
              <w:t>or</w:t>
            </w:r>
            <w:r w:rsidRPr="00C642F2">
              <w:rPr>
                <w:sz w:val="21"/>
                <w:szCs w:val="21"/>
                <w:shd w:val="clear" w:color="auto" w:fill="FFFFFF" w:themeFill="background1"/>
              </w:rPr>
              <w:t xml:space="preserve"> </w:t>
            </w:r>
            <w:r w:rsidR="00451938" w:rsidRPr="00C642F2">
              <w:rPr>
                <w:sz w:val="21"/>
                <w:szCs w:val="21"/>
                <w:shd w:val="clear" w:color="auto" w:fill="FFFFFF" w:themeFill="background1"/>
              </w:rPr>
              <w:t>L</w:t>
            </w:r>
            <w:r w:rsidRPr="00C642F2">
              <w:rPr>
                <w:sz w:val="21"/>
                <w:szCs w:val="21"/>
                <w:shd w:val="clear" w:color="auto" w:fill="FFFFFF" w:themeFill="background1"/>
              </w:rPr>
              <w:t xml:space="preserve">and </w:t>
            </w:r>
            <w:r w:rsidR="00451938" w:rsidRPr="00C642F2">
              <w:rPr>
                <w:sz w:val="21"/>
                <w:szCs w:val="21"/>
                <w:shd w:val="clear" w:color="auto" w:fill="FFFFFF" w:themeFill="background1"/>
              </w:rPr>
              <w:t>E</w:t>
            </w:r>
            <w:r w:rsidRPr="00C642F2">
              <w:rPr>
                <w:sz w:val="21"/>
                <w:szCs w:val="21"/>
                <w:shd w:val="clear" w:color="auto" w:fill="FFFFFF" w:themeFill="background1"/>
              </w:rPr>
              <w:t>xceeds the</w:t>
            </w:r>
            <w:r w:rsidR="00451938" w:rsidRPr="00C642F2">
              <w:rPr>
                <w:sz w:val="21"/>
                <w:szCs w:val="21"/>
                <w:shd w:val="clear" w:color="auto" w:fill="FFFFFF" w:themeFill="background1"/>
              </w:rPr>
              <w:t xml:space="preserve"> Needs</w:t>
            </w:r>
            <w:r w:rsidRPr="00C642F2">
              <w:rPr>
                <w:sz w:val="21"/>
                <w:szCs w:val="21"/>
                <w:shd w:val="clear" w:color="auto" w:fill="FFFFFF" w:themeFill="background1"/>
              </w:rPr>
              <w:t xml:space="preserve"> of the </w:t>
            </w:r>
            <w:r w:rsidR="00451938" w:rsidRPr="00C642F2">
              <w:rPr>
                <w:sz w:val="21"/>
                <w:szCs w:val="21"/>
                <w:shd w:val="clear" w:color="auto" w:fill="FFFFFF" w:themeFill="background1"/>
              </w:rPr>
              <w:t>D</w:t>
            </w:r>
            <w:r w:rsidRPr="00C642F2">
              <w:rPr>
                <w:sz w:val="21"/>
                <w:szCs w:val="21"/>
                <w:shd w:val="clear" w:color="auto" w:fill="FFFFFF" w:themeFill="background1"/>
              </w:rPr>
              <w:t xml:space="preserve">evelopment (after </w:t>
            </w:r>
            <w:r w:rsidR="00756C21" w:rsidRPr="00C642F2">
              <w:rPr>
                <w:sz w:val="21"/>
                <w:szCs w:val="21"/>
                <w:shd w:val="clear" w:color="auto" w:fill="FFFFFF" w:themeFill="background1"/>
              </w:rPr>
              <w:t>Date of Full Availability</w:t>
            </w:r>
            <w:r w:rsidR="00BA3645" w:rsidRPr="00C642F2">
              <w:rPr>
                <w:sz w:val="21"/>
                <w:szCs w:val="21"/>
                <w:shd w:val="clear" w:color="auto" w:fill="FFFFFF" w:themeFill="background1"/>
              </w:rPr>
              <w:t xml:space="preserve"> </w:t>
            </w:r>
            <w:r w:rsidR="00756C21" w:rsidRPr="00C642F2">
              <w:rPr>
                <w:sz w:val="21"/>
                <w:szCs w:val="21"/>
                <w:shd w:val="clear" w:color="auto" w:fill="FFFFFF" w:themeFill="background1"/>
              </w:rPr>
              <w:t>“</w:t>
            </w:r>
            <w:r w:rsidRPr="00C642F2">
              <w:rPr>
                <w:sz w:val="21"/>
                <w:szCs w:val="21"/>
                <w:shd w:val="clear" w:color="auto" w:fill="FFFFFF" w:themeFill="background1"/>
              </w:rPr>
              <w:t>DOFA</w:t>
            </w:r>
            <w:r w:rsidR="00756C21" w:rsidRPr="00C642F2">
              <w:rPr>
                <w:sz w:val="21"/>
                <w:szCs w:val="21"/>
                <w:shd w:val="clear" w:color="auto" w:fill="FFFFFF" w:themeFill="background1"/>
              </w:rPr>
              <w:t>”</w:t>
            </w:r>
            <w:r w:rsidRPr="00C642F2">
              <w:rPr>
                <w:sz w:val="21"/>
                <w:szCs w:val="21"/>
                <w:shd w:val="clear" w:color="auto" w:fill="FFFFFF" w:themeFill="background1"/>
              </w:rPr>
              <w:t xml:space="preserve">) </w:t>
            </w:r>
          </w:p>
          <w:p w14:paraId="053AE810" w14:textId="3D210AEA" w:rsidR="00762133" w:rsidRPr="00C642F2" w:rsidRDefault="00495A45" w:rsidP="00511286">
            <w:pPr>
              <w:ind w:left="330" w:right="-43" w:hanging="330"/>
              <w:rPr>
                <w:rFonts w:eastAsia="Calibri"/>
                <w:i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The </w:t>
            </w:r>
            <w:r w:rsidR="00451938" w:rsidRPr="00C642F2">
              <w:rPr>
                <w:sz w:val="21"/>
                <w:szCs w:val="21"/>
                <w:shd w:val="clear" w:color="auto" w:fill="FFFFFF" w:themeFill="background1"/>
              </w:rPr>
              <w:t>D</w:t>
            </w:r>
            <w:r w:rsidRPr="00C642F2">
              <w:rPr>
                <w:sz w:val="21"/>
                <w:szCs w:val="21"/>
                <w:shd w:val="clear" w:color="auto" w:fill="FFFFFF" w:themeFill="background1"/>
              </w:rPr>
              <w:t xml:space="preserve">isposition </w:t>
            </w:r>
            <w:r w:rsidR="00451938" w:rsidRPr="00C642F2">
              <w:rPr>
                <w:sz w:val="21"/>
                <w:szCs w:val="21"/>
                <w:shd w:val="clear" w:color="auto" w:fill="FFFFFF" w:themeFill="background1"/>
              </w:rPr>
              <w:t>of the Non-</w:t>
            </w:r>
            <w:r w:rsidR="007A5EB9" w:rsidRPr="00C642F2">
              <w:rPr>
                <w:sz w:val="21"/>
                <w:szCs w:val="21"/>
                <w:shd w:val="clear" w:color="auto" w:fill="FFFFFF" w:themeFill="background1"/>
              </w:rPr>
              <w:t>D</w:t>
            </w:r>
            <w:r w:rsidR="00451938" w:rsidRPr="00C642F2">
              <w:rPr>
                <w:sz w:val="21"/>
                <w:szCs w:val="21"/>
                <w:shd w:val="clear" w:color="auto" w:fill="FFFFFF" w:themeFill="background1"/>
              </w:rPr>
              <w:t xml:space="preserve">welling Property </w:t>
            </w:r>
            <w:r w:rsidRPr="00C642F2">
              <w:rPr>
                <w:sz w:val="21"/>
                <w:szCs w:val="21"/>
                <w:shd w:val="clear" w:color="auto" w:fill="FFFFFF" w:themeFill="background1"/>
              </w:rPr>
              <w:t xml:space="preserve">is </w:t>
            </w:r>
            <w:r w:rsidR="00451938" w:rsidRPr="00C642F2">
              <w:rPr>
                <w:sz w:val="21"/>
                <w:szCs w:val="21"/>
                <w:shd w:val="clear" w:color="auto" w:fill="FFFFFF" w:themeFill="background1"/>
              </w:rPr>
              <w:t>I</w:t>
            </w:r>
            <w:r w:rsidRPr="00C642F2">
              <w:rPr>
                <w:sz w:val="21"/>
                <w:szCs w:val="21"/>
                <w:shd w:val="clear" w:color="auto" w:fill="FFFFFF" w:themeFill="background1"/>
              </w:rPr>
              <w:t xml:space="preserve">ncidental to, or does not </w:t>
            </w:r>
            <w:r w:rsidR="00451938" w:rsidRPr="00C642F2">
              <w:rPr>
                <w:sz w:val="21"/>
                <w:szCs w:val="21"/>
                <w:shd w:val="clear" w:color="auto" w:fill="FFFFFF" w:themeFill="background1"/>
              </w:rPr>
              <w:t>I</w:t>
            </w:r>
            <w:r w:rsidRPr="00C642F2">
              <w:rPr>
                <w:sz w:val="21"/>
                <w:szCs w:val="21"/>
                <w:shd w:val="clear" w:color="auto" w:fill="FFFFFF" w:themeFill="background1"/>
              </w:rPr>
              <w:t xml:space="preserve">nterfere with, the </w:t>
            </w:r>
            <w:r w:rsidR="00451938" w:rsidRPr="00C642F2">
              <w:rPr>
                <w:sz w:val="21"/>
                <w:szCs w:val="21"/>
                <w:shd w:val="clear" w:color="auto" w:fill="FFFFFF" w:themeFill="background1"/>
              </w:rPr>
              <w:t>C</w:t>
            </w:r>
            <w:r w:rsidRPr="00C642F2">
              <w:rPr>
                <w:sz w:val="21"/>
                <w:szCs w:val="21"/>
                <w:shd w:val="clear" w:color="auto" w:fill="FFFFFF" w:themeFill="background1"/>
              </w:rPr>
              <w:t xml:space="preserve">ontinued </w:t>
            </w:r>
            <w:r w:rsidR="00451938" w:rsidRPr="00C642F2">
              <w:rPr>
                <w:sz w:val="21"/>
                <w:szCs w:val="21"/>
                <w:shd w:val="clear" w:color="auto" w:fill="FFFFFF" w:themeFill="background1"/>
              </w:rPr>
              <w:t>O</w:t>
            </w:r>
            <w:r w:rsidRPr="00C642F2">
              <w:rPr>
                <w:sz w:val="21"/>
                <w:szCs w:val="21"/>
                <w:shd w:val="clear" w:color="auto" w:fill="FFFFFF" w:themeFill="background1"/>
              </w:rPr>
              <w:t xml:space="preserve">peration of the </w:t>
            </w:r>
            <w:r w:rsidR="00451938" w:rsidRPr="00C642F2">
              <w:rPr>
                <w:sz w:val="21"/>
                <w:szCs w:val="21"/>
                <w:shd w:val="clear" w:color="auto" w:fill="FFFFFF" w:themeFill="background1"/>
              </w:rPr>
              <w:t>R</w:t>
            </w:r>
            <w:r w:rsidRPr="00C642F2">
              <w:rPr>
                <w:sz w:val="21"/>
                <w:szCs w:val="21"/>
                <w:shd w:val="clear" w:color="auto" w:fill="FFFFFF" w:themeFill="background1"/>
              </w:rPr>
              <w:t xml:space="preserve">emainder of the </w:t>
            </w:r>
            <w:r w:rsidR="00451938" w:rsidRPr="00C642F2">
              <w:rPr>
                <w:sz w:val="21"/>
                <w:szCs w:val="21"/>
                <w:shd w:val="clear" w:color="auto" w:fill="FFFFFF" w:themeFill="background1"/>
              </w:rPr>
              <w:t>D</w:t>
            </w:r>
            <w:r w:rsidRPr="00C642F2">
              <w:rPr>
                <w:sz w:val="21"/>
                <w:szCs w:val="21"/>
                <w:shd w:val="clear" w:color="auto" w:fill="FFFFFF" w:themeFill="background1"/>
              </w:rPr>
              <w:t xml:space="preserve">evelopment </w:t>
            </w:r>
          </w:p>
        </w:tc>
      </w:tr>
      <w:tr w:rsidR="00B36D1D" w:rsidRPr="00C642F2" w14:paraId="3B8A2B94" w14:textId="77777777" w:rsidTr="0048716B">
        <w:trPr>
          <w:trHeight w:val="625"/>
        </w:trPr>
        <w:tc>
          <w:tcPr>
            <w:tcW w:w="5000" w:type="pct"/>
            <w:gridSpan w:val="4"/>
            <w:tcBorders>
              <w:top w:val="single" w:sz="2" w:space="0" w:color="auto"/>
              <w:left w:val="single" w:sz="12" w:space="0" w:color="auto"/>
              <w:bottom w:val="single" w:sz="2" w:space="0" w:color="auto"/>
              <w:right w:val="single" w:sz="12" w:space="0" w:color="auto"/>
            </w:tcBorders>
            <w:shd w:val="clear" w:color="auto" w:fill="FFFFFF" w:themeFill="background1"/>
          </w:tcPr>
          <w:p w14:paraId="4A887084" w14:textId="488F2454" w:rsidR="00451938" w:rsidRPr="00C642F2" w:rsidRDefault="00B36D1D" w:rsidP="00511286">
            <w:pPr>
              <w:spacing w:before="20" w:after="20"/>
              <w:ind w:right="-43"/>
              <w:rPr>
                <w:i/>
                <w:iCs/>
                <w:sz w:val="21"/>
                <w:szCs w:val="21"/>
                <w:shd w:val="clear" w:color="auto" w:fill="FFFFFF" w:themeFill="background1"/>
              </w:rPr>
            </w:pPr>
            <w:r w:rsidRPr="00C642F2">
              <w:rPr>
                <w:i/>
                <w:iCs/>
                <w:sz w:val="21"/>
                <w:szCs w:val="21"/>
                <w:shd w:val="clear" w:color="auto" w:fill="FFFFFF" w:themeFill="background1"/>
              </w:rPr>
              <w:t>Attach a narrative statement describing the justification for disposition, along with other supporting documentation, in accordance with 24 CFR part 970 and PIH Notice 201</w:t>
            </w:r>
            <w:r w:rsidR="00A2342F" w:rsidRPr="00C642F2">
              <w:rPr>
                <w:i/>
                <w:iCs/>
                <w:sz w:val="21"/>
                <w:szCs w:val="21"/>
                <w:shd w:val="clear" w:color="auto" w:fill="FFFFFF" w:themeFill="background1"/>
              </w:rPr>
              <w:t>8-04</w:t>
            </w:r>
            <w:r w:rsidRPr="00C642F2">
              <w:rPr>
                <w:i/>
                <w:iCs/>
                <w:sz w:val="21"/>
                <w:szCs w:val="21"/>
                <w:shd w:val="clear" w:color="auto" w:fill="FFFFFF" w:themeFill="background1"/>
              </w:rPr>
              <w:t>(or any successor notice).</w:t>
            </w:r>
          </w:p>
          <w:p w14:paraId="612DF7D9" w14:textId="573269B9" w:rsidR="00B36D1D" w:rsidRPr="00C642F2" w:rsidRDefault="00B36D1D" w:rsidP="00B70EA4">
            <w:pPr>
              <w:spacing w:before="20" w:after="20"/>
              <w:ind w:left="235" w:right="-43"/>
              <w:rPr>
                <w:sz w:val="21"/>
                <w:szCs w:val="21"/>
                <w:shd w:val="clear" w:color="auto" w:fill="FFFFFF" w:themeFill="background1"/>
              </w:rPr>
            </w:pPr>
            <w:r w:rsidRPr="00C642F2">
              <w:rPr>
                <w:i/>
                <w:iCs/>
                <w:sz w:val="21"/>
                <w:szCs w:val="21"/>
                <w:shd w:val="clear" w:color="auto" w:fill="FFFFFF" w:themeFill="background1"/>
              </w:rPr>
              <w:t xml:space="preserve">If disposition is based on physical obsolescence </w:t>
            </w:r>
            <w:r w:rsidR="00451938" w:rsidRPr="00C642F2">
              <w:rPr>
                <w:i/>
                <w:iCs/>
                <w:sz w:val="21"/>
                <w:szCs w:val="21"/>
                <w:shd w:val="clear" w:color="auto" w:fill="FFFFFF" w:themeFill="background1"/>
              </w:rPr>
              <w:t>under</w:t>
            </w:r>
            <w:r w:rsidRPr="00C642F2">
              <w:rPr>
                <w:i/>
                <w:iCs/>
                <w:sz w:val="21"/>
                <w:szCs w:val="21"/>
                <w:shd w:val="clear" w:color="auto" w:fill="FFFFFF" w:themeFill="background1"/>
              </w:rPr>
              <w:t xml:space="preserve"> the demolition criteria, complete Section 1 (Demolition) of this form.</w:t>
            </w:r>
          </w:p>
        </w:tc>
      </w:tr>
      <w:tr w:rsidR="00B123AA" w:rsidRPr="00C642F2" w14:paraId="1F6C1E61" w14:textId="77777777" w:rsidTr="0048716B">
        <w:trPr>
          <w:trHeight w:val="1966"/>
        </w:trPr>
        <w:tc>
          <w:tcPr>
            <w:tcW w:w="1943" w:type="pct"/>
            <w:gridSpan w:val="2"/>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42EE2D9A" w14:textId="002910F7" w:rsidR="00B357A0" w:rsidRPr="00C642F2" w:rsidRDefault="00F34EC1" w:rsidP="00511286">
            <w:pPr>
              <w:pStyle w:val="ListParagraph"/>
              <w:numPr>
                <w:ilvl w:val="0"/>
                <w:numId w:val="7"/>
              </w:numPr>
              <w:spacing w:before="20" w:after="20"/>
              <w:ind w:right="-43"/>
              <w:rPr>
                <w:iCs/>
                <w:sz w:val="21"/>
                <w:szCs w:val="21"/>
                <w:shd w:val="clear" w:color="auto" w:fill="FFFFFF" w:themeFill="background1"/>
              </w:rPr>
            </w:pPr>
            <w:r w:rsidRPr="00C642F2">
              <w:rPr>
                <w:sz w:val="21"/>
                <w:szCs w:val="21"/>
                <w:shd w:val="clear" w:color="auto" w:fill="FFFFFF" w:themeFill="background1"/>
              </w:rPr>
              <w:t>M</w:t>
            </w:r>
            <w:r w:rsidR="00B123AA" w:rsidRPr="00C642F2">
              <w:rPr>
                <w:sz w:val="21"/>
                <w:szCs w:val="21"/>
                <w:shd w:val="clear" w:color="auto" w:fill="FFFFFF" w:themeFill="background1"/>
              </w:rPr>
              <w:t>ethod of Disposition</w:t>
            </w:r>
          </w:p>
        </w:tc>
        <w:tc>
          <w:tcPr>
            <w:tcW w:w="3057"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465840DD" w14:textId="2F5321B1" w:rsidR="00740D3A"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Style w:val="Strong"/>
                <w:b w:val="0"/>
                <w:sz w:val="21"/>
                <w:szCs w:val="21"/>
                <w:shd w:val="clear" w:color="auto" w:fill="FFFFFF" w:themeFill="background1"/>
              </w:rPr>
              <w:t xml:space="preserve">Public Bid FMV Sale </w:t>
            </w:r>
          </w:p>
          <w:p w14:paraId="42BD48E9" w14:textId="234057D2" w:rsidR="00740D3A"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Sale at FMV </w:t>
            </w:r>
          </w:p>
          <w:p w14:paraId="72A2D853" w14:textId="4830C579" w:rsidR="00740D3A"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Lease or other Transfer at FMV</w:t>
            </w:r>
            <w:r w:rsidR="00A2342F" w:rsidRPr="00C642F2">
              <w:rPr>
                <w:sz w:val="21"/>
                <w:szCs w:val="21"/>
                <w:shd w:val="clear" w:color="auto" w:fill="FFFFFF" w:themeFill="background1"/>
              </w:rPr>
              <w:t xml:space="preserve"> </w:t>
            </w:r>
          </w:p>
          <w:p w14:paraId="6C51E581" w14:textId="2475E3E8" w:rsidR="00740D3A"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Sale </w:t>
            </w:r>
            <w:r w:rsidR="00A45C4E" w:rsidRPr="00C642F2">
              <w:rPr>
                <w:sz w:val="21"/>
                <w:szCs w:val="21"/>
                <w:shd w:val="clear" w:color="auto" w:fill="FFFFFF" w:themeFill="background1"/>
              </w:rPr>
              <w:t xml:space="preserve">or other Transfer </w:t>
            </w:r>
            <w:r w:rsidRPr="00C642F2">
              <w:rPr>
                <w:sz w:val="21"/>
                <w:szCs w:val="21"/>
                <w:shd w:val="clear" w:color="auto" w:fill="FFFFFF" w:themeFill="background1"/>
              </w:rPr>
              <w:t>at FMV</w:t>
            </w:r>
          </w:p>
          <w:p w14:paraId="1CDE81B9" w14:textId="30BFDA75" w:rsidR="00740D3A"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Sale</w:t>
            </w:r>
            <w:r w:rsidR="00A45C4E" w:rsidRPr="00C642F2">
              <w:rPr>
                <w:sz w:val="21"/>
                <w:szCs w:val="21"/>
                <w:shd w:val="clear" w:color="auto" w:fill="FFFFFF" w:themeFill="background1"/>
              </w:rPr>
              <w:t xml:space="preserve"> </w:t>
            </w:r>
            <w:r w:rsidRPr="00C642F2">
              <w:rPr>
                <w:sz w:val="21"/>
                <w:szCs w:val="21"/>
                <w:shd w:val="clear" w:color="auto" w:fill="FFFFFF" w:themeFill="background1"/>
              </w:rPr>
              <w:t xml:space="preserve">at below FMV </w:t>
            </w:r>
          </w:p>
          <w:p w14:paraId="1F23536D" w14:textId="77777777" w:rsidR="00B123AA"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bCs/>
                <w:sz w:val="21"/>
                <w:szCs w:val="21"/>
                <w:shd w:val="clear" w:color="auto" w:fill="FFFFFF" w:themeFill="background1"/>
              </w:rPr>
              <w:t>Negotiated Lease or other Transfer at below FMV</w:t>
            </w:r>
          </w:p>
          <w:p w14:paraId="3A426010" w14:textId="39BFEF57" w:rsidR="00F526D2" w:rsidRPr="00C642F2" w:rsidRDefault="00740D3A" w:rsidP="00511286">
            <w:pPr>
              <w:numPr>
                <w:ilvl w:val="0"/>
                <w:numId w:val="5"/>
              </w:numPr>
              <w:spacing w:before="20" w:after="20"/>
              <w:ind w:left="421"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bCs/>
                <w:sz w:val="21"/>
                <w:szCs w:val="21"/>
                <w:shd w:val="clear" w:color="auto" w:fill="FFFFFF" w:themeFill="background1"/>
              </w:rPr>
              <w:t>Land-Swap</w:t>
            </w:r>
          </w:p>
        </w:tc>
      </w:tr>
      <w:tr w:rsidR="007A7846" w:rsidRPr="00C642F2" w14:paraId="52BF2A86" w14:textId="77777777" w:rsidTr="007A313F">
        <w:trPr>
          <w:trHeight w:val="742"/>
        </w:trPr>
        <w:tc>
          <w:tcPr>
            <w:tcW w:w="5000" w:type="pct"/>
            <w:gridSpan w:val="4"/>
            <w:tcBorders>
              <w:top w:val="single" w:sz="2" w:space="0" w:color="auto"/>
              <w:left w:val="single" w:sz="12" w:space="0" w:color="auto"/>
              <w:bottom w:val="single" w:sz="2" w:space="0" w:color="auto"/>
              <w:right w:val="single" w:sz="12" w:space="0" w:color="auto"/>
            </w:tcBorders>
            <w:vAlign w:val="center"/>
          </w:tcPr>
          <w:p w14:paraId="4C48467F" w14:textId="3E346693" w:rsidR="00E15135" w:rsidRPr="00C642F2" w:rsidRDefault="000475F7" w:rsidP="00511286">
            <w:pPr>
              <w:spacing w:before="20" w:after="20"/>
              <w:ind w:right="-43"/>
              <w:rPr>
                <w:i/>
                <w:iCs/>
                <w:sz w:val="21"/>
                <w:szCs w:val="21"/>
                <w:shd w:val="clear" w:color="auto" w:fill="FFFFFF" w:themeFill="background1"/>
              </w:rPr>
            </w:pPr>
            <w:r w:rsidRPr="00C642F2">
              <w:rPr>
                <w:i/>
                <w:iCs/>
                <w:sz w:val="21"/>
                <w:szCs w:val="21"/>
                <w:shd w:val="clear" w:color="auto" w:fill="FFFFFF" w:themeFill="background1"/>
              </w:rPr>
              <w:t xml:space="preserve">Attach </w:t>
            </w:r>
            <w:r w:rsidR="00E15135" w:rsidRPr="00C642F2">
              <w:rPr>
                <w:i/>
                <w:iCs/>
                <w:sz w:val="21"/>
                <w:szCs w:val="21"/>
                <w:shd w:val="clear" w:color="auto" w:fill="FFFFFF" w:themeFill="background1"/>
              </w:rPr>
              <w:t xml:space="preserve">a </w:t>
            </w:r>
            <w:r w:rsidRPr="00C642F2">
              <w:rPr>
                <w:i/>
                <w:iCs/>
                <w:sz w:val="21"/>
                <w:szCs w:val="21"/>
                <w:shd w:val="clear" w:color="auto" w:fill="FFFFFF" w:themeFill="background1"/>
              </w:rPr>
              <w:t>description of the method of disposition (e.g. sale or ground lease terms</w:t>
            </w:r>
            <w:r w:rsidR="00451938" w:rsidRPr="00C642F2">
              <w:rPr>
                <w:i/>
                <w:iCs/>
                <w:sz w:val="21"/>
                <w:szCs w:val="21"/>
                <w:shd w:val="clear" w:color="auto" w:fill="FFFFFF" w:themeFill="background1"/>
              </w:rPr>
              <w:t>; below FMV disposition)</w:t>
            </w:r>
            <w:r w:rsidR="007A313F" w:rsidRPr="00C642F2">
              <w:rPr>
                <w:i/>
                <w:iCs/>
                <w:sz w:val="21"/>
                <w:szCs w:val="21"/>
                <w:shd w:val="clear" w:color="auto" w:fill="FFFFFF" w:themeFill="background1"/>
              </w:rPr>
              <w:t>.</w:t>
            </w:r>
          </w:p>
          <w:p w14:paraId="54336539" w14:textId="63F1891B" w:rsidR="00BE44A7" w:rsidRPr="00C642F2" w:rsidRDefault="00BE44A7" w:rsidP="00B70EA4">
            <w:pPr>
              <w:spacing w:before="20" w:after="20"/>
              <w:ind w:left="150" w:right="-43" w:firstLine="30"/>
              <w:rPr>
                <w:i/>
                <w:iCs/>
                <w:sz w:val="21"/>
                <w:szCs w:val="21"/>
                <w:shd w:val="clear" w:color="auto" w:fill="FFFFFF" w:themeFill="background1"/>
              </w:rPr>
            </w:pPr>
            <w:r w:rsidRPr="00C642F2">
              <w:rPr>
                <w:i/>
                <w:iCs/>
                <w:sz w:val="21"/>
                <w:szCs w:val="21"/>
                <w:shd w:val="clear" w:color="auto" w:fill="FFFFFF" w:themeFill="background1"/>
              </w:rPr>
              <w:t>If the disposition is proposed via negotiation</w:t>
            </w:r>
            <w:r w:rsidR="00E15135" w:rsidRPr="00C642F2">
              <w:rPr>
                <w:i/>
                <w:iCs/>
                <w:sz w:val="21"/>
                <w:szCs w:val="21"/>
                <w:shd w:val="clear" w:color="auto" w:fill="FFFFFF" w:themeFill="background1"/>
              </w:rPr>
              <w:t>, a</w:t>
            </w:r>
            <w:r w:rsidRPr="00C642F2">
              <w:rPr>
                <w:i/>
                <w:iCs/>
                <w:sz w:val="21"/>
                <w:szCs w:val="21"/>
                <w:shd w:val="clear" w:color="auto" w:fill="FFFFFF" w:themeFill="background1"/>
              </w:rPr>
              <w:t>ttac</w:t>
            </w:r>
            <w:r w:rsidR="00E15135" w:rsidRPr="00C642F2">
              <w:rPr>
                <w:i/>
                <w:iCs/>
                <w:sz w:val="21"/>
                <w:szCs w:val="21"/>
                <w:shd w:val="clear" w:color="auto" w:fill="FFFFFF" w:themeFill="background1"/>
              </w:rPr>
              <w:t>h a</w:t>
            </w:r>
            <w:r w:rsidRPr="00C642F2">
              <w:rPr>
                <w:i/>
                <w:iCs/>
                <w:sz w:val="21"/>
                <w:szCs w:val="21"/>
                <w:shd w:val="clear" w:color="auto" w:fill="FFFFFF" w:themeFill="background1"/>
              </w:rPr>
              <w:t xml:space="preserve"> Certificate of Good Standing (under applicable State law) of the</w:t>
            </w:r>
            <w:r w:rsidR="00E15135" w:rsidRPr="00C642F2">
              <w:rPr>
                <w:i/>
                <w:iCs/>
                <w:sz w:val="21"/>
                <w:szCs w:val="21"/>
                <w:shd w:val="clear" w:color="auto" w:fill="FFFFFF" w:themeFill="background1"/>
              </w:rPr>
              <w:t xml:space="preserve"> </w:t>
            </w:r>
            <w:r w:rsidRPr="00C642F2">
              <w:rPr>
                <w:i/>
                <w:iCs/>
                <w:sz w:val="21"/>
                <w:szCs w:val="21"/>
                <w:shd w:val="clear" w:color="auto" w:fill="FFFFFF" w:themeFill="background1"/>
              </w:rPr>
              <w:t>proposed acquiring entity, or other evidence that the entity is recognized</w:t>
            </w:r>
            <w:r w:rsidR="00E15135" w:rsidRPr="00C642F2">
              <w:rPr>
                <w:i/>
                <w:iCs/>
                <w:sz w:val="21"/>
                <w:szCs w:val="21"/>
                <w:shd w:val="clear" w:color="auto" w:fill="FFFFFF" w:themeFill="background1"/>
              </w:rPr>
              <w:t xml:space="preserve"> </w:t>
            </w:r>
            <w:r w:rsidRPr="00C642F2">
              <w:rPr>
                <w:i/>
                <w:iCs/>
                <w:sz w:val="21"/>
                <w:szCs w:val="21"/>
                <w:shd w:val="clear" w:color="auto" w:fill="FFFFFF" w:themeFill="background1"/>
              </w:rPr>
              <w:t>under State law</w:t>
            </w:r>
            <w:r w:rsidR="007A313F" w:rsidRPr="00C642F2">
              <w:rPr>
                <w:i/>
                <w:iCs/>
                <w:sz w:val="21"/>
                <w:szCs w:val="21"/>
                <w:shd w:val="clear" w:color="auto" w:fill="FFFFFF" w:themeFill="background1"/>
              </w:rPr>
              <w:t>.</w:t>
            </w:r>
            <w:r w:rsidRPr="00C642F2">
              <w:rPr>
                <w:i/>
                <w:iCs/>
                <w:sz w:val="21"/>
                <w:szCs w:val="21"/>
                <w:shd w:val="clear" w:color="auto" w:fill="FFFFFF" w:themeFill="background1"/>
              </w:rPr>
              <w:t xml:space="preserve"> </w:t>
            </w:r>
          </w:p>
        </w:tc>
      </w:tr>
      <w:tr w:rsidR="00C8609E" w:rsidRPr="00C642F2" w14:paraId="16BF58AB" w14:textId="77777777" w:rsidTr="0048716B">
        <w:trPr>
          <w:trHeight w:val="238"/>
        </w:trPr>
        <w:tc>
          <w:tcPr>
            <w:tcW w:w="3053" w:type="pct"/>
            <w:gridSpan w:val="3"/>
            <w:tcBorders>
              <w:top w:val="single" w:sz="2" w:space="0" w:color="auto"/>
              <w:left w:val="single" w:sz="12" w:space="0" w:color="auto"/>
              <w:bottom w:val="single" w:sz="2" w:space="0" w:color="auto"/>
              <w:right w:val="single" w:sz="2" w:space="0" w:color="auto"/>
            </w:tcBorders>
          </w:tcPr>
          <w:p w14:paraId="64BEDD25" w14:textId="5004B3AA" w:rsidR="00C8609E" w:rsidRPr="00C642F2" w:rsidRDefault="00681AA9" w:rsidP="00511286">
            <w:pPr>
              <w:pStyle w:val="ListParagraph"/>
              <w:numPr>
                <w:ilvl w:val="0"/>
                <w:numId w:val="7"/>
              </w:numPr>
              <w:ind w:right="-43"/>
              <w:rPr>
                <w:iCs/>
                <w:sz w:val="21"/>
                <w:szCs w:val="21"/>
                <w:shd w:val="clear" w:color="auto" w:fill="FFFFFF" w:themeFill="background1"/>
              </w:rPr>
            </w:pPr>
            <w:r w:rsidRPr="00C642F2">
              <w:rPr>
                <w:iCs/>
                <w:sz w:val="21"/>
                <w:szCs w:val="21"/>
                <w:shd w:val="clear" w:color="auto" w:fill="FFFFFF" w:themeFill="background1"/>
              </w:rPr>
              <w:t>Is the proposed acquiring entity the PHA’s instrumentality as defined by 24 CFR 905.</w:t>
            </w:r>
            <w:r w:rsidR="00C451E2" w:rsidRPr="00C642F2">
              <w:rPr>
                <w:iCs/>
                <w:sz w:val="21"/>
                <w:szCs w:val="21"/>
                <w:shd w:val="clear" w:color="auto" w:fill="FFFFFF" w:themeFill="background1"/>
              </w:rPr>
              <w:t>604(b)(3)</w:t>
            </w:r>
            <w:r w:rsidRPr="00C642F2">
              <w:rPr>
                <w:iCs/>
                <w:sz w:val="21"/>
                <w:szCs w:val="21"/>
                <w:shd w:val="clear" w:color="auto" w:fill="FFFFFF" w:themeFill="background1"/>
              </w:rPr>
              <w:t>?</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0936CF67" w14:textId="29C23562" w:rsidR="00C8609E" w:rsidRPr="00C642F2" w:rsidRDefault="00681AA9" w:rsidP="00511286">
            <w:pPr>
              <w:spacing w:before="20" w:after="20"/>
              <w:ind w:right="-43"/>
              <w:jc w:val="center"/>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C451E2" w:rsidRPr="00C642F2">
              <w:rPr>
                <w:sz w:val="21"/>
                <w:szCs w:val="21"/>
                <w:shd w:val="clear" w:color="auto" w:fill="FFFFFF" w:themeFill="background1"/>
              </w:rPr>
              <w:t>Yes</w:t>
            </w:r>
            <w:r w:rsidR="00C60873" w:rsidRPr="00C642F2">
              <w:rPr>
                <w:sz w:val="21"/>
                <w:szCs w:val="21"/>
                <w:shd w:val="clear" w:color="auto" w:fill="FFFFFF" w:themeFill="background1"/>
              </w:rPr>
              <w:t xml:space="preserve">           </w:t>
            </w:r>
            <w:r w:rsidR="00C60873" w:rsidRPr="00C642F2">
              <w:rPr>
                <w:sz w:val="21"/>
                <w:szCs w:val="21"/>
                <w:shd w:val="clear" w:color="auto" w:fill="FFFFFF" w:themeFill="background1"/>
              </w:rPr>
              <w:fldChar w:fldCharType="begin">
                <w:ffData>
                  <w:name w:val="Check15"/>
                  <w:enabled/>
                  <w:calcOnExit w:val="0"/>
                  <w:checkBox>
                    <w:sizeAuto/>
                    <w:default w:val="0"/>
                  </w:checkBox>
                </w:ffData>
              </w:fldChar>
            </w:r>
            <w:r w:rsidR="00C60873"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00C60873" w:rsidRPr="00C642F2">
              <w:rPr>
                <w:sz w:val="21"/>
                <w:szCs w:val="21"/>
                <w:shd w:val="clear" w:color="auto" w:fill="FFFFFF" w:themeFill="background1"/>
              </w:rPr>
              <w:fldChar w:fldCharType="end"/>
            </w:r>
            <w:r w:rsidR="00C60873" w:rsidRPr="00C642F2">
              <w:rPr>
                <w:sz w:val="21"/>
                <w:szCs w:val="21"/>
                <w:shd w:val="clear" w:color="auto" w:fill="FFFFFF" w:themeFill="background1"/>
              </w:rPr>
              <w:t xml:space="preserve"> No</w:t>
            </w:r>
          </w:p>
        </w:tc>
      </w:tr>
      <w:tr w:rsidR="000475F7" w:rsidRPr="00C642F2" w14:paraId="6208D369" w14:textId="77777777" w:rsidTr="00A2342F">
        <w:trPr>
          <w:trHeight w:val="427"/>
        </w:trPr>
        <w:tc>
          <w:tcPr>
            <w:tcW w:w="5000" w:type="pct"/>
            <w:gridSpan w:val="4"/>
            <w:tcBorders>
              <w:top w:val="single" w:sz="2" w:space="0" w:color="auto"/>
              <w:left w:val="single" w:sz="12" w:space="0" w:color="auto"/>
              <w:bottom w:val="single" w:sz="2" w:space="0" w:color="auto"/>
              <w:right w:val="single" w:sz="12" w:space="0" w:color="auto"/>
            </w:tcBorders>
          </w:tcPr>
          <w:p w14:paraId="12DC06B9" w14:textId="77777777" w:rsidR="00C60873" w:rsidRPr="00C642F2" w:rsidRDefault="000475F7" w:rsidP="00511286">
            <w:pPr>
              <w:pStyle w:val="ListParagraph"/>
              <w:numPr>
                <w:ilvl w:val="0"/>
                <w:numId w:val="7"/>
              </w:numPr>
              <w:ind w:right="-43"/>
              <w:rPr>
                <w:sz w:val="21"/>
                <w:szCs w:val="21"/>
                <w:shd w:val="clear" w:color="auto" w:fill="FFFFFF" w:themeFill="background1"/>
              </w:rPr>
            </w:pPr>
            <w:r w:rsidRPr="00C642F2">
              <w:rPr>
                <w:iCs/>
                <w:sz w:val="21"/>
                <w:szCs w:val="21"/>
                <w:shd w:val="clear" w:color="auto" w:fill="FFFFFF" w:themeFill="background1"/>
              </w:rPr>
              <w:t>Commensurate Public Benefit:</w:t>
            </w:r>
          </w:p>
          <w:p w14:paraId="707C0CED" w14:textId="29F0F0DA" w:rsidR="0082052E" w:rsidRPr="00C642F2" w:rsidRDefault="000475F7" w:rsidP="00511286">
            <w:pPr>
              <w:pStyle w:val="ListParagraph"/>
              <w:ind w:right="-43"/>
              <w:rPr>
                <w:sz w:val="21"/>
                <w:szCs w:val="21"/>
                <w:shd w:val="clear" w:color="auto" w:fill="FFFFFF" w:themeFill="background1"/>
              </w:rPr>
            </w:pPr>
            <w:r w:rsidRPr="00C642F2">
              <w:rPr>
                <w:iCs/>
                <w:sz w:val="21"/>
                <w:szCs w:val="21"/>
                <w:shd w:val="clear" w:color="auto" w:fill="FFFFFF" w:themeFill="background1"/>
              </w:rPr>
              <w:t>If the method of disposition</w:t>
            </w:r>
            <w:r w:rsidR="00A2342F" w:rsidRPr="00C642F2">
              <w:rPr>
                <w:iCs/>
                <w:sz w:val="21"/>
                <w:szCs w:val="21"/>
                <w:shd w:val="clear" w:color="auto" w:fill="FFFFFF" w:themeFill="background1"/>
              </w:rPr>
              <w:t xml:space="preserve"> is</w:t>
            </w:r>
            <w:r w:rsidRPr="00C642F2">
              <w:rPr>
                <w:iCs/>
                <w:sz w:val="21"/>
                <w:szCs w:val="21"/>
                <w:shd w:val="clear" w:color="auto" w:fill="FFFFFF" w:themeFill="background1"/>
              </w:rPr>
              <w:t xml:space="preserve"> at </w:t>
            </w:r>
            <w:r w:rsidR="00A2342F" w:rsidRPr="00C642F2">
              <w:rPr>
                <w:iCs/>
                <w:sz w:val="21"/>
                <w:szCs w:val="21"/>
                <w:shd w:val="clear" w:color="auto" w:fill="FFFFFF" w:themeFill="background1"/>
              </w:rPr>
              <w:t xml:space="preserve">or </w:t>
            </w:r>
            <w:r w:rsidRPr="00C642F2">
              <w:rPr>
                <w:iCs/>
                <w:sz w:val="21"/>
                <w:szCs w:val="21"/>
                <w:shd w:val="clear" w:color="auto" w:fill="FFFFFF" w:themeFill="background1"/>
              </w:rPr>
              <w:t>below FMV, the PHA must demonstrate a commensurate public benefit</w:t>
            </w:r>
          </w:p>
        </w:tc>
      </w:tr>
      <w:tr w:rsidR="005C5CE4" w:rsidRPr="00C642F2" w14:paraId="64A9A06E" w14:textId="77777777" w:rsidTr="00E82BF8">
        <w:trPr>
          <w:trHeight w:val="373"/>
        </w:trPr>
        <w:tc>
          <w:tcPr>
            <w:tcW w:w="5000" w:type="pct"/>
            <w:gridSpan w:val="4"/>
            <w:tcBorders>
              <w:top w:val="single" w:sz="2" w:space="0" w:color="auto"/>
              <w:left w:val="single" w:sz="12" w:space="0" w:color="auto"/>
              <w:bottom w:val="single" w:sz="12" w:space="0" w:color="auto"/>
              <w:right w:val="single" w:sz="12" w:space="0" w:color="auto"/>
            </w:tcBorders>
          </w:tcPr>
          <w:p w14:paraId="298EC1B2" w14:textId="28C0712F" w:rsidR="005C5CE4" w:rsidRPr="00C642F2" w:rsidRDefault="005C5CE4" w:rsidP="00B70EA4">
            <w:pPr>
              <w:ind w:left="693" w:right="-43"/>
              <w:rPr>
                <w:iCs/>
                <w:sz w:val="21"/>
                <w:szCs w:val="21"/>
                <w:shd w:val="clear" w:color="auto" w:fill="FFFFFF" w:themeFill="background1"/>
              </w:rPr>
            </w:pPr>
            <w:r w:rsidRPr="00C642F2">
              <w:rPr>
                <w:i/>
                <w:iCs/>
                <w:sz w:val="21"/>
                <w:szCs w:val="21"/>
                <w:shd w:val="clear" w:color="auto" w:fill="FFFFFF" w:themeFill="background1"/>
              </w:rPr>
              <w:t>Attach a narrative description of commensurate public benefit in accordance with 24 CFR 970.19 and PIH Notice 201</w:t>
            </w:r>
            <w:r w:rsidR="00A2342F" w:rsidRPr="00C642F2">
              <w:rPr>
                <w:i/>
                <w:iCs/>
                <w:sz w:val="21"/>
                <w:szCs w:val="21"/>
                <w:shd w:val="clear" w:color="auto" w:fill="FFFFFF" w:themeFill="background1"/>
              </w:rPr>
              <w:t xml:space="preserve">8-04 </w:t>
            </w:r>
            <w:r w:rsidRPr="00C642F2">
              <w:rPr>
                <w:i/>
                <w:iCs/>
                <w:sz w:val="21"/>
                <w:szCs w:val="21"/>
                <w:shd w:val="clear" w:color="auto" w:fill="FFFFFF" w:themeFill="background1"/>
              </w:rPr>
              <w:t>(or any successor notice).</w:t>
            </w:r>
          </w:p>
        </w:tc>
      </w:tr>
    </w:tbl>
    <w:p w14:paraId="07A351F8" w14:textId="77777777" w:rsidR="008218CD" w:rsidRPr="00C642F2" w:rsidRDefault="008218CD" w:rsidP="00511286">
      <w:pPr>
        <w:ind w:right="-43"/>
        <w:rPr>
          <w:b/>
          <w:bCs/>
          <w:sz w:val="21"/>
          <w:szCs w:val="21"/>
          <w:shd w:val="clear" w:color="auto" w:fill="FFFFFF" w:themeFill="background1"/>
        </w:rPr>
      </w:pPr>
    </w:p>
    <w:tbl>
      <w:tblPr>
        <w:tblW w:w="501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3496"/>
        <w:gridCol w:w="3420"/>
        <w:gridCol w:w="4410"/>
      </w:tblGrid>
      <w:tr w:rsidR="003D4B6C" w:rsidRPr="00C642F2" w14:paraId="72780ECF" w14:textId="77777777" w:rsidTr="00141D9B">
        <w:tc>
          <w:tcPr>
            <w:tcW w:w="5000" w:type="pct"/>
            <w:gridSpan w:val="3"/>
            <w:tcBorders>
              <w:top w:val="single" w:sz="12" w:space="0" w:color="auto"/>
              <w:left w:val="single" w:sz="12" w:space="0" w:color="auto"/>
              <w:bottom w:val="single" w:sz="2" w:space="0" w:color="auto"/>
              <w:right w:val="single" w:sz="12" w:space="0" w:color="auto"/>
            </w:tcBorders>
          </w:tcPr>
          <w:p w14:paraId="42592F4A" w14:textId="590094F3" w:rsidR="003D4B6C" w:rsidRPr="00C642F2" w:rsidRDefault="003D4B6C" w:rsidP="00511286">
            <w:pPr>
              <w:spacing w:before="20" w:after="20"/>
              <w:ind w:left="427" w:right="-43" w:hanging="427"/>
              <w:rPr>
                <w:sz w:val="21"/>
                <w:szCs w:val="21"/>
                <w:shd w:val="clear" w:color="auto" w:fill="FFFFFF" w:themeFill="background1"/>
              </w:rPr>
            </w:pPr>
            <w:r w:rsidRPr="00C642F2">
              <w:rPr>
                <w:b/>
                <w:bCs/>
                <w:sz w:val="21"/>
                <w:szCs w:val="21"/>
                <w:shd w:val="clear" w:color="auto" w:fill="FFFFFF" w:themeFill="background1"/>
              </w:rPr>
              <w:t xml:space="preserve">Section 3.  Proceeds  </w:t>
            </w:r>
          </w:p>
        </w:tc>
      </w:tr>
      <w:tr w:rsidR="008218CD" w:rsidRPr="00C642F2" w14:paraId="6F65A81A" w14:textId="77777777" w:rsidTr="0048716B">
        <w:tc>
          <w:tcPr>
            <w:tcW w:w="3053" w:type="pct"/>
            <w:gridSpan w:val="2"/>
            <w:tcBorders>
              <w:top w:val="single" w:sz="4" w:space="0" w:color="auto"/>
              <w:left w:val="single" w:sz="12" w:space="0" w:color="auto"/>
              <w:bottom w:val="single" w:sz="2" w:space="0" w:color="auto"/>
              <w:right w:val="single" w:sz="2" w:space="0" w:color="auto"/>
            </w:tcBorders>
          </w:tcPr>
          <w:p w14:paraId="620D4C1E" w14:textId="57B2852F" w:rsidR="008218CD" w:rsidRPr="00C642F2" w:rsidRDefault="008218CD" w:rsidP="00511286">
            <w:pPr>
              <w:pStyle w:val="ListParagraph"/>
              <w:numPr>
                <w:ilvl w:val="0"/>
                <w:numId w:val="8"/>
              </w:numPr>
              <w:spacing w:before="20" w:after="20"/>
              <w:ind w:right="-43"/>
              <w:rPr>
                <w:iCs/>
                <w:sz w:val="21"/>
                <w:szCs w:val="21"/>
                <w:shd w:val="clear" w:color="auto" w:fill="FFFFFF" w:themeFill="background1"/>
              </w:rPr>
            </w:pPr>
            <w:r w:rsidRPr="00C642F2">
              <w:rPr>
                <w:iCs/>
                <w:sz w:val="21"/>
                <w:szCs w:val="21"/>
                <w:shd w:val="clear" w:color="auto" w:fill="FFFFFF" w:themeFill="background1"/>
              </w:rPr>
              <w:t xml:space="preserve">Will the PHA realize proceeds from this disposition?  </w:t>
            </w:r>
          </w:p>
        </w:tc>
        <w:tc>
          <w:tcPr>
            <w:tcW w:w="1947" w:type="pct"/>
            <w:tcBorders>
              <w:top w:val="single" w:sz="8" w:space="0" w:color="auto"/>
              <w:left w:val="single" w:sz="2" w:space="0" w:color="auto"/>
              <w:bottom w:val="single" w:sz="2" w:space="0" w:color="auto"/>
              <w:right w:val="single" w:sz="12" w:space="0" w:color="auto"/>
            </w:tcBorders>
            <w:shd w:val="clear" w:color="auto" w:fill="FFFFFF" w:themeFill="background1"/>
            <w:vAlign w:val="center"/>
          </w:tcPr>
          <w:p w14:paraId="078E0BC1" w14:textId="736F9288" w:rsidR="008218CD" w:rsidRPr="00C642F2" w:rsidRDefault="008218CD" w:rsidP="00511286">
            <w:pPr>
              <w:spacing w:before="20" w:after="20"/>
              <w:ind w:left="427" w:right="-43" w:hanging="427"/>
              <w:jc w:val="center"/>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00455FE2"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rsidR="008218CD" w:rsidRPr="00C642F2" w14:paraId="738ACABA" w14:textId="77777777" w:rsidTr="0048716B">
        <w:tc>
          <w:tcPr>
            <w:tcW w:w="3053" w:type="pct"/>
            <w:gridSpan w:val="2"/>
            <w:tcBorders>
              <w:top w:val="single" w:sz="2" w:space="0" w:color="auto"/>
              <w:left w:val="single" w:sz="12" w:space="0" w:color="auto"/>
              <w:bottom w:val="single" w:sz="2" w:space="0" w:color="auto"/>
              <w:right w:val="single" w:sz="2" w:space="0" w:color="auto"/>
            </w:tcBorders>
          </w:tcPr>
          <w:p w14:paraId="4D4B149F" w14:textId="42579E62" w:rsidR="008218CD" w:rsidRPr="00C642F2" w:rsidRDefault="008218CD" w:rsidP="00511286">
            <w:pPr>
              <w:pStyle w:val="ListParagraph"/>
              <w:numPr>
                <w:ilvl w:val="0"/>
                <w:numId w:val="8"/>
              </w:numPr>
              <w:spacing w:before="20" w:after="20"/>
              <w:ind w:right="-43"/>
              <w:rPr>
                <w:iCs/>
                <w:sz w:val="21"/>
                <w:szCs w:val="21"/>
                <w:shd w:val="clear" w:color="auto" w:fill="FFFFFF" w:themeFill="background1"/>
              </w:rPr>
            </w:pPr>
            <w:r w:rsidRPr="00C642F2">
              <w:rPr>
                <w:iCs/>
                <w:sz w:val="21"/>
                <w:szCs w:val="21"/>
                <w:shd w:val="clear" w:color="auto" w:fill="FFFFFF" w:themeFill="background1"/>
              </w:rPr>
              <w:t xml:space="preserve">If PHA answered yes to question #1, </w:t>
            </w:r>
            <w:r w:rsidR="008C0C9B" w:rsidRPr="00C642F2">
              <w:rPr>
                <w:iCs/>
                <w:sz w:val="21"/>
                <w:szCs w:val="21"/>
                <w:shd w:val="clear" w:color="auto" w:fill="FFFFFF" w:themeFill="background1"/>
              </w:rPr>
              <w:t xml:space="preserve">indicate the </w:t>
            </w:r>
            <w:r w:rsidRPr="00C642F2">
              <w:rPr>
                <w:iCs/>
                <w:sz w:val="21"/>
                <w:szCs w:val="21"/>
                <w:shd w:val="clear" w:color="auto" w:fill="FFFFFF" w:themeFill="background1"/>
              </w:rPr>
              <w:t>estimated amount of gross and net procee</w:t>
            </w:r>
            <w:r w:rsidR="008C0C9B" w:rsidRPr="00C642F2">
              <w:rPr>
                <w:iCs/>
                <w:sz w:val="21"/>
                <w:szCs w:val="21"/>
                <w:shd w:val="clear" w:color="auto" w:fill="FFFFFF" w:themeFill="background1"/>
              </w:rPr>
              <w:t>ds</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5462F62C" w14:textId="12C69C81" w:rsidR="008218CD" w:rsidRPr="00C642F2" w:rsidRDefault="008218CD" w:rsidP="00511286">
            <w:pPr>
              <w:spacing w:before="20" w:after="20"/>
              <w:ind w:right="-43"/>
              <w:rPr>
                <w:sz w:val="21"/>
                <w:szCs w:val="21"/>
                <w:shd w:val="clear" w:color="auto" w:fill="FFFFFF" w:themeFill="background1"/>
              </w:rPr>
            </w:pPr>
            <w:r w:rsidRPr="00C642F2">
              <w:rPr>
                <w:sz w:val="21"/>
                <w:szCs w:val="21"/>
                <w:shd w:val="clear" w:color="auto" w:fill="FFFFFF" w:themeFill="background1"/>
              </w:rPr>
              <w:t>Gross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005F0BCB" w:rsidRPr="00C642F2">
              <w:rPr>
                <w:sz w:val="21"/>
                <w:szCs w:val="21"/>
                <w:shd w:val="clear" w:color="auto" w:fill="FFFFFF" w:themeFill="background1"/>
              </w:rPr>
              <w:fldChar w:fldCharType="begin"/>
            </w:r>
            <w:r w:rsidR="005F0BCB" w:rsidRPr="00C642F2">
              <w:rPr>
                <w:sz w:val="21"/>
                <w:szCs w:val="21"/>
                <w:shd w:val="clear" w:color="auto" w:fill="FFFFFF" w:themeFill="background1"/>
              </w:rPr>
              <w:instrText xml:space="preserve"> FORMTEXT </w:instrText>
            </w:r>
            <w:r w:rsidR="005F0BCB" w:rsidRPr="00C642F2">
              <w:rPr>
                <w:sz w:val="21"/>
                <w:szCs w:val="21"/>
                <w:shd w:val="clear" w:color="auto" w:fill="FFFFFF" w:themeFill="background1"/>
              </w:rPr>
              <w:fldChar w:fldCharType="separate"/>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sz w:val="21"/>
                <w:szCs w:val="21"/>
                <w:shd w:val="clear" w:color="auto" w:fill="FFFFFF" w:themeFill="background1"/>
              </w:rPr>
              <w:fldChar w:fldCharType="end"/>
            </w:r>
            <w:r w:rsidRPr="00C642F2">
              <w:rPr>
                <w:sz w:val="21"/>
                <w:szCs w:val="21"/>
                <w:shd w:val="clear" w:color="auto" w:fill="FFFFFF" w:themeFill="background1"/>
              </w:rPr>
              <w:t xml:space="preserve"> Net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005F0BCB" w:rsidRPr="00C642F2">
              <w:rPr>
                <w:sz w:val="21"/>
                <w:szCs w:val="21"/>
                <w:shd w:val="clear" w:color="auto" w:fill="FFFFFF" w:themeFill="background1"/>
              </w:rPr>
              <w:fldChar w:fldCharType="begin"/>
            </w:r>
            <w:r w:rsidR="005F0BCB" w:rsidRPr="00C642F2">
              <w:rPr>
                <w:sz w:val="21"/>
                <w:szCs w:val="21"/>
                <w:shd w:val="clear" w:color="auto" w:fill="FFFFFF" w:themeFill="background1"/>
              </w:rPr>
              <w:instrText xml:space="preserve"> FORMTEXT </w:instrText>
            </w:r>
            <w:r w:rsidR="005F0BCB" w:rsidRPr="00C642F2">
              <w:rPr>
                <w:sz w:val="21"/>
                <w:szCs w:val="21"/>
                <w:shd w:val="clear" w:color="auto" w:fill="FFFFFF" w:themeFill="background1"/>
              </w:rPr>
              <w:fldChar w:fldCharType="separate"/>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sz w:val="21"/>
                <w:szCs w:val="21"/>
                <w:shd w:val="clear" w:color="auto" w:fill="FFFFFF" w:themeFill="background1"/>
              </w:rPr>
              <w:fldChar w:fldCharType="end"/>
            </w:r>
          </w:p>
        </w:tc>
      </w:tr>
      <w:tr w:rsidR="008218CD" w:rsidRPr="00C642F2" w14:paraId="655BE9DA" w14:textId="77777777" w:rsidTr="0048716B">
        <w:tc>
          <w:tcPr>
            <w:tcW w:w="3053" w:type="pct"/>
            <w:gridSpan w:val="2"/>
            <w:tcBorders>
              <w:top w:val="single" w:sz="2" w:space="0" w:color="auto"/>
              <w:left w:val="single" w:sz="12" w:space="0" w:color="auto"/>
              <w:bottom w:val="single" w:sz="2" w:space="0" w:color="auto"/>
              <w:right w:val="single" w:sz="2" w:space="0" w:color="auto"/>
            </w:tcBorders>
          </w:tcPr>
          <w:p w14:paraId="6BF96020" w14:textId="7DE6738D" w:rsidR="00211E2A" w:rsidRPr="00C642F2" w:rsidRDefault="008218CD" w:rsidP="00511286">
            <w:pPr>
              <w:pStyle w:val="ListParagraph"/>
              <w:numPr>
                <w:ilvl w:val="0"/>
                <w:numId w:val="8"/>
              </w:numPr>
              <w:spacing w:before="20" w:after="20"/>
              <w:ind w:right="-43"/>
              <w:rPr>
                <w:i/>
                <w:sz w:val="21"/>
                <w:szCs w:val="21"/>
                <w:shd w:val="clear" w:color="auto" w:fill="FFFFFF" w:themeFill="background1"/>
              </w:rPr>
            </w:pPr>
            <w:r w:rsidRPr="00C642F2">
              <w:rPr>
                <w:sz w:val="21"/>
                <w:szCs w:val="21"/>
                <w:shd w:val="clear" w:color="auto" w:fill="FFFFFF" w:themeFill="background1"/>
              </w:rPr>
              <w:t>Is the PHA requesting to use gross proceeds for relocation costs?</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tcPr>
          <w:p w14:paraId="58E994AC" w14:textId="28BBE9AD" w:rsidR="008218CD" w:rsidRPr="00C642F2" w:rsidRDefault="008218CD" w:rsidP="00511286">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005F0BCB" w:rsidRPr="00C642F2">
              <w:rPr>
                <w:sz w:val="21"/>
                <w:szCs w:val="21"/>
                <w:shd w:val="clear" w:color="auto" w:fill="FFFFFF" w:themeFill="background1"/>
              </w:rPr>
              <w:fldChar w:fldCharType="begin"/>
            </w:r>
            <w:r w:rsidR="005F0BCB" w:rsidRPr="00C642F2">
              <w:rPr>
                <w:sz w:val="21"/>
                <w:szCs w:val="21"/>
                <w:shd w:val="clear" w:color="auto" w:fill="FFFFFF" w:themeFill="background1"/>
              </w:rPr>
              <w:instrText xml:space="preserve"> FORMTEXT </w:instrText>
            </w:r>
            <w:r w:rsidR="005F0BCB" w:rsidRPr="00C642F2">
              <w:rPr>
                <w:sz w:val="21"/>
                <w:szCs w:val="21"/>
                <w:shd w:val="clear" w:color="auto" w:fill="FFFFFF" w:themeFill="background1"/>
              </w:rPr>
              <w:fldChar w:fldCharType="separate"/>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sz w:val="21"/>
                <w:szCs w:val="21"/>
                <w:shd w:val="clear" w:color="auto" w:fill="FFFFFF" w:themeFill="background1"/>
              </w:rPr>
              <w:fldChar w:fldCharType="end"/>
            </w:r>
            <w:r w:rsidRPr="00C642F2">
              <w:rPr>
                <w:sz w:val="21"/>
                <w:szCs w:val="21"/>
                <w:shd w:val="clear" w:color="auto" w:fill="FFFFFF" w:themeFill="background1"/>
              </w:rPr>
              <w:t xml:space="preserve"> (estimated</w:t>
            </w:r>
            <w:r w:rsidR="008C0C9B" w:rsidRPr="00C642F2">
              <w:rPr>
                <w:sz w:val="21"/>
                <w:szCs w:val="21"/>
                <w:shd w:val="clear" w:color="auto" w:fill="FFFFFF" w:themeFill="background1"/>
              </w:rPr>
              <w:t xml:space="preserve"> amount</w:t>
            </w:r>
            <w:r w:rsidRPr="00C642F2">
              <w:rPr>
                <w:sz w:val="21"/>
                <w:szCs w:val="21"/>
                <w:shd w:val="clear" w:color="auto" w:fill="FFFFFF" w:themeFill="background1"/>
              </w:rPr>
              <w:t>)</w:t>
            </w:r>
          </w:p>
          <w:p w14:paraId="13F97DCD" w14:textId="77777777" w:rsidR="008218CD" w:rsidRPr="00C642F2" w:rsidRDefault="008218CD"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rsidR="008218CD" w:rsidRPr="00C642F2" w14:paraId="18ACAF26" w14:textId="77777777" w:rsidTr="0048716B">
        <w:tc>
          <w:tcPr>
            <w:tcW w:w="3053" w:type="pct"/>
            <w:gridSpan w:val="2"/>
            <w:tcBorders>
              <w:top w:val="single" w:sz="2" w:space="0" w:color="auto"/>
              <w:left w:val="single" w:sz="12" w:space="0" w:color="auto"/>
              <w:bottom w:val="single" w:sz="2" w:space="0" w:color="auto"/>
              <w:right w:val="single" w:sz="2" w:space="0" w:color="auto"/>
            </w:tcBorders>
          </w:tcPr>
          <w:p w14:paraId="0FCAA4EC" w14:textId="5416A432" w:rsidR="008218CD" w:rsidRPr="00C642F2" w:rsidRDefault="008218CD" w:rsidP="00511286">
            <w:pPr>
              <w:pStyle w:val="ListParagraph"/>
              <w:numPr>
                <w:ilvl w:val="0"/>
                <w:numId w:val="8"/>
              </w:numPr>
              <w:spacing w:before="20" w:after="20"/>
              <w:ind w:right="-43"/>
              <w:rPr>
                <w:sz w:val="21"/>
                <w:szCs w:val="21"/>
                <w:shd w:val="clear" w:color="auto" w:fill="FFFFFF" w:themeFill="background1"/>
              </w:rPr>
            </w:pPr>
            <w:r w:rsidRPr="00C642F2">
              <w:rPr>
                <w:sz w:val="21"/>
                <w:szCs w:val="21"/>
                <w:shd w:val="clear" w:color="auto" w:fill="FFFFFF" w:themeFill="background1"/>
              </w:rPr>
              <w:t>Is the PHA requesting to use gross proceeds for reasonable costs of disposition?</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tcPr>
          <w:p w14:paraId="6C25A608" w14:textId="7CF9AA3B" w:rsidR="008218CD" w:rsidRPr="00C642F2" w:rsidRDefault="008218CD" w:rsidP="00511286">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005F0BCB" w:rsidRPr="00C642F2">
              <w:rPr>
                <w:sz w:val="21"/>
                <w:szCs w:val="21"/>
                <w:shd w:val="clear" w:color="auto" w:fill="FFFFFF" w:themeFill="background1"/>
              </w:rPr>
              <w:fldChar w:fldCharType="begin"/>
            </w:r>
            <w:r w:rsidR="005F0BCB" w:rsidRPr="00C642F2">
              <w:rPr>
                <w:sz w:val="21"/>
                <w:szCs w:val="21"/>
                <w:shd w:val="clear" w:color="auto" w:fill="FFFFFF" w:themeFill="background1"/>
              </w:rPr>
              <w:instrText xml:space="preserve"> FORMTEXT </w:instrText>
            </w:r>
            <w:r w:rsidR="005F0BCB" w:rsidRPr="00C642F2">
              <w:rPr>
                <w:sz w:val="21"/>
                <w:szCs w:val="21"/>
                <w:shd w:val="clear" w:color="auto" w:fill="FFFFFF" w:themeFill="background1"/>
              </w:rPr>
              <w:fldChar w:fldCharType="separate"/>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noProof/>
                <w:sz w:val="21"/>
                <w:szCs w:val="21"/>
                <w:shd w:val="clear" w:color="auto" w:fill="FFFFFF" w:themeFill="background1"/>
              </w:rPr>
              <w:t> </w:t>
            </w:r>
            <w:r w:rsidR="005F0BCB" w:rsidRPr="00C642F2">
              <w:rPr>
                <w:sz w:val="21"/>
                <w:szCs w:val="21"/>
                <w:shd w:val="clear" w:color="auto" w:fill="FFFFFF" w:themeFill="background1"/>
              </w:rPr>
              <w:fldChar w:fldCharType="end"/>
            </w:r>
            <w:r w:rsidRPr="00C642F2">
              <w:rPr>
                <w:sz w:val="21"/>
                <w:szCs w:val="21"/>
                <w:shd w:val="clear" w:color="auto" w:fill="FFFFFF" w:themeFill="background1"/>
              </w:rPr>
              <w:t xml:space="preserve"> (estimated</w:t>
            </w:r>
            <w:r w:rsidR="008C0C9B" w:rsidRPr="00C642F2">
              <w:rPr>
                <w:sz w:val="21"/>
                <w:szCs w:val="21"/>
                <w:shd w:val="clear" w:color="auto" w:fill="FFFFFF" w:themeFill="background1"/>
              </w:rPr>
              <w:t xml:space="preserve"> amount</w:t>
            </w:r>
            <w:r w:rsidRPr="00C642F2">
              <w:rPr>
                <w:sz w:val="21"/>
                <w:szCs w:val="21"/>
                <w:shd w:val="clear" w:color="auto" w:fill="FFFFFF" w:themeFill="background1"/>
              </w:rPr>
              <w:t>)</w:t>
            </w:r>
          </w:p>
          <w:p w14:paraId="7B5F78DD" w14:textId="77777777" w:rsidR="008218CD" w:rsidRPr="00C642F2" w:rsidRDefault="008218CD" w:rsidP="00511286">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rsidR="00455FE2" w:rsidRPr="00C642F2" w14:paraId="642D5781" w14:textId="77777777" w:rsidTr="0048716B">
        <w:tc>
          <w:tcPr>
            <w:tcW w:w="5000" w:type="pct"/>
            <w:gridSpan w:val="3"/>
            <w:tcBorders>
              <w:top w:val="single" w:sz="2" w:space="0" w:color="auto"/>
              <w:left w:val="single" w:sz="12" w:space="0" w:color="auto"/>
              <w:bottom w:val="single" w:sz="2" w:space="0" w:color="auto"/>
              <w:right w:val="single" w:sz="12" w:space="0" w:color="auto"/>
            </w:tcBorders>
            <w:shd w:val="clear" w:color="auto" w:fill="FFFFFF" w:themeFill="background1"/>
          </w:tcPr>
          <w:p w14:paraId="4B6E5E88" w14:textId="332480A4" w:rsidR="00455FE2" w:rsidRPr="00C642F2" w:rsidRDefault="00455FE2" w:rsidP="00511286">
            <w:pPr>
              <w:spacing w:before="20" w:after="20"/>
              <w:ind w:left="688" w:right="-43" w:hanging="7"/>
              <w:rPr>
                <w:sz w:val="21"/>
                <w:szCs w:val="21"/>
                <w:shd w:val="clear" w:color="auto" w:fill="FFFFFF" w:themeFill="background1"/>
              </w:rPr>
            </w:pPr>
            <w:r w:rsidRPr="00C642F2">
              <w:rPr>
                <w:i/>
                <w:sz w:val="21"/>
                <w:szCs w:val="21"/>
                <w:shd w:val="clear" w:color="auto" w:fill="FFFFFF" w:themeFill="background1"/>
              </w:rPr>
              <w:t xml:space="preserve">If yes, attach a brief narrative, budget, or </w:t>
            </w:r>
            <w:r w:rsidR="00141D9B" w:rsidRPr="00C642F2">
              <w:rPr>
                <w:i/>
                <w:sz w:val="21"/>
                <w:szCs w:val="21"/>
                <w:shd w:val="clear" w:color="auto" w:fill="FFFFFF" w:themeFill="background1"/>
              </w:rPr>
              <w:t xml:space="preserve">other </w:t>
            </w:r>
            <w:r w:rsidRPr="00C642F2">
              <w:rPr>
                <w:i/>
                <w:sz w:val="21"/>
                <w:szCs w:val="21"/>
                <w:shd w:val="clear" w:color="auto" w:fill="FFFFFF" w:themeFill="background1"/>
              </w:rPr>
              <w:t xml:space="preserve">supporting documentation describing the reasonable costs </w:t>
            </w:r>
          </w:p>
        </w:tc>
      </w:tr>
      <w:tr w:rsidR="008218CD" w:rsidRPr="00C642F2" w14:paraId="580FF0BD" w14:textId="77777777" w:rsidTr="0048716B">
        <w:tc>
          <w:tcPr>
            <w:tcW w:w="1543" w:type="pct"/>
            <w:tcBorders>
              <w:top w:val="single" w:sz="2" w:space="0" w:color="auto"/>
              <w:left w:val="single" w:sz="12" w:space="0" w:color="auto"/>
              <w:bottom w:val="single" w:sz="2" w:space="0" w:color="auto"/>
              <w:right w:val="single" w:sz="2" w:space="0" w:color="auto"/>
            </w:tcBorders>
            <w:vAlign w:val="center"/>
          </w:tcPr>
          <w:p w14:paraId="30352A10" w14:textId="308E34B1" w:rsidR="008218CD" w:rsidRPr="00C642F2" w:rsidRDefault="008C0C9B" w:rsidP="00511286">
            <w:pPr>
              <w:pStyle w:val="ListParagraph"/>
              <w:numPr>
                <w:ilvl w:val="0"/>
                <w:numId w:val="8"/>
              </w:numPr>
              <w:spacing w:before="20" w:after="20"/>
              <w:ind w:right="-43"/>
              <w:rPr>
                <w:i/>
                <w:iCs/>
                <w:sz w:val="21"/>
                <w:szCs w:val="21"/>
                <w:shd w:val="clear" w:color="auto" w:fill="FFFFFF" w:themeFill="background1"/>
              </w:rPr>
            </w:pPr>
            <w:r w:rsidRPr="00C642F2">
              <w:rPr>
                <w:rStyle w:val="CommentReference"/>
                <w:sz w:val="21"/>
                <w:szCs w:val="21"/>
                <w:shd w:val="clear" w:color="auto" w:fill="FFFFFF" w:themeFill="background1"/>
              </w:rPr>
              <w:t>If the</w:t>
            </w:r>
            <w:r w:rsidR="008218CD" w:rsidRPr="00C642F2">
              <w:rPr>
                <w:rStyle w:val="CommentReference"/>
                <w:sz w:val="21"/>
                <w:szCs w:val="21"/>
                <w:shd w:val="clear" w:color="auto" w:fill="FFFFFF" w:themeFill="background1"/>
              </w:rPr>
              <w:t xml:space="preserve"> PHA </w:t>
            </w:r>
            <w:r w:rsidRPr="00C642F2">
              <w:rPr>
                <w:rStyle w:val="CommentReference"/>
                <w:sz w:val="21"/>
                <w:szCs w:val="21"/>
                <w:shd w:val="clear" w:color="auto" w:fill="FFFFFF" w:themeFill="background1"/>
              </w:rPr>
              <w:t>will</w:t>
            </w:r>
            <w:r w:rsidR="008218CD" w:rsidRPr="00C642F2">
              <w:rPr>
                <w:rStyle w:val="CommentReference"/>
                <w:sz w:val="21"/>
                <w:szCs w:val="21"/>
                <w:shd w:val="clear" w:color="auto" w:fill="FFFFFF" w:themeFill="background1"/>
              </w:rPr>
              <w:t xml:space="preserve"> realize </w:t>
            </w:r>
            <w:r w:rsidR="00CA5C80" w:rsidRPr="00C642F2">
              <w:rPr>
                <w:rStyle w:val="CommentReference"/>
                <w:sz w:val="21"/>
                <w:szCs w:val="21"/>
                <w:shd w:val="clear" w:color="auto" w:fill="FFFFFF" w:themeFill="background1"/>
              </w:rPr>
              <w:t xml:space="preserve">net </w:t>
            </w:r>
            <w:r w:rsidR="00211E2A" w:rsidRPr="00C642F2">
              <w:rPr>
                <w:rStyle w:val="CommentReference"/>
                <w:sz w:val="21"/>
                <w:szCs w:val="21"/>
                <w:shd w:val="clear" w:color="auto" w:fill="FFFFFF" w:themeFill="background1"/>
              </w:rPr>
              <w:t xml:space="preserve">proceeds from this </w:t>
            </w:r>
            <w:r w:rsidR="004950BB" w:rsidRPr="00C642F2">
              <w:rPr>
                <w:rStyle w:val="CommentReference"/>
                <w:sz w:val="21"/>
                <w:szCs w:val="21"/>
                <w:shd w:val="clear" w:color="auto" w:fill="FFFFFF" w:themeFill="background1"/>
              </w:rPr>
              <w:t>disposition, how does the PHA propose to use the proceeds?</w:t>
            </w:r>
          </w:p>
        </w:tc>
        <w:tc>
          <w:tcPr>
            <w:tcW w:w="3457" w:type="pct"/>
            <w:gridSpan w:val="2"/>
            <w:tcBorders>
              <w:top w:val="single" w:sz="2" w:space="0" w:color="auto"/>
              <w:left w:val="single" w:sz="2" w:space="0" w:color="auto"/>
              <w:bottom w:val="single" w:sz="2" w:space="0" w:color="auto"/>
              <w:right w:val="single" w:sz="12" w:space="0" w:color="auto"/>
            </w:tcBorders>
            <w:shd w:val="clear" w:color="auto" w:fill="FFFFFF" w:themeFill="background1"/>
          </w:tcPr>
          <w:p w14:paraId="029B73CB" w14:textId="4FA7ABA6" w:rsidR="00740D3A" w:rsidRPr="00C642F2" w:rsidRDefault="00740D3A" w:rsidP="00511286">
            <w:pPr>
              <w:ind w:right="-43"/>
              <w:rPr>
                <w:rFonts w:eastAsia="Calibri"/>
                <w:color w:val="000000"/>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color w:val="000000"/>
                <w:sz w:val="21"/>
                <w:szCs w:val="21"/>
                <w:shd w:val="clear" w:color="auto" w:fill="FFFFFF" w:themeFill="background1"/>
              </w:rPr>
              <w:t xml:space="preserve">Public Housing Capital Fund (CFP) Uses </w:t>
            </w:r>
          </w:p>
          <w:p w14:paraId="6E70E3EE" w14:textId="772A4BFF" w:rsidR="00DE02A6" w:rsidRPr="00C642F2" w:rsidRDefault="00DE02A6" w:rsidP="00511286">
            <w:pPr>
              <w:ind w:right="-43"/>
              <w:rPr>
                <w:rFonts w:eastAsia="Calibri"/>
                <w:color w:val="000000"/>
                <w:sz w:val="21"/>
                <w:szCs w:val="21"/>
                <w:shd w:val="clear" w:color="auto" w:fill="FFFFFF" w:themeFill="background1"/>
              </w:rPr>
            </w:pPr>
            <w:r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Loan for development of Public Housing Units</w:t>
            </w:r>
          </w:p>
          <w:p w14:paraId="20B5ED44" w14:textId="7F8DDB3D" w:rsidR="00740D3A" w:rsidRPr="00C642F2" w:rsidRDefault="00740D3A" w:rsidP="00511286">
            <w:pPr>
              <w:ind w:right="-43"/>
              <w:rPr>
                <w:rFonts w:eastAsia="Calibri"/>
                <w:color w:val="000000"/>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color w:val="000000"/>
                <w:sz w:val="21"/>
                <w:szCs w:val="21"/>
                <w:shd w:val="clear" w:color="auto" w:fill="FFFFFF" w:themeFill="background1"/>
              </w:rPr>
              <w:t>Section 8 PBV Unit Development</w:t>
            </w:r>
          </w:p>
          <w:p w14:paraId="0020A4FB" w14:textId="5F61717A" w:rsidR="00DE02A6" w:rsidRPr="00C642F2" w:rsidRDefault="00DE02A6" w:rsidP="00511286">
            <w:pPr>
              <w:ind w:right="-43"/>
              <w:rPr>
                <w:rFonts w:eastAsia="Calibri"/>
                <w:color w:val="000000"/>
                <w:sz w:val="21"/>
                <w:szCs w:val="21"/>
                <w:shd w:val="clear" w:color="auto" w:fill="FFFFFF" w:themeFill="background1"/>
              </w:rPr>
            </w:pPr>
            <w:r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Loan for development of PBV units</w:t>
            </w:r>
          </w:p>
          <w:p w14:paraId="7E5C1E39" w14:textId="77777777" w:rsidR="00740D3A" w:rsidRPr="00C642F2" w:rsidRDefault="00740D3A" w:rsidP="00511286">
            <w:pPr>
              <w:ind w:right="-43"/>
              <w:rPr>
                <w:rFonts w:eastAsia="Calibri"/>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sz w:val="21"/>
                <w:szCs w:val="21"/>
                <w:shd w:val="clear" w:color="auto" w:fill="FFFFFF" w:themeFill="background1"/>
              </w:rPr>
              <w:t>Supportive Services for Residents</w:t>
            </w:r>
          </w:p>
          <w:p w14:paraId="2F005D5B" w14:textId="77777777" w:rsidR="00740D3A" w:rsidRPr="00C642F2" w:rsidRDefault="00740D3A" w:rsidP="00511286">
            <w:pPr>
              <w:ind w:left="346" w:right="-43" w:hanging="34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color w:val="000000"/>
                <w:sz w:val="21"/>
                <w:szCs w:val="21"/>
                <w:shd w:val="clear" w:color="auto" w:fill="FFFFFF" w:themeFill="background1"/>
              </w:rPr>
              <w:t>Costs of Converting Public Housing Units to Project-Based Section 8 under the Rental Assistance Demonstration (RAD) Program</w:t>
            </w:r>
          </w:p>
          <w:p w14:paraId="3C0A2E39" w14:textId="0B28BFA4" w:rsidR="00740D3A" w:rsidRPr="00C642F2" w:rsidRDefault="00740D3A" w:rsidP="00511286">
            <w:pPr>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color w:val="000000"/>
                <w:sz w:val="21"/>
                <w:szCs w:val="21"/>
                <w:shd w:val="clear" w:color="auto" w:fill="FFFFFF" w:themeFill="background1"/>
              </w:rPr>
              <w:t>Section 8 HCV Shortfall</w:t>
            </w:r>
            <w:r w:rsidRPr="00C642F2">
              <w:rPr>
                <w:sz w:val="21"/>
                <w:szCs w:val="21"/>
                <w:shd w:val="clear" w:color="auto" w:fill="FFFFFF" w:themeFill="background1"/>
              </w:rPr>
              <w:t>s</w:t>
            </w:r>
          </w:p>
          <w:p w14:paraId="1AAEB5E1" w14:textId="235DD3E1" w:rsidR="002B3017" w:rsidRPr="00C642F2" w:rsidRDefault="002B3017" w:rsidP="00511286">
            <w:pPr>
              <w:ind w:right="-43"/>
              <w:rPr>
                <w:rFonts w:eastAsia="Calibri"/>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sz w:val="21"/>
                <w:szCs w:val="21"/>
                <w:shd w:val="clear" w:color="auto" w:fill="FFFFFF" w:themeFill="background1"/>
              </w:rPr>
              <w:t>Operation</w:t>
            </w:r>
            <w:r w:rsidR="00315671" w:rsidRPr="00C642F2">
              <w:rPr>
                <w:rFonts w:eastAsia="Calibri"/>
                <w:sz w:val="21"/>
                <w:szCs w:val="21"/>
                <w:shd w:val="clear" w:color="auto" w:fill="FFFFFF" w:themeFill="background1"/>
              </w:rPr>
              <w:t xml:space="preserve"> of </w:t>
            </w:r>
            <w:r w:rsidR="004E3D35" w:rsidRPr="00C642F2">
              <w:rPr>
                <w:rFonts w:eastAsia="Calibri"/>
                <w:sz w:val="21"/>
                <w:szCs w:val="21"/>
                <w:shd w:val="clear" w:color="auto" w:fill="FFFFFF" w:themeFill="background1"/>
              </w:rPr>
              <w:t>Section 8 program</w:t>
            </w:r>
          </w:p>
          <w:p w14:paraId="354C9C58" w14:textId="1A857270" w:rsidR="002B3017" w:rsidRPr="00C642F2" w:rsidRDefault="004E3D35" w:rsidP="00511286">
            <w:pPr>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sz w:val="21"/>
                <w:szCs w:val="21"/>
                <w:shd w:val="clear" w:color="auto" w:fill="FFFFFF" w:themeFill="background1"/>
              </w:rPr>
              <w:t>Operation</w:t>
            </w:r>
            <w:r w:rsidR="00315671" w:rsidRPr="00C642F2">
              <w:rPr>
                <w:rFonts w:eastAsia="Calibri"/>
                <w:sz w:val="21"/>
                <w:szCs w:val="21"/>
                <w:shd w:val="clear" w:color="auto" w:fill="FFFFFF" w:themeFill="background1"/>
              </w:rPr>
              <w:t xml:space="preserve"> of </w:t>
            </w:r>
            <w:r w:rsidRPr="00C642F2">
              <w:rPr>
                <w:rFonts w:eastAsia="Calibri"/>
                <w:sz w:val="21"/>
                <w:szCs w:val="21"/>
                <w:shd w:val="clear" w:color="auto" w:fill="FFFFFF" w:themeFill="background1"/>
              </w:rPr>
              <w:t>Public Housing program</w:t>
            </w:r>
          </w:p>
          <w:p w14:paraId="6D9C0317" w14:textId="102CB73A" w:rsidR="00740D3A" w:rsidRPr="00C642F2" w:rsidRDefault="00740D3A" w:rsidP="00511286">
            <w:pPr>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Modernization of Section 8 Units</w:t>
            </w:r>
          </w:p>
          <w:p w14:paraId="1E7DF80D" w14:textId="414652EC" w:rsidR="00DE02A6" w:rsidRPr="00C642F2" w:rsidRDefault="00DE02A6" w:rsidP="00511286">
            <w:pPr>
              <w:ind w:right="-43"/>
              <w:rPr>
                <w:rFonts w:eastAsia="Calibri"/>
                <w:color w:val="000000"/>
                <w:sz w:val="21"/>
                <w:szCs w:val="21"/>
                <w:shd w:val="clear" w:color="auto" w:fill="FFFFFF" w:themeFill="background1"/>
              </w:rPr>
            </w:pPr>
            <w:r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Loan for modernization of </w:t>
            </w:r>
            <w:r w:rsidR="009F0213" w:rsidRPr="00C642F2">
              <w:rPr>
                <w:sz w:val="21"/>
                <w:szCs w:val="21"/>
                <w:shd w:val="clear" w:color="auto" w:fill="FFFFFF" w:themeFill="background1"/>
              </w:rPr>
              <w:t>PBV</w:t>
            </w:r>
            <w:r w:rsidRPr="00C642F2">
              <w:rPr>
                <w:sz w:val="21"/>
                <w:szCs w:val="21"/>
                <w:shd w:val="clear" w:color="auto" w:fill="FFFFFF" w:themeFill="background1"/>
              </w:rPr>
              <w:t xml:space="preserve"> Units</w:t>
            </w:r>
          </w:p>
          <w:p w14:paraId="152F8703" w14:textId="0CBD9747" w:rsidR="008218CD" w:rsidRPr="00C642F2" w:rsidRDefault="00740D3A"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sz w:val="21"/>
                <w:szCs w:val="21"/>
                <w:shd w:val="clear" w:color="auto" w:fill="FFFFFF" w:themeFill="background1"/>
              </w:rPr>
              <w:t xml:space="preserve">Other Statutorily Eligible Uses: </w:t>
            </w:r>
            <w:r w:rsidR="00141D9B" w:rsidRPr="00C642F2">
              <w:rPr>
                <w:sz w:val="21"/>
                <w:szCs w:val="21"/>
                <w:shd w:val="clear" w:color="auto" w:fill="FFFFFF" w:themeFill="background1"/>
              </w:rPr>
              <w:fldChar w:fldCharType="begin"/>
            </w:r>
            <w:r w:rsidR="00141D9B" w:rsidRPr="00C642F2">
              <w:rPr>
                <w:sz w:val="21"/>
                <w:szCs w:val="21"/>
                <w:shd w:val="clear" w:color="auto" w:fill="FFFFFF" w:themeFill="background1"/>
              </w:rPr>
              <w:instrText xml:space="preserve"> FORMTEXT </w:instrText>
            </w:r>
            <w:r w:rsidR="00141D9B" w:rsidRPr="00C642F2">
              <w:rPr>
                <w:sz w:val="21"/>
                <w:szCs w:val="21"/>
                <w:shd w:val="clear" w:color="auto" w:fill="FFFFFF" w:themeFill="background1"/>
              </w:rPr>
              <w:fldChar w:fldCharType="separate"/>
            </w:r>
            <w:r w:rsidR="00141D9B" w:rsidRPr="00C642F2">
              <w:rPr>
                <w:noProof/>
                <w:sz w:val="21"/>
                <w:szCs w:val="21"/>
                <w:shd w:val="clear" w:color="auto" w:fill="FFFFFF" w:themeFill="background1"/>
              </w:rPr>
              <w:t> </w:t>
            </w:r>
            <w:r w:rsidR="00141D9B" w:rsidRPr="00C642F2">
              <w:rPr>
                <w:noProof/>
                <w:sz w:val="21"/>
                <w:szCs w:val="21"/>
                <w:shd w:val="clear" w:color="auto" w:fill="FFFFFF" w:themeFill="background1"/>
              </w:rPr>
              <w:t> </w:t>
            </w:r>
            <w:r w:rsidR="00141D9B" w:rsidRPr="00C642F2">
              <w:rPr>
                <w:noProof/>
                <w:sz w:val="21"/>
                <w:szCs w:val="21"/>
                <w:shd w:val="clear" w:color="auto" w:fill="FFFFFF" w:themeFill="background1"/>
              </w:rPr>
              <w:t> </w:t>
            </w:r>
            <w:r w:rsidR="00141D9B" w:rsidRPr="00C642F2">
              <w:rPr>
                <w:noProof/>
                <w:sz w:val="21"/>
                <w:szCs w:val="21"/>
                <w:shd w:val="clear" w:color="auto" w:fill="FFFFFF" w:themeFill="background1"/>
              </w:rPr>
              <w:t> </w:t>
            </w:r>
            <w:r w:rsidR="00141D9B" w:rsidRPr="00C642F2">
              <w:rPr>
                <w:noProof/>
                <w:sz w:val="21"/>
                <w:szCs w:val="21"/>
                <w:shd w:val="clear" w:color="auto" w:fill="FFFFFF" w:themeFill="background1"/>
              </w:rPr>
              <w:t> </w:t>
            </w:r>
            <w:r w:rsidR="00141D9B" w:rsidRPr="00C642F2">
              <w:rPr>
                <w:sz w:val="21"/>
                <w:szCs w:val="21"/>
                <w:shd w:val="clear" w:color="auto" w:fill="FFFFFF" w:themeFill="background1"/>
              </w:rPr>
              <w:fldChar w:fldCharType="end"/>
            </w:r>
            <w:r w:rsidRPr="00C642F2">
              <w:rPr>
                <w:sz w:val="21"/>
                <w:szCs w:val="21"/>
                <w:shd w:val="clear" w:color="auto" w:fill="FFFFFF" w:themeFill="background1"/>
              </w:rPr>
              <w:t xml:space="preserve"> (describe)</w:t>
            </w:r>
          </w:p>
          <w:p w14:paraId="5B5B4917" w14:textId="77777777" w:rsidR="00740D3A" w:rsidRPr="00C642F2" w:rsidRDefault="004950BB" w:rsidP="00511286">
            <w:pPr>
              <w:spacing w:before="20" w:after="20"/>
              <w:ind w:left="346" w:right="-43" w:hanging="34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To Be Determined (TBD) (PHA must request approval from HUD when it determines a proposed use)</w:t>
            </w:r>
          </w:p>
        </w:tc>
      </w:tr>
      <w:tr w:rsidR="00455FE2" w:rsidRPr="00C642F2" w14:paraId="1FA8C65C" w14:textId="77777777" w:rsidTr="00141D9B">
        <w:tc>
          <w:tcPr>
            <w:tcW w:w="5000" w:type="pct"/>
            <w:gridSpan w:val="3"/>
            <w:tcBorders>
              <w:top w:val="single" w:sz="2" w:space="0" w:color="auto"/>
              <w:left w:val="single" w:sz="12" w:space="0" w:color="auto"/>
              <w:bottom w:val="single" w:sz="12" w:space="0" w:color="auto"/>
              <w:right w:val="single" w:sz="12" w:space="0" w:color="auto"/>
            </w:tcBorders>
          </w:tcPr>
          <w:p w14:paraId="38E6A2A9" w14:textId="5DC05238" w:rsidR="00455FE2" w:rsidRPr="00C642F2" w:rsidRDefault="00455FE2" w:rsidP="00511286">
            <w:pPr>
              <w:ind w:left="598" w:right="-43"/>
              <w:rPr>
                <w:i/>
                <w:sz w:val="21"/>
                <w:szCs w:val="21"/>
                <w:shd w:val="clear" w:color="auto" w:fill="FFFFFF" w:themeFill="background1"/>
              </w:rPr>
            </w:pPr>
            <w:r w:rsidRPr="00C642F2">
              <w:rPr>
                <w:i/>
                <w:iCs/>
                <w:sz w:val="21"/>
                <w:szCs w:val="21"/>
                <w:shd w:val="clear" w:color="auto" w:fill="FFFFFF" w:themeFill="background1"/>
              </w:rPr>
              <w:t xml:space="preserve">Attach </w:t>
            </w:r>
            <w:r w:rsidRPr="00C642F2">
              <w:rPr>
                <w:i/>
                <w:sz w:val="21"/>
                <w:szCs w:val="21"/>
                <w:shd w:val="clear" w:color="auto" w:fill="FFFFFF" w:themeFill="background1"/>
              </w:rPr>
              <w:t>a brief narrative, budget, or other supporting documentation describing the proposed use of proceeds.</w:t>
            </w:r>
          </w:p>
          <w:p w14:paraId="04933D71" w14:textId="46B10063" w:rsidR="00B70EA4" w:rsidRPr="00C642F2" w:rsidRDefault="00141D9B" w:rsidP="00C642F2">
            <w:pPr>
              <w:ind w:left="598" w:right="-43"/>
              <w:rPr>
                <w:i/>
                <w:sz w:val="21"/>
                <w:szCs w:val="21"/>
                <w:shd w:val="clear" w:color="auto" w:fill="FFFFFF" w:themeFill="background1"/>
              </w:rPr>
            </w:pPr>
            <w:r w:rsidRPr="00C642F2">
              <w:rPr>
                <w:i/>
                <w:sz w:val="21"/>
                <w:szCs w:val="21"/>
                <w:shd w:val="clear" w:color="auto" w:fill="FFFFFF" w:themeFill="background1"/>
              </w:rPr>
              <w:t>If loan is checked, include the loan term, interest rate, and type (i.e. permanent, bridge, construction).</w:t>
            </w:r>
          </w:p>
        </w:tc>
      </w:tr>
    </w:tbl>
    <w:p w14:paraId="0FCBDB1B" w14:textId="5D976440" w:rsidR="00C34082" w:rsidRPr="00C642F2" w:rsidRDefault="00C34082" w:rsidP="00511286">
      <w:pPr>
        <w:ind w:right="-43"/>
        <w:rPr>
          <w:sz w:val="21"/>
          <w:szCs w:val="21"/>
          <w:shd w:val="clear" w:color="auto" w:fill="FFFFFF" w:themeFill="background1"/>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3685"/>
        <w:gridCol w:w="1514"/>
        <w:gridCol w:w="2749"/>
        <w:gridCol w:w="569"/>
        <w:gridCol w:w="2815"/>
      </w:tblGrid>
      <w:tr w:rsidR="00DB0DB3" w:rsidRPr="00C642F2" w14:paraId="1BBC6FF6" w14:textId="77777777" w:rsidTr="00C57EA2">
        <w:tc>
          <w:tcPr>
            <w:tcW w:w="5000" w:type="pct"/>
            <w:gridSpan w:val="5"/>
            <w:tcBorders>
              <w:top w:val="single" w:sz="12" w:space="0" w:color="auto"/>
              <w:left w:val="single" w:sz="12" w:space="0" w:color="auto"/>
              <w:bottom w:val="single" w:sz="2" w:space="0" w:color="auto"/>
              <w:right w:val="single" w:sz="12" w:space="0" w:color="auto"/>
            </w:tcBorders>
            <w:vAlign w:val="center"/>
          </w:tcPr>
          <w:p w14:paraId="38151466" w14:textId="6C6834D7" w:rsidR="00DB0DB3" w:rsidRPr="00C642F2" w:rsidRDefault="00DB0DB3" w:rsidP="00511286">
            <w:pPr>
              <w:spacing w:before="20" w:after="20"/>
              <w:ind w:left="427" w:right="-43" w:hanging="427"/>
              <w:rPr>
                <w:sz w:val="21"/>
                <w:szCs w:val="21"/>
                <w:shd w:val="clear" w:color="auto" w:fill="FFFFFF" w:themeFill="background1"/>
              </w:rPr>
            </w:pPr>
            <w:r w:rsidRPr="00C642F2">
              <w:rPr>
                <w:b/>
                <w:bCs/>
                <w:sz w:val="21"/>
                <w:szCs w:val="21"/>
                <w:shd w:val="clear" w:color="auto" w:fill="FFFFFF" w:themeFill="background1"/>
              </w:rPr>
              <w:t>Section 4.  Offer of Sale to Resident Organization (Disposition Only)</w:t>
            </w:r>
          </w:p>
        </w:tc>
      </w:tr>
      <w:tr w:rsidR="001926B8" w:rsidRPr="00C642F2" w14:paraId="4A7575FF" w14:textId="77777777" w:rsidTr="0048716B">
        <w:trPr>
          <w:trHeight w:val="2779"/>
        </w:trPr>
        <w:tc>
          <w:tcPr>
            <w:tcW w:w="1626" w:type="pct"/>
            <w:tcBorders>
              <w:top w:val="single" w:sz="4" w:space="0" w:color="auto"/>
              <w:left w:val="single" w:sz="12" w:space="0" w:color="auto"/>
              <w:bottom w:val="single" w:sz="2" w:space="0" w:color="auto"/>
              <w:right w:val="single" w:sz="2" w:space="0" w:color="auto"/>
            </w:tcBorders>
            <w:vAlign w:val="center"/>
          </w:tcPr>
          <w:p w14:paraId="1273F392" w14:textId="6508D1FA" w:rsidR="001926B8" w:rsidRPr="00C642F2" w:rsidRDefault="001926B8" w:rsidP="00511286">
            <w:pPr>
              <w:pStyle w:val="ListParagraph"/>
              <w:numPr>
                <w:ilvl w:val="0"/>
                <w:numId w:val="9"/>
              </w:numPr>
              <w:spacing w:before="20" w:after="20"/>
              <w:ind w:right="-43"/>
              <w:rPr>
                <w:iCs/>
                <w:sz w:val="21"/>
                <w:szCs w:val="21"/>
                <w:shd w:val="clear" w:color="auto" w:fill="FFFFFF" w:themeFill="background1"/>
              </w:rPr>
            </w:pPr>
            <w:r w:rsidRPr="00C642F2">
              <w:rPr>
                <w:iCs/>
                <w:sz w:val="21"/>
                <w:szCs w:val="21"/>
                <w:shd w:val="clear" w:color="auto" w:fill="FFFFFF" w:themeFill="background1"/>
              </w:rPr>
              <w:t>If this action is for a disposition, is the PHA exercising any of</w:t>
            </w:r>
            <w:r w:rsidR="00DB0DB3" w:rsidRPr="00C642F2">
              <w:rPr>
                <w:iCs/>
                <w:sz w:val="21"/>
                <w:szCs w:val="21"/>
                <w:shd w:val="clear" w:color="auto" w:fill="FFFFFF" w:themeFill="background1"/>
              </w:rPr>
              <w:t xml:space="preserve"> </w:t>
            </w:r>
            <w:r w:rsidRPr="00C642F2">
              <w:rPr>
                <w:iCs/>
                <w:sz w:val="21"/>
                <w:szCs w:val="21"/>
                <w:shd w:val="clear" w:color="auto" w:fill="FFFFFF" w:themeFill="background1"/>
              </w:rPr>
              <w:t>the exceptions to the offer of sale requirements?</w:t>
            </w:r>
          </w:p>
        </w:tc>
        <w:tc>
          <w:tcPr>
            <w:tcW w:w="3374" w:type="pct"/>
            <w:gridSpan w:val="4"/>
            <w:tcBorders>
              <w:top w:val="single" w:sz="8" w:space="0" w:color="auto"/>
              <w:left w:val="single" w:sz="2" w:space="0" w:color="auto"/>
              <w:bottom w:val="single" w:sz="2" w:space="0" w:color="auto"/>
              <w:right w:val="single" w:sz="12" w:space="0" w:color="auto"/>
            </w:tcBorders>
            <w:shd w:val="clear" w:color="auto" w:fill="auto"/>
            <w:vAlign w:val="center"/>
          </w:tcPr>
          <w:p w14:paraId="33156BBE" w14:textId="25297AC8" w:rsidR="001926B8" w:rsidRPr="00C642F2" w:rsidRDefault="001926B8" w:rsidP="00511286">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00DB0DB3" w:rsidRPr="00C642F2">
              <w:rPr>
                <w:sz w:val="21"/>
                <w:szCs w:val="21"/>
                <w:shd w:val="clear" w:color="auto" w:fill="FFFFFF" w:themeFill="background1"/>
              </w:rPr>
              <w:t xml:space="preserve">    </w:t>
            </w:r>
            <w:r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p w14:paraId="57D338C1" w14:textId="61B5084E" w:rsidR="001926B8" w:rsidRPr="00C642F2" w:rsidRDefault="001926B8" w:rsidP="00511286">
            <w:pPr>
              <w:spacing w:before="20" w:after="20"/>
              <w:ind w:left="356" w:right="-43" w:hanging="35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970.</w:t>
            </w:r>
            <w:r w:rsidR="00782E04" w:rsidRPr="00C642F2">
              <w:rPr>
                <w:sz w:val="21"/>
                <w:szCs w:val="21"/>
                <w:shd w:val="clear" w:color="auto" w:fill="FFFFFF" w:themeFill="background1"/>
              </w:rPr>
              <w:t>9</w:t>
            </w:r>
            <w:r w:rsidRPr="00C642F2">
              <w:rPr>
                <w:sz w:val="21"/>
                <w:szCs w:val="21"/>
                <w:shd w:val="clear" w:color="auto" w:fill="FFFFFF" w:themeFill="background1"/>
              </w:rPr>
              <w:t xml:space="preserve">(b)(3)(i): local government requests to acquire vacant land less than 2 acres </w:t>
            </w:r>
            <w:proofErr w:type="gramStart"/>
            <w:r w:rsidRPr="00C642F2">
              <w:rPr>
                <w:sz w:val="21"/>
                <w:szCs w:val="21"/>
                <w:shd w:val="clear" w:color="auto" w:fill="FFFFFF" w:themeFill="background1"/>
              </w:rPr>
              <w:t>in order to</w:t>
            </w:r>
            <w:proofErr w:type="gramEnd"/>
            <w:r w:rsidRPr="00C642F2">
              <w:rPr>
                <w:sz w:val="21"/>
                <w:szCs w:val="21"/>
                <w:shd w:val="clear" w:color="auto" w:fill="FFFFFF" w:themeFill="background1"/>
              </w:rPr>
              <w:t xml:space="preserve"> build or expand public services</w:t>
            </w:r>
          </w:p>
          <w:p w14:paraId="5D35310F" w14:textId="3CBABCCE" w:rsidR="001926B8" w:rsidRPr="00C642F2" w:rsidRDefault="001926B8" w:rsidP="00511286">
            <w:pPr>
              <w:spacing w:before="20" w:after="20"/>
              <w:ind w:left="266" w:right="-43" w:hanging="26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970.</w:t>
            </w:r>
            <w:r w:rsidR="00782E04" w:rsidRPr="00C642F2">
              <w:rPr>
                <w:sz w:val="21"/>
                <w:szCs w:val="21"/>
                <w:shd w:val="clear" w:color="auto" w:fill="FFFFFF" w:themeFill="background1"/>
              </w:rPr>
              <w:t>9</w:t>
            </w:r>
            <w:r w:rsidRPr="00C642F2">
              <w:rPr>
                <w:sz w:val="21"/>
                <w:szCs w:val="21"/>
                <w:shd w:val="clear" w:color="auto" w:fill="FFFFFF" w:themeFill="background1"/>
              </w:rPr>
              <w:t>(b)(3)(ii): PHA seeks disposition to develop a facility to benefit low-income families</w:t>
            </w:r>
          </w:p>
          <w:p w14:paraId="5CA7EA55" w14:textId="6EB88C2E" w:rsidR="001926B8" w:rsidRPr="00C642F2" w:rsidRDefault="001926B8" w:rsidP="00511286">
            <w:pPr>
              <w:spacing w:before="20" w:after="20"/>
              <w:ind w:left="356" w:right="-43" w:hanging="35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970.</w:t>
            </w:r>
            <w:r w:rsidR="00782E04" w:rsidRPr="00C642F2">
              <w:rPr>
                <w:sz w:val="21"/>
                <w:szCs w:val="21"/>
                <w:shd w:val="clear" w:color="auto" w:fill="FFFFFF" w:themeFill="background1"/>
              </w:rPr>
              <w:t>9</w:t>
            </w:r>
            <w:r w:rsidRPr="00C642F2">
              <w:rPr>
                <w:sz w:val="21"/>
                <w:szCs w:val="21"/>
                <w:shd w:val="clear" w:color="auto" w:fill="FFFFFF" w:themeFill="background1"/>
              </w:rPr>
              <w:t>(b)(3)(iii): the units have been legally vacated (HOPE VI, 24 CFR part 971 or 972)</w:t>
            </w:r>
          </w:p>
          <w:p w14:paraId="30D5AF93" w14:textId="62EA0CC4" w:rsidR="001926B8" w:rsidRPr="00C642F2" w:rsidRDefault="001926B8" w:rsidP="00511286">
            <w:pPr>
              <w:spacing w:before="20" w:after="20"/>
              <w:ind w:left="356" w:right="-43" w:hanging="35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970.</w:t>
            </w:r>
            <w:r w:rsidR="00782E04" w:rsidRPr="00C642F2">
              <w:rPr>
                <w:sz w:val="21"/>
                <w:szCs w:val="21"/>
                <w:shd w:val="clear" w:color="auto" w:fill="FFFFFF" w:themeFill="background1"/>
              </w:rPr>
              <w:t>9</w:t>
            </w:r>
            <w:r w:rsidRPr="00C642F2">
              <w:rPr>
                <w:sz w:val="21"/>
                <w:szCs w:val="21"/>
                <w:shd w:val="clear" w:color="auto" w:fill="FFFFFF" w:themeFill="background1"/>
              </w:rPr>
              <w:t>(b)(3)(iv): the units are distressed units subject to Section 33 required conversion</w:t>
            </w:r>
          </w:p>
          <w:p w14:paraId="1CBC99DE" w14:textId="52927F8C" w:rsidR="00041161" w:rsidRPr="00C642F2" w:rsidRDefault="001926B8"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970.</w:t>
            </w:r>
            <w:r w:rsidR="00782E04" w:rsidRPr="00C642F2">
              <w:rPr>
                <w:sz w:val="21"/>
                <w:szCs w:val="21"/>
                <w:shd w:val="clear" w:color="auto" w:fill="FFFFFF" w:themeFill="background1"/>
              </w:rPr>
              <w:t>9</w:t>
            </w:r>
            <w:r w:rsidRPr="00C642F2">
              <w:rPr>
                <w:sz w:val="21"/>
                <w:szCs w:val="21"/>
                <w:shd w:val="clear" w:color="auto" w:fill="FFFFFF" w:themeFill="background1"/>
              </w:rPr>
              <w:t>(b)(3)(v): property proposed for disposition is non-dwellin</w:t>
            </w:r>
            <w:r w:rsidR="004950BB" w:rsidRPr="00C642F2">
              <w:rPr>
                <w:sz w:val="21"/>
                <w:szCs w:val="21"/>
                <w:shd w:val="clear" w:color="auto" w:fill="FFFFFF" w:themeFill="background1"/>
              </w:rPr>
              <w:t>g</w:t>
            </w:r>
          </w:p>
          <w:p w14:paraId="10BD5513" w14:textId="7ECE510F" w:rsidR="00041161" w:rsidRPr="00C642F2" w:rsidRDefault="00041161"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036E31" w:rsidRPr="00C642F2">
              <w:rPr>
                <w:sz w:val="21"/>
                <w:szCs w:val="21"/>
                <w:shd w:val="clear" w:color="auto" w:fill="FFFFFF" w:themeFill="background1"/>
              </w:rPr>
              <w:t xml:space="preserve">Other: </w:t>
            </w:r>
            <w:r w:rsidRPr="00C642F2">
              <w:rPr>
                <w:sz w:val="21"/>
                <w:szCs w:val="21"/>
                <w:shd w:val="clear" w:color="auto" w:fill="FFFFFF" w:themeFill="background1"/>
              </w:rPr>
              <w:t>PHA</w:t>
            </w:r>
            <w:r w:rsidR="00036E31" w:rsidRPr="00C642F2">
              <w:rPr>
                <w:sz w:val="21"/>
                <w:szCs w:val="21"/>
                <w:shd w:val="clear" w:color="auto" w:fill="FFFFFF" w:themeFill="background1"/>
              </w:rPr>
              <w:t xml:space="preserve"> requests that HUD consider another </w:t>
            </w:r>
            <w:r w:rsidRPr="00C642F2">
              <w:rPr>
                <w:sz w:val="21"/>
                <w:szCs w:val="21"/>
                <w:shd w:val="clear" w:color="auto" w:fill="FFFFFF" w:themeFill="background1"/>
              </w:rPr>
              <w:t>exception to</w:t>
            </w:r>
            <w:r w:rsidRPr="00C642F2">
              <w:rPr>
                <w:b/>
                <w:sz w:val="21"/>
                <w:szCs w:val="21"/>
                <w:shd w:val="clear" w:color="auto" w:fill="FFFFFF" w:themeFill="background1"/>
              </w:rPr>
              <w:t xml:space="preserve"> </w:t>
            </w:r>
            <w:r w:rsidRPr="00C642F2">
              <w:rPr>
                <w:sz w:val="21"/>
                <w:szCs w:val="21"/>
                <w:shd w:val="clear" w:color="auto" w:fill="FFFFFF" w:themeFill="background1"/>
              </w:rPr>
              <w:t xml:space="preserve">970.9(b)(1) </w:t>
            </w:r>
          </w:p>
        </w:tc>
      </w:tr>
      <w:tr w:rsidR="00DB0DB3" w:rsidRPr="00C642F2" w14:paraId="707B7BD5" w14:textId="77777777" w:rsidTr="00C57EA2">
        <w:trPr>
          <w:trHeight w:val="710"/>
        </w:trPr>
        <w:tc>
          <w:tcPr>
            <w:tcW w:w="5000" w:type="pct"/>
            <w:gridSpan w:val="5"/>
            <w:tcBorders>
              <w:top w:val="single" w:sz="4" w:space="0" w:color="auto"/>
              <w:left w:val="single" w:sz="12" w:space="0" w:color="auto"/>
              <w:bottom w:val="single" w:sz="2" w:space="0" w:color="auto"/>
              <w:right w:val="single" w:sz="12" w:space="0" w:color="auto"/>
            </w:tcBorders>
            <w:vAlign w:val="center"/>
          </w:tcPr>
          <w:p w14:paraId="1AE579B9" w14:textId="56836C1D" w:rsidR="00DB0DB3" w:rsidRPr="00C642F2" w:rsidRDefault="00DB0DB3" w:rsidP="00511286">
            <w:pPr>
              <w:spacing w:before="20" w:after="20"/>
              <w:ind w:left="690" w:right="-43"/>
              <w:rPr>
                <w:i/>
                <w:iCs/>
                <w:sz w:val="21"/>
                <w:szCs w:val="21"/>
                <w:shd w:val="clear" w:color="auto" w:fill="FFFFFF" w:themeFill="background1"/>
              </w:rPr>
            </w:pPr>
            <w:r w:rsidRPr="00C642F2">
              <w:rPr>
                <w:i/>
                <w:iCs/>
                <w:sz w:val="21"/>
                <w:szCs w:val="21"/>
                <w:shd w:val="clear" w:color="auto" w:fill="FFFFFF" w:themeFill="background1"/>
              </w:rPr>
              <w:t>If exercising an exception, attach a narrative statement or documentation supporting the exception</w:t>
            </w:r>
            <w:r w:rsidR="00036E31" w:rsidRPr="00C642F2">
              <w:rPr>
                <w:i/>
                <w:iCs/>
                <w:sz w:val="21"/>
                <w:szCs w:val="21"/>
                <w:shd w:val="clear" w:color="auto" w:fill="FFFFFF" w:themeFill="background1"/>
              </w:rPr>
              <w:t xml:space="preserve"> in accordance with 970.9(b)(4)</w:t>
            </w:r>
            <w:r w:rsidRPr="00C642F2">
              <w:rPr>
                <w:i/>
                <w:iCs/>
                <w:sz w:val="21"/>
                <w:szCs w:val="21"/>
                <w:shd w:val="clear" w:color="auto" w:fill="FFFFFF" w:themeFill="background1"/>
              </w:rPr>
              <w:t>.</w:t>
            </w:r>
            <w:r w:rsidR="00036E31" w:rsidRPr="00C642F2">
              <w:rPr>
                <w:i/>
                <w:iCs/>
                <w:sz w:val="21"/>
                <w:szCs w:val="21"/>
                <w:shd w:val="clear" w:color="auto" w:fill="FFFFFF" w:themeFill="background1"/>
              </w:rPr>
              <w:t xml:space="preserve">  </w:t>
            </w:r>
            <w:r w:rsidRPr="00C642F2">
              <w:rPr>
                <w:i/>
                <w:iCs/>
                <w:sz w:val="21"/>
                <w:szCs w:val="21"/>
                <w:shd w:val="clear" w:color="auto" w:fill="FFFFFF" w:themeFill="background1"/>
              </w:rPr>
              <w:t>If not exercising an exception, complete questions #2-6 of this Section 4.</w:t>
            </w:r>
          </w:p>
        </w:tc>
      </w:tr>
      <w:tr w:rsidR="001926B8" w:rsidRPr="00C642F2" w14:paraId="0DA2A12F" w14:textId="77777777" w:rsidTr="0048716B">
        <w:trPr>
          <w:trHeight w:val="1165"/>
        </w:trPr>
        <w:tc>
          <w:tcPr>
            <w:tcW w:w="3507" w:type="pct"/>
            <w:gridSpan w:val="3"/>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36272DD0" w14:textId="64CF9805" w:rsidR="001926B8" w:rsidRPr="00C642F2" w:rsidRDefault="00662B52" w:rsidP="00511286">
            <w:pPr>
              <w:pStyle w:val="ListParagraph"/>
              <w:numPr>
                <w:ilvl w:val="0"/>
                <w:numId w:val="9"/>
              </w:numPr>
              <w:spacing w:before="20" w:after="20"/>
              <w:ind w:right="-43"/>
              <w:rPr>
                <w:i/>
                <w:color w:val="000000"/>
                <w:sz w:val="21"/>
                <w:szCs w:val="21"/>
                <w:shd w:val="clear" w:color="auto" w:fill="FFFFFF" w:themeFill="background1"/>
              </w:rPr>
            </w:pPr>
            <w:r w:rsidRPr="00C642F2">
              <w:rPr>
                <w:iCs/>
                <w:sz w:val="21"/>
                <w:szCs w:val="21"/>
                <w:shd w:val="clear" w:color="auto" w:fill="FFFFFF" w:themeFill="background1"/>
              </w:rPr>
              <w:t>Name(s) of all established e</w:t>
            </w:r>
            <w:r w:rsidRPr="00C642F2">
              <w:rPr>
                <w:sz w:val="21"/>
                <w:szCs w:val="21"/>
                <w:shd w:val="clear" w:color="auto" w:fill="FFFFFF" w:themeFill="background1"/>
              </w:rPr>
              <w:t>ligible organizations as defined by 24 CFR 970.11 (e.g. resident organizations, eligible resident management corporations as defined in 24 CFR part 964, and nonprofit organization acting on behalf of residents at a</w:t>
            </w:r>
            <w:r w:rsidR="00852D09" w:rsidRPr="00C642F2">
              <w:rPr>
                <w:sz w:val="21"/>
                <w:szCs w:val="21"/>
                <w:shd w:val="clear" w:color="auto" w:fill="FFFFFF" w:themeFill="background1"/>
              </w:rPr>
              <w:t xml:space="preserve"> development.</w:t>
            </w:r>
            <w:r w:rsidR="00B37D38" w:rsidRPr="00C642F2">
              <w:rPr>
                <w:i/>
                <w:color w:val="000000"/>
                <w:sz w:val="21"/>
                <w:szCs w:val="21"/>
                <w:shd w:val="clear" w:color="auto" w:fill="FFFFFF" w:themeFill="background1"/>
              </w:rPr>
              <w:t xml:space="preserve"> </w:t>
            </w:r>
          </w:p>
        </w:tc>
        <w:tc>
          <w:tcPr>
            <w:tcW w:w="1493"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23DDC386" w14:textId="05655C39" w:rsidR="001926B8" w:rsidRPr="00C642F2" w:rsidRDefault="00852D09"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rsidR="00B37D38" w:rsidRPr="00C642F2" w14:paraId="1F660E6C" w14:textId="77777777" w:rsidTr="0048716B">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14:paraId="2ADA9A81" w14:textId="41F38DC0" w:rsidR="00B37D38" w:rsidRPr="00C642F2" w:rsidRDefault="00B37D38" w:rsidP="00511286">
            <w:pPr>
              <w:spacing w:before="20" w:after="20"/>
              <w:ind w:left="690" w:right="-43"/>
              <w:rPr>
                <w:sz w:val="21"/>
                <w:szCs w:val="21"/>
                <w:shd w:val="clear" w:color="auto" w:fill="FFFFFF" w:themeFill="background1"/>
              </w:rPr>
            </w:pPr>
            <w:r w:rsidRPr="00C642F2">
              <w:rPr>
                <w:i/>
                <w:color w:val="000000"/>
                <w:sz w:val="21"/>
                <w:szCs w:val="21"/>
                <w:shd w:val="clear" w:color="auto" w:fill="FFFFFF" w:themeFill="background1"/>
              </w:rPr>
              <w:t>Attach a narrative explanation of how the PHA determined the entities identified</w:t>
            </w:r>
          </w:p>
        </w:tc>
      </w:tr>
      <w:tr w:rsidR="00852D09" w:rsidRPr="00C642F2" w14:paraId="764ED91E" w14:textId="77777777" w:rsidTr="0048716B">
        <w:trPr>
          <w:trHeight w:val="625"/>
        </w:trPr>
        <w:tc>
          <w:tcPr>
            <w:tcW w:w="3507" w:type="pct"/>
            <w:gridSpan w:val="3"/>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0DB60CDC" w14:textId="02445272" w:rsidR="00852D09" w:rsidRPr="00C642F2" w:rsidRDefault="00852D09" w:rsidP="00511286">
            <w:pPr>
              <w:pStyle w:val="ListParagraph"/>
              <w:numPr>
                <w:ilvl w:val="0"/>
                <w:numId w:val="9"/>
              </w:numPr>
              <w:autoSpaceDE w:val="0"/>
              <w:autoSpaceDN w:val="0"/>
              <w:adjustRightInd w:val="0"/>
              <w:spacing w:before="20" w:after="20"/>
              <w:ind w:right="-43"/>
              <w:rPr>
                <w:i/>
                <w:color w:val="000000"/>
                <w:sz w:val="21"/>
                <w:szCs w:val="21"/>
                <w:shd w:val="clear" w:color="auto" w:fill="FFFFFF" w:themeFill="background1"/>
              </w:rPr>
            </w:pPr>
            <w:r w:rsidRPr="00C642F2">
              <w:rPr>
                <w:color w:val="000000"/>
                <w:sz w:val="21"/>
                <w:szCs w:val="21"/>
                <w:shd w:val="clear" w:color="auto" w:fill="FFFFFF" w:themeFill="background1"/>
              </w:rPr>
              <w:t>Date(s)</w:t>
            </w:r>
            <w:r w:rsidR="000F6414" w:rsidRPr="00C642F2">
              <w:rPr>
                <w:color w:val="000000"/>
                <w:sz w:val="21"/>
                <w:szCs w:val="21"/>
                <w:shd w:val="clear" w:color="auto" w:fill="FFFFFF" w:themeFill="background1"/>
              </w:rPr>
              <w:t xml:space="preserve"> the</w:t>
            </w:r>
            <w:r w:rsidRPr="00C642F2">
              <w:rPr>
                <w:color w:val="000000"/>
                <w:sz w:val="21"/>
                <w:szCs w:val="21"/>
                <w:shd w:val="clear" w:color="auto" w:fill="FFFFFF" w:themeFill="background1"/>
              </w:rPr>
              <w:t xml:space="preserve"> PHA sent an initial written notification to each established eligible organization in accordance with 24 CFR 970.11</w:t>
            </w:r>
          </w:p>
        </w:tc>
        <w:tc>
          <w:tcPr>
            <w:tcW w:w="1493"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0E0BD09D" w14:textId="07D38F75" w:rsidR="00852D09" w:rsidRPr="00C642F2" w:rsidRDefault="00852D09"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rsidR="00B37D38" w:rsidRPr="00C642F2" w14:paraId="68304355" w14:textId="77777777" w:rsidTr="0048716B">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14:paraId="5E792293" w14:textId="32C28B61" w:rsidR="00B37D38" w:rsidRPr="00C642F2" w:rsidRDefault="00B37D38" w:rsidP="00511286">
            <w:pPr>
              <w:spacing w:before="20" w:after="20"/>
              <w:ind w:left="690" w:right="-43"/>
              <w:rPr>
                <w:sz w:val="21"/>
                <w:szCs w:val="21"/>
                <w:shd w:val="clear" w:color="auto" w:fill="FFFFFF" w:themeFill="background1"/>
              </w:rPr>
            </w:pPr>
            <w:r w:rsidRPr="00C642F2">
              <w:rPr>
                <w:i/>
                <w:color w:val="000000"/>
                <w:sz w:val="21"/>
                <w:szCs w:val="21"/>
                <w:shd w:val="clear" w:color="auto" w:fill="FFFFFF" w:themeFill="background1"/>
              </w:rPr>
              <w:t>Attach a copy of the initial written notification to each established eligible organization</w:t>
            </w:r>
          </w:p>
        </w:tc>
      </w:tr>
      <w:tr w:rsidR="00852D09" w:rsidRPr="00C642F2" w14:paraId="10BC3211" w14:textId="77777777" w:rsidTr="0048716B">
        <w:trPr>
          <w:trHeight w:val="625"/>
        </w:trPr>
        <w:tc>
          <w:tcPr>
            <w:tcW w:w="3758"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450A7F92" w14:textId="5E3F4245" w:rsidR="00852D09" w:rsidRPr="00C642F2" w:rsidRDefault="00852D09" w:rsidP="00511286">
            <w:pPr>
              <w:pStyle w:val="ListParagraph"/>
              <w:numPr>
                <w:ilvl w:val="0"/>
                <w:numId w:val="9"/>
              </w:numPr>
              <w:autoSpaceDE w:val="0"/>
              <w:autoSpaceDN w:val="0"/>
              <w:adjustRightInd w:val="0"/>
              <w:ind w:right="-43"/>
              <w:rPr>
                <w:i/>
                <w:color w:val="000000"/>
                <w:sz w:val="21"/>
                <w:szCs w:val="21"/>
                <w:shd w:val="clear" w:color="auto" w:fill="FFFFFF" w:themeFill="background1"/>
              </w:rPr>
            </w:pPr>
            <w:r w:rsidRPr="00C642F2">
              <w:rPr>
                <w:color w:val="000000"/>
                <w:sz w:val="21"/>
                <w:szCs w:val="21"/>
                <w:shd w:val="clear" w:color="auto" w:fill="FFFFFF" w:themeFill="background1"/>
              </w:rPr>
              <w:t>Did the PHA receive a written expression of interest in accordance with 24 CFR 970.11 by an established eligible organization?</w:t>
            </w:r>
          </w:p>
        </w:tc>
        <w:tc>
          <w:tcPr>
            <w:tcW w:w="124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1F8D7487" w14:textId="26A1B2A2" w:rsidR="00852D09" w:rsidRPr="00C642F2" w:rsidRDefault="00852D09"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005B15FC"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rsidR="00BA777D" w:rsidRPr="00C642F2" w14:paraId="38DCB613" w14:textId="77777777" w:rsidTr="0048716B">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14:paraId="751B7176" w14:textId="344C0202" w:rsidR="00BA777D" w:rsidRPr="00C642F2" w:rsidRDefault="00BA777D" w:rsidP="00511286">
            <w:pPr>
              <w:spacing w:before="20" w:after="20"/>
              <w:ind w:left="690" w:right="-43"/>
              <w:rPr>
                <w:sz w:val="21"/>
                <w:szCs w:val="21"/>
                <w:shd w:val="clear" w:color="auto" w:fill="FFFFFF" w:themeFill="background1"/>
              </w:rPr>
            </w:pPr>
            <w:r w:rsidRPr="00C642F2">
              <w:rPr>
                <w:i/>
                <w:color w:val="000000"/>
                <w:sz w:val="21"/>
                <w:szCs w:val="21"/>
                <w:shd w:val="clear" w:color="auto" w:fill="FFFFFF" w:themeFill="background1"/>
              </w:rPr>
              <w:t>If yes, attach a copy of the expression of interest by any eligible established organization</w:t>
            </w:r>
          </w:p>
        </w:tc>
      </w:tr>
      <w:tr w:rsidR="00852D09" w:rsidRPr="00C642F2" w14:paraId="49E09BC4" w14:textId="77777777" w:rsidTr="0048716B">
        <w:trPr>
          <w:trHeight w:val="895"/>
        </w:trPr>
        <w:tc>
          <w:tcPr>
            <w:tcW w:w="3758"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66F51EA0" w14:textId="318AD6FD" w:rsidR="00852D09" w:rsidRPr="00C642F2" w:rsidRDefault="00852D09" w:rsidP="00511286">
            <w:pPr>
              <w:pStyle w:val="ListParagraph"/>
              <w:numPr>
                <w:ilvl w:val="0"/>
                <w:numId w:val="9"/>
              </w:numPr>
              <w:autoSpaceDE w:val="0"/>
              <w:autoSpaceDN w:val="0"/>
              <w:adjustRightInd w:val="0"/>
              <w:ind w:right="-43"/>
              <w:rPr>
                <w:sz w:val="21"/>
                <w:szCs w:val="21"/>
                <w:shd w:val="clear" w:color="auto" w:fill="FFFFFF" w:themeFill="background1"/>
              </w:rPr>
            </w:pPr>
            <w:r w:rsidRPr="00C642F2">
              <w:rPr>
                <w:color w:val="000000"/>
                <w:sz w:val="21"/>
                <w:szCs w:val="21"/>
                <w:shd w:val="clear" w:color="auto" w:fill="FFFFFF" w:themeFill="background1"/>
              </w:rPr>
              <w:t xml:space="preserve">Did the PHA receive a proposal to purchase from an established eligible organization within 60-days of receiving the established eligible organization’s expression of interest? </w:t>
            </w:r>
          </w:p>
        </w:tc>
        <w:tc>
          <w:tcPr>
            <w:tcW w:w="124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FF58AF4" w14:textId="400BCC30" w:rsidR="00852D09" w:rsidRPr="00C642F2" w:rsidRDefault="00852D09"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005B15FC" w:rsidRPr="00C642F2">
              <w:rPr>
                <w:sz w:val="21"/>
                <w:szCs w:val="21"/>
                <w:shd w:val="clear" w:color="auto" w:fill="FFFFFF" w:themeFill="background1"/>
              </w:rPr>
              <w:t xml:space="preserve">   </w:t>
            </w:r>
            <w:r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rsidR="00BA777D" w:rsidRPr="00C642F2" w14:paraId="31EB72C7" w14:textId="77777777" w:rsidTr="0048716B">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14:paraId="0FDD2545" w14:textId="7D8C9876" w:rsidR="00BA777D" w:rsidRPr="00C642F2" w:rsidRDefault="00BA777D" w:rsidP="00511286">
            <w:pPr>
              <w:spacing w:before="20" w:after="20"/>
              <w:ind w:left="690" w:right="-43"/>
              <w:rPr>
                <w:sz w:val="21"/>
                <w:szCs w:val="21"/>
                <w:shd w:val="clear" w:color="auto" w:fill="FFFFFF" w:themeFill="background1"/>
              </w:rPr>
            </w:pPr>
            <w:r w:rsidRPr="00C642F2">
              <w:rPr>
                <w:i/>
                <w:color w:val="000000"/>
                <w:sz w:val="21"/>
                <w:szCs w:val="21"/>
                <w:shd w:val="clear" w:color="auto" w:fill="FFFFFF" w:themeFill="background1"/>
              </w:rPr>
              <w:t>If yes, attach a copy of the proposal to purchase from an established eligible organization</w:t>
            </w:r>
          </w:p>
        </w:tc>
      </w:tr>
      <w:tr w:rsidR="00852D09" w:rsidRPr="00C642F2" w14:paraId="75B374CE" w14:textId="77777777" w:rsidTr="0048716B">
        <w:trPr>
          <w:trHeight w:val="715"/>
        </w:trPr>
        <w:tc>
          <w:tcPr>
            <w:tcW w:w="2294" w:type="pct"/>
            <w:gridSpan w:val="2"/>
            <w:tcBorders>
              <w:top w:val="single" w:sz="2" w:space="0" w:color="auto"/>
              <w:left w:val="single" w:sz="12" w:space="0" w:color="auto"/>
              <w:bottom w:val="single" w:sz="2" w:space="0" w:color="auto"/>
              <w:right w:val="single" w:sz="2" w:space="0" w:color="auto"/>
            </w:tcBorders>
            <w:vAlign w:val="center"/>
          </w:tcPr>
          <w:p w14:paraId="6380FB5D" w14:textId="37732F85" w:rsidR="00852D09" w:rsidRPr="00C642F2" w:rsidRDefault="00852D09" w:rsidP="00511286">
            <w:pPr>
              <w:pStyle w:val="ListParagraph"/>
              <w:numPr>
                <w:ilvl w:val="0"/>
                <w:numId w:val="9"/>
              </w:numPr>
              <w:autoSpaceDE w:val="0"/>
              <w:autoSpaceDN w:val="0"/>
              <w:adjustRightInd w:val="0"/>
              <w:ind w:right="-43"/>
              <w:rPr>
                <w:rStyle w:val="CommentReference"/>
                <w:iCs/>
                <w:sz w:val="21"/>
                <w:szCs w:val="21"/>
                <w:shd w:val="clear" w:color="auto" w:fill="FFFFFF" w:themeFill="background1"/>
              </w:rPr>
            </w:pPr>
            <w:r w:rsidRPr="00C642F2">
              <w:rPr>
                <w:color w:val="000000"/>
                <w:sz w:val="21"/>
                <w:szCs w:val="21"/>
                <w:shd w:val="clear" w:color="auto" w:fill="FFFFFF" w:themeFill="background1"/>
              </w:rPr>
              <w:t>Did the PHA accept the proposal to purchase?</w:t>
            </w:r>
          </w:p>
        </w:tc>
        <w:tc>
          <w:tcPr>
            <w:tcW w:w="2706" w:type="pct"/>
            <w:gridSpan w:val="3"/>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CC44D05" w14:textId="77777777" w:rsidR="00B87393" w:rsidRPr="00C642F2" w:rsidRDefault="00852D09"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p w14:paraId="6954CFC4" w14:textId="77114656" w:rsidR="00852D09" w:rsidRPr="00C642F2" w:rsidRDefault="000F6414" w:rsidP="0051128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75146D">
              <w:rPr>
                <w:sz w:val="21"/>
                <w:szCs w:val="21"/>
                <w:shd w:val="clear" w:color="auto" w:fill="FFFFFF" w:themeFill="background1"/>
              </w:rPr>
            </w:r>
            <w:r w:rsidR="0075146D">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N/A (PHA did not receive a proposal to purchase)</w:t>
            </w:r>
          </w:p>
        </w:tc>
      </w:tr>
      <w:tr w:rsidR="00BA777D" w:rsidRPr="00C642F2" w14:paraId="765E2563" w14:textId="77777777" w:rsidTr="00C57EA2">
        <w:trPr>
          <w:trHeight w:val="445"/>
        </w:trPr>
        <w:tc>
          <w:tcPr>
            <w:tcW w:w="5000" w:type="pct"/>
            <w:gridSpan w:val="5"/>
            <w:tcBorders>
              <w:top w:val="single" w:sz="2" w:space="0" w:color="auto"/>
              <w:left w:val="single" w:sz="12" w:space="0" w:color="auto"/>
              <w:bottom w:val="single" w:sz="12" w:space="0" w:color="auto"/>
              <w:right w:val="single" w:sz="12" w:space="0" w:color="auto"/>
            </w:tcBorders>
            <w:vAlign w:val="center"/>
          </w:tcPr>
          <w:p w14:paraId="2FC6BD6F" w14:textId="6CA38F9B" w:rsidR="00BA777D" w:rsidRPr="00C642F2" w:rsidRDefault="00BA777D" w:rsidP="00511286">
            <w:pPr>
              <w:spacing w:before="20" w:after="20"/>
              <w:ind w:left="690" w:right="-43"/>
              <w:rPr>
                <w:sz w:val="21"/>
                <w:szCs w:val="21"/>
                <w:shd w:val="clear" w:color="auto" w:fill="FFFFFF" w:themeFill="background1"/>
              </w:rPr>
            </w:pPr>
            <w:r w:rsidRPr="00C642F2">
              <w:rPr>
                <w:i/>
                <w:color w:val="000000"/>
                <w:sz w:val="21"/>
                <w:szCs w:val="21"/>
                <w:shd w:val="clear" w:color="auto" w:fill="FFFFFF" w:themeFill="background1"/>
              </w:rPr>
              <w:t>Attach a narrative explanation of why the PHA accepted or rejected the proposal to purchase</w:t>
            </w:r>
          </w:p>
        </w:tc>
      </w:tr>
    </w:tbl>
    <w:p w14:paraId="6FDBE5CA" w14:textId="24F2B7FE" w:rsidR="00E82BF8" w:rsidRPr="00CC2C9B" w:rsidRDefault="00E82BF8" w:rsidP="00511286">
      <w:pPr>
        <w:ind w:right="-43"/>
        <w:rPr>
          <w:sz w:val="22"/>
          <w:szCs w:val="22"/>
          <w:shd w:val="clear" w:color="auto" w:fill="FFFFFF" w:themeFill="background1"/>
        </w:rPr>
      </w:pPr>
    </w:p>
    <w:p w14:paraId="38A7CA1A" w14:textId="77777777" w:rsidR="00880D7D" w:rsidRPr="00CC2C9B" w:rsidRDefault="00880D7D" w:rsidP="00511286">
      <w:pPr>
        <w:rPr>
          <w:sz w:val="22"/>
          <w:szCs w:val="22"/>
          <w:shd w:val="clear" w:color="auto" w:fill="FFFFFF" w:themeFill="background1"/>
        </w:rPr>
      </w:pPr>
      <w:r w:rsidRPr="00CC2C9B">
        <w:rPr>
          <w:sz w:val="22"/>
          <w:szCs w:val="22"/>
          <w:shd w:val="clear" w:color="auto" w:fill="FFFFFF" w:themeFill="background1"/>
        </w:rPr>
        <w:br w:type="page"/>
      </w:r>
    </w:p>
    <w:tbl>
      <w:tblPr>
        <w:tblW w:w="50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09"/>
        <w:gridCol w:w="6323"/>
      </w:tblGrid>
      <w:tr w:rsidR="00260D6B" w:rsidRPr="00CC2C9B" w14:paraId="5AC7199B" w14:textId="77777777" w:rsidTr="00E82BF8">
        <w:trPr>
          <w:trHeight w:val="330"/>
        </w:trPr>
        <w:tc>
          <w:tcPr>
            <w:tcW w:w="5000" w:type="pct"/>
            <w:gridSpan w:val="2"/>
          </w:tcPr>
          <w:p w14:paraId="51CDAF33" w14:textId="7A94C71E" w:rsidR="00260D6B" w:rsidRPr="00CC2C9B" w:rsidRDefault="00260D6B" w:rsidP="00511286">
            <w:pPr>
              <w:spacing w:before="20" w:after="20"/>
              <w:ind w:left="427" w:right="-43" w:hanging="427"/>
              <w:rPr>
                <w:sz w:val="22"/>
                <w:szCs w:val="22"/>
                <w:shd w:val="clear" w:color="auto" w:fill="FFFFFF" w:themeFill="background1"/>
              </w:rPr>
            </w:pPr>
            <w:r w:rsidRPr="00CC2C9B">
              <w:rPr>
                <w:b/>
                <w:bCs/>
                <w:sz w:val="22"/>
                <w:szCs w:val="22"/>
                <w:shd w:val="clear" w:color="auto" w:fill="FFFFFF" w:themeFill="background1"/>
              </w:rPr>
              <w:lastRenderedPageBreak/>
              <w:t xml:space="preserve">Section 5.  </w:t>
            </w:r>
            <w:r w:rsidRPr="00CC2C9B">
              <w:rPr>
                <w:b/>
                <w:sz w:val="22"/>
                <w:szCs w:val="22"/>
                <w:shd w:val="clear" w:color="auto" w:fill="FFFFFF" w:themeFill="background1"/>
              </w:rPr>
              <w:t>PHA Certification</w:t>
            </w:r>
          </w:p>
        </w:tc>
      </w:tr>
      <w:tr w:rsidR="00260D6B" w:rsidRPr="00CC2C9B" w14:paraId="5F7CBE4D" w14:textId="77777777" w:rsidTr="00B70EA4">
        <w:trPr>
          <w:trHeight w:val="6299"/>
        </w:trPr>
        <w:tc>
          <w:tcPr>
            <w:tcW w:w="5000" w:type="pct"/>
            <w:gridSpan w:val="2"/>
            <w:vAlign w:val="center"/>
          </w:tcPr>
          <w:p w14:paraId="0901A37C" w14:textId="2AA8E932" w:rsidR="00260D6B" w:rsidRPr="00CC2C9B" w:rsidRDefault="00260D6B" w:rsidP="00511286">
            <w:pPr>
              <w:ind w:right="-43"/>
              <w:rPr>
                <w:b/>
                <w:iCs/>
                <w:sz w:val="22"/>
                <w:szCs w:val="22"/>
                <w:shd w:val="clear" w:color="auto" w:fill="FFFFFF" w:themeFill="background1"/>
              </w:rPr>
            </w:pPr>
            <w:r w:rsidRPr="00CC2C9B">
              <w:rPr>
                <w:b/>
                <w:iCs/>
                <w:sz w:val="22"/>
                <w:szCs w:val="22"/>
                <w:shd w:val="clear" w:color="auto" w:fill="FFFFFF" w:themeFill="background1"/>
              </w:rPr>
              <w:t>For SAC applications submitted under 24 CFR part 970:</w:t>
            </w:r>
          </w:p>
          <w:p w14:paraId="2D06FAAF" w14:textId="77777777" w:rsidR="00622DD4" w:rsidRPr="00CC2C9B" w:rsidRDefault="00622DD4" w:rsidP="00511286">
            <w:pPr>
              <w:ind w:right="-43"/>
              <w:rPr>
                <w:b/>
                <w:iCs/>
                <w:sz w:val="22"/>
                <w:szCs w:val="22"/>
                <w:shd w:val="clear" w:color="auto" w:fill="FFFFFF" w:themeFill="background1"/>
              </w:rPr>
            </w:pPr>
          </w:p>
          <w:p w14:paraId="1EE98C30" w14:textId="77777777" w:rsidR="00260D6B" w:rsidRPr="00CC2C9B" w:rsidRDefault="00260D6B" w:rsidP="00511286">
            <w:pPr>
              <w:numPr>
                <w:ilvl w:val="0"/>
                <w:numId w:val="2"/>
              </w:numPr>
              <w:ind w:right="-43"/>
              <w:textAlignment w:val="baseline"/>
              <w:rPr>
                <w:rFonts w:eastAsia="PMingLiU"/>
                <w:bCs/>
                <w:sz w:val="22"/>
                <w:szCs w:val="22"/>
                <w:shd w:val="clear" w:color="auto" w:fill="FFFFFF" w:themeFill="background1"/>
              </w:rPr>
            </w:pPr>
            <w:r w:rsidRPr="00CC2C9B">
              <w:rPr>
                <w:rFonts w:eastAsia="PMingLiU"/>
                <w:sz w:val="22"/>
                <w:szCs w:val="22"/>
                <w:shd w:val="clear" w:color="auto" w:fill="FFFFFF" w:themeFill="background1"/>
              </w:rPr>
              <w:t>If this SAC application includes a demolition action, I certify that the proposed development (units or other property) meets the obsolescence criteria of 24 CFR 970.15 as specifically described in this SAC application.  I further certify that such obsolescence makes any units proposed for demolition unsuitable for housing purposes and that no reasonable program of modification is cost-effective to return the development to its useful life;</w:t>
            </w:r>
          </w:p>
          <w:p w14:paraId="00B3D380" w14:textId="26D0461E" w:rsidR="00260D6B" w:rsidRPr="00CC2C9B" w:rsidRDefault="00260D6B" w:rsidP="00511286">
            <w:pPr>
              <w:numPr>
                <w:ilvl w:val="0"/>
                <w:numId w:val="2"/>
              </w:numPr>
              <w:ind w:right="-43"/>
              <w:textAlignment w:val="baseline"/>
              <w:rPr>
                <w:rFonts w:eastAsia="PMingLiU"/>
                <w:bCs/>
                <w:sz w:val="22"/>
                <w:szCs w:val="22"/>
                <w:shd w:val="clear" w:color="auto" w:fill="FFFFFF" w:themeFill="background1"/>
              </w:rPr>
            </w:pPr>
            <w:r w:rsidRPr="00CC2C9B">
              <w:rPr>
                <w:rFonts w:eastAsia="PMingLiU"/>
                <w:sz w:val="22"/>
                <w:szCs w:val="22"/>
                <w:shd w:val="clear" w:color="auto" w:fill="FFFFFF" w:themeFill="background1"/>
              </w:rPr>
              <w:t xml:space="preserve">If this SAC application includes a demolition for only a portion of the buildings/units at a development </w:t>
            </w:r>
            <w:r w:rsidR="008D7F3D" w:rsidRPr="00CC2C9B">
              <w:rPr>
                <w:rFonts w:eastAsia="PMingLiU"/>
                <w:sz w:val="22"/>
                <w:szCs w:val="22"/>
                <w:shd w:val="clear" w:color="auto" w:fill="FFFFFF" w:themeFill="background1"/>
              </w:rPr>
              <w:t>on a</w:t>
            </w:r>
            <w:r w:rsidRPr="00CC2C9B">
              <w:rPr>
                <w:rFonts w:eastAsia="PMingLiU"/>
                <w:sz w:val="22"/>
                <w:szCs w:val="22"/>
                <w:shd w:val="clear" w:color="auto" w:fill="FFFFFF" w:themeFill="background1"/>
              </w:rPr>
              <w:t xml:space="preserve"> contiguous site, the PHA certifies that the partial demolition will help to ensure the viability of the remaining portion of the development;</w:t>
            </w:r>
          </w:p>
          <w:p w14:paraId="0DC5829C" w14:textId="77777777" w:rsidR="00260D6B" w:rsidRPr="00CC2C9B" w:rsidRDefault="00260D6B" w:rsidP="00511286">
            <w:pPr>
              <w:numPr>
                <w:ilvl w:val="0"/>
                <w:numId w:val="2"/>
              </w:numPr>
              <w:ind w:right="-43"/>
              <w:textAlignment w:val="baseline"/>
              <w:rPr>
                <w:rFonts w:eastAsia="PMingLiU"/>
                <w:sz w:val="22"/>
                <w:szCs w:val="22"/>
                <w:shd w:val="clear" w:color="auto" w:fill="FFFFFF" w:themeFill="background1"/>
              </w:rPr>
            </w:pPr>
            <w:r w:rsidRPr="00CC2C9B">
              <w:rPr>
                <w:rFonts w:eastAsia="PMingLiU"/>
                <w:sz w:val="22"/>
                <w:szCs w:val="22"/>
                <w:shd w:val="clear" w:color="auto" w:fill="FFFFFF" w:themeFill="background1"/>
              </w:rPr>
              <w:t>If this SAC application includes a disposition action for public housing units, the PHA is justified in disposing of the development or other public housing property in accordance with the specific criteria of 24 CFR 970.17, as specifically described in this SAC application;</w:t>
            </w:r>
          </w:p>
          <w:p w14:paraId="6D305B7C" w14:textId="77777777" w:rsidR="00260D6B" w:rsidRPr="00CC2C9B" w:rsidRDefault="00260D6B" w:rsidP="00511286">
            <w:pPr>
              <w:numPr>
                <w:ilvl w:val="0"/>
                <w:numId w:val="2"/>
              </w:numPr>
              <w:ind w:right="-43"/>
              <w:textAlignment w:val="baseline"/>
              <w:rPr>
                <w:rFonts w:eastAsia="PMingLiU"/>
                <w:sz w:val="22"/>
                <w:szCs w:val="22"/>
                <w:shd w:val="clear" w:color="auto" w:fill="FFFFFF" w:themeFill="background1"/>
              </w:rPr>
            </w:pPr>
            <w:r w:rsidRPr="00CC2C9B">
              <w:rPr>
                <w:rFonts w:eastAsia="PMingLiU"/>
                <w:sz w:val="22"/>
                <w:szCs w:val="22"/>
                <w:shd w:val="clear" w:color="auto" w:fill="FFFFFF" w:themeFill="background1"/>
              </w:rPr>
              <w:t>The PHA will comply with all applicable relocation requirements of 24 CFR 970.21; and</w:t>
            </w:r>
          </w:p>
          <w:p w14:paraId="73328DF5" w14:textId="009EE4CF" w:rsidR="00260D6B" w:rsidRPr="00CC2C9B" w:rsidRDefault="00260D6B" w:rsidP="00511286">
            <w:pPr>
              <w:numPr>
                <w:ilvl w:val="0"/>
                <w:numId w:val="2"/>
              </w:numPr>
              <w:ind w:right="-43"/>
              <w:textAlignment w:val="baseline"/>
              <w:rPr>
                <w:rFonts w:eastAsia="PMingLiU"/>
                <w:sz w:val="22"/>
                <w:szCs w:val="22"/>
                <w:shd w:val="clear" w:color="auto" w:fill="FFFFFF" w:themeFill="background1"/>
              </w:rPr>
            </w:pPr>
            <w:r w:rsidRPr="00CC2C9B">
              <w:rPr>
                <w:rFonts w:eastAsia="PMingLiU"/>
                <w:sz w:val="22"/>
                <w:szCs w:val="22"/>
                <w:shd w:val="clear" w:color="auto" w:fill="FFFFFF" w:themeFill="background1"/>
              </w:rPr>
              <w:t>The PHA will use gross and net proceeds it receives from the disposition in accordance with the requirements of 24 CFR 970.19</w:t>
            </w:r>
            <w:r w:rsidR="00B258D1" w:rsidRPr="00CC2C9B">
              <w:rPr>
                <w:rFonts w:eastAsia="PMingLiU"/>
                <w:sz w:val="22"/>
                <w:szCs w:val="22"/>
                <w:shd w:val="clear" w:color="auto" w:fill="FFFFFF" w:themeFill="background1"/>
              </w:rPr>
              <w:t xml:space="preserve"> </w:t>
            </w:r>
            <w:r w:rsidRPr="00CC2C9B">
              <w:rPr>
                <w:rFonts w:eastAsia="PMingLiU"/>
                <w:sz w:val="22"/>
                <w:szCs w:val="22"/>
                <w:shd w:val="clear" w:color="auto" w:fill="FFFFFF" w:themeFill="background1"/>
              </w:rPr>
              <w:t>and the HUD approval.</w:t>
            </w:r>
          </w:p>
          <w:p w14:paraId="1F3CC206" w14:textId="77777777" w:rsidR="00260D6B" w:rsidRPr="00CC2C9B" w:rsidRDefault="00260D6B" w:rsidP="00511286">
            <w:pPr>
              <w:ind w:right="-43"/>
              <w:rPr>
                <w:b/>
                <w:iCs/>
                <w:sz w:val="22"/>
                <w:szCs w:val="22"/>
                <w:shd w:val="clear" w:color="auto" w:fill="FFFFFF" w:themeFill="background1"/>
              </w:rPr>
            </w:pPr>
          </w:p>
          <w:p w14:paraId="301FF87D" w14:textId="34A11FA2" w:rsidR="00260D6B" w:rsidRPr="00CC2C9B" w:rsidRDefault="00260D6B" w:rsidP="00511286">
            <w:pPr>
              <w:ind w:right="-43"/>
              <w:rPr>
                <w:b/>
                <w:iCs/>
                <w:sz w:val="22"/>
                <w:szCs w:val="22"/>
                <w:shd w:val="clear" w:color="auto" w:fill="FFFFFF" w:themeFill="background1"/>
              </w:rPr>
            </w:pPr>
            <w:r w:rsidRPr="00CC2C9B">
              <w:rPr>
                <w:b/>
                <w:iCs/>
                <w:sz w:val="22"/>
                <w:szCs w:val="22"/>
                <w:shd w:val="clear" w:color="auto" w:fill="FFFFFF" w:themeFill="background1"/>
              </w:rPr>
              <w:t>For De Minimis Demolitions:</w:t>
            </w:r>
          </w:p>
          <w:p w14:paraId="24476365" w14:textId="77777777" w:rsidR="00622DD4" w:rsidRPr="00CC2C9B" w:rsidRDefault="00622DD4" w:rsidP="00511286">
            <w:pPr>
              <w:ind w:right="-43"/>
              <w:rPr>
                <w:b/>
                <w:iCs/>
                <w:sz w:val="22"/>
                <w:szCs w:val="22"/>
                <w:shd w:val="clear" w:color="auto" w:fill="FFFFFF" w:themeFill="background1"/>
              </w:rPr>
            </w:pPr>
          </w:p>
          <w:p w14:paraId="5F6BCB78" w14:textId="77777777" w:rsidR="00260D6B" w:rsidRPr="00CC2C9B" w:rsidRDefault="00260D6B" w:rsidP="00511286">
            <w:pPr>
              <w:numPr>
                <w:ilvl w:val="0"/>
                <w:numId w:val="3"/>
              </w:numPr>
              <w:autoSpaceDE w:val="0"/>
              <w:autoSpaceDN w:val="0"/>
              <w:adjustRightInd w:val="0"/>
              <w:spacing w:line="240" w:lineRule="atLeast"/>
              <w:ind w:right="-43"/>
              <w:rPr>
                <w:rFonts w:eastAsia="Calibri"/>
                <w:sz w:val="22"/>
                <w:szCs w:val="22"/>
                <w:shd w:val="clear" w:color="auto" w:fill="FFFFFF" w:themeFill="background1"/>
              </w:rPr>
            </w:pPr>
            <w:r w:rsidRPr="00CC2C9B">
              <w:rPr>
                <w:rFonts w:eastAsia="PMingLiU"/>
                <w:sz w:val="22"/>
                <w:szCs w:val="22"/>
                <w:shd w:val="clear" w:color="auto" w:fill="FFFFFF" w:themeFill="background1"/>
              </w:rPr>
              <w:t xml:space="preserve">The </w:t>
            </w:r>
            <w:r w:rsidRPr="00CC2C9B">
              <w:rPr>
                <w:rFonts w:eastAsia="Calibri"/>
                <w:sz w:val="22"/>
                <w:szCs w:val="22"/>
                <w:shd w:val="clear" w:color="auto" w:fill="FFFFFF" w:themeFill="background1"/>
              </w:rPr>
              <w:t xml:space="preserve">units proposed for demolition meet the criteria of Section 18 because they are beyond repair or the space occupied by the units will be used for meeting the service or other needs of public housing residents; and </w:t>
            </w:r>
          </w:p>
          <w:p w14:paraId="385CE9A9" w14:textId="42A9E96A" w:rsidR="00260D6B" w:rsidRPr="00CC2C9B" w:rsidRDefault="00260D6B" w:rsidP="00511286">
            <w:pPr>
              <w:pStyle w:val="ListParagraph"/>
              <w:numPr>
                <w:ilvl w:val="0"/>
                <w:numId w:val="3"/>
              </w:numPr>
              <w:ind w:right="-43"/>
              <w:textAlignment w:val="baseline"/>
              <w:rPr>
                <w:sz w:val="22"/>
                <w:szCs w:val="22"/>
                <w:shd w:val="clear" w:color="auto" w:fill="FFFFFF" w:themeFill="background1"/>
              </w:rPr>
            </w:pPr>
            <w:r w:rsidRPr="00CC2C9B">
              <w:rPr>
                <w:rFonts w:eastAsia="Calibri"/>
                <w:sz w:val="22"/>
                <w:szCs w:val="22"/>
                <w:shd w:val="clear" w:color="auto" w:fill="FFFFFF" w:themeFill="background1"/>
              </w:rPr>
              <w:t>The units proposed for demolition do not exceed the statutory maximums of five percent of my PHA’s total housing stock, or five dwelling units, whichever is less, in any 5-year period.</w:t>
            </w:r>
          </w:p>
        </w:tc>
      </w:tr>
      <w:tr w:rsidR="006F0C82" w:rsidRPr="00CC2C9B" w14:paraId="5087E73C" w14:textId="77777777" w:rsidTr="00B70EA4">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511"/>
        </w:trPr>
        <w:tc>
          <w:tcPr>
            <w:tcW w:w="5000" w:type="pct"/>
            <w:gridSpan w:val="2"/>
            <w:tcBorders>
              <w:left w:val="single" w:sz="12" w:space="0" w:color="auto"/>
              <w:right w:val="single" w:sz="12" w:space="0" w:color="auto"/>
            </w:tcBorders>
            <w:vAlign w:val="center"/>
          </w:tcPr>
          <w:p w14:paraId="70395E20" w14:textId="77777777" w:rsidR="006F0C82" w:rsidRPr="00CC2C9B" w:rsidRDefault="006F0C82" w:rsidP="00511286">
            <w:pPr>
              <w:autoSpaceDE w:val="0"/>
              <w:autoSpaceDN w:val="0"/>
              <w:adjustRightInd w:val="0"/>
              <w:spacing w:line="240" w:lineRule="atLeast"/>
              <w:ind w:left="360"/>
              <w:rPr>
                <w:sz w:val="22"/>
                <w:szCs w:val="22"/>
                <w:shd w:val="clear" w:color="auto" w:fill="FFFFFF" w:themeFill="background1"/>
              </w:rPr>
            </w:pPr>
            <w:r w:rsidRPr="00CC2C9B">
              <w:rPr>
                <w:sz w:val="22"/>
                <w:szCs w:val="22"/>
                <w:shd w:val="clear" w:color="auto" w:fill="FFFFFF" w:themeFill="background1"/>
              </w:rPr>
              <w:t>I hereby certify that all the information stated herein, as well as any information provided in the accompaniment herewith, is true and accurate.</w:t>
            </w:r>
            <w:r w:rsidRPr="00CC2C9B">
              <w:rPr>
                <w:noProof/>
                <w:sz w:val="22"/>
                <w:szCs w:val="22"/>
                <w:shd w:val="clear" w:color="auto" w:fill="FFFFFF" w:themeFill="background1"/>
              </w:rPr>
              <mc:AlternateContent>
                <mc:Choice Requires="wps">
                  <w:drawing>
                    <wp:anchor distT="0" distB="0" distL="114299" distR="114299" simplePos="0" relativeHeight="251659776" behindDoc="0" locked="0" layoutInCell="1" allowOverlap="1" wp14:anchorId="428BA999" wp14:editId="7B63C8B9">
                      <wp:simplePos x="0" y="0"/>
                      <wp:positionH relativeFrom="column">
                        <wp:posOffset>-1</wp:posOffset>
                      </wp:positionH>
                      <wp:positionV relativeFrom="paragraph">
                        <wp:posOffset>6957060</wp:posOffset>
                      </wp:positionV>
                      <wp:extent cx="0" cy="4572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DB2" id="Straight Connector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"/>
                  </w:pict>
                </mc:Fallback>
              </mc:AlternateContent>
            </w:r>
            <w:r w:rsidRPr="00CC2C9B">
              <w:rPr>
                <w:sz w:val="22"/>
                <w:szCs w:val="22"/>
                <w:shd w:val="clear" w:color="auto" w:fill="FFFFFF" w:themeFill="background1"/>
              </w:rPr>
              <w:t xml:space="preserve"> </w:t>
            </w:r>
          </w:p>
          <w:p w14:paraId="353F52D3" w14:textId="77777777" w:rsidR="006F0C82" w:rsidRPr="00CC2C9B" w:rsidRDefault="006F0C82" w:rsidP="00511286">
            <w:pPr>
              <w:autoSpaceDE w:val="0"/>
              <w:autoSpaceDN w:val="0"/>
              <w:adjustRightInd w:val="0"/>
              <w:spacing w:line="240" w:lineRule="atLeast"/>
              <w:ind w:left="360"/>
              <w:rPr>
                <w:b/>
                <w:bCs/>
                <w:sz w:val="22"/>
                <w:szCs w:val="22"/>
                <w:shd w:val="clear" w:color="auto" w:fill="FFFFFF" w:themeFill="background1"/>
              </w:rPr>
            </w:pPr>
          </w:p>
          <w:p w14:paraId="0B622DE8" w14:textId="56E89F97" w:rsidR="006F0C82" w:rsidRPr="00CC2C9B" w:rsidRDefault="006F0C82" w:rsidP="00511286">
            <w:pPr>
              <w:autoSpaceDE w:val="0"/>
              <w:autoSpaceDN w:val="0"/>
              <w:adjustRightInd w:val="0"/>
              <w:spacing w:line="240" w:lineRule="atLeast"/>
              <w:ind w:left="360"/>
              <w:rPr>
                <w:sz w:val="22"/>
                <w:szCs w:val="22"/>
                <w:shd w:val="clear" w:color="auto" w:fill="FFFFFF" w:themeFill="background1"/>
              </w:rPr>
            </w:pPr>
            <w:r w:rsidRPr="00CC2C9B">
              <w:rPr>
                <w:b/>
                <w:bCs/>
                <w:sz w:val="22"/>
                <w:szCs w:val="22"/>
                <w:shd w:val="clear" w:color="auto" w:fill="FFFFFF" w:themeFill="background1"/>
              </w:rPr>
              <w:t xml:space="preserve">Warning:  </w:t>
            </w:r>
            <w:r w:rsidRPr="00CC2C9B">
              <w:rPr>
                <w:sz w:val="22"/>
                <w:szCs w:val="22"/>
                <w:shd w:val="clear" w:color="auto" w:fill="FFFFFF" w:themeFill="background1"/>
              </w:rPr>
              <w:t>HUD will prosecute false claims and statements. Conviction may result in criminal and/or civil penalties.  (18 U.S.C. 1001, 1010, 1012; 31 U.S.C. 3729, 3802)</w:t>
            </w:r>
          </w:p>
        </w:tc>
      </w:tr>
      <w:tr w:rsidR="006F0C82" w:rsidRPr="00CC2C9B" w14:paraId="093FDC39" w14:textId="77777777" w:rsidTr="0048716B">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PrEx>
        <w:trPr>
          <w:trHeight w:val="493"/>
        </w:trPr>
        <w:tc>
          <w:tcPr>
            <w:tcW w:w="2210" w:type="pct"/>
            <w:tcBorders>
              <w:top w:val="single" w:sz="4" w:space="0" w:color="auto"/>
              <w:left w:val="single" w:sz="12" w:space="0" w:color="auto"/>
              <w:bottom w:val="single" w:sz="2" w:space="0" w:color="auto"/>
              <w:right w:val="single" w:sz="2" w:space="0" w:color="auto"/>
            </w:tcBorders>
            <w:vAlign w:val="center"/>
          </w:tcPr>
          <w:p w14:paraId="08BECD5B" w14:textId="77777777" w:rsidR="006F0C82" w:rsidRPr="00CC2C9B" w:rsidRDefault="006F0C82" w:rsidP="00511286">
            <w:pPr>
              <w:spacing w:before="20" w:after="20"/>
              <w:ind w:left="328"/>
              <w:rPr>
                <w:iCs/>
                <w:sz w:val="22"/>
                <w:szCs w:val="22"/>
                <w:shd w:val="clear" w:color="auto" w:fill="FFFFFF" w:themeFill="background1"/>
              </w:rPr>
            </w:pPr>
            <w:r w:rsidRPr="00CC2C9B">
              <w:rPr>
                <w:sz w:val="22"/>
                <w:szCs w:val="22"/>
                <w:shd w:val="clear" w:color="auto" w:fill="FFFFFF" w:themeFill="background1"/>
              </w:rPr>
              <w:t>Name of Authorized Official</w:t>
            </w:r>
          </w:p>
        </w:tc>
        <w:tc>
          <w:tcPr>
            <w:tcW w:w="2790" w:type="pct"/>
            <w:tcBorders>
              <w:top w:val="single" w:sz="8" w:space="0" w:color="auto"/>
              <w:left w:val="single" w:sz="2" w:space="0" w:color="auto"/>
              <w:bottom w:val="single" w:sz="2" w:space="0" w:color="auto"/>
              <w:right w:val="single" w:sz="12" w:space="0" w:color="auto"/>
            </w:tcBorders>
            <w:shd w:val="clear" w:color="auto" w:fill="FFFFFF" w:themeFill="background1"/>
            <w:vAlign w:val="center"/>
          </w:tcPr>
          <w:p w14:paraId="1AD8C665" w14:textId="77777777" w:rsidR="006F0C82" w:rsidRPr="00CC2C9B" w:rsidRDefault="006F0C82" w:rsidP="00511286">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r w:rsidR="006F0C82" w:rsidRPr="00CC2C9B" w14:paraId="2BCF39AE" w14:textId="77777777" w:rsidTr="0048716B">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PrEx>
        <w:trPr>
          <w:trHeight w:val="517"/>
        </w:trPr>
        <w:tc>
          <w:tcPr>
            <w:tcW w:w="2210" w:type="pct"/>
            <w:tcBorders>
              <w:top w:val="single" w:sz="2" w:space="0" w:color="auto"/>
              <w:left w:val="single" w:sz="12" w:space="0" w:color="auto"/>
              <w:bottom w:val="single" w:sz="2" w:space="0" w:color="auto"/>
              <w:right w:val="single" w:sz="2" w:space="0" w:color="auto"/>
            </w:tcBorders>
            <w:vAlign w:val="center"/>
          </w:tcPr>
          <w:p w14:paraId="71F02DC7" w14:textId="77777777" w:rsidR="006F0C82" w:rsidRPr="00CC2C9B" w:rsidRDefault="006F0C82" w:rsidP="00511286">
            <w:pPr>
              <w:spacing w:before="20" w:after="20"/>
              <w:ind w:left="328"/>
              <w:rPr>
                <w:iCs/>
                <w:sz w:val="22"/>
                <w:szCs w:val="22"/>
                <w:shd w:val="clear" w:color="auto" w:fill="FFFFFF" w:themeFill="background1"/>
              </w:rPr>
            </w:pPr>
            <w:r w:rsidRPr="00CC2C9B">
              <w:rPr>
                <w:iCs/>
                <w:sz w:val="22"/>
                <w:szCs w:val="22"/>
                <w:shd w:val="clear" w:color="auto" w:fill="FFFFFF" w:themeFill="background1"/>
              </w:rPr>
              <w:t>Title</w:t>
            </w:r>
          </w:p>
        </w:tc>
        <w:tc>
          <w:tcPr>
            <w:tcW w:w="279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2619188A" w14:textId="77777777" w:rsidR="006F0C82" w:rsidRPr="00CC2C9B" w:rsidRDefault="006F0C82" w:rsidP="00511286">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r w:rsidR="006F0C82" w:rsidRPr="00CC2C9B" w14:paraId="6C64B26E" w14:textId="77777777" w:rsidTr="0048716B">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PrEx>
        <w:trPr>
          <w:trHeight w:val="535"/>
        </w:trPr>
        <w:tc>
          <w:tcPr>
            <w:tcW w:w="2210" w:type="pct"/>
            <w:tcBorders>
              <w:top w:val="single" w:sz="2" w:space="0" w:color="auto"/>
              <w:left w:val="single" w:sz="12" w:space="0" w:color="auto"/>
              <w:bottom w:val="single" w:sz="2" w:space="0" w:color="auto"/>
              <w:right w:val="single" w:sz="2" w:space="0" w:color="auto"/>
            </w:tcBorders>
            <w:vAlign w:val="center"/>
          </w:tcPr>
          <w:p w14:paraId="47E48FFE" w14:textId="77777777" w:rsidR="006F0C82" w:rsidRPr="00CC2C9B" w:rsidRDefault="006F0C82" w:rsidP="00511286">
            <w:pPr>
              <w:spacing w:before="20" w:after="20"/>
              <w:ind w:left="328"/>
              <w:rPr>
                <w:iCs/>
                <w:sz w:val="22"/>
                <w:szCs w:val="22"/>
                <w:shd w:val="clear" w:color="auto" w:fill="FFFFFF" w:themeFill="background1"/>
              </w:rPr>
            </w:pPr>
            <w:r w:rsidRPr="00CC2C9B">
              <w:rPr>
                <w:iCs/>
                <w:sz w:val="22"/>
                <w:szCs w:val="22"/>
                <w:shd w:val="clear" w:color="auto" w:fill="FFFFFF" w:themeFill="background1"/>
              </w:rPr>
              <w:t>Signature</w:t>
            </w:r>
          </w:p>
        </w:tc>
        <w:tc>
          <w:tcPr>
            <w:tcW w:w="279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2674DD90" w14:textId="77777777" w:rsidR="006F0C82" w:rsidRPr="00CC2C9B" w:rsidRDefault="006F0C82" w:rsidP="00511286">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r w:rsidR="006F0C82" w:rsidRPr="00CC2C9B" w14:paraId="1C9B6A89" w14:textId="77777777" w:rsidTr="0048716B">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PrEx>
        <w:trPr>
          <w:trHeight w:val="535"/>
        </w:trPr>
        <w:tc>
          <w:tcPr>
            <w:tcW w:w="2210" w:type="pct"/>
            <w:tcBorders>
              <w:top w:val="single" w:sz="2" w:space="0" w:color="auto"/>
              <w:left w:val="single" w:sz="12" w:space="0" w:color="auto"/>
              <w:bottom w:val="single" w:sz="12" w:space="0" w:color="auto"/>
              <w:right w:val="single" w:sz="2" w:space="0" w:color="auto"/>
            </w:tcBorders>
            <w:vAlign w:val="center"/>
          </w:tcPr>
          <w:p w14:paraId="6E1E0CFC" w14:textId="77777777" w:rsidR="006F0C82" w:rsidRPr="00CC2C9B" w:rsidRDefault="006F0C82" w:rsidP="00511286">
            <w:pPr>
              <w:spacing w:before="20" w:after="20"/>
              <w:ind w:left="328"/>
              <w:rPr>
                <w:iCs/>
                <w:sz w:val="22"/>
                <w:szCs w:val="22"/>
                <w:shd w:val="clear" w:color="auto" w:fill="FFFFFF" w:themeFill="background1"/>
              </w:rPr>
            </w:pPr>
            <w:r w:rsidRPr="00CC2C9B">
              <w:rPr>
                <w:iCs/>
                <w:sz w:val="22"/>
                <w:szCs w:val="22"/>
                <w:shd w:val="clear" w:color="auto" w:fill="FFFFFF" w:themeFill="background1"/>
              </w:rPr>
              <w:t>Date</w:t>
            </w:r>
          </w:p>
        </w:tc>
        <w:tc>
          <w:tcPr>
            <w:tcW w:w="2790" w:type="pct"/>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11E51676" w14:textId="77777777" w:rsidR="006F0C82" w:rsidRPr="00CC2C9B" w:rsidRDefault="006F0C82" w:rsidP="00511286">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bl>
    <w:p w14:paraId="224E6461" w14:textId="77777777" w:rsidR="00E82BF8" w:rsidRPr="00CC2C9B" w:rsidRDefault="00E82BF8" w:rsidP="00511286">
      <w:pPr>
        <w:rPr>
          <w:rFonts w:eastAsia="PMingLiU"/>
          <w:sz w:val="22"/>
          <w:szCs w:val="22"/>
          <w:shd w:val="clear" w:color="auto" w:fill="FFFFFF" w:themeFill="background1"/>
        </w:rPr>
      </w:pPr>
      <w:r w:rsidRPr="00CC2C9B">
        <w:rPr>
          <w:rFonts w:eastAsia="PMingLiU"/>
          <w:sz w:val="22"/>
          <w:szCs w:val="22"/>
          <w:shd w:val="clear" w:color="auto" w:fill="FFFFFF" w:themeFill="background1"/>
        </w:rPr>
        <w:br w:type="page"/>
      </w:r>
    </w:p>
    <w:p w14:paraId="0EAC955B" w14:textId="6FB23DA6" w:rsidR="00723F57" w:rsidRPr="0044453D" w:rsidRDefault="00723F57" w:rsidP="00511286">
      <w:pPr>
        <w:ind w:right="-43"/>
        <w:jc w:val="center"/>
        <w:rPr>
          <w:b/>
          <w:sz w:val="21"/>
          <w:szCs w:val="21"/>
          <w:u w:val="single"/>
          <w:shd w:val="clear" w:color="auto" w:fill="FFFFFF" w:themeFill="background1"/>
        </w:rPr>
      </w:pPr>
      <w:r w:rsidRPr="0044453D">
        <w:rPr>
          <w:b/>
          <w:sz w:val="21"/>
          <w:szCs w:val="21"/>
          <w:u w:val="single"/>
          <w:shd w:val="clear" w:color="auto" w:fill="FFFFFF" w:themeFill="background1"/>
        </w:rPr>
        <w:lastRenderedPageBreak/>
        <w:t>Form HUD-52860-A Instructions</w:t>
      </w:r>
    </w:p>
    <w:p w14:paraId="31B86BD6" w14:textId="77777777" w:rsidR="00F34A24" w:rsidRPr="0044453D" w:rsidRDefault="00F34A24" w:rsidP="00511286">
      <w:pPr>
        <w:ind w:right="-43"/>
        <w:rPr>
          <w:b/>
          <w:sz w:val="21"/>
          <w:szCs w:val="21"/>
          <w:u w:val="single"/>
          <w:shd w:val="clear" w:color="auto" w:fill="FFFFFF" w:themeFill="background1"/>
        </w:rPr>
      </w:pPr>
    </w:p>
    <w:p w14:paraId="0DEA7481" w14:textId="64E76032" w:rsidR="00723F57" w:rsidRPr="0044453D" w:rsidRDefault="00723F57" w:rsidP="00511286">
      <w:pPr>
        <w:ind w:right="-43"/>
        <w:rPr>
          <w:sz w:val="21"/>
          <w:szCs w:val="21"/>
          <w:shd w:val="clear" w:color="auto" w:fill="FFFFFF" w:themeFill="background1"/>
        </w:rPr>
      </w:pPr>
      <w:r w:rsidRPr="0044453D">
        <w:rPr>
          <w:sz w:val="21"/>
          <w:szCs w:val="21"/>
          <w:shd w:val="clear" w:color="auto" w:fill="FFFFFF" w:themeFill="background1"/>
        </w:rPr>
        <w:t xml:space="preserve">This form is required when </w:t>
      </w:r>
      <w:r w:rsidR="000C3DFC" w:rsidRPr="0044453D">
        <w:rPr>
          <w:sz w:val="21"/>
          <w:szCs w:val="21"/>
          <w:shd w:val="clear" w:color="auto" w:fill="FFFFFF" w:themeFill="background1"/>
        </w:rPr>
        <w:t>a PHA</w:t>
      </w:r>
      <w:r w:rsidRPr="0044453D">
        <w:rPr>
          <w:sz w:val="21"/>
          <w:szCs w:val="21"/>
          <w:shd w:val="clear" w:color="auto" w:fill="FFFFFF" w:themeFill="background1"/>
        </w:rPr>
        <w:t xml:space="preserve"> </w:t>
      </w:r>
      <w:r w:rsidR="000C3DFC" w:rsidRPr="0044453D">
        <w:rPr>
          <w:sz w:val="21"/>
          <w:szCs w:val="21"/>
          <w:shd w:val="clear" w:color="auto" w:fill="FFFFFF" w:themeFill="background1"/>
        </w:rPr>
        <w:t xml:space="preserve">proposes a demolition or </w:t>
      </w:r>
      <w:r w:rsidRPr="0044453D">
        <w:rPr>
          <w:sz w:val="21"/>
          <w:szCs w:val="21"/>
          <w:shd w:val="clear" w:color="auto" w:fill="FFFFFF" w:themeFill="background1"/>
        </w:rPr>
        <w:t>disposition under 24 CFR part 970</w:t>
      </w:r>
      <w:r w:rsidR="000C3DFC" w:rsidRPr="0044453D">
        <w:rPr>
          <w:sz w:val="21"/>
          <w:szCs w:val="21"/>
          <w:shd w:val="clear" w:color="auto" w:fill="FFFFFF" w:themeFill="background1"/>
        </w:rPr>
        <w:t xml:space="preserve"> and when a PHA </w:t>
      </w:r>
      <w:r w:rsidR="00782E04" w:rsidRPr="0044453D">
        <w:rPr>
          <w:sz w:val="21"/>
          <w:szCs w:val="21"/>
          <w:shd w:val="clear" w:color="auto" w:fill="FFFFFF" w:themeFill="background1"/>
        </w:rPr>
        <w:t xml:space="preserve">proposes </w:t>
      </w:r>
      <w:r w:rsidR="000C3DFC" w:rsidRPr="0044453D">
        <w:rPr>
          <w:sz w:val="21"/>
          <w:szCs w:val="21"/>
          <w:shd w:val="clear" w:color="auto" w:fill="FFFFFF" w:themeFill="background1"/>
        </w:rPr>
        <w:t>a de minimis demolition under Section 18 of the 1937 Act</w:t>
      </w:r>
      <w:r w:rsidRPr="0044453D">
        <w:rPr>
          <w:sz w:val="21"/>
          <w:szCs w:val="21"/>
          <w:shd w:val="clear" w:color="auto" w:fill="FFFFFF" w:themeFill="background1"/>
        </w:rPr>
        <w:t xml:space="preserve">. </w:t>
      </w:r>
      <w:r w:rsidR="0044453D" w:rsidRPr="0044453D">
        <w:rPr>
          <w:sz w:val="21"/>
          <w:szCs w:val="21"/>
        </w:rPr>
        <w:t xml:space="preserve">This information is required as a supplement to the HUD-52860 </w:t>
      </w:r>
      <w:r w:rsidRPr="0044453D">
        <w:rPr>
          <w:sz w:val="21"/>
          <w:szCs w:val="21"/>
          <w:shd w:val="clear" w:color="auto" w:fill="FFFFFF" w:themeFill="background1"/>
        </w:rPr>
        <w:t>form.</w:t>
      </w:r>
      <w:r w:rsidR="006E2FCC" w:rsidRPr="0044453D">
        <w:rPr>
          <w:sz w:val="21"/>
          <w:szCs w:val="21"/>
          <w:shd w:val="clear" w:color="auto" w:fill="FFFFFF" w:themeFill="background1"/>
        </w:rPr>
        <w:t xml:space="preserve">  </w:t>
      </w:r>
      <w:r w:rsidR="00023812" w:rsidRPr="0044453D">
        <w:rPr>
          <w:sz w:val="21"/>
          <w:szCs w:val="21"/>
          <w:u w:val="single"/>
          <w:shd w:val="clear" w:color="auto" w:fill="FFFFFF" w:themeFill="background1"/>
        </w:rPr>
        <w:t>PHAs must complete this form and upload it as an attachment to the IMS/PIC SAC application</w:t>
      </w:r>
      <w:r w:rsidR="00023812" w:rsidRPr="0044453D">
        <w:rPr>
          <w:sz w:val="21"/>
          <w:szCs w:val="21"/>
          <w:shd w:val="clear" w:color="auto" w:fill="FFFFFF" w:themeFill="background1"/>
        </w:rPr>
        <w:t xml:space="preserve">.  Also, PHAs must upload the supporting documentation requested by this form as part of the IMS/PIC SAC application.  PHAs must label that supporting documentation by section number of this form and/or by name (e.g. use of proceeds).  </w:t>
      </w:r>
      <w:r w:rsidRPr="0044453D">
        <w:rPr>
          <w:sz w:val="21"/>
          <w:szCs w:val="21"/>
          <w:shd w:val="clear" w:color="auto" w:fill="FFFFFF" w:themeFill="background1"/>
        </w:rPr>
        <w:t xml:space="preserve">PHAs refer </w:t>
      </w:r>
      <w:r w:rsidR="006E2FCC" w:rsidRPr="0044453D">
        <w:rPr>
          <w:sz w:val="21"/>
          <w:szCs w:val="21"/>
          <w:shd w:val="clear" w:color="auto" w:fill="FFFFFF" w:themeFill="background1"/>
        </w:rPr>
        <w:t xml:space="preserve">to 24 CFR part 970 and all applicable PIH Notices in completing this form, including </w:t>
      </w:r>
      <w:r w:rsidRPr="0044453D">
        <w:rPr>
          <w:sz w:val="21"/>
          <w:szCs w:val="21"/>
          <w:shd w:val="clear" w:color="auto" w:fill="FFFFFF" w:themeFill="background1"/>
        </w:rPr>
        <w:t xml:space="preserve">PIH Notice </w:t>
      </w:r>
      <w:r w:rsidR="00D37EA1" w:rsidRPr="0044453D">
        <w:rPr>
          <w:sz w:val="21"/>
          <w:szCs w:val="21"/>
          <w:shd w:val="clear" w:color="auto" w:fill="FFFFFF" w:themeFill="background1"/>
        </w:rPr>
        <w:t>2018-04</w:t>
      </w:r>
      <w:r w:rsidR="007D40D0" w:rsidRPr="0044453D">
        <w:rPr>
          <w:sz w:val="21"/>
          <w:szCs w:val="21"/>
          <w:shd w:val="clear" w:color="auto" w:fill="FFFFFF" w:themeFill="background1"/>
        </w:rPr>
        <w:t xml:space="preserve"> </w:t>
      </w:r>
      <w:r w:rsidR="006E2FCC" w:rsidRPr="0044453D">
        <w:rPr>
          <w:sz w:val="21"/>
          <w:szCs w:val="21"/>
          <w:shd w:val="clear" w:color="auto" w:fill="FFFFFF" w:themeFill="background1"/>
        </w:rPr>
        <w:t>(</w:t>
      </w:r>
      <w:r w:rsidR="00902610" w:rsidRPr="0044453D">
        <w:rPr>
          <w:sz w:val="21"/>
          <w:szCs w:val="21"/>
          <w:shd w:val="clear" w:color="auto" w:fill="FFFFFF" w:themeFill="background1"/>
        </w:rPr>
        <w:t>o</w:t>
      </w:r>
      <w:r w:rsidR="00C97B41" w:rsidRPr="0044453D">
        <w:rPr>
          <w:sz w:val="21"/>
          <w:szCs w:val="21"/>
          <w:shd w:val="clear" w:color="auto" w:fill="FFFFFF" w:themeFill="background1"/>
        </w:rPr>
        <w:t>r any successor notice</w:t>
      </w:r>
      <w:r w:rsidR="006E2FCC" w:rsidRPr="0044453D">
        <w:rPr>
          <w:sz w:val="21"/>
          <w:szCs w:val="21"/>
          <w:shd w:val="clear" w:color="auto" w:fill="FFFFFF" w:themeFill="background1"/>
        </w:rPr>
        <w:t>)</w:t>
      </w:r>
      <w:r w:rsidRPr="0044453D">
        <w:rPr>
          <w:sz w:val="21"/>
          <w:szCs w:val="21"/>
          <w:shd w:val="clear" w:color="auto" w:fill="FFFFFF" w:themeFill="background1"/>
        </w:rPr>
        <w:t xml:space="preserve">.  </w:t>
      </w:r>
      <w:r w:rsidR="00BC54C4" w:rsidRPr="0044453D">
        <w:rPr>
          <w:sz w:val="21"/>
          <w:szCs w:val="21"/>
          <w:shd w:val="clear" w:color="auto" w:fill="FFFFFF" w:themeFill="background1"/>
        </w:rPr>
        <w:t xml:space="preserve">PHAs must label </w:t>
      </w:r>
      <w:r w:rsidRPr="0044453D">
        <w:rPr>
          <w:sz w:val="21"/>
          <w:szCs w:val="21"/>
          <w:shd w:val="clear" w:color="auto" w:fill="FFFFFF" w:themeFill="background1"/>
        </w:rPr>
        <w:t xml:space="preserve">All </w:t>
      </w:r>
      <w:r w:rsidR="00FC17DE" w:rsidRPr="0044453D">
        <w:rPr>
          <w:sz w:val="21"/>
          <w:szCs w:val="21"/>
          <w:shd w:val="clear" w:color="auto" w:fill="FFFFFF" w:themeFill="background1"/>
        </w:rPr>
        <w:t>defined terms not defined in this form have the meaning</w:t>
      </w:r>
      <w:r w:rsidR="006E2FCC" w:rsidRPr="0044453D">
        <w:rPr>
          <w:sz w:val="21"/>
          <w:szCs w:val="21"/>
          <w:shd w:val="clear" w:color="auto" w:fill="FFFFFF" w:themeFill="background1"/>
        </w:rPr>
        <w:t xml:space="preserve"> in those regulations and notices.</w:t>
      </w:r>
    </w:p>
    <w:p w14:paraId="6E53CD83" w14:textId="77777777" w:rsidR="0044453D" w:rsidRPr="0044453D" w:rsidRDefault="0044453D" w:rsidP="00511286">
      <w:pPr>
        <w:pStyle w:val="Heading2"/>
        <w:ind w:right="-43"/>
        <w:rPr>
          <w:sz w:val="21"/>
          <w:szCs w:val="21"/>
          <w:shd w:val="clear" w:color="auto" w:fill="FFFFFF" w:themeFill="background1"/>
        </w:rPr>
      </w:pPr>
    </w:p>
    <w:p w14:paraId="473FCBDE" w14:textId="516D6F4D" w:rsidR="00C34082" w:rsidRPr="0044453D" w:rsidRDefault="000C3DFC" w:rsidP="00511286">
      <w:pPr>
        <w:pStyle w:val="Heading2"/>
        <w:ind w:right="-43"/>
        <w:rPr>
          <w:sz w:val="21"/>
          <w:szCs w:val="21"/>
          <w:shd w:val="clear" w:color="auto" w:fill="FFFFFF" w:themeFill="background1"/>
        </w:rPr>
      </w:pPr>
      <w:r w:rsidRPr="0044453D">
        <w:rPr>
          <w:sz w:val="21"/>
          <w:szCs w:val="21"/>
          <w:shd w:val="clear" w:color="auto" w:fill="FFFFFF" w:themeFill="background1"/>
        </w:rPr>
        <w:t xml:space="preserve">Section 1: </w:t>
      </w:r>
      <w:r w:rsidR="00AA1626" w:rsidRPr="0044453D">
        <w:rPr>
          <w:sz w:val="21"/>
          <w:szCs w:val="21"/>
          <w:shd w:val="clear" w:color="auto" w:fill="FFFFFF" w:themeFill="background1"/>
        </w:rPr>
        <w:t>Demolition</w:t>
      </w:r>
      <w:r w:rsidRPr="0044453D">
        <w:rPr>
          <w:sz w:val="21"/>
          <w:szCs w:val="21"/>
          <w:shd w:val="clear" w:color="auto" w:fill="FFFFFF" w:themeFill="background1"/>
        </w:rPr>
        <w:t xml:space="preserve"> </w:t>
      </w:r>
    </w:p>
    <w:p w14:paraId="69967727" w14:textId="77777777" w:rsidR="00614A88" w:rsidRPr="0044453D" w:rsidRDefault="00614A88" w:rsidP="00511286">
      <w:pPr>
        <w:pStyle w:val="Default"/>
        <w:widowControl/>
        <w:ind w:right="-43"/>
        <w:textAlignment w:val="baseline"/>
        <w:rPr>
          <w:rFonts w:ascii="Times New Roman" w:hAnsi="Times New Roman" w:cs="Times New Roman"/>
          <w:sz w:val="21"/>
          <w:szCs w:val="21"/>
          <w:u w:val="single"/>
          <w:shd w:val="clear" w:color="auto" w:fill="FFFFFF" w:themeFill="background1"/>
        </w:rPr>
      </w:pPr>
    </w:p>
    <w:p w14:paraId="757CE92C" w14:textId="6492AA27" w:rsidR="00B123AA" w:rsidRPr="0044453D" w:rsidRDefault="00C34082" w:rsidP="00511286">
      <w:pPr>
        <w:pStyle w:val="Default"/>
        <w:widowControl/>
        <w:ind w:right="-43"/>
        <w:textAlignment w:val="baseline"/>
        <w:rPr>
          <w:rFonts w:ascii="Times New Roman" w:hAnsi="Times New Roman" w:cs="Times New Roman"/>
          <w:sz w:val="21"/>
          <w:szCs w:val="21"/>
          <w:shd w:val="clear" w:color="auto" w:fill="FFFFFF" w:themeFill="background1"/>
        </w:rPr>
      </w:pPr>
      <w:r w:rsidRPr="0044453D">
        <w:rPr>
          <w:rFonts w:ascii="Times New Roman" w:hAnsi="Times New Roman" w:cs="Times New Roman"/>
          <w:sz w:val="21"/>
          <w:szCs w:val="21"/>
          <w:u w:val="single"/>
          <w:shd w:val="clear" w:color="auto" w:fill="FFFFFF" w:themeFill="background1"/>
        </w:rPr>
        <w:t>Justification (Question 4).</w:t>
      </w:r>
      <w:r w:rsidRPr="0044453D">
        <w:rPr>
          <w:rFonts w:ascii="Times New Roman" w:hAnsi="Times New Roman" w:cs="Times New Roman"/>
          <w:sz w:val="21"/>
          <w:szCs w:val="21"/>
          <w:shd w:val="clear" w:color="auto" w:fill="FFFFFF" w:themeFill="background1"/>
        </w:rPr>
        <w:t xml:space="preserve">  </w:t>
      </w:r>
      <w:r w:rsidRPr="0044453D">
        <w:rPr>
          <w:rFonts w:ascii="Times New Roman" w:hAnsi="Times New Roman" w:cs="Times New Roman"/>
          <w:iCs/>
          <w:sz w:val="21"/>
          <w:szCs w:val="21"/>
          <w:shd w:val="clear" w:color="auto" w:fill="FFFFFF" w:themeFill="background1"/>
        </w:rPr>
        <w:t xml:space="preserve">In completing their narrative statements describing the justification for demolition, PHAs should refer to the guidance at 24 CFR part 970 and </w:t>
      </w:r>
      <w:r w:rsidR="00902610" w:rsidRPr="0044453D">
        <w:rPr>
          <w:rFonts w:ascii="Times New Roman" w:hAnsi="Times New Roman" w:cs="Times New Roman"/>
          <w:sz w:val="21"/>
          <w:szCs w:val="21"/>
          <w:shd w:val="clear" w:color="auto" w:fill="FFFFFF" w:themeFill="background1"/>
        </w:rPr>
        <w:t>PIH Notice 201</w:t>
      </w:r>
      <w:r w:rsidR="00BC7B4E" w:rsidRPr="0044453D">
        <w:rPr>
          <w:rFonts w:ascii="Times New Roman" w:hAnsi="Times New Roman" w:cs="Times New Roman"/>
          <w:sz w:val="21"/>
          <w:szCs w:val="21"/>
          <w:shd w:val="clear" w:color="auto" w:fill="FFFFFF" w:themeFill="background1"/>
        </w:rPr>
        <w:t>2-7</w:t>
      </w:r>
      <w:r w:rsidR="00607BAF" w:rsidRPr="0044453D">
        <w:rPr>
          <w:rFonts w:ascii="Times New Roman" w:hAnsi="Times New Roman" w:cs="Times New Roman"/>
          <w:sz w:val="21"/>
          <w:szCs w:val="21"/>
          <w:shd w:val="clear" w:color="auto" w:fill="FFFFFF" w:themeFill="background1"/>
        </w:rPr>
        <w:t xml:space="preserve"> </w:t>
      </w:r>
      <w:r w:rsidR="00902610" w:rsidRPr="0044453D">
        <w:rPr>
          <w:rFonts w:ascii="Times New Roman" w:hAnsi="Times New Roman" w:cs="Times New Roman"/>
          <w:sz w:val="21"/>
          <w:szCs w:val="21"/>
          <w:shd w:val="clear" w:color="auto" w:fill="FFFFFF" w:themeFill="background1"/>
        </w:rPr>
        <w:t xml:space="preserve">(or any </w:t>
      </w:r>
      <w:r w:rsidR="00607BAF" w:rsidRPr="0044453D">
        <w:rPr>
          <w:rFonts w:ascii="Times New Roman" w:hAnsi="Times New Roman" w:cs="Times New Roman"/>
          <w:sz w:val="21"/>
          <w:szCs w:val="21"/>
          <w:shd w:val="clear" w:color="auto" w:fill="FFFFFF" w:themeFill="background1"/>
        </w:rPr>
        <w:t>successor</w:t>
      </w:r>
      <w:r w:rsidR="00902610" w:rsidRPr="0044453D">
        <w:rPr>
          <w:rFonts w:ascii="Times New Roman" w:hAnsi="Times New Roman" w:cs="Times New Roman"/>
          <w:sz w:val="21"/>
          <w:szCs w:val="21"/>
          <w:shd w:val="clear" w:color="auto" w:fill="FFFFFF" w:themeFill="background1"/>
        </w:rPr>
        <w:t xml:space="preserve"> notice).  </w:t>
      </w:r>
      <w:r w:rsidR="00B123AA" w:rsidRPr="0044453D">
        <w:rPr>
          <w:rFonts w:ascii="Times New Roman" w:hAnsi="Times New Roman" w:cs="Times New Roman"/>
          <w:sz w:val="21"/>
          <w:szCs w:val="21"/>
          <w:shd w:val="clear" w:color="auto" w:fill="FFFFFF" w:themeFill="background1"/>
        </w:rPr>
        <w:t xml:space="preserve">In the case of a SAC application for demolition of portion of a development (e.g. SAC application is for less than all units on a contiguous site) the PHA’s narrative must describe how the demolition will help to ensure the viability of the remaining portion of the development.  This requirement shall not apply for demolitions of units on scattered non-contiguous sites.  </w:t>
      </w:r>
    </w:p>
    <w:p w14:paraId="540A41E8" w14:textId="77777777" w:rsidR="00C34082" w:rsidRPr="0044453D" w:rsidRDefault="00C34082" w:rsidP="00511286">
      <w:pPr>
        <w:spacing w:before="20" w:after="20"/>
        <w:ind w:right="-43"/>
        <w:rPr>
          <w:rFonts w:eastAsia="Calibri"/>
          <w:iCs/>
          <w:sz w:val="21"/>
          <w:szCs w:val="21"/>
          <w:shd w:val="clear" w:color="auto" w:fill="FFFFFF" w:themeFill="background1"/>
        </w:rPr>
      </w:pPr>
    </w:p>
    <w:p w14:paraId="288F441D" w14:textId="77777777" w:rsidR="00C34082" w:rsidRPr="0044453D" w:rsidRDefault="00C34082" w:rsidP="00511286">
      <w:pPr>
        <w:spacing w:before="20" w:after="20"/>
        <w:ind w:right="-43"/>
        <w:rPr>
          <w:color w:val="000000"/>
          <w:sz w:val="21"/>
          <w:szCs w:val="21"/>
          <w:shd w:val="clear" w:color="auto" w:fill="FFFFFF" w:themeFill="background1"/>
        </w:rPr>
      </w:pPr>
      <w:r w:rsidRPr="0044453D">
        <w:rPr>
          <w:sz w:val="21"/>
          <w:szCs w:val="21"/>
          <w:u w:val="single"/>
          <w:shd w:val="clear" w:color="auto" w:fill="FFFFFF" w:themeFill="background1"/>
        </w:rPr>
        <w:t>Obsolete-Physical Condition: 24 CFR 970.15(b)(1)(i)</w:t>
      </w:r>
      <w:r w:rsidRPr="0044453D">
        <w:rPr>
          <w:sz w:val="21"/>
          <w:szCs w:val="21"/>
          <w:shd w:val="clear" w:color="auto" w:fill="FFFFFF" w:themeFill="background1"/>
        </w:rPr>
        <w:t xml:space="preserve">.  </w:t>
      </w:r>
      <w:r w:rsidRPr="0044453D">
        <w:rPr>
          <w:color w:val="000000"/>
          <w:sz w:val="21"/>
          <w:szCs w:val="21"/>
          <w:shd w:val="clear" w:color="auto" w:fill="FFFFFF" w:themeFill="background1"/>
        </w:rPr>
        <w:t xml:space="preserve">A PHA must demonstrate serious and substantial physical deterioration of the buildings/units at the development.  HUD strongly encourages PHAs to submit a </w:t>
      </w:r>
      <w:proofErr w:type="gramStart"/>
      <w:r w:rsidRPr="0044453D">
        <w:rPr>
          <w:color w:val="000000"/>
          <w:sz w:val="21"/>
          <w:szCs w:val="21"/>
          <w:shd w:val="clear" w:color="auto" w:fill="FFFFFF" w:themeFill="background1"/>
        </w:rPr>
        <w:t>physical needs</w:t>
      </w:r>
      <w:proofErr w:type="gramEnd"/>
      <w:r w:rsidRPr="0044453D">
        <w:rPr>
          <w:color w:val="000000"/>
          <w:sz w:val="21"/>
          <w:szCs w:val="21"/>
          <w:shd w:val="clear" w:color="auto" w:fill="FFFFFF" w:themeFill="background1"/>
        </w:rPr>
        <w:t xml:space="preserve"> assessment (PNA), government inspection, or independent architect or engineer’s report as supporting documentation.  </w:t>
      </w:r>
    </w:p>
    <w:p w14:paraId="1B34D66B" w14:textId="77777777" w:rsidR="00C34082" w:rsidRPr="0044453D" w:rsidRDefault="00C34082" w:rsidP="00511286">
      <w:pPr>
        <w:spacing w:before="20" w:after="20"/>
        <w:ind w:right="-43"/>
        <w:rPr>
          <w:sz w:val="21"/>
          <w:szCs w:val="21"/>
          <w:shd w:val="clear" w:color="auto" w:fill="FFFFFF" w:themeFill="background1"/>
        </w:rPr>
      </w:pPr>
      <w:r w:rsidRPr="0044453D">
        <w:rPr>
          <w:sz w:val="21"/>
          <w:szCs w:val="21"/>
          <w:u w:val="single"/>
          <w:shd w:val="clear" w:color="auto" w:fill="FFFFFF" w:themeFill="background1"/>
        </w:rPr>
        <w:t>Obsolete-Location: 24 CFR 970.15(b)(1)(ii</w:t>
      </w:r>
      <w:r w:rsidRPr="0044453D">
        <w:rPr>
          <w:sz w:val="21"/>
          <w:szCs w:val="21"/>
          <w:shd w:val="clear" w:color="auto" w:fill="FFFFFF" w:themeFill="background1"/>
        </w:rPr>
        <w:t>). A PHA must demonstrate that the location of the units causes obsolescence.  HUD may consider the physical deterioration of the neighborhood; change in neighborhood from residential to industrial or commercial development; or environmental conditions which jeopardize the suitability of the site or a portion of the site and its housing structures for residential use.</w:t>
      </w:r>
      <w:r w:rsidRPr="0044453D">
        <w:rPr>
          <w:rStyle w:val="FootnoteReference"/>
          <w:sz w:val="21"/>
          <w:szCs w:val="21"/>
          <w:shd w:val="clear" w:color="auto" w:fill="FFFFFF" w:themeFill="background1"/>
        </w:rPr>
        <w:t xml:space="preserve"> </w:t>
      </w:r>
      <w:r w:rsidRPr="0044453D">
        <w:rPr>
          <w:sz w:val="21"/>
          <w:szCs w:val="21"/>
          <w:shd w:val="clear" w:color="auto" w:fill="FFFFFF" w:themeFill="background1"/>
        </w:rPr>
        <w:t xml:space="preserve"> </w:t>
      </w:r>
    </w:p>
    <w:p w14:paraId="55127E18" w14:textId="7F91BD6C" w:rsidR="00C34082" w:rsidRPr="0044453D" w:rsidRDefault="00C34082" w:rsidP="00511286">
      <w:pPr>
        <w:spacing w:before="20" w:after="20"/>
        <w:ind w:right="-43"/>
        <w:rPr>
          <w:sz w:val="21"/>
          <w:szCs w:val="21"/>
          <w:shd w:val="clear" w:color="auto" w:fill="FFFFFF" w:themeFill="background1"/>
        </w:rPr>
      </w:pPr>
      <w:r w:rsidRPr="0044453D">
        <w:rPr>
          <w:sz w:val="21"/>
          <w:szCs w:val="21"/>
          <w:u w:val="single"/>
          <w:shd w:val="clear" w:color="auto" w:fill="FFFFFF" w:themeFill="background1"/>
        </w:rPr>
        <w:t>Obsolete-Other Factors: 24 CFR 970.15(b)(1)(iii</w:t>
      </w:r>
      <w:r w:rsidRPr="0044453D">
        <w:rPr>
          <w:sz w:val="21"/>
          <w:szCs w:val="21"/>
          <w:shd w:val="clear" w:color="auto" w:fill="FFFFFF" w:themeFill="background1"/>
        </w:rPr>
        <w:t xml:space="preserve">). A PHA must generally demonstrate that factors at the development have impacted the marketability, usefulness, or management of the units so seriously that, notwithstanding due diligence and its best efforts in marketing and leasing the units, the PHA is unable to operate the development for residential purposes for an extended period of time (generally more than 5 years).  HUD may consider </w:t>
      </w:r>
      <w:r w:rsidR="00515DB3" w:rsidRPr="0044453D">
        <w:rPr>
          <w:sz w:val="21"/>
          <w:szCs w:val="21"/>
          <w:shd w:val="clear" w:color="auto" w:fill="FFFFFF" w:themeFill="background1"/>
        </w:rPr>
        <w:t>factors such as turnover rate,</w:t>
      </w:r>
      <w:r w:rsidRPr="0044453D">
        <w:rPr>
          <w:sz w:val="21"/>
          <w:szCs w:val="21"/>
          <w:shd w:val="clear" w:color="auto" w:fill="FFFFFF" w:themeFill="background1"/>
        </w:rPr>
        <w:t xml:space="preserve"> historic vacancy rate</w:t>
      </w:r>
      <w:r w:rsidR="00515DB3" w:rsidRPr="0044453D">
        <w:rPr>
          <w:sz w:val="21"/>
          <w:szCs w:val="21"/>
          <w:shd w:val="clear" w:color="auto" w:fill="FFFFFF" w:themeFill="background1"/>
        </w:rPr>
        <w:t xml:space="preserve">, access to transportation, </w:t>
      </w:r>
      <w:r w:rsidRPr="0044453D">
        <w:rPr>
          <w:sz w:val="21"/>
          <w:szCs w:val="21"/>
          <w:shd w:val="clear" w:color="auto" w:fill="FFFFFF" w:themeFill="background1"/>
        </w:rPr>
        <w:t>crime rates</w:t>
      </w:r>
      <w:r w:rsidR="00515DB3" w:rsidRPr="0044453D">
        <w:rPr>
          <w:sz w:val="21"/>
          <w:szCs w:val="21"/>
          <w:shd w:val="clear" w:color="auto" w:fill="FFFFFF" w:themeFill="background1"/>
        </w:rPr>
        <w:t xml:space="preserve">, site plan and density issues, neighborhood infrastructure, </w:t>
      </w:r>
      <w:r w:rsidRPr="0044453D">
        <w:rPr>
          <w:sz w:val="21"/>
          <w:szCs w:val="21"/>
          <w:shd w:val="clear" w:color="auto" w:fill="FFFFFF" w:themeFill="background1"/>
        </w:rPr>
        <w:t xml:space="preserve">and unit </w:t>
      </w:r>
      <w:r w:rsidR="00515DB3" w:rsidRPr="0044453D">
        <w:rPr>
          <w:sz w:val="21"/>
          <w:szCs w:val="21"/>
          <w:shd w:val="clear" w:color="auto" w:fill="FFFFFF" w:themeFill="background1"/>
        </w:rPr>
        <w:t xml:space="preserve">size.  </w:t>
      </w:r>
      <w:r w:rsidRPr="0044453D">
        <w:rPr>
          <w:sz w:val="21"/>
          <w:szCs w:val="21"/>
          <w:shd w:val="clear" w:color="auto" w:fill="FFFFFF" w:themeFill="background1"/>
        </w:rPr>
        <w:t>HUD strongly encourages PHAs to submit third party documentation</w:t>
      </w:r>
      <w:r w:rsidR="00F22DB5" w:rsidRPr="0044453D">
        <w:rPr>
          <w:sz w:val="21"/>
          <w:szCs w:val="21"/>
          <w:shd w:val="clear" w:color="auto" w:fill="FFFFFF" w:themeFill="background1"/>
        </w:rPr>
        <w:t>.</w:t>
      </w:r>
    </w:p>
    <w:p w14:paraId="1761D17B" w14:textId="2B51A3C0" w:rsidR="00C34082" w:rsidRPr="0044453D" w:rsidRDefault="00C34082" w:rsidP="00511286">
      <w:pPr>
        <w:spacing w:before="20" w:after="20"/>
        <w:ind w:right="-43"/>
        <w:rPr>
          <w:rFonts w:eastAsia="Calibri"/>
          <w:iCs/>
          <w:sz w:val="21"/>
          <w:szCs w:val="21"/>
          <w:shd w:val="clear" w:color="auto" w:fill="FFFFFF" w:themeFill="background1"/>
        </w:rPr>
      </w:pPr>
      <w:r w:rsidRPr="0044453D">
        <w:rPr>
          <w:sz w:val="21"/>
          <w:szCs w:val="21"/>
          <w:u w:val="single"/>
          <w:shd w:val="clear" w:color="auto" w:fill="FFFFFF" w:themeFill="background1"/>
        </w:rPr>
        <w:t>De Minimis Demolitio</w:t>
      </w:r>
      <w:r w:rsidR="00C97B41" w:rsidRPr="0044453D">
        <w:rPr>
          <w:sz w:val="21"/>
          <w:szCs w:val="21"/>
          <w:u w:val="single"/>
          <w:shd w:val="clear" w:color="auto" w:fill="FFFFFF" w:themeFill="background1"/>
        </w:rPr>
        <w:t>n: 24 CFR 970.27</w:t>
      </w:r>
      <w:r w:rsidR="000B462A" w:rsidRPr="0044453D">
        <w:rPr>
          <w:sz w:val="21"/>
          <w:szCs w:val="21"/>
          <w:shd w:val="clear" w:color="auto" w:fill="FFFFFF" w:themeFill="background1"/>
        </w:rPr>
        <w:t xml:space="preserve">. </w:t>
      </w:r>
      <w:r w:rsidRPr="0044453D">
        <w:rPr>
          <w:sz w:val="21"/>
          <w:szCs w:val="21"/>
          <w:shd w:val="clear" w:color="auto" w:fill="FFFFFF" w:themeFill="background1"/>
        </w:rPr>
        <w:t xml:space="preserve"> </w:t>
      </w:r>
      <w:r w:rsidR="00B123AA" w:rsidRPr="0044453D">
        <w:rPr>
          <w:rFonts w:eastAsia="Calibri"/>
          <w:iCs/>
          <w:sz w:val="21"/>
          <w:szCs w:val="21"/>
          <w:shd w:val="clear" w:color="auto" w:fill="FFFFFF" w:themeFill="background1"/>
        </w:rPr>
        <w:t>I</w:t>
      </w:r>
      <w:r w:rsidRPr="0044453D">
        <w:rPr>
          <w:rFonts w:eastAsia="Calibri"/>
          <w:iCs/>
          <w:sz w:val="21"/>
          <w:szCs w:val="21"/>
          <w:shd w:val="clear" w:color="auto" w:fill="FFFFFF" w:themeFill="background1"/>
        </w:rPr>
        <w:t xml:space="preserve">n any 5-year period, a PHA may demolish not more than the lesser of 5 dwelling units or 5 percent of the total public housing dwelling units owned by the PHA without the need to obtain HUD approval under 24 CFR part 970 provided the PHA can meet one of the following criteria: </w:t>
      </w:r>
      <w:r w:rsidR="000B462A" w:rsidRPr="0044453D">
        <w:rPr>
          <w:rFonts w:eastAsia="Calibri"/>
          <w:iCs/>
          <w:sz w:val="21"/>
          <w:szCs w:val="21"/>
          <w:shd w:val="clear" w:color="auto" w:fill="FFFFFF" w:themeFill="background1"/>
        </w:rPr>
        <w:t xml:space="preserve">(a) </w:t>
      </w:r>
      <w:r w:rsidRPr="0044453D">
        <w:rPr>
          <w:iCs/>
          <w:sz w:val="21"/>
          <w:szCs w:val="21"/>
          <w:shd w:val="clear" w:color="auto" w:fill="FFFFFF" w:themeFill="background1"/>
        </w:rPr>
        <w:t>The PHA will use the space occupied by the unit(s) for meeting the service or other needs of the residents (e.g. laundry facility; community center; child care center); or</w:t>
      </w:r>
      <w:r w:rsidR="000B462A" w:rsidRPr="0044453D">
        <w:rPr>
          <w:rFonts w:eastAsia="Calibri"/>
          <w:iCs/>
          <w:sz w:val="21"/>
          <w:szCs w:val="21"/>
          <w:shd w:val="clear" w:color="auto" w:fill="FFFFFF" w:themeFill="background1"/>
        </w:rPr>
        <w:t xml:space="preserve"> (b) t</w:t>
      </w:r>
      <w:r w:rsidRPr="0044453D">
        <w:rPr>
          <w:iCs/>
          <w:sz w:val="21"/>
          <w:szCs w:val="21"/>
          <w:shd w:val="clear" w:color="auto" w:fill="FFFFFF" w:themeFill="background1"/>
        </w:rPr>
        <w:t>he PHA has determined the unit(s) are beyond repair.</w:t>
      </w:r>
    </w:p>
    <w:p w14:paraId="1EAE10CF" w14:textId="77777777" w:rsidR="00C34082" w:rsidRPr="0044453D" w:rsidRDefault="00C34082" w:rsidP="00511286">
      <w:pPr>
        <w:ind w:right="-43"/>
        <w:rPr>
          <w:b/>
          <w:bCs/>
          <w:sz w:val="21"/>
          <w:szCs w:val="21"/>
          <w:shd w:val="clear" w:color="auto" w:fill="FFFFFF" w:themeFill="background1"/>
        </w:rPr>
      </w:pPr>
    </w:p>
    <w:p w14:paraId="16C7A6B9" w14:textId="2727360C" w:rsidR="001175B7" w:rsidRPr="0044453D" w:rsidRDefault="001175B7" w:rsidP="00511286">
      <w:pPr>
        <w:autoSpaceDE w:val="0"/>
        <w:autoSpaceDN w:val="0"/>
        <w:adjustRightInd w:val="0"/>
        <w:ind w:right="-43"/>
        <w:rPr>
          <w:sz w:val="21"/>
          <w:szCs w:val="21"/>
          <w:shd w:val="clear" w:color="auto" w:fill="FFFFFF" w:themeFill="background1"/>
        </w:rPr>
      </w:pPr>
      <w:r w:rsidRPr="0044453D">
        <w:rPr>
          <w:sz w:val="21"/>
          <w:szCs w:val="21"/>
          <w:u w:val="single"/>
          <w:shd w:val="clear" w:color="auto" w:fill="FFFFFF" w:themeFill="background1"/>
        </w:rPr>
        <w:t>Cost-Test (Question 5).</w:t>
      </w:r>
      <w:r w:rsidRPr="0044453D">
        <w:rPr>
          <w:sz w:val="21"/>
          <w:szCs w:val="21"/>
          <w:shd w:val="clear" w:color="auto" w:fill="FFFFFF" w:themeFill="background1"/>
        </w:rPr>
        <w:t xml:space="preserve">  </w:t>
      </w:r>
      <w:r w:rsidR="00C64F34" w:rsidRPr="0044453D">
        <w:rPr>
          <w:sz w:val="21"/>
          <w:szCs w:val="21"/>
          <w:shd w:val="clear" w:color="auto" w:fill="FFFFFF" w:themeFill="background1"/>
        </w:rPr>
        <w:t xml:space="preserve">HUD generally shall not consider a program of modifications to be cost-effective if the costs of such program exceed 62.5 percent of total development cost (TDC) for elevator structures and 57.14 percent of TDC for all other types of structures in effect at the time the SAC application is submitted to HUD.  </w:t>
      </w:r>
    </w:p>
    <w:p w14:paraId="0453D2AA" w14:textId="57589FA1" w:rsidR="001175B7" w:rsidRPr="0044453D" w:rsidRDefault="001175B7" w:rsidP="00511286">
      <w:pPr>
        <w:spacing w:before="20" w:after="20"/>
        <w:ind w:right="-43"/>
        <w:rPr>
          <w:sz w:val="21"/>
          <w:szCs w:val="21"/>
          <w:shd w:val="clear" w:color="auto" w:fill="FFFFFF" w:themeFill="background1"/>
        </w:rPr>
      </w:pPr>
      <w:r w:rsidRPr="0044453D">
        <w:rPr>
          <w:sz w:val="21"/>
          <w:szCs w:val="21"/>
          <w:u w:val="single"/>
          <w:shd w:val="clear" w:color="auto" w:fill="FFFFFF" w:themeFill="background1"/>
        </w:rPr>
        <w:t>Obsolete-Physical Condition: 24 CFR 970.15(b)(1)(i)</w:t>
      </w:r>
      <w:r w:rsidRPr="0044453D">
        <w:rPr>
          <w:sz w:val="21"/>
          <w:szCs w:val="21"/>
          <w:shd w:val="clear" w:color="auto" w:fill="FFFFFF" w:themeFill="background1"/>
        </w:rPr>
        <w:t>. PHAs must complete and submit the HUD-52860-B form.</w:t>
      </w:r>
    </w:p>
    <w:p w14:paraId="1EC573DD" w14:textId="77777777" w:rsidR="00515DB3" w:rsidRPr="0044453D" w:rsidRDefault="001175B7" w:rsidP="00511286">
      <w:pPr>
        <w:spacing w:before="20" w:after="20"/>
        <w:ind w:right="-43"/>
        <w:rPr>
          <w:sz w:val="21"/>
          <w:szCs w:val="21"/>
          <w:shd w:val="clear" w:color="auto" w:fill="FFFFFF" w:themeFill="background1"/>
        </w:rPr>
      </w:pPr>
      <w:r w:rsidRPr="0044453D">
        <w:rPr>
          <w:sz w:val="21"/>
          <w:szCs w:val="21"/>
          <w:u w:val="single"/>
          <w:shd w:val="clear" w:color="auto" w:fill="FFFFFF" w:themeFill="background1"/>
        </w:rPr>
        <w:t>Obsolete-Location: 24 CFR 970.15(b)(1)(ii)</w:t>
      </w:r>
      <w:r w:rsidRPr="0044453D">
        <w:rPr>
          <w:sz w:val="21"/>
          <w:szCs w:val="21"/>
          <w:shd w:val="clear" w:color="auto" w:fill="FFFFFF" w:themeFill="background1"/>
        </w:rPr>
        <w:t>. HUD will consider the PHA’s cost of curing the cause of the obsolescence (e.g. nearby industrial or commercial development, environmental conditions)</w:t>
      </w:r>
      <w:r w:rsidR="00C64F34" w:rsidRPr="0044453D">
        <w:rPr>
          <w:sz w:val="21"/>
          <w:szCs w:val="21"/>
          <w:shd w:val="clear" w:color="auto" w:fill="FFFFFF" w:themeFill="background1"/>
        </w:rPr>
        <w:t>.</w:t>
      </w:r>
      <w:r w:rsidRPr="0044453D">
        <w:rPr>
          <w:sz w:val="21"/>
          <w:szCs w:val="21"/>
          <w:shd w:val="clear" w:color="auto" w:fill="FFFFFF" w:themeFill="background1"/>
        </w:rPr>
        <w:t xml:space="preserve"> </w:t>
      </w:r>
    </w:p>
    <w:p w14:paraId="17FAB04B" w14:textId="63FB3AD8" w:rsidR="00515DB3" w:rsidRPr="0044453D" w:rsidRDefault="00515DB3" w:rsidP="00511286">
      <w:pPr>
        <w:spacing w:before="20" w:after="20"/>
        <w:ind w:right="-43"/>
        <w:rPr>
          <w:sz w:val="21"/>
          <w:szCs w:val="21"/>
          <w:shd w:val="clear" w:color="auto" w:fill="FFFFFF" w:themeFill="background1"/>
        </w:rPr>
      </w:pPr>
      <w:r w:rsidRPr="0044453D">
        <w:rPr>
          <w:sz w:val="21"/>
          <w:szCs w:val="21"/>
          <w:u w:val="single"/>
          <w:shd w:val="clear" w:color="auto" w:fill="FFFFFF" w:themeFill="background1"/>
        </w:rPr>
        <w:t>Obsolete-Other Factors: 24 CFR 970.15(b)(1)(i)(iii</w:t>
      </w:r>
      <w:r w:rsidRPr="0044453D">
        <w:rPr>
          <w:sz w:val="21"/>
          <w:szCs w:val="21"/>
          <w:shd w:val="clear" w:color="auto" w:fill="FFFFFF" w:themeFill="background1"/>
        </w:rPr>
        <w:t>). HUD will consider the PHA’s cost of curing the cause of the obsolescence</w:t>
      </w:r>
      <w:r w:rsidR="00C64F34" w:rsidRPr="0044453D">
        <w:rPr>
          <w:sz w:val="21"/>
          <w:szCs w:val="21"/>
          <w:shd w:val="clear" w:color="auto" w:fill="FFFFFF" w:themeFill="background1"/>
        </w:rPr>
        <w:t xml:space="preserve"> (e.g. site plan, crime,</w:t>
      </w:r>
      <w:r w:rsidRPr="0044453D">
        <w:rPr>
          <w:sz w:val="21"/>
          <w:szCs w:val="21"/>
          <w:shd w:val="clear" w:color="auto" w:fill="FFFFFF" w:themeFill="background1"/>
        </w:rPr>
        <w:t xml:space="preserve"> turnover).  </w:t>
      </w:r>
    </w:p>
    <w:p w14:paraId="373956A6" w14:textId="77777777" w:rsidR="00B123AA" w:rsidRPr="0044453D" w:rsidRDefault="00B123AA" w:rsidP="00511286">
      <w:pPr>
        <w:spacing w:before="20" w:after="20"/>
        <w:ind w:right="-43"/>
        <w:rPr>
          <w:sz w:val="21"/>
          <w:szCs w:val="21"/>
          <w:u w:val="single"/>
          <w:shd w:val="clear" w:color="auto" w:fill="FFFFFF" w:themeFill="background1"/>
        </w:rPr>
      </w:pPr>
      <w:r w:rsidRPr="0044453D">
        <w:rPr>
          <w:sz w:val="21"/>
          <w:szCs w:val="21"/>
          <w:u w:val="single"/>
          <w:shd w:val="clear" w:color="auto" w:fill="FFFFFF" w:themeFill="background1"/>
        </w:rPr>
        <w:t>De Minimis Demolition.</w:t>
      </w:r>
      <w:r w:rsidRPr="0044453D">
        <w:rPr>
          <w:sz w:val="21"/>
          <w:szCs w:val="21"/>
          <w:shd w:val="clear" w:color="auto" w:fill="FFFFFF" w:themeFill="background1"/>
        </w:rPr>
        <w:t xml:space="preserve">  Cost-test requirements are not applicable. </w:t>
      </w:r>
    </w:p>
    <w:p w14:paraId="2DBDEF14" w14:textId="77777777" w:rsidR="001926B8" w:rsidRPr="0044453D" w:rsidRDefault="001926B8" w:rsidP="00511286">
      <w:pPr>
        <w:ind w:right="-43"/>
        <w:rPr>
          <w:b/>
          <w:bCs/>
          <w:sz w:val="21"/>
          <w:szCs w:val="21"/>
          <w:shd w:val="clear" w:color="auto" w:fill="FFFFFF" w:themeFill="background1"/>
        </w:rPr>
      </w:pPr>
    </w:p>
    <w:p w14:paraId="03C3C4A4" w14:textId="30D24672" w:rsidR="00B42349" w:rsidRPr="0044453D" w:rsidRDefault="00B42349" w:rsidP="00511286">
      <w:pPr>
        <w:pStyle w:val="Default"/>
        <w:widowControl/>
        <w:ind w:right="-43"/>
        <w:textAlignment w:val="baseline"/>
        <w:rPr>
          <w:rFonts w:ascii="Times New Roman" w:hAnsi="Times New Roman" w:cs="Times New Roman"/>
          <w:b/>
          <w:bCs/>
          <w:sz w:val="21"/>
          <w:szCs w:val="21"/>
          <w:shd w:val="clear" w:color="auto" w:fill="FFFFFF" w:themeFill="background1"/>
        </w:rPr>
      </w:pPr>
      <w:r w:rsidRPr="0044453D">
        <w:rPr>
          <w:rFonts w:ascii="Times New Roman" w:hAnsi="Times New Roman" w:cs="Times New Roman"/>
          <w:b/>
          <w:bCs/>
          <w:sz w:val="21"/>
          <w:szCs w:val="21"/>
          <w:shd w:val="clear" w:color="auto" w:fill="FFFFFF" w:themeFill="background1"/>
        </w:rPr>
        <w:t>Section 2:  Disposition</w:t>
      </w:r>
    </w:p>
    <w:p w14:paraId="723BF68B" w14:textId="77777777" w:rsidR="00614A88" w:rsidRPr="0044453D" w:rsidRDefault="00614A88" w:rsidP="00511286">
      <w:pPr>
        <w:pStyle w:val="Default"/>
        <w:widowControl/>
        <w:ind w:right="-43"/>
        <w:textAlignment w:val="baseline"/>
        <w:rPr>
          <w:rFonts w:ascii="Times New Roman" w:hAnsi="Times New Roman" w:cs="Times New Roman"/>
          <w:sz w:val="21"/>
          <w:szCs w:val="21"/>
          <w:u w:val="single"/>
          <w:shd w:val="clear" w:color="auto" w:fill="FFFFFF" w:themeFill="background1"/>
        </w:rPr>
      </w:pPr>
    </w:p>
    <w:p w14:paraId="3D82A628" w14:textId="16CB6E40" w:rsidR="00E07F41" w:rsidRPr="0044453D" w:rsidRDefault="00E07F41" w:rsidP="00511286">
      <w:pPr>
        <w:pStyle w:val="Default"/>
        <w:widowControl/>
        <w:ind w:right="-43"/>
        <w:textAlignment w:val="baseline"/>
        <w:rPr>
          <w:rFonts w:ascii="Times New Roman" w:hAnsi="Times New Roman" w:cs="Times New Roman"/>
          <w:sz w:val="21"/>
          <w:szCs w:val="21"/>
          <w:shd w:val="clear" w:color="auto" w:fill="FFFFFF" w:themeFill="background1"/>
        </w:rPr>
      </w:pPr>
      <w:r w:rsidRPr="0044453D">
        <w:rPr>
          <w:rFonts w:ascii="Times New Roman" w:hAnsi="Times New Roman" w:cs="Times New Roman"/>
          <w:sz w:val="21"/>
          <w:szCs w:val="21"/>
          <w:u w:val="single"/>
          <w:shd w:val="clear" w:color="auto" w:fill="FFFFFF" w:themeFill="background1"/>
        </w:rPr>
        <w:t>Justification (Question 1).</w:t>
      </w:r>
      <w:r w:rsidRPr="0044453D">
        <w:rPr>
          <w:rFonts w:ascii="Times New Roman" w:hAnsi="Times New Roman" w:cs="Times New Roman"/>
          <w:sz w:val="21"/>
          <w:szCs w:val="21"/>
          <w:shd w:val="clear" w:color="auto" w:fill="FFFFFF" w:themeFill="background1"/>
        </w:rPr>
        <w:t xml:space="preserve">  </w:t>
      </w:r>
      <w:r w:rsidRPr="0044453D">
        <w:rPr>
          <w:rFonts w:ascii="Times New Roman" w:hAnsi="Times New Roman" w:cs="Times New Roman"/>
          <w:iCs/>
          <w:sz w:val="21"/>
          <w:szCs w:val="21"/>
          <w:shd w:val="clear" w:color="auto" w:fill="FFFFFF" w:themeFill="background1"/>
        </w:rPr>
        <w:t xml:space="preserve">In completing their narrative statements describing the justification for disposition, PHAs should refer to the guidance at 24 CFR part 970 and PIH Notice </w:t>
      </w:r>
      <w:r w:rsidR="00D37EA1" w:rsidRPr="0044453D">
        <w:rPr>
          <w:rFonts w:ascii="Times New Roman" w:hAnsi="Times New Roman" w:cs="Times New Roman"/>
          <w:iCs/>
          <w:sz w:val="21"/>
          <w:szCs w:val="21"/>
          <w:shd w:val="clear" w:color="auto" w:fill="FFFFFF" w:themeFill="background1"/>
        </w:rPr>
        <w:t>2018-04</w:t>
      </w:r>
      <w:r w:rsidR="00CC0810" w:rsidRPr="0044453D">
        <w:rPr>
          <w:rFonts w:ascii="Times New Roman" w:hAnsi="Times New Roman" w:cs="Times New Roman"/>
          <w:iCs/>
          <w:sz w:val="21"/>
          <w:szCs w:val="21"/>
          <w:shd w:val="clear" w:color="auto" w:fill="FFFFFF" w:themeFill="background1"/>
        </w:rPr>
        <w:t xml:space="preserve"> </w:t>
      </w:r>
      <w:r w:rsidR="00514300" w:rsidRPr="0044453D">
        <w:rPr>
          <w:rFonts w:ascii="Times New Roman" w:hAnsi="Times New Roman" w:cs="Times New Roman"/>
          <w:iCs/>
          <w:sz w:val="21"/>
          <w:szCs w:val="21"/>
          <w:shd w:val="clear" w:color="auto" w:fill="FFFFFF" w:themeFill="background1"/>
        </w:rPr>
        <w:t xml:space="preserve">(or any </w:t>
      </w:r>
      <w:r w:rsidR="00C97B41" w:rsidRPr="0044453D">
        <w:rPr>
          <w:rFonts w:ascii="Times New Roman" w:hAnsi="Times New Roman" w:cs="Times New Roman"/>
          <w:iCs/>
          <w:sz w:val="21"/>
          <w:szCs w:val="21"/>
          <w:shd w:val="clear" w:color="auto" w:fill="FFFFFF" w:themeFill="background1"/>
        </w:rPr>
        <w:t xml:space="preserve">successor </w:t>
      </w:r>
      <w:r w:rsidR="00514300" w:rsidRPr="0044453D">
        <w:rPr>
          <w:rFonts w:ascii="Times New Roman" w:hAnsi="Times New Roman" w:cs="Times New Roman"/>
          <w:iCs/>
          <w:sz w:val="21"/>
          <w:szCs w:val="21"/>
          <w:shd w:val="clear" w:color="auto" w:fill="FFFFFF" w:themeFill="background1"/>
        </w:rPr>
        <w:t>notice).</w:t>
      </w:r>
      <w:r w:rsidRPr="0044453D">
        <w:rPr>
          <w:rFonts w:ascii="Times New Roman" w:hAnsi="Times New Roman" w:cs="Times New Roman"/>
          <w:iCs/>
          <w:sz w:val="21"/>
          <w:szCs w:val="21"/>
          <w:shd w:val="clear" w:color="auto" w:fill="FFFFFF" w:themeFill="background1"/>
        </w:rPr>
        <w:t xml:space="preserve">  </w:t>
      </w:r>
    </w:p>
    <w:p w14:paraId="582D13C9" w14:textId="77777777" w:rsidR="00E07F41" w:rsidRPr="0044453D" w:rsidRDefault="00E07F41" w:rsidP="00511286">
      <w:pPr>
        <w:spacing w:before="20" w:after="20"/>
        <w:ind w:right="-43"/>
        <w:rPr>
          <w:rFonts w:eastAsia="Calibri"/>
          <w:iCs/>
          <w:sz w:val="21"/>
          <w:szCs w:val="21"/>
          <w:shd w:val="clear" w:color="auto" w:fill="FFFFFF" w:themeFill="background1"/>
        </w:rPr>
      </w:pPr>
    </w:p>
    <w:p w14:paraId="545CFC41" w14:textId="3D8F478B" w:rsidR="009867D4" w:rsidRPr="0044453D" w:rsidRDefault="00E07F41" w:rsidP="00511286">
      <w:pPr>
        <w:autoSpaceDE w:val="0"/>
        <w:autoSpaceDN w:val="0"/>
        <w:adjustRightInd w:val="0"/>
        <w:ind w:right="-43"/>
        <w:rPr>
          <w:sz w:val="21"/>
          <w:szCs w:val="21"/>
          <w:shd w:val="clear" w:color="auto" w:fill="FFFFFF" w:themeFill="background1"/>
        </w:rPr>
      </w:pPr>
      <w:r w:rsidRPr="0044453D">
        <w:rPr>
          <w:bCs/>
          <w:sz w:val="21"/>
          <w:szCs w:val="21"/>
          <w:u w:val="single"/>
          <w:shd w:val="clear" w:color="auto" w:fill="FFFFFF" w:themeFill="background1"/>
        </w:rPr>
        <w:t>Conditions in Surrounding Area: 24 CFR 970.17(a).</w:t>
      </w:r>
      <w:r w:rsidRPr="0044453D">
        <w:rPr>
          <w:sz w:val="21"/>
          <w:szCs w:val="21"/>
          <w:u w:val="single"/>
          <w:shd w:val="clear" w:color="auto" w:fill="FFFFFF" w:themeFill="background1"/>
        </w:rPr>
        <w:t xml:space="preserve"> </w:t>
      </w:r>
      <w:r w:rsidRPr="0044453D">
        <w:rPr>
          <w:color w:val="000000"/>
          <w:sz w:val="21"/>
          <w:szCs w:val="21"/>
          <w:shd w:val="clear" w:color="auto" w:fill="FFFFFF" w:themeFill="background1"/>
        </w:rPr>
        <w:t xml:space="preserve">A PHA must demonstrate </w:t>
      </w:r>
      <w:r w:rsidR="009867D4" w:rsidRPr="0044453D">
        <w:rPr>
          <w:sz w:val="21"/>
          <w:szCs w:val="21"/>
          <w:shd w:val="clear" w:color="auto" w:fill="FFFFFF" w:themeFill="background1"/>
        </w:rPr>
        <w:t>the location of the units (e.g. industrial or commercial development) jeopardizes the health and/or safety of the residents and/or the feasible operation of the units by the PHA based on external conditions outside the control of the PHA; and</w:t>
      </w:r>
      <w:r w:rsidRPr="0044453D">
        <w:rPr>
          <w:sz w:val="21"/>
          <w:szCs w:val="21"/>
          <w:shd w:val="clear" w:color="auto" w:fill="FFFFFF" w:themeFill="background1"/>
        </w:rPr>
        <w:t xml:space="preserve"> </w:t>
      </w:r>
      <w:r w:rsidR="009867D4" w:rsidRPr="0044453D">
        <w:rPr>
          <w:sz w:val="21"/>
          <w:szCs w:val="21"/>
          <w:shd w:val="clear" w:color="auto" w:fill="FFFFFF" w:themeFill="background1"/>
        </w:rPr>
        <w:t>the condition is beyond the scope of the PHA to mitigate or cure in a cost-effective manner.  To support a SAC application based on health and/or safety, PHAs must generally provide relevant third</w:t>
      </w:r>
      <w:r w:rsidR="00322FA6" w:rsidRPr="0044453D">
        <w:rPr>
          <w:sz w:val="21"/>
          <w:szCs w:val="21"/>
          <w:shd w:val="clear" w:color="auto" w:fill="FFFFFF" w:themeFill="background1"/>
        </w:rPr>
        <w:t>-</w:t>
      </w:r>
      <w:r w:rsidR="009867D4" w:rsidRPr="0044453D">
        <w:rPr>
          <w:sz w:val="21"/>
          <w:szCs w:val="21"/>
          <w:shd w:val="clear" w:color="auto" w:fill="FFFFFF" w:themeFill="background1"/>
        </w:rPr>
        <w:t xml:space="preserve">party documentation that evidences the external conditions that present serious obstacles to the PHA maintaining the units as healthy and/or safe housing.  </w:t>
      </w:r>
    </w:p>
    <w:p w14:paraId="0E463B95" w14:textId="77777777" w:rsidR="00E07F41" w:rsidRPr="0044453D" w:rsidRDefault="00E07F41" w:rsidP="00511286">
      <w:pPr>
        <w:autoSpaceDE w:val="0"/>
        <w:autoSpaceDN w:val="0"/>
        <w:adjustRightInd w:val="0"/>
        <w:ind w:right="-43"/>
        <w:rPr>
          <w:sz w:val="21"/>
          <w:szCs w:val="21"/>
          <w:shd w:val="clear" w:color="auto" w:fill="FFFFFF" w:themeFill="background1"/>
        </w:rPr>
      </w:pPr>
    </w:p>
    <w:p w14:paraId="32B84C81" w14:textId="71F9F274" w:rsidR="00F526D2" w:rsidRPr="0044453D" w:rsidRDefault="009867D4" w:rsidP="00511286">
      <w:pPr>
        <w:pStyle w:val="Default"/>
        <w:widowControl/>
        <w:adjustRightInd/>
        <w:spacing w:after="225"/>
        <w:ind w:right="-43"/>
        <w:rPr>
          <w:rFonts w:ascii="Times New Roman" w:hAnsi="Times New Roman" w:cs="Times New Roman"/>
          <w:color w:val="auto"/>
          <w:sz w:val="21"/>
          <w:szCs w:val="21"/>
          <w:shd w:val="clear" w:color="auto" w:fill="FFFFFF" w:themeFill="background1"/>
        </w:rPr>
      </w:pPr>
      <w:r w:rsidRPr="0044453D">
        <w:rPr>
          <w:rFonts w:ascii="Times New Roman" w:hAnsi="Times New Roman" w:cs="Times New Roman"/>
          <w:bCs/>
          <w:color w:val="auto"/>
          <w:sz w:val="21"/>
          <w:szCs w:val="21"/>
          <w:u w:val="single"/>
          <w:shd w:val="clear" w:color="auto" w:fill="FFFFFF" w:themeFill="background1"/>
        </w:rPr>
        <w:lastRenderedPageBreak/>
        <w:t>More Efficient/Effective Low-Income Housing: 24 CFR 970.17(b).</w:t>
      </w:r>
      <w:r w:rsidRPr="0044453D">
        <w:rPr>
          <w:rFonts w:ascii="Times New Roman" w:hAnsi="Times New Roman" w:cs="Times New Roman"/>
          <w:bCs/>
          <w:color w:val="auto"/>
          <w:sz w:val="21"/>
          <w:szCs w:val="21"/>
          <w:shd w:val="clear" w:color="auto" w:fill="FFFFFF" w:themeFill="background1"/>
        </w:rPr>
        <w:t xml:space="preserve">  </w:t>
      </w:r>
      <w:r w:rsidR="00384390" w:rsidRPr="0044453D">
        <w:rPr>
          <w:rFonts w:ascii="Times New Roman" w:hAnsi="Times New Roman" w:cs="Times New Roman"/>
          <w:sz w:val="21"/>
          <w:szCs w:val="21"/>
          <w:shd w:val="clear" w:color="auto" w:fill="FFFFFF" w:themeFill="background1"/>
        </w:rPr>
        <w:t xml:space="preserve">A PHA must demonstrate </w:t>
      </w:r>
      <w:r w:rsidR="00384390" w:rsidRPr="0044453D">
        <w:rPr>
          <w:rFonts w:ascii="Times New Roman" w:hAnsi="Times New Roman" w:cs="Times New Roman"/>
          <w:color w:val="auto"/>
          <w:sz w:val="21"/>
          <w:szCs w:val="21"/>
          <w:shd w:val="clear" w:color="auto" w:fill="FFFFFF" w:themeFill="background1"/>
        </w:rPr>
        <w:t xml:space="preserve">the </w:t>
      </w:r>
      <w:r w:rsidRPr="0044453D">
        <w:rPr>
          <w:rFonts w:ascii="Times New Roman" w:hAnsi="Times New Roman" w:cs="Times New Roman"/>
          <w:color w:val="auto"/>
          <w:sz w:val="21"/>
          <w:szCs w:val="21"/>
          <w:shd w:val="clear" w:color="auto" w:fill="FFFFFF" w:themeFill="background1"/>
        </w:rPr>
        <w:t xml:space="preserve">retention of the units is not in the best interests of the residents or the PHA because the disposition allows the acquisition, development, or rehabilitation of units that will be more efficiently or effectively operated as </w:t>
      </w:r>
      <w:r w:rsidRPr="0044453D">
        <w:rPr>
          <w:rFonts w:ascii="Times New Roman" w:hAnsi="Times New Roman" w:cs="Times New Roman"/>
          <w:sz w:val="21"/>
          <w:szCs w:val="21"/>
          <w:shd w:val="clear" w:color="auto" w:fill="FFFFFF" w:themeFill="background1"/>
        </w:rPr>
        <w:t>other low-income housing units.</w:t>
      </w:r>
      <w:r w:rsidRPr="0044453D">
        <w:rPr>
          <w:rFonts w:ascii="Times New Roman" w:hAnsi="Times New Roman" w:cs="Times New Roman"/>
          <w:color w:val="auto"/>
          <w:sz w:val="21"/>
          <w:szCs w:val="21"/>
          <w:shd w:val="clear" w:color="auto" w:fill="FFFFFF" w:themeFill="background1"/>
        </w:rPr>
        <w:t xml:space="preserve">  PHAs must generally demonstrate why other low-income units are preferable (e.g., </w:t>
      </w:r>
      <w:r w:rsidRPr="0044453D">
        <w:rPr>
          <w:rFonts w:ascii="Times New Roman" w:hAnsi="Times New Roman" w:cs="Times New Roman"/>
          <w:sz w:val="21"/>
          <w:szCs w:val="21"/>
          <w:shd w:val="clear" w:color="auto" w:fill="FFFFFF" w:themeFill="background1"/>
        </w:rPr>
        <w:t xml:space="preserve">more energy efficient, better unit configuration, better location for resident in terms of transportation, jobs, schools or racial or economic concentration).  </w:t>
      </w:r>
      <w:r w:rsidR="00C451E2" w:rsidRPr="0044453D">
        <w:rPr>
          <w:rFonts w:ascii="Times New Roman" w:hAnsi="Times New Roman" w:cs="Times New Roman"/>
          <w:color w:val="auto"/>
          <w:sz w:val="21"/>
          <w:szCs w:val="21"/>
          <w:shd w:val="clear" w:color="auto" w:fill="FFFFFF" w:themeFill="background1"/>
        </w:rPr>
        <w:t>See PIH Notice 2012-7 (or any successor notice).</w:t>
      </w:r>
    </w:p>
    <w:p w14:paraId="3F3037BF" w14:textId="66B2C984" w:rsidR="00723F57" w:rsidRPr="0044453D" w:rsidRDefault="009867D4" w:rsidP="00511286">
      <w:pPr>
        <w:pStyle w:val="Default"/>
        <w:widowControl/>
        <w:adjustRightInd/>
        <w:spacing w:after="225"/>
        <w:ind w:right="-43"/>
        <w:rPr>
          <w:rFonts w:ascii="Times New Roman" w:hAnsi="Times New Roman" w:cs="Times New Roman"/>
          <w:color w:val="auto"/>
          <w:sz w:val="21"/>
          <w:szCs w:val="21"/>
          <w:shd w:val="clear" w:color="auto" w:fill="FFFFFF" w:themeFill="background1"/>
        </w:rPr>
      </w:pPr>
      <w:r w:rsidRPr="0044453D">
        <w:rPr>
          <w:rFonts w:ascii="Times New Roman" w:hAnsi="Times New Roman" w:cs="Times New Roman"/>
          <w:bCs/>
          <w:color w:val="auto"/>
          <w:sz w:val="21"/>
          <w:szCs w:val="21"/>
          <w:u w:val="single"/>
          <w:shd w:val="clear" w:color="auto" w:fill="FFFFFF" w:themeFill="background1"/>
        </w:rPr>
        <w:t>Best Interests of PHA and Residents &amp; Consistent with PHA Plan &amp; 1937 Act: 970.17(c).</w:t>
      </w:r>
      <w:r w:rsidRPr="0044453D">
        <w:rPr>
          <w:rFonts w:ascii="Times New Roman" w:hAnsi="Times New Roman" w:cs="Times New Roman"/>
          <w:color w:val="auto"/>
          <w:sz w:val="21"/>
          <w:szCs w:val="21"/>
          <w:shd w:val="clear" w:color="auto" w:fill="FFFFFF" w:themeFill="background1"/>
        </w:rPr>
        <w:t xml:space="preserve">  </w:t>
      </w:r>
      <w:r w:rsidR="00C451E2" w:rsidRPr="0044453D">
        <w:rPr>
          <w:rFonts w:ascii="Times New Roman" w:hAnsi="Times New Roman" w:cs="Times New Roman"/>
          <w:color w:val="auto"/>
          <w:sz w:val="21"/>
          <w:szCs w:val="21"/>
          <w:shd w:val="clear" w:color="auto" w:fill="FFFFFF" w:themeFill="background1"/>
        </w:rPr>
        <w:t xml:space="preserve">See PIH Notice </w:t>
      </w:r>
      <w:r w:rsidR="00D37EA1" w:rsidRPr="0044453D">
        <w:rPr>
          <w:rFonts w:ascii="Times New Roman" w:hAnsi="Times New Roman" w:cs="Times New Roman"/>
          <w:color w:val="auto"/>
          <w:sz w:val="21"/>
          <w:szCs w:val="21"/>
          <w:shd w:val="clear" w:color="auto" w:fill="FFFFFF" w:themeFill="background1"/>
        </w:rPr>
        <w:t>2018-04</w:t>
      </w:r>
      <w:r w:rsidR="00C451E2" w:rsidRPr="0044453D">
        <w:rPr>
          <w:rFonts w:ascii="Times New Roman" w:hAnsi="Times New Roman" w:cs="Times New Roman"/>
          <w:color w:val="auto"/>
          <w:sz w:val="21"/>
          <w:szCs w:val="21"/>
          <w:shd w:val="clear" w:color="auto" w:fill="FFFFFF" w:themeFill="background1"/>
        </w:rPr>
        <w:t xml:space="preserve"> (or any successor notice). </w:t>
      </w:r>
    </w:p>
    <w:p w14:paraId="49081986" w14:textId="2D164D31" w:rsidR="00E71CCB" w:rsidRPr="0044453D" w:rsidRDefault="005B6AC6" w:rsidP="00511286">
      <w:pPr>
        <w:pStyle w:val="Default"/>
        <w:widowControl/>
        <w:adjustRightInd/>
        <w:spacing w:after="225"/>
        <w:ind w:right="-43"/>
        <w:rPr>
          <w:rFonts w:ascii="Times New Roman" w:hAnsi="Times New Roman" w:cs="Times New Roman"/>
          <w:sz w:val="21"/>
          <w:szCs w:val="21"/>
          <w:shd w:val="clear" w:color="auto" w:fill="FFFFFF" w:themeFill="background1"/>
        </w:rPr>
      </w:pPr>
      <w:r w:rsidRPr="0044453D">
        <w:rPr>
          <w:rFonts w:ascii="Times New Roman" w:hAnsi="Times New Roman" w:cs="Times New Roman"/>
          <w:color w:val="auto"/>
          <w:sz w:val="21"/>
          <w:szCs w:val="21"/>
          <w:u w:val="single"/>
          <w:shd w:val="clear" w:color="auto" w:fill="FFFFFF" w:themeFill="background1"/>
        </w:rPr>
        <w:t>Third-Party Agreement</w:t>
      </w:r>
      <w:r w:rsidRPr="0044453D">
        <w:rPr>
          <w:rFonts w:ascii="Times New Roman" w:hAnsi="Times New Roman" w:cs="Times New Roman"/>
          <w:color w:val="auto"/>
          <w:sz w:val="21"/>
          <w:szCs w:val="21"/>
          <w:shd w:val="clear" w:color="auto" w:fill="FFFFFF" w:themeFill="background1"/>
        </w:rPr>
        <w:t xml:space="preserve">. </w:t>
      </w:r>
      <w:r w:rsidR="005F2CDE" w:rsidRPr="0044453D">
        <w:rPr>
          <w:rFonts w:ascii="Times New Roman" w:hAnsi="Times New Roman" w:cs="Times New Roman"/>
          <w:color w:val="auto"/>
          <w:sz w:val="21"/>
          <w:szCs w:val="21"/>
          <w:shd w:val="clear" w:color="auto" w:fill="FFFFFF" w:themeFill="background1"/>
        </w:rPr>
        <w:t>C</w:t>
      </w:r>
      <w:r w:rsidR="00C70574" w:rsidRPr="0044453D">
        <w:rPr>
          <w:rFonts w:ascii="Times New Roman" w:hAnsi="Times New Roman" w:cs="Times New Roman"/>
          <w:color w:val="auto"/>
          <w:sz w:val="21"/>
          <w:szCs w:val="21"/>
          <w:shd w:val="clear" w:color="auto" w:fill="FFFFFF" w:themeFill="background1"/>
        </w:rPr>
        <w:t xml:space="preserve">ertain third-party agreements may require HUD review and approval under 24 CFR part 970.  In this case, the </w:t>
      </w:r>
      <w:r w:rsidR="00E71CCB" w:rsidRPr="0044453D">
        <w:rPr>
          <w:rFonts w:ascii="Times New Roman" w:hAnsi="Times New Roman" w:cs="Times New Roman"/>
          <w:sz w:val="21"/>
          <w:szCs w:val="21"/>
          <w:shd w:val="clear" w:color="auto" w:fill="FFFFFF" w:themeFill="background1"/>
        </w:rPr>
        <w:t xml:space="preserve">PHA must submit a </w:t>
      </w:r>
      <w:r w:rsidR="00C70574" w:rsidRPr="0044453D">
        <w:rPr>
          <w:rFonts w:ascii="Times New Roman" w:hAnsi="Times New Roman" w:cs="Times New Roman"/>
          <w:sz w:val="21"/>
          <w:szCs w:val="21"/>
          <w:shd w:val="clear" w:color="auto" w:fill="FFFFFF" w:themeFill="background1"/>
        </w:rPr>
        <w:t>SAC disposition</w:t>
      </w:r>
      <w:r w:rsidR="00E71CCB" w:rsidRPr="0044453D">
        <w:rPr>
          <w:rFonts w:ascii="Times New Roman" w:hAnsi="Times New Roman" w:cs="Times New Roman"/>
          <w:sz w:val="21"/>
          <w:szCs w:val="21"/>
          <w:shd w:val="clear" w:color="auto" w:fill="FFFFFF" w:themeFill="background1"/>
        </w:rPr>
        <w:t xml:space="preserve"> application </w:t>
      </w:r>
      <w:r w:rsidR="00C70574" w:rsidRPr="0044453D">
        <w:rPr>
          <w:rFonts w:ascii="Times New Roman" w:hAnsi="Times New Roman" w:cs="Times New Roman"/>
          <w:sz w:val="21"/>
          <w:szCs w:val="21"/>
          <w:shd w:val="clear" w:color="auto" w:fill="FFFFFF" w:themeFill="background1"/>
        </w:rPr>
        <w:t xml:space="preserve">under this form to obtain HUD approval </w:t>
      </w:r>
      <w:r w:rsidR="00E71CCB" w:rsidRPr="0044453D">
        <w:rPr>
          <w:rFonts w:ascii="Times New Roman" w:hAnsi="Times New Roman" w:cs="Times New Roman"/>
          <w:sz w:val="21"/>
          <w:szCs w:val="21"/>
          <w:shd w:val="clear" w:color="auto" w:fill="FFFFFF" w:themeFill="background1"/>
        </w:rPr>
        <w:t>for the third-party agreement</w:t>
      </w:r>
      <w:r w:rsidR="00C70574" w:rsidRPr="0044453D">
        <w:rPr>
          <w:rFonts w:ascii="Times New Roman" w:hAnsi="Times New Roman" w:cs="Times New Roman"/>
          <w:sz w:val="21"/>
          <w:szCs w:val="21"/>
          <w:shd w:val="clear" w:color="auto" w:fill="FFFFFF" w:themeFill="background1"/>
        </w:rPr>
        <w:t xml:space="preserve"> (including completing and attaching justification narrative of the agreement under 970.17(c) or other applicable section of 24 CFR 970).  </w:t>
      </w:r>
      <w:r w:rsidR="00BC54C4" w:rsidRPr="0044453D">
        <w:rPr>
          <w:rFonts w:ascii="Times New Roman" w:hAnsi="Times New Roman" w:cs="Times New Roman"/>
          <w:sz w:val="21"/>
          <w:szCs w:val="21"/>
          <w:shd w:val="clear" w:color="auto" w:fill="FFFFFF" w:themeFill="background1"/>
        </w:rPr>
        <w:t xml:space="preserve">In the </w:t>
      </w:r>
      <w:r w:rsidR="00472F0B" w:rsidRPr="0044453D">
        <w:rPr>
          <w:rFonts w:ascii="Times New Roman" w:hAnsi="Times New Roman" w:cs="Times New Roman"/>
          <w:sz w:val="21"/>
          <w:szCs w:val="21"/>
          <w:shd w:val="clear" w:color="auto" w:fill="FFFFFF" w:themeFill="background1"/>
        </w:rPr>
        <w:t xml:space="preserve">SAC </w:t>
      </w:r>
      <w:r w:rsidR="00BC54C4" w:rsidRPr="0044453D">
        <w:rPr>
          <w:rFonts w:ascii="Times New Roman" w:hAnsi="Times New Roman" w:cs="Times New Roman"/>
          <w:sz w:val="21"/>
          <w:szCs w:val="21"/>
          <w:shd w:val="clear" w:color="auto" w:fill="FFFFFF" w:themeFill="background1"/>
        </w:rPr>
        <w:t>application, t</w:t>
      </w:r>
      <w:r w:rsidR="00C70574" w:rsidRPr="0044453D">
        <w:rPr>
          <w:rFonts w:ascii="Times New Roman" w:hAnsi="Times New Roman" w:cs="Times New Roman"/>
          <w:sz w:val="21"/>
          <w:szCs w:val="21"/>
          <w:shd w:val="clear" w:color="auto" w:fill="FFFFFF" w:themeFill="background1"/>
        </w:rPr>
        <w:t xml:space="preserve">he PHA must </w:t>
      </w:r>
      <w:r w:rsidR="00BC54C4" w:rsidRPr="0044453D">
        <w:rPr>
          <w:rFonts w:ascii="Times New Roman" w:hAnsi="Times New Roman" w:cs="Times New Roman"/>
          <w:sz w:val="21"/>
          <w:szCs w:val="21"/>
          <w:shd w:val="clear" w:color="auto" w:fill="FFFFFF" w:themeFill="background1"/>
        </w:rPr>
        <w:t>clearly indicate it is requesting HUD approval of a third-party agreement and</w:t>
      </w:r>
      <w:r w:rsidR="00C70574" w:rsidRPr="0044453D">
        <w:rPr>
          <w:rFonts w:ascii="Times New Roman" w:hAnsi="Times New Roman" w:cs="Times New Roman"/>
          <w:sz w:val="21"/>
          <w:szCs w:val="21"/>
          <w:shd w:val="clear" w:color="auto" w:fill="FFFFFF" w:themeFill="background1"/>
        </w:rPr>
        <w:t xml:space="preserve"> attach the draft form of third-party agreement to the application.  If the PHA is not requesting that HUD release the ACC or </w:t>
      </w:r>
      <w:r w:rsidR="00ED21F1" w:rsidRPr="0044453D">
        <w:rPr>
          <w:rFonts w:ascii="Times New Roman" w:hAnsi="Times New Roman" w:cs="Times New Roman"/>
          <w:sz w:val="21"/>
          <w:szCs w:val="21"/>
          <w:shd w:val="clear" w:color="auto" w:fill="FFFFFF" w:themeFill="background1"/>
        </w:rPr>
        <w:t>Declaration of Trust (</w:t>
      </w:r>
      <w:r w:rsidR="00C70574" w:rsidRPr="0044453D">
        <w:rPr>
          <w:rFonts w:ascii="Times New Roman" w:hAnsi="Times New Roman" w:cs="Times New Roman"/>
          <w:sz w:val="21"/>
          <w:szCs w:val="21"/>
          <w:shd w:val="clear" w:color="auto" w:fill="FFFFFF" w:themeFill="background1"/>
        </w:rPr>
        <w:t>DOT</w:t>
      </w:r>
      <w:r w:rsidR="00ED21F1" w:rsidRPr="0044453D">
        <w:rPr>
          <w:rFonts w:ascii="Times New Roman" w:hAnsi="Times New Roman" w:cs="Times New Roman"/>
          <w:sz w:val="21"/>
          <w:szCs w:val="21"/>
          <w:shd w:val="clear" w:color="auto" w:fill="FFFFFF" w:themeFill="background1"/>
        </w:rPr>
        <w:t xml:space="preserve">) or </w:t>
      </w:r>
      <w:r w:rsidR="00C70574" w:rsidRPr="0044453D">
        <w:rPr>
          <w:rFonts w:ascii="Times New Roman" w:hAnsi="Times New Roman" w:cs="Times New Roman"/>
          <w:sz w:val="21"/>
          <w:szCs w:val="21"/>
          <w:shd w:val="clear" w:color="auto" w:fill="FFFFFF" w:themeFill="background1"/>
        </w:rPr>
        <w:t>DORC from the property, it should put “0” in all fields for units, buildings and acreage.</w:t>
      </w:r>
      <w:r w:rsidR="005F2CDE" w:rsidRPr="0044453D">
        <w:rPr>
          <w:rFonts w:ascii="Times New Roman" w:hAnsi="Times New Roman" w:cs="Times New Roman"/>
          <w:sz w:val="21"/>
          <w:szCs w:val="21"/>
          <w:shd w:val="clear" w:color="auto" w:fill="FFFFFF" w:themeFill="background1"/>
        </w:rPr>
        <w:t xml:space="preserve">  See PIH Notice </w:t>
      </w:r>
      <w:r w:rsidR="00D37EA1" w:rsidRPr="0044453D">
        <w:rPr>
          <w:rFonts w:ascii="Times New Roman" w:hAnsi="Times New Roman" w:cs="Times New Roman"/>
          <w:sz w:val="21"/>
          <w:szCs w:val="21"/>
          <w:shd w:val="clear" w:color="auto" w:fill="FFFFFF" w:themeFill="background1"/>
        </w:rPr>
        <w:t>2018-04</w:t>
      </w:r>
      <w:r w:rsidR="005F2CDE" w:rsidRPr="0044453D">
        <w:rPr>
          <w:rFonts w:ascii="Times New Roman" w:hAnsi="Times New Roman" w:cs="Times New Roman"/>
          <w:sz w:val="21"/>
          <w:szCs w:val="21"/>
          <w:shd w:val="clear" w:color="auto" w:fill="FFFFFF" w:themeFill="background1"/>
        </w:rPr>
        <w:t xml:space="preserve"> (or any successor notice). </w:t>
      </w:r>
    </w:p>
    <w:p w14:paraId="37D76E28" w14:textId="2379181A" w:rsidR="00495A45" w:rsidRPr="0044453D" w:rsidRDefault="00F3626A" w:rsidP="00511286">
      <w:pPr>
        <w:pStyle w:val="Default"/>
        <w:widowControl/>
        <w:adjustRightInd/>
        <w:spacing w:after="225"/>
        <w:ind w:right="-43"/>
        <w:rPr>
          <w:rFonts w:ascii="Times New Roman" w:hAnsi="Times New Roman" w:cs="Times New Roman"/>
          <w:sz w:val="21"/>
          <w:szCs w:val="21"/>
          <w:shd w:val="clear" w:color="auto" w:fill="FFFFFF" w:themeFill="background1"/>
        </w:rPr>
      </w:pPr>
      <w:r w:rsidRPr="0044453D">
        <w:rPr>
          <w:rFonts w:ascii="Times New Roman" w:hAnsi="Times New Roman" w:cs="Times New Roman"/>
          <w:bCs/>
          <w:color w:val="auto"/>
          <w:sz w:val="21"/>
          <w:szCs w:val="21"/>
          <w:u w:val="single"/>
          <w:shd w:val="clear" w:color="auto" w:fill="FFFFFF" w:themeFill="background1"/>
        </w:rPr>
        <w:t>Non-Dwelling Property: 970.17(d).</w:t>
      </w:r>
      <w:r w:rsidRPr="0044453D">
        <w:rPr>
          <w:rFonts w:ascii="Times New Roman" w:hAnsi="Times New Roman" w:cs="Times New Roman"/>
          <w:color w:val="auto"/>
          <w:sz w:val="21"/>
          <w:szCs w:val="21"/>
          <w:shd w:val="clear" w:color="auto" w:fill="FFFFFF" w:themeFill="background1"/>
        </w:rPr>
        <w:t xml:space="preserve"> </w:t>
      </w:r>
      <w:r w:rsidR="00495A45" w:rsidRPr="0044453D">
        <w:rPr>
          <w:rFonts w:ascii="Times New Roman" w:hAnsi="Times New Roman" w:cs="Times New Roman"/>
          <w:sz w:val="21"/>
          <w:szCs w:val="21"/>
          <w:shd w:val="clear" w:color="auto" w:fill="FFFFFF" w:themeFill="background1"/>
        </w:rPr>
        <w:t xml:space="preserve">A PHA must demonstrate </w:t>
      </w:r>
      <w:r w:rsidRPr="0044453D">
        <w:rPr>
          <w:rFonts w:ascii="Times New Roman" w:hAnsi="Times New Roman" w:cs="Times New Roman"/>
          <w:sz w:val="21"/>
          <w:szCs w:val="21"/>
          <w:shd w:val="clear" w:color="auto" w:fill="FFFFFF" w:themeFill="background1"/>
        </w:rPr>
        <w:t>that t</w:t>
      </w:r>
      <w:r w:rsidR="00495A45" w:rsidRPr="0044453D">
        <w:rPr>
          <w:rFonts w:ascii="Times New Roman" w:hAnsi="Times New Roman" w:cs="Times New Roman"/>
          <w:sz w:val="21"/>
          <w:szCs w:val="21"/>
          <w:shd w:val="clear" w:color="auto" w:fill="FFFFFF" w:themeFill="background1"/>
        </w:rPr>
        <w:t xml:space="preserve">he non-dwelling structure or land exceeds the needs of the </w:t>
      </w:r>
      <w:r w:rsidRPr="0044453D">
        <w:rPr>
          <w:rFonts w:ascii="Times New Roman" w:hAnsi="Times New Roman" w:cs="Times New Roman"/>
          <w:sz w:val="21"/>
          <w:szCs w:val="21"/>
          <w:shd w:val="clear" w:color="auto" w:fill="FFFFFF" w:themeFill="background1"/>
        </w:rPr>
        <w:t>development</w:t>
      </w:r>
      <w:r w:rsidR="00495A45" w:rsidRPr="0044453D">
        <w:rPr>
          <w:rFonts w:ascii="Times New Roman" w:hAnsi="Times New Roman" w:cs="Times New Roman"/>
          <w:sz w:val="21"/>
          <w:szCs w:val="21"/>
          <w:shd w:val="clear" w:color="auto" w:fill="FFFFFF" w:themeFill="background1"/>
        </w:rPr>
        <w:t xml:space="preserve"> (after DOFA);</w:t>
      </w:r>
      <w:r w:rsidR="00495A45" w:rsidRPr="0044453D">
        <w:rPr>
          <w:rFonts w:ascii="Times New Roman" w:hAnsi="Times New Roman" w:cs="Times New Roman"/>
          <w:caps/>
          <w:sz w:val="21"/>
          <w:szCs w:val="21"/>
          <w:shd w:val="clear" w:color="auto" w:fill="FFFFFF" w:themeFill="background1"/>
        </w:rPr>
        <w:t xml:space="preserve"> </w:t>
      </w:r>
      <w:r w:rsidR="00495A45" w:rsidRPr="0044453D">
        <w:rPr>
          <w:rFonts w:ascii="Times New Roman" w:hAnsi="Times New Roman" w:cs="Times New Roman"/>
          <w:sz w:val="21"/>
          <w:szCs w:val="21"/>
          <w:shd w:val="clear" w:color="auto" w:fill="FFFFFF" w:themeFill="background1"/>
        </w:rPr>
        <w:t>or</w:t>
      </w:r>
      <w:r w:rsidRPr="0044453D">
        <w:rPr>
          <w:rFonts w:ascii="Times New Roman" w:hAnsi="Times New Roman" w:cs="Times New Roman"/>
          <w:sz w:val="21"/>
          <w:szCs w:val="21"/>
          <w:shd w:val="clear" w:color="auto" w:fill="FFFFFF" w:themeFill="background1"/>
        </w:rPr>
        <w:t xml:space="preserve"> t</w:t>
      </w:r>
      <w:r w:rsidR="00495A45" w:rsidRPr="0044453D">
        <w:rPr>
          <w:rFonts w:ascii="Times New Roman" w:hAnsi="Times New Roman" w:cs="Times New Roman"/>
          <w:sz w:val="21"/>
          <w:szCs w:val="21"/>
          <w:shd w:val="clear" w:color="auto" w:fill="FFFFFF" w:themeFill="background1"/>
        </w:rPr>
        <w:t xml:space="preserve">he disposition is incidental to, or does not interfere with, the continued operation of the remainder of the </w:t>
      </w:r>
      <w:r w:rsidRPr="0044453D">
        <w:rPr>
          <w:rFonts w:ascii="Times New Roman" w:hAnsi="Times New Roman" w:cs="Times New Roman"/>
          <w:sz w:val="21"/>
          <w:szCs w:val="21"/>
          <w:shd w:val="clear" w:color="auto" w:fill="FFFFFF" w:themeFill="background1"/>
        </w:rPr>
        <w:t>development</w:t>
      </w:r>
      <w:r w:rsidR="00495A45" w:rsidRPr="0044453D">
        <w:rPr>
          <w:rFonts w:ascii="Times New Roman" w:hAnsi="Times New Roman" w:cs="Times New Roman"/>
          <w:sz w:val="21"/>
          <w:szCs w:val="21"/>
          <w:shd w:val="clear" w:color="auto" w:fill="FFFFFF" w:themeFill="background1"/>
        </w:rPr>
        <w:t>.</w:t>
      </w:r>
    </w:p>
    <w:p w14:paraId="5EA9D137" w14:textId="125D08D7" w:rsidR="00F34EC1" w:rsidRPr="0044453D" w:rsidRDefault="00F34EC1" w:rsidP="00511286">
      <w:pPr>
        <w:ind w:right="-43"/>
        <w:rPr>
          <w:rFonts w:eastAsia="PMingLiU"/>
          <w:sz w:val="21"/>
          <w:szCs w:val="21"/>
          <w:shd w:val="clear" w:color="auto" w:fill="FFFFFF" w:themeFill="background1"/>
        </w:rPr>
      </w:pPr>
      <w:r w:rsidRPr="0044453D">
        <w:rPr>
          <w:rFonts w:eastAsia="PMingLiU"/>
          <w:sz w:val="21"/>
          <w:szCs w:val="21"/>
          <w:u w:val="single"/>
          <w:shd w:val="clear" w:color="auto" w:fill="FFFFFF" w:themeFill="background1"/>
        </w:rPr>
        <w:t>Method of Disposition (Question 2).</w:t>
      </w:r>
      <w:r w:rsidRPr="0044453D">
        <w:rPr>
          <w:rFonts w:eastAsia="PMingLiU"/>
          <w:sz w:val="21"/>
          <w:szCs w:val="21"/>
          <w:shd w:val="clear" w:color="auto" w:fill="FFFFFF" w:themeFill="background1"/>
        </w:rPr>
        <w:t xml:space="preserve"> </w:t>
      </w:r>
      <w:r w:rsidRPr="0044453D">
        <w:rPr>
          <w:iCs/>
          <w:sz w:val="21"/>
          <w:szCs w:val="21"/>
          <w:shd w:val="clear" w:color="auto" w:fill="FFFFFF" w:themeFill="background1"/>
        </w:rPr>
        <w:t xml:space="preserve">In completing this section, PHAs should refer to the guidance at 24 CFR part 970 and PIH Notice </w:t>
      </w:r>
      <w:r w:rsidR="00D37EA1" w:rsidRPr="0044453D">
        <w:rPr>
          <w:iCs/>
          <w:sz w:val="21"/>
          <w:szCs w:val="21"/>
          <w:shd w:val="clear" w:color="auto" w:fill="FFFFFF" w:themeFill="background1"/>
        </w:rPr>
        <w:t>2018-04</w:t>
      </w:r>
      <w:r w:rsidR="00514300" w:rsidRPr="0044453D">
        <w:rPr>
          <w:iCs/>
          <w:sz w:val="21"/>
          <w:szCs w:val="21"/>
          <w:shd w:val="clear" w:color="auto" w:fill="FFFFFF" w:themeFill="background1"/>
        </w:rPr>
        <w:t xml:space="preserve"> (or any </w:t>
      </w:r>
      <w:r w:rsidR="00C451E2" w:rsidRPr="0044453D">
        <w:rPr>
          <w:iCs/>
          <w:sz w:val="21"/>
          <w:szCs w:val="21"/>
          <w:shd w:val="clear" w:color="auto" w:fill="FFFFFF" w:themeFill="background1"/>
        </w:rPr>
        <w:t xml:space="preserve">successor </w:t>
      </w:r>
      <w:r w:rsidR="00514300" w:rsidRPr="0044453D">
        <w:rPr>
          <w:iCs/>
          <w:sz w:val="21"/>
          <w:szCs w:val="21"/>
          <w:shd w:val="clear" w:color="auto" w:fill="FFFFFF" w:themeFill="background1"/>
        </w:rPr>
        <w:t>notice)</w:t>
      </w:r>
      <w:r w:rsidRPr="0044453D">
        <w:rPr>
          <w:iCs/>
          <w:sz w:val="21"/>
          <w:szCs w:val="21"/>
          <w:shd w:val="clear" w:color="auto" w:fill="FFFFFF" w:themeFill="background1"/>
        </w:rPr>
        <w:t xml:space="preserve">.  </w:t>
      </w:r>
      <w:r w:rsidRPr="0044453D">
        <w:rPr>
          <w:sz w:val="21"/>
          <w:szCs w:val="21"/>
          <w:shd w:val="clear" w:color="auto" w:fill="FFFFFF" w:themeFill="background1"/>
        </w:rPr>
        <w:t>PHAs may propose different methods of disposition in their SAC applications, including:</w:t>
      </w:r>
    </w:p>
    <w:p w14:paraId="33CC1F45" w14:textId="071406BD" w:rsidR="00F34EC1" w:rsidRPr="0044453D" w:rsidRDefault="00F34EC1" w:rsidP="00511286">
      <w:pPr>
        <w:pStyle w:val="ListParagraph"/>
        <w:numPr>
          <w:ilvl w:val="0"/>
          <w:numId w:val="4"/>
        </w:numPr>
        <w:ind w:right="-43"/>
        <w:contextualSpacing/>
        <w:rPr>
          <w:bCs/>
          <w:sz w:val="21"/>
          <w:szCs w:val="21"/>
          <w:u w:val="single"/>
          <w:shd w:val="clear" w:color="auto" w:fill="FFFFFF" w:themeFill="background1"/>
        </w:rPr>
      </w:pPr>
      <w:r w:rsidRPr="0044453D">
        <w:rPr>
          <w:rStyle w:val="Strong"/>
          <w:b w:val="0"/>
          <w:sz w:val="21"/>
          <w:szCs w:val="21"/>
          <w:u w:val="single"/>
          <w:shd w:val="clear" w:color="auto" w:fill="FFFFFF" w:themeFill="background1"/>
        </w:rPr>
        <w:t>Public Bid Fair Market Value (FMV) Sale (Cash).</w:t>
      </w:r>
      <w:r w:rsidRPr="0044453D">
        <w:rPr>
          <w:rStyle w:val="Strong"/>
          <w:b w:val="0"/>
          <w:sz w:val="21"/>
          <w:szCs w:val="21"/>
          <w:shd w:val="clear" w:color="auto" w:fill="FFFFFF" w:themeFill="background1"/>
        </w:rPr>
        <w:t xml:space="preserve">  The </w:t>
      </w:r>
      <w:r w:rsidRPr="0044453D">
        <w:rPr>
          <w:sz w:val="21"/>
          <w:szCs w:val="21"/>
          <w:shd w:val="clear" w:color="auto" w:fill="FFFFFF" w:themeFill="background1"/>
        </w:rPr>
        <w:t>PHA lists the public housing property on the open and competitive market and solicits bids.  Actual FMV may be more or less than the appraised value, depending on the market and may reflect negotiations during the due diligence period.</w:t>
      </w:r>
    </w:p>
    <w:p w14:paraId="38D8704F" w14:textId="06F46CAA" w:rsidR="00F34EC1" w:rsidRPr="0044453D" w:rsidRDefault="00F34EC1" w:rsidP="00511286">
      <w:pPr>
        <w:pStyle w:val="ListParagraph"/>
        <w:numPr>
          <w:ilvl w:val="0"/>
          <w:numId w:val="4"/>
        </w:numPr>
        <w:ind w:right="-43"/>
        <w:contextualSpacing/>
        <w:rPr>
          <w:bCs/>
          <w:sz w:val="21"/>
          <w:szCs w:val="21"/>
          <w:shd w:val="clear" w:color="auto" w:fill="FFFFFF" w:themeFill="background1"/>
        </w:rPr>
      </w:pPr>
      <w:r w:rsidRPr="0044453D">
        <w:rPr>
          <w:sz w:val="21"/>
          <w:szCs w:val="21"/>
          <w:u w:val="single"/>
          <w:shd w:val="clear" w:color="auto" w:fill="FFFFFF" w:themeFill="background1"/>
        </w:rPr>
        <w:t>Negotiated Sale at FMV (Cash).</w:t>
      </w:r>
      <w:r w:rsidRPr="0044453D">
        <w:rPr>
          <w:rStyle w:val="Strong"/>
          <w:b w:val="0"/>
          <w:sz w:val="21"/>
          <w:szCs w:val="21"/>
          <w:shd w:val="clear" w:color="auto" w:fill="FFFFFF" w:themeFill="background1"/>
        </w:rPr>
        <w:t xml:space="preserve"> The </w:t>
      </w:r>
      <w:r w:rsidRPr="0044453D">
        <w:rPr>
          <w:sz w:val="21"/>
          <w:szCs w:val="21"/>
          <w:shd w:val="clear" w:color="auto" w:fill="FFFFFF" w:themeFill="background1"/>
        </w:rPr>
        <w:t>PHA negotiates a sale with an identified buyer based on the appraised value of the public housing property.  The PHA receives cash for the sale.</w:t>
      </w:r>
    </w:p>
    <w:p w14:paraId="62596329" w14:textId="77777777" w:rsidR="00F34EC1" w:rsidRPr="0044453D" w:rsidRDefault="00F34EC1" w:rsidP="00511286">
      <w:pPr>
        <w:pStyle w:val="ListParagraph"/>
        <w:numPr>
          <w:ilvl w:val="0"/>
          <w:numId w:val="4"/>
        </w:numPr>
        <w:ind w:right="-43"/>
        <w:contextualSpacing/>
        <w:rPr>
          <w:bCs/>
          <w:sz w:val="21"/>
          <w:szCs w:val="21"/>
          <w:shd w:val="clear" w:color="auto" w:fill="FFFFFF" w:themeFill="background1"/>
        </w:rPr>
      </w:pPr>
      <w:r w:rsidRPr="0044453D">
        <w:rPr>
          <w:sz w:val="21"/>
          <w:szCs w:val="21"/>
          <w:u w:val="single"/>
          <w:shd w:val="clear" w:color="auto" w:fill="FFFFFF" w:themeFill="background1"/>
        </w:rPr>
        <w:t>Negotiated Lease or other Transfer at FMV (Cash)</w:t>
      </w:r>
      <w:r w:rsidRPr="0044453D">
        <w:rPr>
          <w:bCs/>
          <w:sz w:val="21"/>
          <w:szCs w:val="21"/>
          <w:u w:val="single"/>
          <w:shd w:val="clear" w:color="auto" w:fill="FFFFFF" w:themeFill="background1"/>
        </w:rPr>
        <w:t>.</w:t>
      </w:r>
      <w:r w:rsidRPr="0044453D">
        <w:rPr>
          <w:bCs/>
          <w:sz w:val="21"/>
          <w:szCs w:val="21"/>
          <w:shd w:val="clear" w:color="auto" w:fill="FFFFFF" w:themeFill="background1"/>
        </w:rPr>
        <w:t xml:space="preserve">  </w:t>
      </w:r>
      <w:r w:rsidRPr="0044453D">
        <w:rPr>
          <w:rStyle w:val="Strong"/>
          <w:b w:val="0"/>
          <w:sz w:val="21"/>
          <w:szCs w:val="21"/>
          <w:shd w:val="clear" w:color="auto" w:fill="FFFFFF" w:themeFill="background1"/>
        </w:rPr>
        <w:t xml:space="preserve">The </w:t>
      </w:r>
      <w:r w:rsidRPr="0044453D">
        <w:rPr>
          <w:sz w:val="21"/>
          <w:szCs w:val="21"/>
          <w:shd w:val="clear" w:color="auto" w:fill="FFFFFF" w:themeFill="background1"/>
        </w:rPr>
        <w:t>PHA negotiates a lease (e.g. ground lease, capital lease) with an identified entity based on the appraised value (leasehold and/or fee value) of the public housing property.  The PHA receives cash for the lease payments.</w:t>
      </w:r>
    </w:p>
    <w:p w14:paraId="1A3DFB48" w14:textId="5B71BD4F" w:rsidR="00F34EC1" w:rsidRPr="0044453D" w:rsidRDefault="00F34EC1" w:rsidP="00511286">
      <w:pPr>
        <w:pStyle w:val="ListParagraph"/>
        <w:numPr>
          <w:ilvl w:val="0"/>
          <w:numId w:val="4"/>
        </w:numPr>
        <w:ind w:right="-43"/>
        <w:contextualSpacing/>
        <w:rPr>
          <w:bCs/>
          <w:sz w:val="21"/>
          <w:szCs w:val="21"/>
          <w:shd w:val="clear" w:color="auto" w:fill="FFFFFF" w:themeFill="background1"/>
        </w:rPr>
      </w:pPr>
      <w:r w:rsidRPr="0044453D">
        <w:rPr>
          <w:sz w:val="21"/>
          <w:szCs w:val="21"/>
          <w:u w:val="single"/>
          <w:shd w:val="clear" w:color="auto" w:fill="FFFFFF" w:themeFill="background1"/>
        </w:rPr>
        <w:t xml:space="preserve">Negotiated Sale </w:t>
      </w:r>
      <w:r w:rsidR="007D40D0" w:rsidRPr="0044453D">
        <w:rPr>
          <w:sz w:val="21"/>
          <w:szCs w:val="21"/>
          <w:u w:val="single"/>
          <w:shd w:val="clear" w:color="auto" w:fill="FFFFFF" w:themeFill="background1"/>
        </w:rPr>
        <w:t xml:space="preserve">or other Transfer </w:t>
      </w:r>
      <w:r w:rsidRPr="0044453D">
        <w:rPr>
          <w:sz w:val="21"/>
          <w:szCs w:val="21"/>
          <w:u w:val="single"/>
          <w:shd w:val="clear" w:color="auto" w:fill="FFFFFF" w:themeFill="background1"/>
        </w:rPr>
        <w:t>at FMV (Seller-Financing).</w:t>
      </w:r>
      <w:r w:rsidRPr="0044453D">
        <w:rPr>
          <w:sz w:val="21"/>
          <w:szCs w:val="21"/>
          <w:shd w:val="clear" w:color="auto" w:fill="FFFFFF" w:themeFill="background1"/>
        </w:rPr>
        <w:t xml:space="preserve">  The PHA negotiates a sale with an identified buyer but instead of receiving cash proceeds, the PHA receives a promissory note and/or mortgage or deed of trust.  Payments are generally made from deferred loan payments.  </w:t>
      </w:r>
    </w:p>
    <w:p w14:paraId="56DDB566" w14:textId="77777777" w:rsidR="00F34EC1" w:rsidRPr="0044453D" w:rsidRDefault="00F34EC1" w:rsidP="00511286">
      <w:pPr>
        <w:pStyle w:val="ListParagraph"/>
        <w:numPr>
          <w:ilvl w:val="0"/>
          <w:numId w:val="4"/>
        </w:numPr>
        <w:ind w:right="-43"/>
        <w:contextualSpacing/>
        <w:rPr>
          <w:bCs/>
          <w:sz w:val="21"/>
          <w:szCs w:val="21"/>
          <w:shd w:val="clear" w:color="auto" w:fill="FFFFFF" w:themeFill="background1"/>
        </w:rPr>
      </w:pPr>
      <w:r w:rsidRPr="0044453D">
        <w:rPr>
          <w:sz w:val="21"/>
          <w:szCs w:val="21"/>
          <w:u w:val="single"/>
          <w:shd w:val="clear" w:color="auto" w:fill="FFFFFF" w:themeFill="background1"/>
        </w:rPr>
        <w:t>Negotiated Sale at below FMV.</w:t>
      </w:r>
      <w:r w:rsidRPr="0044453D">
        <w:rPr>
          <w:rStyle w:val="Strong"/>
          <w:b w:val="0"/>
          <w:sz w:val="21"/>
          <w:szCs w:val="21"/>
          <w:shd w:val="clear" w:color="auto" w:fill="FFFFFF" w:themeFill="background1"/>
        </w:rPr>
        <w:t xml:space="preserve"> The </w:t>
      </w:r>
      <w:r w:rsidRPr="0044453D">
        <w:rPr>
          <w:sz w:val="21"/>
          <w:szCs w:val="21"/>
          <w:shd w:val="clear" w:color="auto" w:fill="FFFFFF" w:themeFill="background1"/>
        </w:rPr>
        <w:t>PHA negotiates a sale with an identified buyer for below FMV (often nominal value).</w:t>
      </w:r>
    </w:p>
    <w:p w14:paraId="1284E565" w14:textId="77777777" w:rsidR="00F34EC1" w:rsidRPr="0044453D" w:rsidRDefault="00F34EC1" w:rsidP="00511286">
      <w:pPr>
        <w:pStyle w:val="ListParagraph"/>
        <w:numPr>
          <w:ilvl w:val="0"/>
          <w:numId w:val="4"/>
        </w:numPr>
        <w:ind w:right="-43"/>
        <w:contextualSpacing/>
        <w:rPr>
          <w:bCs/>
          <w:sz w:val="21"/>
          <w:szCs w:val="21"/>
          <w:shd w:val="clear" w:color="auto" w:fill="FFFFFF" w:themeFill="background1"/>
        </w:rPr>
      </w:pPr>
      <w:r w:rsidRPr="0044453D">
        <w:rPr>
          <w:bCs/>
          <w:sz w:val="21"/>
          <w:szCs w:val="21"/>
          <w:u w:val="single"/>
          <w:shd w:val="clear" w:color="auto" w:fill="FFFFFF" w:themeFill="background1"/>
        </w:rPr>
        <w:t>Negotiated Lease or other Transfer at below FMV</w:t>
      </w:r>
      <w:r w:rsidRPr="0044453D">
        <w:rPr>
          <w:bCs/>
          <w:sz w:val="21"/>
          <w:szCs w:val="21"/>
          <w:shd w:val="clear" w:color="auto" w:fill="FFFFFF" w:themeFill="background1"/>
        </w:rPr>
        <w:t xml:space="preserve">.  </w:t>
      </w:r>
      <w:r w:rsidRPr="0044453D">
        <w:rPr>
          <w:rStyle w:val="Strong"/>
          <w:b w:val="0"/>
          <w:sz w:val="21"/>
          <w:szCs w:val="21"/>
          <w:shd w:val="clear" w:color="auto" w:fill="FFFFFF" w:themeFill="background1"/>
        </w:rPr>
        <w:t xml:space="preserve">The </w:t>
      </w:r>
      <w:r w:rsidRPr="0044453D">
        <w:rPr>
          <w:sz w:val="21"/>
          <w:szCs w:val="21"/>
          <w:shd w:val="clear" w:color="auto" w:fill="FFFFFF" w:themeFill="background1"/>
        </w:rPr>
        <w:t>PHA negotiates a lease with an identified entity for below FMV (often nominal value).</w:t>
      </w:r>
    </w:p>
    <w:p w14:paraId="138ADBA2" w14:textId="480AD822" w:rsidR="00245F69" w:rsidRPr="0044453D" w:rsidRDefault="00F34EC1" w:rsidP="00511286">
      <w:pPr>
        <w:pStyle w:val="ListParagraph"/>
        <w:numPr>
          <w:ilvl w:val="0"/>
          <w:numId w:val="4"/>
        </w:numPr>
        <w:ind w:right="-43"/>
        <w:contextualSpacing/>
        <w:rPr>
          <w:bCs/>
          <w:sz w:val="21"/>
          <w:szCs w:val="21"/>
          <w:shd w:val="clear" w:color="auto" w:fill="FFFFFF" w:themeFill="background1"/>
        </w:rPr>
      </w:pPr>
      <w:r w:rsidRPr="0044453D">
        <w:rPr>
          <w:bCs/>
          <w:sz w:val="21"/>
          <w:szCs w:val="21"/>
          <w:u w:val="single"/>
          <w:shd w:val="clear" w:color="auto" w:fill="FFFFFF" w:themeFill="background1"/>
        </w:rPr>
        <w:t>Land-Swaps</w:t>
      </w:r>
      <w:r w:rsidRPr="0044453D">
        <w:rPr>
          <w:bCs/>
          <w:sz w:val="21"/>
          <w:szCs w:val="21"/>
          <w:shd w:val="clear" w:color="auto" w:fill="FFFFFF" w:themeFill="background1"/>
        </w:rPr>
        <w:t xml:space="preserve">.  </w:t>
      </w:r>
      <w:r w:rsidRPr="0044453D">
        <w:rPr>
          <w:sz w:val="21"/>
          <w:szCs w:val="21"/>
          <w:shd w:val="clear" w:color="auto" w:fill="FFFFFF" w:themeFill="background1"/>
        </w:rPr>
        <w:t>The PHA negotiates a “land swap”.  In addition to meeting the requirements for a Negotiated Sale at FMV in B above, the PHA must generally evidences that HUD has approved the acquisition of the property to be acquired in the “land-swap” under 24 CFR part 905.  If the property that PHA is proposing to acquire is valued less than public housing property proposed for disposition, the PHA receives cash proceeds to make up the difference.</w:t>
      </w:r>
    </w:p>
    <w:p w14:paraId="63127641" w14:textId="77777777" w:rsidR="00245F69" w:rsidRPr="0044453D" w:rsidRDefault="00245F69" w:rsidP="00511286">
      <w:pPr>
        <w:pStyle w:val="ListParagraph"/>
        <w:ind w:right="-43"/>
        <w:contextualSpacing/>
        <w:rPr>
          <w:bCs/>
          <w:sz w:val="21"/>
          <w:szCs w:val="21"/>
          <w:shd w:val="clear" w:color="auto" w:fill="FFFFFF" w:themeFill="background1"/>
        </w:rPr>
      </w:pPr>
    </w:p>
    <w:p w14:paraId="070E7A14" w14:textId="0673E74F" w:rsidR="00245F69" w:rsidRPr="0044453D" w:rsidRDefault="00451938" w:rsidP="00511286">
      <w:pPr>
        <w:ind w:right="-43"/>
        <w:contextualSpacing/>
        <w:rPr>
          <w:sz w:val="21"/>
          <w:szCs w:val="21"/>
          <w:shd w:val="clear" w:color="auto" w:fill="FFFFFF" w:themeFill="background1"/>
        </w:rPr>
      </w:pPr>
      <w:r w:rsidRPr="0044453D">
        <w:rPr>
          <w:iCs/>
          <w:sz w:val="21"/>
          <w:szCs w:val="21"/>
          <w:shd w:val="clear" w:color="auto" w:fill="FFFFFF" w:themeFill="background1"/>
        </w:rPr>
        <w:t xml:space="preserve">If </w:t>
      </w:r>
      <w:r w:rsidR="00122C21" w:rsidRPr="0044453D">
        <w:rPr>
          <w:iCs/>
          <w:sz w:val="21"/>
          <w:szCs w:val="21"/>
          <w:shd w:val="clear" w:color="auto" w:fill="FFFFFF" w:themeFill="background1"/>
        </w:rPr>
        <w:t>the disposition is proposed via negotiation</w:t>
      </w:r>
      <w:r w:rsidR="00245F69" w:rsidRPr="0044453D">
        <w:rPr>
          <w:iCs/>
          <w:sz w:val="21"/>
          <w:szCs w:val="21"/>
          <w:shd w:val="clear" w:color="auto" w:fill="FFFFFF" w:themeFill="background1"/>
        </w:rPr>
        <w:t xml:space="preserve">, </w:t>
      </w:r>
      <w:r w:rsidR="00122C21" w:rsidRPr="0044453D">
        <w:rPr>
          <w:iCs/>
          <w:sz w:val="21"/>
          <w:szCs w:val="21"/>
          <w:shd w:val="clear" w:color="auto" w:fill="FFFFFF" w:themeFill="background1"/>
        </w:rPr>
        <w:t xml:space="preserve">the PHA must evidence the entity is a valid entity under State law and is </w:t>
      </w:r>
      <w:r w:rsidR="00245F69" w:rsidRPr="0044453D">
        <w:rPr>
          <w:iCs/>
          <w:sz w:val="21"/>
          <w:szCs w:val="21"/>
          <w:shd w:val="clear" w:color="auto" w:fill="FFFFFF" w:themeFill="background1"/>
        </w:rPr>
        <w:t xml:space="preserve">in </w:t>
      </w:r>
      <w:r w:rsidR="00122C21" w:rsidRPr="0044453D">
        <w:rPr>
          <w:iCs/>
          <w:sz w:val="21"/>
          <w:szCs w:val="21"/>
          <w:shd w:val="clear" w:color="auto" w:fill="FFFFFF" w:themeFill="background1"/>
        </w:rPr>
        <w:t>good standing</w:t>
      </w:r>
      <w:r w:rsidR="00ED21F1" w:rsidRPr="0044453D">
        <w:rPr>
          <w:iCs/>
          <w:sz w:val="21"/>
          <w:szCs w:val="21"/>
          <w:shd w:val="clear" w:color="auto" w:fill="FFFFFF" w:themeFill="background1"/>
        </w:rPr>
        <w:t xml:space="preserve">. </w:t>
      </w:r>
    </w:p>
    <w:p w14:paraId="409414FB" w14:textId="77777777" w:rsidR="00E15135" w:rsidRPr="0044453D" w:rsidRDefault="00E15135" w:rsidP="00511286">
      <w:pPr>
        <w:pStyle w:val="ListParagraph"/>
        <w:ind w:right="-43"/>
        <w:rPr>
          <w:rFonts w:eastAsia="PMingLiU"/>
          <w:sz w:val="21"/>
          <w:szCs w:val="21"/>
          <w:shd w:val="clear" w:color="auto" w:fill="FFFFFF" w:themeFill="background1"/>
        </w:rPr>
      </w:pPr>
    </w:p>
    <w:p w14:paraId="02EF585E" w14:textId="2E478B74" w:rsidR="00856E87" w:rsidRPr="0044453D" w:rsidRDefault="000E6AC5" w:rsidP="00511286">
      <w:pPr>
        <w:ind w:right="-43"/>
        <w:rPr>
          <w:sz w:val="21"/>
          <w:szCs w:val="21"/>
          <w:shd w:val="clear" w:color="auto" w:fill="FFFFFF" w:themeFill="background1"/>
        </w:rPr>
      </w:pPr>
      <w:r w:rsidRPr="0044453D">
        <w:rPr>
          <w:rFonts w:eastAsia="PMingLiU"/>
          <w:sz w:val="21"/>
          <w:szCs w:val="21"/>
          <w:u w:val="single"/>
          <w:shd w:val="clear" w:color="auto" w:fill="FFFFFF" w:themeFill="background1"/>
        </w:rPr>
        <w:t>Commensurate Public Benefit (Question 3).</w:t>
      </w:r>
      <w:r w:rsidRPr="0044453D">
        <w:rPr>
          <w:rFonts w:eastAsia="PMingLiU"/>
          <w:sz w:val="21"/>
          <w:szCs w:val="21"/>
          <w:shd w:val="clear" w:color="auto" w:fill="FFFFFF" w:themeFill="background1"/>
        </w:rPr>
        <w:t xml:space="preserve"> </w:t>
      </w:r>
      <w:r w:rsidRPr="0044453D">
        <w:rPr>
          <w:iCs/>
          <w:sz w:val="21"/>
          <w:szCs w:val="21"/>
          <w:shd w:val="clear" w:color="auto" w:fill="FFFFFF" w:themeFill="background1"/>
        </w:rPr>
        <w:t xml:space="preserve">In completing this section, PHAs should refer to the guidance at 24 CFR </w:t>
      </w:r>
      <w:r w:rsidR="00E15135" w:rsidRPr="0044453D">
        <w:rPr>
          <w:iCs/>
          <w:sz w:val="21"/>
          <w:szCs w:val="21"/>
          <w:shd w:val="clear" w:color="auto" w:fill="FFFFFF" w:themeFill="background1"/>
        </w:rPr>
        <w:t>970.19</w:t>
      </w:r>
      <w:r w:rsidRPr="0044453D">
        <w:rPr>
          <w:iCs/>
          <w:sz w:val="21"/>
          <w:szCs w:val="21"/>
          <w:shd w:val="clear" w:color="auto" w:fill="FFFFFF" w:themeFill="background1"/>
        </w:rPr>
        <w:t xml:space="preserve"> and PIH Notice </w:t>
      </w:r>
      <w:r w:rsidR="00E15135" w:rsidRPr="0044453D">
        <w:rPr>
          <w:iCs/>
          <w:sz w:val="21"/>
          <w:szCs w:val="21"/>
          <w:shd w:val="clear" w:color="auto" w:fill="FFFFFF" w:themeFill="background1"/>
        </w:rPr>
        <w:t>2018-04</w:t>
      </w:r>
      <w:r w:rsidR="002F6F12" w:rsidRPr="0044453D">
        <w:rPr>
          <w:iCs/>
          <w:sz w:val="21"/>
          <w:szCs w:val="21"/>
          <w:shd w:val="clear" w:color="auto" w:fill="FFFFFF" w:themeFill="background1"/>
        </w:rPr>
        <w:t xml:space="preserve"> </w:t>
      </w:r>
      <w:r w:rsidR="00514300" w:rsidRPr="0044453D">
        <w:rPr>
          <w:iCs/>
          <w:sz w:val="21"/>
          <w:szCs w:val="21"/>
          <w:shd w:val="clear" w:color="auto" w:fill="FFFFFF" w:themeFill="background1"/>
        </w:rPr>
        <w:t xml:space="preserve">(or any </w:t>
      </w:r>
      <w:r w:rsidR="00C97B41" w:rsidRPr="0044453D">
        <w:rPr>
          <w:iCs/>
          <w:sz w:val="21"/>
          <w:szCs w:val="21"/>
          <w:shd w:val="clear" w:color="auto" w:fill="FFFFFF" w:themeFill="background1"/>
        </w:rPr>
        <w:t xml:space="preserve">successor </w:t>
      </w:r>
      <w:r w:rsidR="00514300" w:rsidRPr="0044453D">
        <w:rPr>
          <w:iCs/>
          <w:sz w:val="21"/>
          <w:szCs w:val="21"/>
          <w:shd w:val="clear" w:color="auto" w:fill="FFFFFF" w:themeFill="background1"/>
        </w:rPr>
        <w:t>notice)</w:t>
      </w:r>
      <w:r w:rsidRPr="0044453D">
        <w:rPr>
          <w:iCs/>
          <w:sz w:val="21"/>
          <w:szCs w:val="21"/>
          <w:shd w:val="clear" w:color="auto" w:fill="FFFFFF" w:themeFill="background1"/>
        </w:rPr>
        <w:t xml:space="preserve">.  </w:t>
      </w:r>
      <w:r w:rsidR="00CC61A5" w:rsidRPr="0044453D">
        <w:rPr>
          <w:sz w:val="21"/>
          <w:szCs w:val="21"/>
          <w:shd w:val="clear" w:color="auto" w:fill="FFFFFF" w:themeFill="background1"/>
        </w:rPr>
        <w:t>HUD determines commensurate public benefit on a case-by-case basis. However, generally the public housing property must be developed</w:t>
      </w:r>
      <w:r w:rsidR="00023812" w:rsidRPr="0044453D">
        <w:rPr>
          <w:sz w:val="21"/>
          <w:szCs w:val="21"/>
          <w:shd w:val="clear" w:color="auto" w:fill="FFFFFF" w:themeFill="background1"/>
        </w:rPr>
        <w:t xml:space="preserve"> for affordable housing purposes serving </w:t>
      </w:r>
      <w:r w:rsidR="00023812" w:rsidRPr="0044453D">
        <w:rPr>
          <w:rStyle w:val="Strong"/>
          <w:b w:val="0"/>
          <w:sz w:val="21"/>
          <w:szCs w:val="21"/>
          <w:shd w:val="clear" w:color="auto" w:fill="FFFFFF" w:themeFill="background1"/>
        </w:rPr>
        <w:t>low-income families (incomes at or below 80% of area median).</w:t>
      </w:r>
      <w:r w:rsidR="00023812" w:rsidRPr="0044453D">
        <w:rPr>
          <w:rStyle w:val="Strong"/>
          <w:sz w:val="21"/>
          <w:szCs w:val="21"/>
          <w:shd w:val="clear" w:color="auto" w:fill="FFFFFF" w:themeFill="background1"/>
        </w:rPr>
        <w:t xml:space="preserve"> </w:t>
      </w:r>
      <w:r w:rsidR="00E90745" w:rsidRPr="0044453D">
        <w:rPr>
          <w:sz w:val="21"/>
          <w:szCs w:val="21"/>
          <w:shd w:val="clear" w:color="auto" w:fill="FFFFFF" w:themeFill="background1"/>
        </w:rPr>
        <w:t>HUD does not consider general public benefits (e.g., schools, libraries, fire stations, police stations and bridges) to be approvable non-dwelling uses that primarily serve low-income families.</w:t>
      </w:r>
      <w:r w:rsidR="00856E87" w:rsidRPr="0044453D">
        <w:rPr>
          <w:sz w:val="21"/>
          <w:szCs w:val="21"/>
          <w:shd w:val="clear" w:color="auto" w:fill="FFFFFF" w:themeFill="background1"/>
        </w:rPr>
        <w:t xml:space="preserve"> </w:t>
      </w:r>
      <w:r w:rsidR="00A94E5E" w:rsidRPr="0044453D">
        <w:rPr>
          <w:sz w:val="21"/>
          <w:szCs w:val="21"/>
          <w:shd w:val="clear" w:color="auto" w:fill="FFFFFF" w:themeFill="background1"/>
        </w:rPr>
        <w:t>A</w:t>
      </w:r>
      <w:r w:rsidR="00856E87" w:rsidRPr="0044453D">
        <w:rPr>
          <w:sz w:val="21"/>
          <w:szCs w:val="21"/>
          <w:shd w:val="clear" w:color="auto" w:fill="FFFFFF" w:themeFill="background1"/>
        </w:rPr>
        <w:t xml:space="preserve"> PHA may propose a preferred form of use restriction (e.g., LIHTC extended use agreement, HOME agreement, reversion clause in transfer documents, provision in ground lease, separate use agreement).</w:t>
      </w:r>
    </w:p>
    <w:p w14:paraId="31EE0DAF" w14:textId="0ED3F614" w:rsidR="008E6D03" w:rsidRPr="0044453D" w:rsidRDefault="008E6D03" w:rsidP="00511286">
      <w:pPr>
        <w:rPr>
          <w:sz w:val="21"/>
          <w:szCs w:val="21"/>
          <w:shd w:val="clear" w:color="auto" w:fill="FFFFFF" w:themeFill="background1"/>
        </w:rPr>
      </w:pPr>
    </w:p>
    <w:p w14:paraId="22345309" w14:textId="799D752D" w:rsidR="0044453D" w:rsidRDefault="00CC61A5" w:rsidP="00511286">
      <w:pPr>
        <w:ind w:right="-43"/>
        <w:rPr>
          <w:rFonts w:eastAsia="PMingLiU"/>
          <w:sz w:val="21"/>
          <w:szCs w:val="21"/>
          <w:shd w:val="clear" w:color="auto" w:fill="FFFFFF" w:themeFill="background1"/>
        </w:rPr>
      </w:pPr>
      <w:r w:rsidRPr="0044453D">
        <w:rPr>
          <w:bCs/>
          <w:sz w:val="21"/>
          <w:szCs w:val="21"/>
          <w:shd w:val="clear" w:color="auto" w:fill="FFFFFF" w:themeFill="background1"/>
        </w:rPr>
        <w:t xml:space="preserve">If applicable, </w:t>
      </w:r>
      <w:r w:rsidR="00723F57" w:rsidRPr="0044453D">
        <w:rPr>
          <w:rFonts w:eastAsia="PMingLiU"/>
          <w:sz w:val="21"/>
          <w:szCs w:val="21"/>
          <w:shd w:val="clear" w:color="auto" w:fill="FFFFFF" w:themeFill="background1"/>
        </w:rPr>
        <w:t xml:space="preserve">PHAs may, but are not required, to complete the following table and submit with their </w:t>
      </w:r>
      <w:r w:rsidRPr="0044453D">
        <w:rPr>
          <w:rFonts w:eastAsia="PMingLiU"/>
          <w:sz w:val="21"/>
          <w:szCs w:val="21"/>
          <w:shd w:val="clear" w:color="auto" w:fill="FFFFFF" w:themeFill="background1"/>
        </w:rPr>
        <w:t xml:space="preserve">SAC </w:t>
      </w:r>
      <w:r w:rsidR="00723F57" w:rsidRPr="0044453D">
        <w:rPr>
          <w:rFonts w:eastAsia="PMingLiU"/>
          <w:sz w:val="21"/>
          <w:szCs w:val="21"/>
          <w:shd w:val="clear" w:color="auto" w:fill="FFFFFF" w:themeFill="background1"/>
        </w:rPr>
        <w:t>applications</w:t>
      </w:r>
      <w:r w:rsidRPr="0044453D">
        <w:rPr>
          <w:rFonts w:eastAsia="PMingLiU"/>
          <w:sz w:val="21"/>
          <w:szCs w:val="21"/>
          <w:shd w:val="clear" w:color="auto" w:fill="FFFFFF" w:themeFill="background1"/>
        </w:rPr>
        <w:t xml:space="preserve"> in order to evidence the proposed commensurate public benefit</w:t>
      </w:r>
      <w:r w:rsidR="001521D4" w:rsidRPr="0044453D">
        <w:rPr>
          <w:rFonts w:eastAsia="PMingLiU"/>
          <w:sz w:val="21"/>
          <w:szCs w:val="21"/>
          <w:shd w:val="clear" w:color="auto" w:fill="FFFFFF" w:themeFill="background1"/>
        </w:rPr>
        <w:t>, purpose</w:t>
      </w:r>
      <w:r w:rsidR="00E90745" w:rsidRPr="0044453D">
        <w:rPr>
          <w:rFonts w:eastAsia="PMingLiU"/>
          <w:sz w:val="21"/>
          <w:szCs w:val="21"/>
          <w:shd w:val="clear" w:color="auto" w:fill="FFFFFF" w:themeFill="background1"/>
        </w:rPr>
        <w:t xml:space="preserve"> and other disposition details</w:t>
      </w:r>
      <w:r w:rsidR="00723F57" w:rsidRPr="0044453D">
        <w:rPr>
          <w:rFonts w:eastAsia="PMingLiU"/>
          <w:sz w:val="21"/>
          <w:szCs w:val="21"/>
          <w:shd w:val="clear" w:color="auto" w:fill="FFFFFF" w:themeFill="background1"/>
        </w:rPr>
        <w:t>:</w:t>
      </w:r>
    </w:p>
    <w:p w14:paraId="28A53CDB" w14:textId="77777777" w:rsidR="0044453D" w:rsidRDefault="0044453D">
      <w:pPr>
        <w:rPr>
          <w:rFonts w:eastAsia="PMingLiU"/>
          <w:sz w:val="21"/>
          <w:szCs w:val="21"/>
          <w:shd w:val="clear" w:color="auto" w:fill="FFFFFF" w:themeFill="background1"/>
        </w:rPr>
      </w:pPr>
      <w:r>
        <w:rPr>
          <w:rFonts w:eastAsia="PMingLiU"/>
          <w:sz w:val="21"/>
          <w:szCs w:val="21"/>
          <w:shd w:val="clear" w:color="auto" w:fill="FFFFFF" w:themeFill="background1"/>
        </w:rPr>
        <w:br w:type="page"/>
      </w:r>
    </w:p>
    <w:tbl>
      <w:tblPr>
        <w:tblW w:w="978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97"/>
        <w:gridCol w:w="1890"/>
        <w:gridCol w:w="1170"/>
        <w:gridCol w:w="1170"/>
        <w:gridCol w:w="1260"/>
      </w:tblGrid>
      <w:tr w:rsidR="00A40113" w:rsidRPr="0044453D" w14:paraId="2B41E8AB" w14:textId="77777777" w:rsidTr="0048716B">
        <w:trPr>
          <w:cantSplit/>
          <w:jc w:val="center"/>
        </w:trPr>
        <w:tc>
          <w:tcPr>
            <w:tcW w:w="9787" w:type="dxa"/>
            <w:gridSpan w:val="5"/>
            <w:tcBorders>
              <w:top w:val="double" w:sz="6" w:space="0" w:color="auto"/>
              <w:left w:val="double" w:sz="6" w:space="0" w:color="auto"/>
              <w:bottom w:val="single" w:sz="6" w:space="0" w:color="auto"/>
              <w:right w:val="double" w:sz="6" w:space="0" w:color="auto"/>
            </w:tcBorders>
            <w:shd w:val="clear" w:color="auto" w:fill="auto"/>
            <w:vAlign w:val="center"/>
          </w:tcPr>
          <w:p w14:paraId="066E08F9" w14:textId="67889C80" w:rsidR="00A40113" w:rsidRPr="0044453D" w:rsidRDefault="00A40113" w:rsidP="00511286">
            <w:pPr>
              <w:ind w:right="-43"/>
              <w:jc w:val="center"/>
              <w:rPr>
                <w:b/>
                <w:bCs/>
                <w:i/>
                <w:sz w:val="20"/>
                <w:szCs w:val="21"/>
                <w:shd w:val="clear" w:color="auto" w:fill="FFFFFF" w:themeFill="background1"/>
              </w:rPr>
            </w:pPr>
            <w:bookmarkStart w:id="0" w:name="_Hlk507675191"/>
            <w:r w:rsidRPr="0044453D">
              <w:rPr>
                <w:b/>
                <w:bCs/>
                <w:i/>
                <w:sz w:val="20"/>
                <w:szCs w:val="21"/>
                <w:shd w:val="clear" w:color="auto" w:fill="FFFFFF" w:themeFill="background1"/>
              </w:rPr>
              <w:lastRenderedPageBreak/>
              <w:t>Development Name</w:t>
            </w:r>
            <w:r w:rsidR="00B02355" w:rsidRPr="0044453D">
              <w:rPr>
                <w:b/>
                <w:bCs/>
                <w:i/>
                <w:sz w:val="20"/>
                <w:szCs w:val="21"/>
                <w:shd w:val="clear" w:color="auto" w:fill="FFFFFF" w:themeFill="background1"/>
              </w:rPr>
              <w:t xml:space="preserve"> </w:t>
            </w:r>
            <w:r w:rsidR="00B02355" w:rsidRPr="0044453D">
              <w:rPr>
                <w:sz w:val="20"/>
                <w:szCs w:val="21"/>
                <w:shd w:val="clear" w:color="auto" w:fill="FFFFFF" w:themeFill="background1"/>
              </w:rPr>
              <w:fldChar w:fldCharType="begin"/>
            </w:r>
            <w:r w:rsidR="00B02355" w:rsidRPr="0044453D">
              <w:rPr>
                <w:sz w:val="20"/>
                <w:szCs w:val="21"/>
                <w:shd w:val="clear" w:color="auto" w:fill="FFFFFF" w:themeFill="background1"/>
              </w:rPr>
              <w:instrText xml:space="preserve"> FORMTEXT </w:instrText>
            </w:r>
            <w:r w:rsidR="00B02355" w:rsidRPr="0044453D">
              <w:rPr>
                <w:sz w:val="20"/>
                <w:szCs w:val="21"/>
                <w:shd w:val="clear" w:color="auto" w:fill="FFFFFF" w:themeFill="background1"/>
              </w:rPr>
              <w:fldChar w:fldCharType="separate"/>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sz w:val="20"/>
                <w:szCs w:val="21"/>
                <w:shd w:val="clear" w:color="auto" w:fill="FFFFFF" w:themeFill="background1"/>
              </w:rPr>
              <w:fldChar w:fldCharType="end"/>
            </w:r>
            <w:r w:rsidRPr="0044453D">
              <w:rPr>
                <w:b/>
                <w:bCs/>
                <w:i/>
                <w:sz w:val="20"/>
                <w:szCs w:val="21"/>
                <w:shd w:val="clear" w:color="auto" w:fill="FFFFFF" w:themeFill="background1"/>
              </w:rPr>
              <w:t xml:space="preserve"> Development Number</w:t>
            </w:r>
            <w:r w:rsidR="00B02355" w:rsidRPr="0044453D">
              <w:rPr>
                <w:sz w:val="20"/>
                <w:szCs w:val="21"/>
                <w:shd w:val="clear" w:color="auto" w:fill="FFFFFF" w:themeFill="background1"/>
              </w:rPr>
              <w:fldChar w:fldCharType="begin"/>
            </w:r>
            <w:r w:rsidR="00B02355" w:rsidRPr="0044453D">
              <w:rPr>
                <w:sz w:val="20"/>
                <w:szCs w:val="21"/>
                <w:shd w:val="clear" w:color="auto" w:fill="FFFFFF" w:themeFill="background1"/>
              </w:rPr>
              <w:instrText xml:space="preserve"> FORMTEXT </w:instrText>
            </w:r>
            <w:r w:rsidR="00B02355" w:rsidRPr="0044453D">
              <w:rPr>
                <w:sz w:val="20"/>
                <w:szCs w:val="21"/>
                <w:shd w:val="clear" w:color="auto" w:fill="FFFFFF" w:themeFill="background1"/>
              </w:rPr>
              <w:fldChar w:fldCharType="separate"/>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sz w:val="20"/>
                <w:szCs w:val="21"/>
                <w:shd w:val="clear" w:color="auto" w:fill="FFFFFF" w:themeFill="background1"/>
              </w:rPr>
              <w:fldChar w:fldCharType="end"/>
            </w:r>
          </w:p>
          <w:p w14:paraId="465AFA52" w14:textId="715D13CF" w:rsidR="00A40113" w:rsidRPr="0044453D" w:rsidRDefault="00896E57" w:rsidP="00511286">
            <w:pPr>
              <w:ind w:right="-43"/>
              <w:jc w:val="center"/>
              <w:rPr>
                <w:sz w:val="20"/>
                <w:szCs w:val="21"/>
                <w:shd w:val="clear" w:color="auto" w:fill="FFFFFF" w:themeFill="background1"/>
              </w:rPr>
            </w:pPr>
            <w:r w:rsidRPr="0044453D">
              <w:rPr>
                <w:b/>
                <w:sz w:val="20"/>
                <w:szCs w:val="21"/>
                <w:shd w:val="clear" w:color="auto" w:fill="FFFFFF" w:themeFill="background1"/>
              </w:rPr>
              <w:t>Proposed</w:t>
            </w:r>
            <w:r w:rsidR="00A40113" w:rsidRPr="0044453D">
              <w:rPr>
                <w:b/>
                <w:sz w:val="20"/>
                <w:szCs w:val="21"/>
                <w:shd w:val="clear" w:color="auto" w:fill="FFFFFF" w:themeFill="background1"/>
              </w:rPr>
              <w:t xml:space="preserve"> for Disposition:</w:t>
            </w:r>
            <w:r w:rsidR="00A40113" w:rsidRPr="0044453D">
              <w:rPr>
                <w:color w:val="00B0F0"/>
                <w:sz w:val="20"/>
                <w:szCs w:val="21"/>
                <w:shd w:val="clear" w:color="auto" w:fill="FFFFFF" w:themeFill="background1"/>
              </w:rPr>
              <w:t xml:space="preserve">  </w:t>
            </w:r>
            <w:r w:rsidR="00A40113" w:rsidRPr="0044453D">
              <w:rPr>
                <w:sz w:val="20"/>
                <w:szCs w:val="21"/>
                <w:shd w:val="clear" w:color="auto" w:fill="FFFFFF" w:themeFill="background1"/>
              </w:rPr>
              <w:t xml:space="preserve">Building/s: </w:t>
            </w:r>
            <w:r w:rsidR="00B02355" w:rsidRPr="0044453D">
              <w:rPr>
                <w:sz w:val="20"/>
                <w:szCs w:val="21"/>
                <w:shd w:val="clear" w:color="auto" w:fill="FFFFFF" w:themeFill="background1"/>
              </w:rPr>
              <w:fldChar w:fldCharType="begin"/>
            </w:r>
            <w:r w:rsidR="00B02355" w:rsidRPr="0044453D">
              <w:rPr>
                <w:sz w:val="20"/>
                <w:szCs w:val="21"/>
                <w:shd w:val="clear" w:color="auto" w:fill="FFFFFF" w:themeFill="background1"/>
              </w:rPr>
              <w:instrText xml:space="preserve"> FORMTEXT </w:instrText>
            </w:r>
            <w:r w:rsidR="00B02355" w:rsidRPr="0044453D">
              <w:rPr>
                <w:sz w:val="20"/>
                <w:szCs w:val="21"/>
                <w:shd w:val="clear" w:color="auto" w:fill="FFFFFF" w:themeFill="background1"/>
              </w:rPr>
              <w:fldChar w:fldCharType="separate"/>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sz w:val="20"/>
                <w:szCs w:val="21"/>
                <w:shd w:val="clear" w:color="auto" w:fill="FFFFFF" w:themeFill="background1"/>
              </w:rPr>
              <w:fldChar w:fldCharType="end"/>
            </w:r>
            <w:r w:rsidR="00A40113" w:rsidRPr="0044453D">
              <w:rPr>
                <w:sz w:val="20"/>
                <w:szCs w:val="21"/>
                <w:shd w:val="clear" w:color="auto" w:fill="FFFFFF" w:themeFill="background1"/>
              </w:rPr>
              <w:t xml:space="preserve">, Units: </w:t>
            </w:r>
            <w:r w:rsidR="00B02355" w:rsidRPr="0044453D">
              <w:rPr>
                <w:sz w:val="20"/>
                <w:szCs w:val="21"/>
                <w:shd w:val="clear" w:color="auto" w:fill="FFFFFF" w:themeFill="background1"/>
              </w:rPr>
              <w:fldChar w:fldCharType="begin"/>
            </w:r>
            <w:r w:rsidR="00B02355" w:rsidRPr="0044453D">
              <w:rPr>
                <w:sz w:val="20"/>
                <w:szCs w:val="21"/>
                <w:shd w:val="clear" w:color="auto" w:fill="FFFFFF" w:themeFill="background1"/>
              </w:rPr>
              <w:instrText xml:space="preserve"> FORMTEXT </w:instrText>
            </w:r>
            <w:r w:rsidR="00B02355" w:rsidRPr="0044453D">
              <w:rPr>
                <w:sz w:val="20"/>
                <w:szCs w:val="21"/>
                <w:shd w:val="clear" w:color="auto" w:fill="FFFFFF" w:themeFill="background1"/>
              </w:rPr>
              <w:fldChar w:fldCharType="separate"/>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sz w:val="20"/>
                <w:szCs w:val="21"/>
                <w:shd w:val="clear" w:color="auto" w:fill="FFFFFF" w:themeFill="background1"/>
              </w:rPr>
              <w:fldChar w:fldCharType="end"/>
            </w:r>
            <w:r w:rsidR="00A40113" w:rsidRPr="0044453D">
              <w:rPr>
                <w:sz w:val="20"/>
                <w:szCs w:val="21"/>
                <w:shd w:val="clear" w:color="auto" w:fill="FFFFFF" w:themeFill="background1"/>
              </w:rPr>
              <w:t xml:space="preserve">, Acres: </w:t>
            </w:r>
            <w:r w:rsidR="00B02355" w:rsidRPr="0044453D">
              <w:rPr>
                <w:sz w:val="20"/>
                <w:szCs w:val="21"/>
                <w:shd w:val="clear" w:color="auto" w:fill="FFFFFF" w:themeFill="background1"/>
              </w:rPr>
              <w:fldChar w:fldCharType="begin"/>
            </w:r>
            <w:r w:rsidR="00B02355" w:rsidRPr="0044453D">
              <w:rPr>
                <w:sz w:val="20"/>
                <w:szCs w:val="21"/>
                <w:shd w:val="clear" w:color="auto" w:fill="FFFFFF" w:themeFill="background1"/>
              </w:rPr>
              <w:instrText xml:space="preserve"> FORMTEXT </w:instrText>
            </w:r>
            <w:r w:rsidR="00B02355" w:rsidRPr="0044453D">
              <w:rPr>
                <w:sz w:val="20"/>
                <w:szCs w:val="21"/>
                <w:shd w:val="clear" w:color="auto" w:fill="FFFFFF" w:themeFill="background1"/>
              </w:rPr>
              <w:fldChar w:fldCharType="separate"/>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noProof/>
                <w:sz w:val="20"/>
                <w:szCs w:val="21"/>
                <w:shd w:val="clear" w:color="auto" w:fill="FFFFFF" w:themeFill="background1"/>
              </w:rPr>
              <w:t> </w:t>
            </w:r>
            <w:r w:rsidR="00B02355" w:rsidRPr="0044453D">
              <w:rPr>
                <w:sz w:val="20"/>
                <w:szCs w:val="21"/>
                <w:shd w:val="clear" w:color="auto" w:fill="FFFFFF" w:themeFill="background1"/>
              </w:rPr>
              <w:fldChar w:fldCharType="end"/>
            </w:r>
          </w:p>
        </w:tc>
      </w:tr>
      <w:tr w:rsidR="0050026A" w:rsidRPr="0044453D" w14:paraId="41216064" w14:textId="77777777" w:rsidTr="0048716B">
        <w:trPr>
          <w:cantSplit/>
          <w:trHeight w:val="476"/>
          <w:jc w:val="center"/>
        </w:trPr>
        <w:tc>
          <w:tcPr>
            <w:tcW w:w="4297" w:type="dxa"/>
            <w:tcBorders>
              <w:top w:val="single" w:sz="12" w:space="0" w:color="auto"/>
              <w:left w:val="double" w:sz="6" w:space="0" w:color="auto"/>
              <w:right w:val="single" w:sz="6" w:space="0" w:color="auto"/>
            </w:tcBorders>
            <w:vAlign w:val="center"/>
          </w:tcPr>
          <w:p w14:paraId="617FB633" w14:textId="5320E6BB" w:rsidR="0050026A" w:rsidRPr="0044453D" w:rsidRDefault="0050026A" w:rsidP="00511286">
            <w:pPr>
              <w:ind w:right="-43"/>
              <w:jc w:val="center"/>
              <w:rPr>
                <w:sz w:val="20"/>
                <w:szCs w:val="21"/>
                <w:shd w:val="clear" w:color="auto" w:fill="FFFFFF" w:themeFill="background1"/>
              </w:rPr>
            </w:pPr>
            <w:r w:rsidRPr="0044453D">
              <w:rPr>
                <w:sz w:val="20"/>
                <w:szCs w:val="21"/>
                <w:shd w:val="clear" w:color="auto" w:fill="FFFFFF" w:themeFill="background1"/>
              </w:rPr>
              <w:t xml:space="preserve">Total number of units to be developed (or preserved) on property: </w:t>
            </w: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423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7B7D9CAA" w14:textId="77777777" w:rsidR="0050026A" w:rsidRPr="0044453D" w:rsidRDefault="0050026A" w:rsidP="00511286">
            <w:pPr>
              <w:ind w:right="-43"/>
              <w:jc w:val="center"/>
              <w:rPr>
                <w:sz w:val="20"/>
                <w:szCs w:val="21"/>
                <w:shd w:val="clear" w:color="auto" w:fill="FFFFFF" w:themeFill="background1"/>
              </w:rPr>
            </w:pPr>
            <w:r w:rsidRPr="0044453D">
              <w:rPr>
                <w:sz w:val="20"/>
                <w:szCs w:val="21"/>
                <w:shd w:val="clear" w:color="auto" w:fill="FFFFFF" w:themeFill="background1"/>
              </w:rPr>
              <w:t>Less than 80% of Area Median Income</w:t>
            </w:r>
          </w:p>
        </w:tc>
        <w:tc>
          <w:tcPr>
            <w:tcW w:w="1260" w:type="dxa"/>
            <w:tcBorders>
              <w:top w:val="single" w:sz="12" w:space="0" w:color="auto"/>
              <w:left w:val="single" w:sz="6" w:space="0" w:color="auto"/>
              <w:right w:val="double" w:sz="6" w:space="0" w:color="auto"/>
            </w:tcBorders>
            <w:shd w:val="clear" w:color="auto" w:fill="auto"/>
            <w:vAlign w:val="center"/>
          </w:tcPr>
          <w:p w14:paraId="1CF0134E" w14:textId="77777777" w:rsidR="0050026A" w:rsidRPr="0044453D" w:rsidRDefault="0050026A" w:rsidP="00511286">
            <w:pPr>
              <w:ind w:right="-43"/>
              <w:jc w:val="center"/>
              <w:rPr>
                <w:sz w:val="20"/>
                <w:szCs w:val="21"/>
                <w:shd w:val="clear" w:color="auto" w:fill="FFFFFF" w:themeFill="background1"/>
              </w:rPr>
            </w:pPr>
          </w:p>
        </w:tc>
      </w:tr>
      <w:tr w:rsidR="00B31CA3" w:rsidRPr="0044453D" w14:paraId="2A44830B" w14:textId="77777777" w:rsidTr="0048716B">
        <w:trPr>
          <w:cantSplit/>
          <w:trHeight w:val="417"/>
          <w:jc w:val="center"/>
        </w:trPr>
        <w:tc>
          <w:tcPr>
            <w:tcW w:w="4297" w:type="dxa"/>
            <w:tcBorders>
              <w:top w:val="single" w:sz="6" w:space="0" w:color="auto"/>
              <w:left w:val="double" w:sz="4" w:space="0" w:color="auto"/>
              <w:bottom w:val="single" w:sz="6" w:space="0" w:color="auto"/>
              <w:right w:val="single" w:sz="6" w:space="0" w:color="auto"/>
            </w:tcBorders>
            <w:vAlign w:val="center"/>
          </w:tcPr>
          <w:p w14:paraId="47F893FA" w14:textId="1C87EF38" w:rsidR="00B31CA3" w:rsidRPr="0044453D" w:rsidRDefault="001521D4" w:rsidP="00511286">
            <w:pPr>
              <w:ind w:right="-43"/>
              <w:jc w:val="center"/>
              <w:rPr>
                <w:sz w:val="20"/>
                <w:szCs w:val="21"/>
                <w:shd w:val="clear" w:color="auto" w:fill="FFFFFF" w:themeFill="background1"/>
              </w:rPr>
            </w:pPr>
            <w:r w:rsidRPr="0044453D">
              <w:rPr>
                <w:sz w:val="20"/>
                <w:szCs w:val="21"/>
                <w:shd w:val="clear" w:color="auto" w:fill="FFFFFF" w:themeFill="background1"/>
              </w:rPr>
              <w:t>Total number of non-dwelling buildings to be developed (or preserved) on property:</w:t>
            </w: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D9AFAB2" w14:textId="0DA675B1" w:rsidR="00B31CA3" w:rsidRPr="0044453D" w:rsidRDefault="00B31CA3" w:rsidP="00511286">
            <w:pPr>
              <w:ind w:right="-43"/>
              <w:jc w:val="center"/>
              <w:rPr>
                <w:sz w:val="20"/>
                <w:szCs w:val="21"/>
                <w:shd w:val="clear" w:color="auto" w:fill="FFFFFF" w:themeFill="background1"/>
              </w:rPr>
            </w:pPr>
            <w:r w:rsidRPr="0044453D">
              <w:rPr>
                <w:sz w:val="20"/>
                <w:szCs w:val="21"/>
                <w:shd w:val="clear" w:color="auto" w:fill="FFFFFF" w:themeFill="background1"/>
              </w:rPr>
              <w:t>ACC</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D906C0F" w14:textId="77777777" w:rsidR="00B31CA3" w:rsidRPr="0044453D" w:rsidRDefault="00B31CA3" w:rsidP="00511286">
            <w:pPr>
              <w:ind w:right="-43"/>
              <w:jc w:val="center"/>
              <w:rPr>
                <w:sz w:val="20"/>
                <w:szCs w:val="21"/>
                <w:shd w:val="clear" w:color="auto" w:fill="FFFFFF" w:themeFill="background1"/>
              </w:rPr>
            </w:pPr>
            <w:r w:rsidRPr="0044453D">
              <w:rPr>
                <w:sz w:val="20"/>
                <w:szCs w:val="21"/>
                <w:shd w:val="clear" w:color="auto" w:fill="FFFFFF" w:themeFill="background1"/>
              </w:rPr>
              <w:t>Non-ACC</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88E5CC7" w14:textId="77777777" w:rsidR="00B31CA3" w:rsidRPr="0044453D" w:rsidRDefault="00B31CA3" w:rsidP="00511286">
            <w:pPr>
              <w:ind w:right="-43"/>
              <w:jc w:val="center"/>
              <w:rPr>
                <w:sz w:val="20"/>
                <w:szCs w:val="21"/>
                <w:shd w:val="clear" w:color="auto" w:fill="FFFFFF" w:themeFill="background1"/>
              </w:rPr>
            </w:pPr>
            <w:r w:rsidRPr="0044453D">
              <w:rPr>
                <w:sz w:val="20"/>
                <w:szCs w:val="21"/>
                <w:shd w:val="clear" w:color="auto" w:fill="FFFFFF" w:themeFill="background1"/>
              </w:rPr>
              <w:t>PBV</w:t>
            </w:r>
          </w:p>
        </w:tc>
        <w:tc>
          <w:tcPr>
            <w:tcW w:w="1260" w:type="dxa"/>
            <w:tcBorders>
              <w:top w:val="single" w:sz="6" w:space="0" w:color="auto"/>
              <w:left w:val="single" w:sz="6" w:space="0" w:color="auto"/>
              <w:bottom w:val="single" w:sz="6" w:space="0" w:color="auto"/>
              <w:right w:val="double" w:sz="6" w:space="0" w:color="auto"/>
            </w:tcBorders>
            <w:shd w:val="clear" w:color="auto" w:fill="auto"/>
            <w:vAlign w:val="center"/>
          </w:tcPr>
          <w:p w14:paraId="388A3C9F" w14:textId="77777777" w:rsidR="00B31CA3" w:rsidRPr="0044453D" w:rsidRDefault="00B31CA3" w:rsidP="00511286">
            <w:pPr>
              <w:ind w:right="-43"/>
              <w:jc w:val="center"/>
              <w:rPr>
                <w:sz w:val="20"/>
                <w:szCs w:val="21"/>
                <w:shd w:val="clear" w:color="auto" w:fill="FFFFFF" w:themeFill="background1"/>
              </w:rPr>
            </w:pPr>
            <w:r w:rsidRPr="0044453D">
              <w:rPr>
                <w:sz w:val="20"/>
                <w:szCs w:val="21"/>
                <w:shd w:val="clear" w:color="auto" w:fill="FFFFFF" w:themeFill="background1"/>
              </w:rPr>
              <w:t>Market Rate</w:t>
            </w:r>
          </w:p>
        </w:tc>
      </w:tr>
      <w:tr w:rsidR="001521D4" w:rsidRPr="0044453D" w14:paraId="68889BBE" w14:textId="77777777" w:rsidTr="0048716B">
        <w:trPr>
          <w:cantSplit/>
          <w:trHeight w:val="80"/>
          <w:jc w:val="center"/>
        </w:trPr>
        <w:tc>
          <w:tcPr>
            <w:tcW w:w="4297" w:type="dxa"/>
            <w:tcBorders>
              <w:top w:val="single" w:sz="6" w:space="0" w:color="auto"/>
              <w:left w:val="double" w:sz="4" w:space="0" w:color="auto"/>
              <w:bottom w:val="single" w:sz="6" w:space="0" w:color="auto"/>
              <w:right w:val="single" w:sz="6" w:space="0" w:color="auto"/>
            </w:tcBorders>
            <w:vAlign w:val="center"/>
          </w:tcPr>
          <w:p w14:paraId="21640A53" w14:textId="77777777"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Rental</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5ECD704" w14:textId="2B755837"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A016528" w14:textId="016CB33B"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2928BEB" w14:textId="173A9B7E" w:rsidR="00A40113" w:rsidRPr="0044453D" w:rsidRDefault="00B02355"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260" w:type="dxa"/>
            <w:tcBorders>
              <w:top w:val="single" w:sz="6" w:space="0" w:color="auto"/>
              <w:left w:val="single" w:sz="6" w:space="0" w:color="auto"/>
              <w:bottom w:val="single" w:sz="6" w:space="0" w:color="auto"/>
              <w:right w:val="double" w:sz="6" w:space="0" w:color="auto"/>
            </w:tcBorders>
            <w:shd w:val="clear" w:color="auto" w:fill="auto"/>
            <w:vAlign w:val="center"/>
          </w:tcPr>
          <w:p w14:paraId="2B0E8ECA" w14:textId="056E8000"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r>
      <w:tr w:rsidR="001521D4" w:rsidRPr="0044453D" w14:paraId="0F78D64D" w14:textId="77777777" w:rsidTr="0048716B">
        <w:trPr>
          <w:cantSplit/>
          <w:trHeight w:val="80"/>
          <w:jc w:val="center"/>
        </w:trPr>
        <w:tc>
          <w:tcPr>
            <w:tcW w:w="4297" w:type="dxa"/>
            <w:tcBorders>
              <w:top w:val="single" w:sz="6" w:space="0" w:color="auto"/>
              <w:left w:val="double" w:sz="6" w:space="0" w:color="auto"/>
              <w:bottom w:val="single" w:sz="6" w:space="0" w:color="auto"/>
              <w:right w:val="single" w:sz="6" w:space="0" w:color="auto"/>
            </w:tcBorders>
            <w:vAlign w:val="center"/>
          </w:tcPr>
          <w:p w14:paraId="5BCBC959" w14:textId="77777777"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For Sale</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33F848CE" w14:textId="4F03410F"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70DC8C6" w14:textId="5D6EFA55"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6DC27C6" w14:textId="316C5448" w:rsidR="00A40113" w:rsidRPr="0044453D" w:rsidRDefault="00B02355"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c>
          <w:tcPr>
            <w:tcW w:w="1260" w:type="dxa"/>
            <w:tcBorders>
              <w:top w:val="single" w:sz="6" w:space="0" w:color="auto"/>
              <w:left w:val="single" w:sz="6" w:space="0" w:color="auto"/>
              <w:bottom w:val="single" w:sz="6" w:space="0" w:color="auto"/>
              <w:right w:val="double" w:sz="6" w:space="0" w:color="auto"/>
            </w:tcBorders>
            <w:shd w:val="clear" w:color="auto" w:fill="auto"/>
            <w:vAlign w:val="center"/>
          </w:tcPr>
          <w:p w14:paraId="06EEBA97" w14:textId="58FAA830"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r>
      <w:tr w:rsidR="00A40113" w:rsidRPr="0044453D" w14:paraId="29C017DF" w14:textId="77777777" w:rsidTr="0048716B">
        <w:trPr>
          <w:cantSplit/>
          <w:jc w:val="center"/>
        </w:trPr>
        <w:tc>
          <w:tcPr>
            <w:tcW w:w="4297" w:type="dxa"/>
            <w:tcBorders>
              <w:top w:val="single" w:sz="12" w:space="0" w:color="auto"/>
              <w:left w:val="double" w:sz="6" w:space="0" w:color="auto"/>
              <w:bottom w:val="single" w:sz="12" w:space="0" w:color="auto"/>
              <w:right w:val="single" w:sz="6" w:space="0" w:color="auto"/>
            </w:tcBorders>
            <w:vAlign w:val="center"/>
          </w:tcPr>
          <w:p w14:paraId="29C1F83A" w14:textId="2CE37A9A"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t xml:space="preserve">Name of </w:t>
            </w:r>
            <w:r w:rsidR="00A40113" w:rsidRPr="0044453D">
              <w:rPr>
                <w:sz w:val="20"/>
                <w:szCs w:val="21"/>
                <w:shd w:val="clear" w:color="auto" w:fill="FFFFFF" w:themeFill="background1"/>
              </w:rPr>
              <w:t>Acquiring Entity (Rental Units)</w:t>
            </w:r>
          </w:p>
        </w:tc>
        <w:tc>
          <w:tcPr>
            <w:tcW w:w="5490" w:type="dxa"/>
            <w:gridSpan w:val="4"/>
            <w:tcBorders>
              <w:top w:val="single" w:sz="12" w:space="0" w:color="auto"/>
              <w:left w:val="single" w:sz="6" w:space="0" w:color="auto"/>
              <w:bottom w:val="single" w:sz="12" w:space="0" w:color="auto"/>
              <w:right w:val="double" w:sz="6" w:space="0" w:color="auto"/>
            </w:tcBorders>
            <w:shd w:val="clear" w:color="auto" w:fill="auto"/>
            <w:vAlign w:val="center"/>
          </w:tcPr>
          <w:p w14:paraId="115CA203" w14:textId="3E8D8BC2"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r>
      <w:tr w:rsidR="00A40113" w:rsidRPr="0044453D" w14:paraId="6C96F57D" w14:textId="77777777" w:rsidTr="0048716B">
        <w:trPr>
          <w:cantSplit/>
          <w:jc w:val="center"/>
        </w:trPr>
        <w:tc>
          <w:tcPr>
            <w:tcW w:w="4297" w:type="dxa"/>
            <w:tcBorders>
              <w:top w:val="single" w:sz="12" w:space="0" w:color="auto"/>
              <w:left w:val="double" w:sz="6" w:space="0" w:color="auto"/>
              <w:bottom w:val="single" w:sz="12" w:space="0" w:color="auto"/>
              <w:right w:val="single" w:sz="6" w:space="0" w:color="auto"/>
            </w:tcBorders>
            <w:vAlign w:val="center"/>
          </w:tcPr>
          <w:p w14:paraId="49608421" w14:textId="21147F6C"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t>Name of A</w:t>
            </w:r>
            <w:r w:rsidR="00A40113" w:rsidRPr="0044453D">
              <w:rPr>
                <w:sz w:val="20"/>
                <w:szCs w:val="21"/>
                <w:shd w:val="clear" w:color="auto" w:fill="FFFFFF" w:themeFill="background1"/>
              </w:rPr>
              <w:t>cquiring Entity (</w:t>
            </w:r>
            <w:r w:rsidRPr="0044453D">
              <w:rPr>
                <w:sz w:val="20"/>
                <w:szCs w:val="21"/>
                <w:shd w:val="clear" w:color="auto" w:fill="FFFFFF" w:themeFill="background1"/>
              </w:rPr>
              <w:t>initial developer) (</w:t>
            </w:r>
            <w:r w:rsidR="00A40113" w:rsidRPr="0044453D">
              <w:rPr>
                <w:sz w:val="20"/>
                <w:szCs w:val="21"/>
                <w:shd w:val="clear" w:color="auto" w:fill="FFFFFF" w:themeFill="background1"/>
              </w:rPr>
              <w:t>For Sale Units)</w:t>
            </w:r>
          </w:p>
        </w:tc>
        <w:tc>
          <w:tcPr>
            <w:tcW w:w="5490" w:type="dxa"/>
            <w:gridSpan w:val="4"/>
            <w:tcBorders>
              <w:top w:val="single" w:sz="12" w:space="0" w:color="auto"/>
              <w:left w:val="single" w:sz="6" w:space="0" w:color="auto"/>
              <w:bottom w:val="single" w:sz="12" w:space="0" w:color="auto"/>
              <w:right w:val="double" w:sz="6" w:space="0" w:color="auto"/>
            </w:tcBorders>
            <w:shd w:val="clear" w:color="auto" w:fill="auto"/>
            <w:vAlign w:val="center"/>
          </w:tcPr>
          <w:p w14:paraId="16B9AFB8" w14:textId="14A37C7C"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r>
      <w:tr w:rsidR="00A40113" w:rsidRPr="0044453D" w14:paraId="1D991643" w14:textId="77777777" w:rsidTr="0048716B">
        <w:trPr>
          <w:cantSplit/>
          <w:jc w:val="center"/>
        </w:trPr>
        <w:tc>
          <w:tcPr>
            <w:tcW w:w="4297" w:type="dxa"/>
            <w:tcBorders>
              <w:top w:val="single" w:sz="12" w:space="0" w:color="auto"/>
              <w:left w:val="double" w:sz="6" w:space="0" w:color="auto"/>
              <w:bottom w:val="single" w:sz="12" w:space="0" w:color="auto"/>
              <w:right w:val="single" w:sz="6" w:space="0" w:color="auto"/>
            </w:tcBorders>
            <w:vAlign w:val="center"/>
          </w:tcPr>
          <w:p w14:paraId="7654BFD5" w14:textId="66A89CB1"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 xml:space="preserve">Method of </w:t>
            </w:r>
            <w:r w:rsidR="00322FA6" w:rsidRPr="0044453D">
              <w:rPr>
                <w:sz w:val="20"/>
                <w:szCs w:val="21"/>
                <w:shd w:val="clear" w:color="auto" w:fill="FFFFFF" w:themeFill="background1"/>
              </w:rPr>
              <w:t>Disposition</w:t>
            </w:r>
          </w:p>
        </w:tc>
        <w:tc>
          <w:tcPr>
            <w:tcW w:w="5490" w:type="dxa"/>
            <w:gridSpan w:val="4"/>
            <w:tcBorders>
              <w:top w:val="single" w:sz="12" w:space="0" w:color="auto"/>
              <w:left w:val="single" w:sz="6" w:space="0" w:color="auto"/>
              <w:bottom w:val="single" w:sz="12" w:space="0" w:color="auto"/>
              <w:right w:val="double" w:sz="6" w:space="0" w:color="auto"/>
            </w:tcBorders>
            <w:shd w:val="clear" w:color="auto" w:fill="auto"/>
            <w:vAlign w:val="center"/>
          </w:tcPr>
          <w:p w14:paraId="2C503F4C" w14:textId="39DEDE94"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r w:rsidRPr="0044453D">
              <w:rPr>
                <w:sz w:val="20"/>
                <w:szCs w:val="21"/>
                <w:shd w:val="clear" w:color="auto" w:fill="FFFFFF" w:themeFill="background1"/>
              </w:rPr>
              <w:t xml:space="preserve">(e.g. 99-year ground lease; </w:t>
            </w:r>
            <w:r w:rsidR="006804F8" w:rsidRPr="0044453D">
              <w:rPr>
                <w:sz w:val="20"/>
                <w:szCs w:val="21"/>
                <w:shd w:val="clear" w:color="auto" w:fill="FFFFFF" w:themeFill="background1"/>
              </w:rPr>
              <w:t xml:space="preserve">fee simple </w:t>
            </w:r>
            <w:r w:rsidRPr="0044453D">
              <w:rPr>
                <w:sz w:val="20"/>
                <w:szCs w:val="21"/>
                <w:shd w:val="clear" w:color="auto" w:fill="FFFFFF" w:themeFill="background1"/>
              </w:rPr>
              <w:t>sale</w:t>
            </w:r>
            <w:r w:rsidR="008E6D03" w:rsidRPr="0044453D">
              <w:rPr>
                <w:sz w:val="20"/>
                <w:szCs w:val="21"/>
                <w:shd w:val="clear" w:color="auto" w:fill="FFFFFF" w:themeFill="background1"/>
              </w:rPr>
              <w:t>; Fair Market Value</w:t>
            </w:r>
            <w:r w:rsidRPr="0044453D">
              <w:rPr>
                <w:sz w:val="20"/>
                <w:szCs w:val="21"/>
                <w:shd w:val="clear" w:color="auto" w:fill="FFFFFF" w:themeFill="background1"/>
              </w:rPr>
              <w:t>)</w:t>
            </w:r>
          </w:p>
        </w:tc>
      </w:tr>
      <w:tr w:rsidR="00A40113" w:rsidRPr="0044453D" w14:paraId="6DC31A44" w14:textId="77777777" w:rsidTr="0048716B">
        <w:trPr>
          <w:cantSplit/>
          <w:jc w:val="center"/>
        </w:trPr>
        <w:tc>
          <w:tcPr>
            <w:tcW w:w="4297" w:type="dxa"/>
            <w:tcBorders>
              <w:top w:val="single" w:sz="12" w:space="0" w:color="auto"/>
              <w:left w:val="double" w:sz="6" w:space="0" w:color="auto"/>
              <w:bottom w:val="single" w:sz="12" w:space="0" w:color="auto"/>
              <w:right w:val="single" w:sz="6" w:space="0" w:color="auto"/>
            </w:tcBorders>
            <w:vAlign w:val="center"/>
          </w:tcPr>
          <w:p w14:paraId="14F7BF0A" w14:textId="77777777"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Lease Price</w:t>
            </w:r>
          </w:p>
        </w:tc>
        <w:tc>
          <w:tcPr>
            <w:tcW w:w="5490" w:type="dxa"/>
            <w:gridSpan w:val="4"/>
            <w:tcBorders>
              <w:top w:val="single" w:sz="12" w:space="0" w:color="auto"/>
              <w:left w:val="single" w:sz="6" w:space="0" w:color="auto"/>
              <w:bottom w:val="single" w:sz="12" w:space="0" w:color="auto"/>
              <w:right w:val="double" w:sz="6" w:space="0" w:color="auto"/>
            </w:tcBorders>
            <w:shd w:val="clear" w:color="auto" w:fill="auto"/>
            <w:vAlign w:val="center"/>
          </w:tcPr>
          <w:p w14:paraId="7F68AD08" w14:textId="12877D76"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w:t>
            </w:r>
            <w:r w:rsidR="00E31186" w:rsidRPr="0044453D">
              <w:rPr>
                <w:sz w:val="20"/>
                <w:szCs w:val="21"/>
                <w:shd w:val="clear" w:color="auto" w:fill="FFFFFF" w:themeFill="background1"/>
              </w:rPr>
              <w:fldChar w:fldCharType="begin"/>
            </w:r>
            <w:r w:rsidR="00E31186" w:rsidRPr="0044453D">
              <w:rPr>
                <w:sz w:val="20"/>
                <w:szCs w:val="21"/>
                <w:shd w:val="clear" w:color="auto" w:fill="FFFFFF" w:themeFill="background1"/>
              </w:rPr>
              <w:instrText xml:space="preserve"> FORMTEXT </w:instrText>
            </w:r>
            <w:r w:rsidR="00E31186" w:rsidRPr="0044453D">
              <w:rPr>
                <w:sz w:val="20"/>
                <w:szCs w:val="21"/>
                <w:shd w:val="clear" w:color="auto" w:fill="FFFFFF" w:themeFill="background1"/>
              </w:rPr>
              <w:fldChar w:fldCharType="separate"/>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sz w:val="20"/>
                <w:szCs w:val="21"/>
                <w:shd w:val="clear" w:color="auto" w:fill="FFFFFF" w:themeFill="background1"/>
              </w:rPr>
              <w:fldChar w:fldCharType="end"/>
            </w:r>
            <w:r w:rsidRPr="0044453D">
              <w:rPr>
                <w:sz w:val="20"/>
                <w:szCs w:val="21"/>
                <w:shd w:val="clear" w:color="auto" w:fill="FFFFFF" w:themeFill="background1"/>
              </w:rPr>
              <w:t xml:space="preserve"> per year</w:t>
            </w:r>
          </w:p>
        </w:tc>
      </w:tr>
      <w:tr w:rsidR="00A40113" w:rsidRPr="0044453D" w14:paraId="16E06E6B" w14:textId="77777777" w:rsidTr="0048716B">
        <w:trPr>
          <w:cantSplit/>
          <w:jc w:val="center"/>
        </w:trPr>
        <w:tc>
          <w:tcPr>
            <w:tcW w:w="4297" w:type="dxa"/>
            <w:tcBorders>
              <w:top w:val="single" w:sz="12" w:space="0" w:color="auto"/>
              <w:left w:val="double" w:sz="6" w:space="0" w:color="auto"/>
              <w:bottom w:val="single" w:sz="12" w:space="0" w:color="auto"/>
              <w:right w:val="single" w:sz="6" w:space="0" w:color="auto"/>
            </w:tcBorders>
            <w:vAlign w:val="center"/>
          </w:tcPr>
          <w:p w14:paraId="70D3A766" w14:textId="77777777"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Sale Price</w:t>
            </w:r>
          </w:p>
        </w:tc>
        <w:tc>
          <w:tcPr>
            <w:tcW w:w="5490" w:type="dxa"/>
            <w:gridSpan w:val="4"/>
            <w:tcBorders>
              <w:top w:val="single" w:sz="12" w:space="0" w:color="auto"/>
              <w:left w:val="single" w:sz="6" w:space="0" w:color="auto"/>
              <w:bottom w:val="single" w:sz="12" w:space="0" w:color="auto"/>
              <w:right w:val="double" w:sz="6" w:space="0" w:color="auto"/>
            </w:tcBorders>
            <w:shd w:val="clear" w:color="auto" w:fill="auto"/>
            <w:vAlign w:val="center"/>
          </w:tcPr>
          <w:p w14:paraId="02C9E846" w14:textId="3ED69D73" w:rsidR="00A40113" w:rsidRPr="0044453D" w:rsidRDefault="00A40113" w:rsidP="00511286">
            <w:pPr>
              <w:ind w:right="-43"/>
              <w:jc w:val="center"/>
              <w:rPr>
                <w:sz w:val="20"/>
                <w:szCs w:val="21"/>
                <w:shd w:val="clear" w:color="auto" w:fill="FFFFFF" w:themeFill="background1"/>
              </w:rPr>
            </w:pPr>
            <w:r w:rsidRPr="0044453D">
              <w:rPr>
                <w:sz w:val="20"/>
                <w:szCs w:val="21"/>
                <w:shd w:val="clear" w:color="auto" w:fill="FFFFFF" w:themeFill="background1"/>
              </w:rPr>
              <w:t>$</w:t>
            </w:r>
            <w:r w:rsidR="00E31186" w:rsidRPr="0044453D">
              <w:rPr>
                <w:sz w:val="20"/>
                <w:szCs w:val="21"/>
                <w:shd w:val="clear" w:color="auto" w:fill="FFFFFF" w:themeFill="background1"/>
              </w:rPr>
              <w:fldChar w:fldCharType="begin"/>
            </w:r>
            <w:r w:rsidR="00E31186" w:rsidRPr="0044453D">
              <w:rPr>
                <w:sz w:val="20"/>
                <w:szCs w:val="21"/>
                <w:shd w:val="clear" w:color="auto" w:fill="FFFFFF" w:themeFill="background1"/>
              </w:rPr>
              <w:instrText xml:space="preserve"> FORMTEXT </w:instrText>
            </w:r>
            <w:r w:rsidR="00E31186" w:rsidRPr="0044453D">
              <w:rPr>
                <w:sz w:val="20"/>
                <w:szCs w:val="21"/>
                <w:shd w:val="clear" w:color="auto" w:fill="FFFFFF" w:themeFill="background1"/>
              </w:rPr>
              <w:fldChar w:fldCharType="separate"/>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noProof/>
                <w:sz w:val="20"/>
                <w:szCs w:val="21"/>
                <w:shd w:val="clear" w:color="auto" w:fill="FFFFFF" w:themeFill="background1"/>
              </w:rPr>
              <w:t> </w:t>
            </w:r>
            <w:r w:rsidR="00E31186" w:rsidRPr="0044453D">
              <w:rPr>
                <w:sz w:val="20"/>
                <w:szCs w:val="21"/>
                <w:shd w:val="clear" w:color="auto" w:fill="FFFFFF" w:themeFill="background1"/>
              </w:rPr>
              <w:fldChar w:fldCharType="end"/>
            </w:r>
          </w:p>
        </w:tc>
      </w:tr>
      <w:tr w:rsidR="00A40113" w:rsidRPr="0044453D" w14:paraId="63F3740A" w14:textId="77777777" w:rsidTr="0048716B">
        <w:trPr>
          <w:cantSplit/>
          <w:jc w:val="center"/>
        </w:trPr>
        <w:tc>
          <w:tcPr>
            <w:tcW w:w="4297" w:type="dxa"/>
            <w:tcBorders>
              <w:top w:val="single" w:sz="12" w:space="0" w:color="auto"/>
              <w:left w:val="double" w:sz="6" w:space="0" w:color="auto"/>
              <w:bottom w:val="double" w:sz="6" w:space="0" w:color="auto"/>
              <w:right w:val="single" w:sz="6" w:space="0" w:color="auto"/>
            </w:tcBorders>
            <w:vAlign w:val="center"/>
          </w:tcPr>
          <w:p w14:paraId="3AF8C010" w14:textId="08CACED9" w:rsidR="00E31186" w:rsidRPr="0044453D" w:rsidRDefault="001521D4" w:rsidP="00511286">
            <w:pPr>
              <w:ind w:right="-43"/>
              <w:jc w:val="center"/>
              <w:rPr>
                <w:sz w:val="20"/>
                <w:szCs w:val="21"/>
                <w:shd w:val="clear" w:color="auto" w:fill="FFFFFF" w:themeFill="background1"/>
              </w:rPr>
            </w:pPr>
            <w:r w:rsidRPr="0044453D">
              <w:rPr>
                <w:sz w:val="20"/>
                <w:szCs w:val="21"/>
                <w:shd w:val="clear" w:color="auto" w:fill="FFFFFF" w:themeFill="background1"/>
              </w:rPr>
              <w:t xml:space="preserve">Purpose and or </w:t>
            </w:r>
            <w:r w:rsidR="00245F69" w:rsidRPr="0044453D">
              <w:rPr>
                <w:sz w:val="20"/>
                <w:szCs w:val="21"/>
                <w:shd w:val="clear" w:color="auto" w:fill="FFFFFF" w:themeFill="background1"/>
              </w:rPr>
              <w:t>s</w:t>
            </w:r>
            <w:r w:rsidR="00322FA6" w:rsidRPr="0044453D">
              <w:rPr>
                <w:sz w:val="20"/>
                <w:szCs w:val="21"/>
                <w:shd w:val="clear" w:color="auto" w:fill="FFFFFF" w:themeFill="background1"/>
              </w:rPr>
              <w:t>ummary of Commensurate Public</w:t>
            </w:r>
            <w:r w:rsidR="00453F4B" w:rsidRPr="0044453D">
              <w:rPr>
                <w:sz w:val="20"/>
                <w:szCs w:val="21"/>
                <w:shd w:val="clear" w:color="auto" w:fill="FFFFFF" w:themeFill="background1"/>
              </w:rPr>
              <w:t xml:space="preserve"> </w:t>
            </w:r>
            <w:r w:rsidR="00322FA6" w:rsidRPr="0044453D">
              <w:rPr>
                <w:sz w:val="20"/>
                <w:szCs w:val="21"/>
                <w:shd w:val="clear" w:color="auto" w:fill="FFFFFF" w:themeFill="background1"/>
              </w:rPr>
              <w:t>Benefit</w:t>
            </w:r>
            <w:r w:rsidRPr="0044453D">
              <w:rPr>
                <w:sz w:val="20"/>
                <w:szCs w:val="21"/>
                <w:shd w:val="clear" w:color="auto" w:fill="FFFFFF" w:themeFill="background1"/>
              </w:rPr>
              <w:t xml:space="preserve"> </w:t>
            </w:r>
            <w:r w:rsidR="00E31186" w:rsidRPr="0044453D">
              <w:rPr>
                <w:sz w:val="20"/>
                <w:szCs w:val="21"/>
                <w:shd w:val="clear" w:color="auto" w:fill="FFFFFF" w:themeFill="background1"/>
              </w:rPr>
              <w:t>(short description of units and non-dwelling property to be developed/preserved)</w:t>
            </w:r>
          </w:p>
        </w:tc>
        <w:tc>
          <w:tcPr>
            <w:tcW w:w="5490" w:type="dxa"/>
            <w:gridSpan w:val="4"/>
            <w:tcBorders>
              <w:top w:val="single" w:sz="12" w:space="0" w:color="auto"/>
              <w:left w:val="single" w:sz="6" w:space="0" w:color="auto"/>
              <w:bottom w:val="double" w:sz="6" w:space="0" w:color="auto"/>
              <w:right w:val="double" w:sz="6" w:space="0" w:color="auto"/>
            </w:tcBorders>
            <w:shd w:val="clear" w:color="auto" w:fill="auto"/>
            <w:vAlign w:val="center"/>
          </w:tcPr>
          <w:p w14:paraId="73ECF156" w14:textId="1219495C" w:rsidR="00A40113" w:rsidRPr="0044453D" w:rsidRDefault="00E31186" w:rsidP="00511286">
            <w:pPr>
              <w:ind w:right="-43"/>
              <w:jc w:val="center"/>
              <w:rPr>
                <w:sz w:val="20"/>
                <w:szCs w:val="21"/>
                <w:shd w:val="clear" w:color="auto" w:fill="FFFFFF" w:themeFill="background1"/>
              </w:rPr>
            </w:pPr>
            <w:r w:rsidRPr="0044453D">
              <w:rPr>
                <w:sz w:val="20"/>
                <w:szCs w:val="21"/>
                <w:shd w:val="clear" w:color="auto" w:fill="FFFFFF" w:themeFill="background1"/>
              </w:rPr>
              <w:fldChar w:fldCharType="begin"/>
            </w:r>
            <w:r w:rsidRPr="0044453D">
              <w:rPr>
                <w:sz w:val="20"/>
                <w:szCs w:val="21"/>
                <w:shd w:val="clear" w:color="auto" w:fill="FFFFFF" w:themeFill="background1"/>
              </w:rPr>
              <w:instrText xml:space="preserve"> FORMTEXT </w:instrText>
            </w:r>
            <w:r w:rsidRPr="0044453D">
              <w:rPr>
                <w:sz w:val="20"/>
                <w:szCs w:val="21"/>
                <w:shd w:val="clear" w:color="auto" w:fill="FFFFFF" w:themeFill="background1"/>
              </w:rPr>
              <w:fldChar w:fldCharType="separate"/>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noProof/>
                <w:sz w:val="20"/>
                <w:szCs w:val="21"/>
                <w:shd w:val="clear" w:color="auto" w:fill="FFFFFF" w:themeFill="background1"/>
              </w:rPr>
              <w:t> </w:t>
            </w:r>
            <w:r w:rsidRPr="0044453D">
              <w:rPr>
                <w:sz w:val="20"/>
                <w:szCs w:val="21"/>
                <w:shd w:val="clear" w:color="auto" w:fill="FFFFFF" w:themeFill="background1"/>
              </w:rPr>
              <w:fldChar w:fldCharType="end"/>
            </w:r>
          </w:p>
        </w:tc>
      </w:tr>
      <w:bookmarkEnd w:id="0"/>
    </w:tbl>
    <w:p w14:paraId="77848212" w14:textId="77777777" w:rsidR="00723F57" w:rsidRPr="0044453D" w:rsidRDefault="00723F57" w:rsidP="00511286">
      <w:pPr>
        <w:keepNext/>
        <w:ind w:right="-43"/>
        <w:outlineLvl w:val="2"/>
        <w:rPr>
          <w:b/>
          <w:bCs/>
          <w:sz w:val="21"/>
          <w:szCs w:val="21"/>
          <w:shd w:val="clear" w:color="auto" w:fill="FFFFFF" w:themeFill="background1"/>
        </w:rPr>
      </w:pPr>
    </w:p>
    <w:p w14:paraId="317EE600" w14:textId="77777777" w:rsidR="00662B52" w:rsidRPr="0044453D" w:rsidRDefault="00723F57" w:rsidP="00511286">
      <w:pPr>
        <w:keepNext/>
        <w:ind w:right="-43"/>
        <w:outlineLvl w:val="2"/>
        <w:rPr>
          <w:b/>
          <w:bCs/>
          <w:sz w:val="21"/>
          <w:szCs w:val="21"/>
          <w:shd w:val="clear" w:color="auto" w:fill="FFFFFF" w:themeFill="background1"/>
        </w:rPr>
      </w:pPr>
      <w:r w:rsidRPr="0044453D">
        <w:rPr>
          <w:b/>
          <w:bCs/>
          <w:sz w:val="21"/>
          <w:szCs w:val="21"/>
          <w:shd w:val="clear" w:color="auto" w:fill="FFFFFF" w:themeFill="background1"/>
        </w:rPr>
        <w:t xml:space="preserve">Section </w:t>
      </w:r>
      <w:r w:rsidR="00662B52" w:rsidRPr="0044453D">
        <w:rPr>
          <w:b/>
          <w:bCs/>
          <w:sz w:val="21"/>
          <w:szCs w:val="21"/>
          <w:shd w:val="clear" w:color="auto" w:fill="FFFFFF" w:themeFill="background1"/>
        </w:rPr>
        <w:t>3</w:t>
      </w:r>
      <w:r w:rsidRPr="0044453D">
        <w:rPr>
          <w:b/>
          <w:bCs/>
          <w:sz w:val="21"/>
          <w:szCs w:val="21"/>
          <w:shd w:val="clear" w:color="auto" w:fill="FFFFFF" w:themeFill="background1"/>
        </w:rPr>
        <w:t xml:space="preserve">: </w:t>
      </w:r>
      <w:r w:rsidR="00662B52" w:rsidRPr="0044453D">
        <w:rPr>
          <w:b/>
          <w:bCs/>
          <w:sz w:val="21"/>
          <w:szCs w:val="21"/>
          <w:shd w:val="clear" w:color="auto" w:fill="FFFFFF" w:themeFill="background1"/>
        </w:rPr>
        <w:t>Proceeds</w:t>
      </w:r>
    </w:p>
    <w:p w14:paraId="329BA17C" w14:textId="77777777" w:rsidR="00614A88" w:rsidRPr="0044453D" w:rsidRDefault="00614A88" w:rsidP="00511286">
      <w:pPr>
        <w:pStyle w:val="ListParagraph"/>
        <w:ind w:left="0" w:right="-43"/>
        <w:rPr>
          <w:sz w:val="21"/>
          <w:szCs w:val="21"/>
          <w:shd w:val="clear" w:color="auto" w:fill="FFFFFF" w:themeFill="background1"/>
        </w:rPr>
      </w:pPr>
    </w:p>
    <w:p w14:paraId="6C4A5268" w14:textId="4236BFAC" w:rsidR="00211E2A" w:rsidRPr="0044453D" w:rsidRDefault="00211E2A" w:rsidP="00511286">
      <w:pPr>
        <w:pStyle w:val="ListParagraph"/>
        <w:ind w:left="0" w:right="-43"/>
        <w:rPr>
          <w:sz w:val="21"/>
          <w:szCs w:val="21"/>
          <w:shd w:val="clear" w:color="auto" w:fill="FFFFFF" w:themeFill="background1"/>
        </w:rPr>
      </w:pPr>
      <w:r w:rsidRPr="0044453D">
        <w:rPr>
          <w:sz w:val="21"/>
          <w:szCs w:val="21"/>
          <w:shd w:val="clear" w:color="auto" w:fill="FFFFFF" w:themeFill="background1"/>
        </w:rPr>
        <w:t xml:space="preserve">In completing this section, PHAs should </w:t>
      </w:r>
      <w:r w:rsidRPr="0044453D">
        <w:rPr>
          <w:iCs/>
          <w:sz w:val="21"/>
          <w:szCs w:val="21"/>
          <w:shd w:val="clear" w:color="auto" w:fill="FFFFFF" w:themeFill="background1"/>
        </w:rPr>
        <w:t>refer to the guidance at 24 CFR part 970</w:t>
      </w:r>
      <w:r w:rsidR="00514300" w:rsidRPr="0044453D">
        <w:rPr>
          <w:iCs/>
          <w:sz w:val="21"/>
          <w:szCs w:val="21"/>
          <w:shd w:val="clear" w:color="auto" w:fill="FFFFFF" w:themeFill="background1"/>
        </w:rPr>
        <w:t xml:space="preserve">, </w:t>
      </w:r>
      <w:r w:rsidR="00514300" w:rsidRPr="0044453D">
        <w:rPr>
          <w:sz w:val="21"/>
          <w:szCs w:val="21"/>
          <w:shd w:val="clear" w:color="auto" w:fill="FFFFFF" w:themeFill="background1"/>
        </w:rPr>
        <w:t xml:space="preserve">PIH Notice </w:t>
      </w:r>
      <w:r w:rsidR="007D40D0" w:rsidRPr="0044453D">
        <w:rPr>
          <w:sz w:val="21"/>
          <w:szCs w:val="21"/>
          <w:shd w:val="clear" w:color="auto" w:fill="FFFFFF" w:themeFill="background1"/>
        </w:rPr>
        <w:t>20</w:t>
      </w:r>
      <w:r w:rsidR="00837CC3" w:rsidRPr="0044453D">
        <w:rPr>
          <w:sz w:val="21"/>
          <w:szCs w:val="21"/>
          <w:shd w:val="clear" w:color="auto" w:fill="FFFFFF" w:themeFill="background1"/>
        </w:rPr>
        <w:t>18-04</w:t>
      </w:r>
      <w:r w:rsidR="00514300" w:rsidRPr="0044453D">
        <w:rPr>
          <w:sz w:val="21"/>
          <w:szCs w:val="21"/>
          <w:shd w:val="clear" w:color="auto" w:fill="FFFFFF" w:themeFill="background1"/>
        </w:rPr>
        <w:t xml:space="preserve"> (or any </w:t>
      </w:r>
      <w:r w:rsidR="00C97B41" w:rsidRPr="0044453D">
        <w:rPr>
          <w:sz w:val="21"/>
          <w:szCs w:val="21"/>
          <w:shd w:val="clear" w:color="auto" w:fill="FFFFFF" w:themeFill="background1"/>
        </w:rPr>
        <w:t xml:space="preserve">successor </w:t>
      </w:r>
      <w:r w:rsidR="00514300" w:rsidRPr="0044453D">
        <w:rPr>
          <w:sz w:val="21"/>
          <w:szCs w:val="21"/>
          <w:shd w:val="clear" w:color="auto" w:fill="FFFFFF" w:themeFill="background1"/>
        </w:rPr>
        <w:t>notice)</w:t>
      </w:r>
      <w:r w:rsidR="004073F2" w:rsidRPr="0044453D">
        <w:rPr>
          <w:iCs/>
          <w:sz w:val="21"/>
          <w:szCs w:val="21"/>
          <w:shd w:val="clear" w:color="auto" w:fill="FFFFFF" w:themeFill="background1"/>
        </w:rPr>
        <w:t xml:space="preserve"> and any other HUD guidance on proceeds</w:t>
      </w:r>
      <w:r w:rsidRPr="0044453D">
        <w:rPr>
          <w:iCs/>
          <w:sz w:val="21"/>
          <w:szCs w:val="21"/>
          <w:shd w:val="clear" w:color="auto" w:fill="FFFFFF" w:themeFill="background1"/>
        </w:rPr>
        <w:t xml:space="preserve">.  </w:t>
      </w:r>
      <w:r w:rsidRPr="0044453D">
        <w:rPr>
          <w:sz w:val="21"/>
          <w:szCs w:val="21"/>
          <w:shd w:val="clear" w:color="auto" w:fill="FFFFFF" w:themeFill="background1"/>
        </w:rPr>
        <w:t xml:space="preserve">In accordance with 24 CFR 970.19, PHAs describe their proposed use of estimated proceeds (gross and net) in the SAC application.  </w:t>
      </w:r>
    </w:p>
    <w:p w14:paraId="7A4859C3" w14:textId="77777777" w:rsidR="00211E2A" w:rsidRPr="0044453D" w:rsidRDefault="00211E2A" w:rsidP="00511286">
      <w:pPr>
        <w:ind w:left="720" w:right="-43"/>
        <w:rPr>
          <w:iCs/>
          <w:sz w:val="21"/>
          <w:szCs w:val="21"/>
          <w:shd w:val="clear" w:color="auto" w:fill="FFFFFF" w:themeFill="background1"/>
        </w:rPr>
      </w:pPr>
    </w:p>
    <w:p w14:paraId="3921EDA2" w14:textId="496401F9" w:rsidR="003D6C47" w:rsidRPr="0044453D" w:rsidRDefault="00211E2A" w:rsidP="00511286">
      <w:pPr>
        <w:spacing w:after="200"/>
        <w:ind w:right="-43"/>
        <w:rPr>
          <w:sz w:val="21"/>
          <w:szCs w:val="21"/>
          <w:shd w:val="clear" w:color="auto" w:fill="FFFFFF" w:themeFill="background1"/>
        </w:rPr>
      </w:pPr>
      <w:r w:rsidRPr="0044453D">
        <w:rPr>
          <w:iCs/>
          <w:sz w:val="21"/>
          <w:szCs w:val="21"/>
          <w:u w:val="single"/>
          <w:shd w:val="clear" w:color="auto" w:fill="FFFFFF" w:themeFill="background1"/>
        </w:rPr>
        <w:t xml:space="preserve">Relocation Costs (Question </w:t>
      </w:r>
      <w:r w:rsidR="007E61BD" w:rsidRPr="0044453D">
        <w:rPr>
          <w:iCs/>
          <w:sz w:val="21"/>
          <w:szCs w:val="21"/>
          <w:u w:val="single"/>
          <w:shd w:val="clear" w:color="auto" w:fill="FFFFFF" w:themeFill="background1"/>
        </w:rPr>
        <w:t>3</w:t>
      </w:r>
      <w:r w:rsidRPr="0044453D">
        <w:rPr>
          <w:iCs/>
          <w:sz w:val="21"/>
          <w:szCs w:val="21"/>
          <w:u w:val="single"/>
          <w:shd w:val="clear" w:color="auto" w:fill="FFFFFF" w:themeFill="background1"/>
        </w:rPr>
        <w:t>).</w:t>
      </w:r>
      <w:r w:rsidRPr="0044453D">
        <w:rPr>
          <w:iCs/>
          <w:sz w:val="21"/>
          <w:szCs w:val="21"/>
          <w:shd w:val="clear" w:color="auto" w:fill="FFFFFF" w:themeFill="background1"/>
        </w:rPr>
        <w:t xml:space="preserve">  </w:t>
      </w:r>
      <w:r w:rsidR="003D6C47" w:rsidRPr="0044453D">
        <w:rPr>
          <w:iCs/>
          <w:sz w:val="21"/>
          <w:szCs w:val="21"/>
          <w:shd w:val="clear" w:color="auto" w:fill="FFFFFF" w:themeFill="background1"/>
        </w:rPr>
        <w:t xml:space="preserve">Pursuant to 24 CFR 970.21(e)(2), PHAs must pay for the actual and reasonable relocation expenses for all residents who will be displaced from their public housing units as a result of a demolition and/or disposition action.  HUD considers the following to be eligible costs of relocation that can be deducted from gross proceeds: counseling and advisory services to residents (including mobility counseling), moving expenses (including housing search costs), </w:t>
      </w:r>
      <w:r w:rsidR="003D6C47" w:rsidRPr="0044453D">
        <w:rPr>
          <w:sz w:val="21"/>
          <w:szCs w:val="21"/>
          <w:shd w:val="clear" w:color="auto" w:fill="FFFFFF" w:themeFill="background1"/>
        </w:rPr>
        <w:t>payment of a security and/or utility deposits at a comparable housing,</w:t>
      </w:r>
      <w:r w:rsidR="003D6C47" w:rsidRPr="0044453D">
        <w:rPr>
          <w:iCs/>
          <w:sz w:val="21"/>
          <w:szCs w:val="21"/>
          <w:shd w:val="clear" w:color="auto" w:fill="FFFFFF" w:themeFill="background1"/>
        </w:rPr>
        <w:t xml:space="preserve"> and costs of providing any necessary reasonable accommodations to residents in accordance with Section 504 of the Rehabilitation Act of 1973 and other HUD guidance.  </w:t>
      </w:r>
    </w:p>
    <w:p w14:paraId="43C059C9" w14:textId="1CAC9B28" w:rsidR="00F526D2" w:rsidRPr="0044453D" w:rsidRDefault="00211E2A" w:rsidP="00511286">
      <w:pPr>
        <w:spacing w:after="200"/>
        <w:ind w:right="-43"/>
        <w:rPr>
          <w:sz w:val="21"/>
          <w:szCs w:val="21"/>
          <w:shd w:val="clear" w:color="auto" w:fill="FFFFFF" w:themeFill="background1"/>
        </w:rPr>
      </w:pPr>
      <w:r w:rsidRPr="0044453D">
        <w:rPr>
          <w:iCs/>
          <w:sz w:val="21"/>
          <w:szCs w:val="21"/>
          <w:u w:val="single"/>
          <w:shd w:val="clear" w:color="auto" w:fill="FFFFFF" w:themeFill="background1"/>
        </w:rPr>
        <w:t xml:space="preserve">Reasonable Costs of Disposition (Question </w:t>
      </w:r>
      <w:r w:rsidR="008B2E76" w:rsidRPr="0044453D">
        <w:rPr>
          <w:iCs/>
          <w:sz w:val="21"/>
          <w:szCs w:val="21"/>
          <w:u w:val="single"/>
          <w:shd w:val="clear" w:color="auto" w:fill="FFFFFF" w:themeFill="background1"/>
        </w:rPr>
        <w:t>4</w:t>
      </w:r>
      <w:r w:rsidRPr="0044453D">
        <w:rPr>
          <w:iCs/>
          <w:sz w:val="21"/>
          <w:szCs w:val="21"/>
          <w:u w:val="single"/>
          <w:shd w:val="clear" w:color="auto" w:fill="FFFFFF" w:themeFill="background1"/>
        </w:rPr>
        <w:t>).</w:t>
      </w:r>
      <w:r w:rsidRPr="0044453D">
        <w:rPr>
          <w:iCs/>
          <w:sz w:val="21"/>
          <w:szCs w:val="21"/>
          <w:shd w:val="clear" w:color="auto" w:fill="FFFFFF" w:themeFill="background1"/>
        </w:rPr>
        <w:t xml:space="preserve">  </w:t>
      </w:r>
      <w:r w:rsidR="00F526D2" w:rsidRPr="0044453D">
        <w:rPr>
          <w:sz w:val="21"/>
          <w:szCs w:val="21"/>
          <w:shd w:val="clear" w:color="auto" w:fill="FFFFFF" w:themeFill="background1"/>
        </w:rPr>
        <w:t xml:space="preserve">Reasonable costs of disposition may include the following (although HUD may disapprove any costs it deems unreasonable): (i) costs that PHAs incur in preparing the SAC application (e.g. environmental studies, engineering costs of rehab estimates under 24 CFR 970.15, appraisal fees); and (ii) transactional (seller) closing costs (e.g., local customary split of any </w:t>
      </w:r>
      <w:r w:rsidR="00F526D2" w:rsidRPr="0044453D">
        <w:rPr>
          <w:iCs/>
          <w:sz w:val="21"/>
          <w:szCs w:val="21"/>
          <w:shd w:val="clear" w:color="auto" w:fill="FFFFFF" w:themeFill="background1"/>
        </w:rPr>
        <w:t xml:space="preserve">brokerage fees, appraisal fees, survey costs, tax certificates fees, fees for recording the DOT/DORC release, notary fees, title insurance fees, title company document preparation and closing fees, mailing and wire transfer fees, and reasonable attorney fees), </w:t>
      </w:r>
      <w:r w:rsidR="00F526D2" w:rsidRPr="0044453D">
        <w:rPr>
          <w:sz w:val="21"/>
          <w:szCs w:val="21"/>
          <w:shd w:val="clear" w:color="auto" w:fill="FFFFFF" w:themeFill="background1"/>
        </w:rPr>
        <w:t xml:space="preserve">provided such costs are listed on the HUD-1 or other applicable settlement statement document.  </w:t>
      </w:r>
    </w:p>
    <w:p w14:paraId="79A9A5B1" w14:textId="4DC58092" w:rsidR="00211E2A" w:rsidRPr="0044453D" w:rsidRDefault="00211E2A" w:rsidP="00511286">
      <w:pPr>
        <w:ind w:right="-43"/>
        <w:rPr>
          <w:rFonts w:eastAsia="Calibri"/>
          <w:color w:val="000000"/>
          <w:sz w:val="21"/>
          <w:szCs w:val="21"/>
          <w:shd w:val="clear" w:color="auto" w:fill="FFFFFF" w:themeFill="background1"/>
        </w:rPr>
      </w:pPr>
      <w:r w:rsidRPr="0044453D">
        <w:rPr>
          <w:sz w:val="21"/>
          <w:szCs w:val="21"/>
          <w:u w:val="single"/>
          <w:shd w:val="clear" w:color="auto" w:fill="FFFFFF" w:themeFill="background1"/>
        </w:rPr>
        <w:t xml:space="preserve">Net Proceeds (Question </w:t>
      </w:r>
      <w:r w:rsidR="008B2E76" w:rsidRPr="0044453D">
        <w:rPr>
          <w:sz w:val="21"/>
          <w:szCs w:val="21"/>
          <w:u w:val="single"/>
          <w:shd w:val="clear" w:color="auto" w:fill="FFFFFF" w:themeFill="background1"/>
        </w:rPr>
        <w:t>5</w:t>
      </w:r>
      <w:r w:rsidRPr="0044453D">
        <w:rPr>
          <w:sz w:val="21"/>
          <w:szCs w:val="21"/>
          <w:u w:val="single"/>
          <w:shd w:val="clear" w:color="auto" w:fill="FFFFFF" w:themeFill="background1"/>
        </w:rPr>
        <w:t>)</w:t>
      </w:r>
      <w:r w:rsidRPr="0044453D">
        <w:rPr>
          <w:rFonts w:eastAsia="Calibri"/>
          <w:color w:val="000000"/>
          <w:sz w:val="21"/>
          <w:szCs w:val="21"/>
          <w:u w:val="single"/>
          <w:shd w:val="clear" w:color="auto" w:fill="FFFFFF" w:themeFill="background1"/>
        </w:rPr>
        <w:t>.</w:t>
      </w:r>
      <w:r w:rsidRPr="0044453D">
        <w:rPr>
          <w:rFonts w:eastAsia="Calibri"/>
          <w:color w:val="000000"/>
          <w:sz w:val="21"/>
          <w:szCs w:val="21"/>
          <w:shd w:val="clear" w:color="auto" w:fill="FFFFFF" w:themeFill="background1"/>
        </w:rPr>
        <w:t xml:space="preserve">  Net proceeds </w:t>
      </w:r>
      <w:proofErr w:type="gramStart"/>
      <w:r w:rsidR="00A0088E" w:rsidRPr="0044453D">
        <w:rPr>
          <w:rFonts w:eastAsia="Calibri"/>
          <w:color w:val="000000"/>
          <w:sz w:val="21"/>
          <w:szCs w:val="21"/>
          <w:shd w:val="clear" w:color="auto" w:fill="FFFFFF" w:themeFill="background1"/>
        </w:rPr>
        <w:t>mean</w:t>
      </w:r>
      <w:r w:rsidR="004B0928" w:rsidRPr="0044453D">
        <w:rPr>
          <w:rFonts w:eastAsia="Calibri"/>
          <w:color w:val="000000"/>
          <w:sz w:val="21"/>
          <w:szCs w:val="21"/>
          <w:shd w:val="clear" w:color="auto" w:fill="FFFFFF" w:themeFill="background1"/>
        </w:rPr>
        <w:t>s</w:t>
      </w:r>
      <w:proofErr w:type="gramEnd"/>
      <w:r w:rsidRPr="0044453D">
        <w:rPr>
          <w:rFonts w:eastAsia="Calibri"/>
          <w:color w:val="000000"/>
          <w:sz w:val="21"/>
          <w:szCs w:val="21"/>
          <w:shd w:val="clear" w:color="auto" w:fill="FFFFFF" w:themeFill="background1"/>
        </w:rPr>
        <w:t xml:space="preserve"> proceeds realized after dedu</w:t>
      </w:r>
      <w:r w:rsidR="00F526D2" w:rsidRPr="0044453D">
        <w:rPr>
          <w:rFonts w:eastAsia="Calibri"/>
          <w:color w:val="000000"/>
          <w:sz w:val="21"/>
          <w:szCs w:val="21"/>
          <w:shd w:val="clear" w:color="auto" w:fill="FFFFFF" w:themeFill="background1"/>
        </w:rPr>
        <w:t>ct</w:t>
      </w:r>
      <w:r w:rsidRPr="0044453D">
        <w:rPr>
          <w:rFonts w:eastAsia="Calibri"/>
          <w:color w:val="000000"/>
          <w:sz w:val="21"/>
          <w:szCs w:val="21"/>
          <w:shd w:val="clear" w:color="auto" w:fill="FFFFFF" w:themeFill="background1"/>
        </w:rPr>
        <w:t xml:space="preserve">ing </w:t>
      </w:r>
      <w:r w:rsidR="003D6C47" w:rsidRPr="0044453D">
        <w:rPr>
          <w:rFonts w:eastAsia="Calibri"/>
          <w:color w:val="000000"/>
          <w:sz w:val="21"/>
          <w:szCs w:val="21"/>
          <w:shd w:val="clear" w:color="auto" w:fill="FFFFFF" w:themeFill="background1"/>
        </w:rPr>
        <w:t xml:space="preserve">relocation and disposition </w:t>
      </w:r>
      <w:r w:rsidRPr="0044453D">
        <w:rPr>
          <w:rFonts w:eastAsia="Calibri"/>
          <w:color w:val="000000"/>
          <w:sz w:val="21"/>
          <w:szCs w:val="21"/>
          <w:shd w:val="clear" w:color="auto" w:fill="FFFFFF" w:themeFill="background1"/>
        </w:rPr>
        <w:t xml:space="preserve">costs.  </w:t>
      </w:r>
    </w:p>
    <w:p w14:paraId="2CE245D2" w14:textId="77777777" w:rsidR="004073F2" w:rsidRPr="0044453D" w:rsidRDefault="004073F2" w:rsidP="00511286">
      <w:pPr>
        <w:ind w:right="-43"/>
        <w:rPr>
          <w:b/>
          <w:bCs/>
          <w:sz w:val="21"/>
          <w:szCs w:val="21"/>
          <w:shd w:val="clear" w:color="auto" w:fill="FFFFFF" w:themeFill="background1"/>
        </w:rPr>
      </w:pPr>
    </w:p>
    <w:p w14:paraId="51B2E9D0" w14:textId="77777777" w:rsidR="009079DB" w:rsidRPr="0044453D" w:rsidRDefault="00662B52" w:rsidP="00511286">
      <w:pPr>
        <w:keepNext/>
        <w:ind w:right="-43"/>
        <w:outlineLvl w:val="2"/>
        <w:rPr>
          <w:b/>
          <w:bCs/>
          <w:sz w:val="21"/>
          <w:szCs w:val="21"/>
          <w:shd w:val="clear" w:color="auto" w:fill="FFFFFF" w:themeFill="background1"/>
        </w:rPr>
      </w:pPr>
      <w:r w:rsidRPr="0044453D">
        <w:rPr>
          <w:b/>
          <w:bCs/>
          <w:sz w:val="21"/>
          <w:szCs w:val="21"/>
          <w:shd w:val="clear" w:color="auto" w:fill="FFFFFF" w:themeFill="background1"/>
        </w:rPr>
        <w:t xml:space="preserve">Section 4:  </w:t>
      </w:r>
      <w:r w:rsidR="00723F57" w:rsidRPr="0044453D">
        <w:rPr>
          <w:b/>
          <w:sz w:val="21"/>
          <w:szCs w:val="21"/>
          <w:shd w:val="clear" w:color="auto" w:fill="FFFFFF" w:themeFill="background1"/>
        </w:rPr>
        <w:t>Offer of Sale</w:t>
      </w:r>
      <w:r w:rsidRPr="0044453D">
        <w:rPr>
          <w:b/>
          <w:sz w:val="21"/>
          <w:szCs w:val="21"/>
          <w:shd w:val="clear" w:color="auto" w:fill="FFFFFF" w:themeFill="background1"/>
        </w:rPr>
        <w:t xml:space="preserve"> to Resident Organizations</w:t>
      </w:r>
    </w:p>
    <w:p w14:paraId="0E7AE7A6" w14:textId="77777777" w:rsidR="009079DB" w:rsidRPr="0044453D" w:rsidRDefault="009079DB" w:rsidP="00511286">
      <w:pPr>
        <w:keepNext/>
        <w:ind w:right="-43"/>
        <w:outlineLvl w:val="2"/>
        <w:rPr>
          <w:iCs/>
          <w:sz w:val="21"/>
          <w:szCs w:val="21"/>
          <w:shd w:val="clear" w:color="auto" w:fill="FFFFFF" w:themeFill="background1"/>
        </w:rPr>
      </w:pPr>
    </w:p>
    <w:p w14:paraId="6D415B7B" w14:textId="46EB1B0E" w:rsidR="009079DB" w:rsidRPr="0044453D" w:rsidRDefault="00662B52" w:rsidP="00511286">
      <w:pPr>
        <w:keepNext/>
        <w:ind w:right="-43"/>
        <w:outlineLvl w:val="2"/>
        <w:rPr>
          <w:sz w:val="21"/>
          <w:szCs w:val="21"/>
          <w:shd w:val="clear" w:color="auto" w:fill="FFFFFF" w:themeFill="background1"/>
        </w:rPr>
      </w:pPr>
      <w:r w:rsidRPr="0044453D">
        <w:rPr>
          <w:iCs/>
          <w:sz w:val="21"/>
          <w:szCs w:val="21"/>
          <w:shd w:val="clear" w:color="auto" w:fill="FFFFFF" w:themeFill="background1"/>
        </w:rPr>
        <w:t xml:space="preserve">In completing this section, PHAs should refer to the guidance at 24 CFR part 970 and PIH Notice </w:t>
      </w:r>
      <w:r w:rsidR="00837CC3" w:rsidRPr="0044453D">
        <w:rPr>
          <w:iCs/>
          <w:sz w:val="21"/>
          <w:szCs w:val="21"/>
          <w:shd w:val="clear" w:color="auto" w:fill="FFFFFF" w:themeFill="background1"/>
        </w:rPr>
        <w:t>2018-04</w:t>
      </w:r>
      <w:r w:rsidR="00723561" w:rsidRPr="0044453D">
        <w:rPr>
          <w:iCs/>
          <w:sz w:val="21"/>
          <w:szCs w:val="21"/>
          <w:shd w:val="clear" w:color="auto" w:fill="FFFFFF" w:themeFill="background1"/>
        </w:rPr>
        <w:t xml:space="preserve"> (or any </w:t>
      </w:r>
      <w:r w:rsidR="00C451E2" w:rsidRPr="0044453D">
        <w:rPr>
          <w:iCs/>
          <w:sz w:val="21"/>
          <w:szCs w:val="21"/>
          <w:shd w:val="clear" w:color="auto" w:fill="FFFFFF" w:themeFill="background1"/>
        </w:rPr>
        <w:t xml:space="preserve">successor </w:t>
      </w:r>
      <w:r w:rsidR="00723561" w:rsidRPr="0044453D">
        <w:rPr>
          <w:iCs/>
          <w:sz w:val="21"/>
          <w:szCs w:val="21"/>
          <w:shd w:val="clear" w:color="auto" w:fill="FFFFFF" w:themeFill="background1"/>
        </w:rPr>
        <w:t>notice)</w:t>
      </w:r>
      <w:r w:rsidRPr="0044453D">
        <w:rPr>
          <w:iCs/>
          <w:sz w:val="21"/>
          <w:szCs w:val="21"/>
          <w:shd w:val="clear" w:color="auto" w:fill="FFFFFF" w:themeFill="background1"/>
        </w:rPr>
        <w:t>.  P</w:t>
      </w:r>
      <w:r w:rsidRPr="0044453D">
        <w:rPr>
          <w:sz w:val="21"/>
          <w:szCs w:val="21"/>
          <w:shd w:val="clear" w:color="auto" w:fill="FFFFFF" w:themeFill="background1"/>
        </w:rPr>
        <w:t xml:space="preserve">HAs are eligible to exercise the exception </w:t>
      </w:r>
      <w:r w:rsidR="00756C21" w:rsidRPr="0044453D">
        <w:rPr>
          <w:sz w:val="21"/>
          <w:szCs w:val="21"/>
          <w:shd w:val="clear" w:color="auto" w:fill="FFFFFF" w:themeFill="background1"/>
        </w:rPr>
        <w:t>f</w:t>
      </w:r>
      <w:r w:rsidRPr="0044453D">
        <w:rPr>
          <w:sz w:val="21"/>
          <w:szCs w:val="21"/>
          <w:shd w:val="clear" w:color="auto" w:fill="FFFFFF" w:themeFill="background1"/>
        </w:rPr>
        <w:t>rom the offer of sale described at 970.</w:t>
      </w:r>
      <w:r w:rsidR="0034692D" w:rsidRPr="0044453D">
        <w:rPr>
          <w:sz w:val="21"/>
          <w:szCs w:val="21"/>
          <w:shd w:val="clear" w:color="auto" w:fill="FFFFFF" w:themeFill="background1"/>
        </w:rPr>
        <w:t>9</w:t>
      </w:r>
      <w:r w:rsidRPr="0044453D">
        <w:rPr>
          <w:sz w:val="21"/>
          <w:szCs w:val="21"/>
          <w:shd w:val="clear" w:color="auto" w:fill="FFFFFF" w:themeFill="background1"/>
        </w:rPr>
        <w:t xml:space="preserve">(b)(3)(ii) only in cases where the PHA </w:t>
      </w:r>
      <w:r w:rsidRPr="0044453D">
        <w:rPr>
          <w:iCs/>
          <w:sz w:val="21"/>
          <w:szCs w:val="21"/>
          <w:shd w:val="clear" w:color="auto" w:fill="FFFFFF" w:themeFill="background1"/>
        </w:rPr>
        <w:t xml:space="preserve">has firm plans to replace substantially all of the units proposed for disposition with the housing units for low-income families (even if those housing units are not low-income housing units as defined by Section 3 of the 1937 Act).  Note that a </w:t>
      </w:r>
      <w:r w:rsidRPr="0044453D">
        <w:rPr>
          <w:sz w:val="21"/>
          <w:szCs w:val="21"/>
          <w:shd w:val="clear" w:color="auto" w:fill="FFFFFF" w:themeFill="background1"/>
        </w:rPr>
        <w:t>PHA cannot forgo giving applicable resident entities an offer of sale based on speculation or general plans to build a facility to benefit low-income families.</w:t>
      </w:r>
    </w:p>
    <w:p w14:paraId="537CFE02" w14:textId="77777777" w:rsidR="009079DB" w:rsidRPr="0044453D" w:rsidRDefault="009079DB" w:rsidP="00511286">
      <w:pPr>
        <w:keepNext/>
        <w:ind w:right="-43"/>
        <w:outlineLvl w:val="2"/>
        <w:rPr>
          <w:b/>
          <w:bCs/>
          <w:sz w:val="21"/>
          <w:szCs w:val="21"/>
          <w:shd w:val="clear" w:color="auto" w:fill="FFFFFF" w:themeFill="background1"/>
        </w:rPr>
      </w:pPr>
    </w:p>
    <w:p w14:paraId="5E20E0B6" w14:textId="50973299" w:rsidR="00723F57" w:rsidRPr="0044453D" w:rsidRDefault="00723F57" w:rsidP="00511286">
      <w:pPr>
        <w:keepNext/>
        <w:ind w:right="-43"/>
        <w:outlineLvl w:val="2"/>
        <w:rPr>
          <w:b/>
          <w:bCs/>
          <w:sz w:val="21"/>
          <w:szCs w:val="21"/>
          <w:shd w:val="clear" w:color="auto" w:fill="FFFFFF" w:themeFill="background1"/>
        </w:rPr>
      </w:pPr>
      <w:r w:rsidRPr="0044453D">
        <w:rPr>
          <w:b/>
          <w:bCs/>
          <w:sz w:val="21"/>
          <w:szCs w:val="21"/>
          <w:shd w:val="clear" w:color="auto" w:fill="FFFFFF" w:themeFill="background1"/>
        </w:rPr>
        <w:t xml:space="preserve">Section </w:t>
      </w:r>
      <w:r w:rsidR="004950BB" w:rsidRPr="0044453D">
        <w:rPr>
          <w:b/>
          <w:bCs/>
          <w:sz w:val="21"/>
          <w:szCs w:val="21"/>
          <w:shd w:val="clear" w:color="auto" w:fill="FFFFFF" w:themeFill="background1"/>
        </w:rPr>
        <w:t>5</w:t>
      </w:r>
      <w:r w:rsidRPr="0044453D">
        <w:rPr>
          <w:b/>
          <w:bCs/>
          <w:sz w:val="21"/>
          <w:szCs w:val="21"/>
          <w:shd w:val="clear" w:color="auto" w:fill="FFFFFF" w:themeFill="background1"/>
        </w:rPr>
        <w:t xml:space="preserve">: Certification </w:t>
      </w:r>
    </w:p>
    <w:p w14:paraId="4E92A1C1" w14:textId="77777777" w:rsidR="008E6D03" w:rsidRPr="0044453D" w:rsidRDefault="008E6D03" w:rsidP="00511286">
      <w:pPr>
        <w:ind w:right="-43"/>
        <w:rPr>
          <w:sz w:val="21"/>
          <w:szCs w:val="21"/>
          <w:shd w:val="clear" w:color="auto" w:fill="FFFFFF" w:themeFill="background1"/>
        </w:rPr>
      </w:pPr>
    </w:p>
    <w:p w14:paraId="38EF2D49" w14:textId="702ECD9B" w:rsidR="00F34EC1" w:rsidRPr="0044453D" w:rsidRDefault="00723F57" w:rsidP="00511286">
      <w:pPr>
        <w:ind w:right="-43"/>
        <w:rPr>
          <w:rFonts w:eastAsia="Calibri"/>
          <w:sz w:val="21"/>
          <w:szCs w:val="21"/>
          <w:shd w:val="clear" w:color="auto" w:fill="FFFFFF" w:themeFill="background1"/>
        </w:rPr>
      </w:pPr>
      <w:r w:rsidRPr="0044453D">
        <w:rPr>
          <w:sz w:val="21"/>
          <w:szCs w:val="21"/>
          <w:shd w:val="clear" w:color="auto" w:fill="FFFFFF" w:themeFill="background1"/>
        </w:rPr>
        <w:t xml:space="preserve">The Executive Director, Board Chairperson, or other authorized agent of the PHA, should sign and date this Certification. </w:t>
      </w:r>
    </w:p>
    <w:sectPr w:rsidR="00F34EC1" w:rsidRPr="0044453D" w:rsidSect="00B92392">
      <w:footerReference w:type="default" r:id="rId10"/>
      <w:headerReference w:type="first" r:id="rId11"/>
      <w:footerReference w:type="first" r:id="rId12"/>
      <w:type w:val="continuous"/>
      <w:pgSz w:w="12240" w:h="15840" w:code="1"/>
      <w:pgMar w:top="432" w:right="432" w:bottom="432" w:left="432" w:header="720" w:footer="0" w:gutter="4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8D62A" w14:textId="77777777" w:rsidR="00C072EE" w:rsidRDefault="00C072EE" w:rsidP="009D3F0E">
      <w:r>
        <w:separator/>
      </w:r>
    </w:p>
  </w:endnote>
  <w:endnote w:type="continuationSeparator" w:id="0">
    <w:p w14:paraId="607FA32B" w14:textId="77777777" w:rsidR="00C072EE" w:rsidRDefault="00C072EE" w:rsidP="009D3F0E">
      <w:r>
        <w:continuationSeparator/>
      </w:r>
    </w:p>
  </w:endnote>
  <w:endnote w:type="continuationNotice" w:id="1">
    <w:p w14:paraId="6F31C819" w14:textId="77777777" w:rsidR="00C072EE" w:rsidRDefault="00C07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922F" w14:textId="77777777" w:rsidR="00B70EA4" w:rsidRPr="00F65846" w:rsidRDefault="00B70EA4" w:rsidP="00F65846">
    <w:pPr>
      <w:pStyle w:val="Header"/>
      <w:rPr>
        <w:sz w:val="16"/>
      </w:rPr>
    </w:pPr>
  </w:p>
  <w:p w14:paraId="77B370C6" w14:textId="314FA482" w:rsidR="00B70EA4" w:rsidRPr="00CC1350" w:rsidRDefault="00B70EA4" w:rsidP="004C1641">
    <w:pPr>
      <w:pStyle w:val="Footer"/>
      <w:tabs>
        <w:tab w:val="clear" w:pos="4320"/>
        <w:tab w:val="clear" w:pos="8640"/>
      </w:tabs>
      <w:rPr>
        <w:sz w:val="16"/>
      </w:rPr>
    </w:pPr>
    <w:r w:rsidRPr="00CC1350">
      <w:rPr>
        <w:sz w:val="16"/>
      </w:rPr>
      <w:t xml:space="preserve">All attachments must reference the </w:t>
    </w:r>
    <w:r w:rsidRPr="00CC1350">
      <w:rPr>
        <w:sz w:val="16"/>
      </w:rPr>
      <w:tab/>
    </w:r>
    <w:r w:rsidRPr="00CC1350">
      <w:rPr>
        <w:sz w:val="16"/>
      </w:rPr>
      <w:tab/>
    </w:r>
    <w:r w:rsidRPr="00CC1350">
      <w:rPr>
        <w:sz w:val="16"/>
      </w:rPr>
      <w:tab/>
    </w:r>
    <w:r w:rsidRPr="00CC1350">
      <w:rPr>
        <w:sz w:val="16"/>
      </w:rPr>
      <w:tab/>
      <w:t xml:space="preserve">Page </w:t>
    </w:r>
    <w:r w:rsidRPr="00CC1350">
      <w:rPr>
        <w:sz w:val="16"/>
      </w:rPr>
      <w:fldChar w:fldCharType="begin"/>
    </w:r>
    <w:r w:rsidRPr="00CC1350">
      <w:rPr>
        <w:sz w:val="16"/>
      </w:rPr>
      <w:instrText xml:space="preserve"> PAGE </w:instrText>
    </w:r>
    <w:r w:rsidRPr="00CC1350">
      <w:rPr>
        <w:sz w:val="16"/>
      </w:rPr>
      <w:fldChar w:fldCharType="separate"/>
    </w:r>
    <w:r w:rsidR="00C642F2">
      <w:rPr>
        <w:noProof/>
        <w:sz w:val="16"/>
      </w:rPr>
      <w:t>3</w:t>
    </w:r>
    <w:r w:rsidRPr="00CC1350">
      <w:rPr>
        <w:sz w:val="16"/>
      </w:rPr>
      <w:fldChar w:fldCharType="end"/>
    </w:r>
    <w:r w:rsidRPr="00CC1350">
      <w:rPr>
        <w:sz w:val="16"/>
      </w:rPr>
      <w:t xml:space="preserve"> of </w:t>
    </w:r>
    <w:r w:rsidRPr="00CC1350">
      <w:rPr>
        <w:sz w:val="16"/>
      </w:rPr>
      <w:fldChar w:fldCharType="begin"/>
    </w:r>
    <w:r w:rsidRPr="00CC1350">
      <w:rPr>
        <w:sz w:val="16"/>
      </w:rPr>
      <w:instrText xml:space="preserve"> NUMPAGES </w:instrText>
    </w:r>
    <w:r w:rsidRPr="00CC1350">
      <w:rPr>
        <w:sz w:val="16"/>
      </w:rPr>
      <w:fldChar w:fldCharType="separate"/>
    </w:r>
    <w:r w:rsidR="00C642F2">
      <w:rPr>
        <w:noProof/>
        <w:sz w:val="16"/>
      </w:rPr>
      <w:t>7</w:t>
    </w:r>
    <w:r w:rsidRPr="00CC1350">
      <w:rPr>
        <w:sz w:val="16"/>
      </w:rPr>
      <w:fldChar w:fldCharType="end"/>
    </w:r>
    <w:r w:rsidRPr="00CC1350">
      <w:rPr>
        <w:sz w:val="16"/>
      </w:rPr>
      <w:t xml:space="preserve"> </w:t>
    </w:r>
    <w:r w:rsidRPr="00CC1350">
      <w:rPr>
        <w:sz w:val="16"/>
      </w:rPr>
      <w:tab/>
    </w:r>
    <w:r w:rsidRPr="00CC1350">
      <w:rPr>
        <w:sz w:val="16"/>
      </w:rPr>
      <w:tab/>
    </w:r>
    <w:r w:rsidRPr="00CC1350">
      <w:rPr>
        <w:sz w:val="16"/>
      </w:rPr>
      <w:tab/>
    </w:r>
    <w:r w:rsidRPr="00CC1350">
      <w:rPr>
        <w:sz w:val="16"/>
      </w:rPr>
      <w:tab/>
      <w:t>form HUD-52860-A (04/2018)</w:t>
    </w:r>
  </w:p>
  <w:p w14:paraId="39FA5F6E" w14:textId="77777777" w:rsidR="00B70EA4" w:rsidRPr="00CC1350" w:rsidRDefault="00B70EA4" w:rsidP="004C1641">
    <w:pPr>
      <w:rPr>
        <w:sz w:val="16"/>
      </w:rPr>
    </w:pPr>
    <w:r w:rsidRPr="00CC1350">
      <w:rPr>
        <w:sz w:val="16"/>
      </w:rPr>
      <w:t>Section and line number to which they apply.</w:t>
    </w:r>
  </w:p>
  <w:p w14:paraId="552BD068" w14:textId="77777777" w:rsidR="00B70EA4" w:rsidRPr="00CC1350" w:rsidRDefault="00B70EA4" w:rsidP="004C1641">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2E9C0" w14:textId="77777777" w:rsidR="00B70EA4" w:rsidRDefault="00B70EA4" w:rsidP="00953D43">
    <w:pPr>
      <w:pStyle w:val="Footer"/>
      <w:tabs>
        <w:tab w:val="clear" w:pos="4320"/>
        <w:tab w:val="clear" w:pos="8640"/>
      </w:tabs>
      <w:rPr>
        <w:rFonts w:asciiTheme="minorHAnsi" w:hAnsiTheme="minorHAnsi"/>
        <w:sz w:val="16"/>
      </w:rPr>
    </w:pPr>
    <w:bookmarkStart w:id="1" w:name="_Hlk502824715"/>
  </w:p>
  <w:p w14:paraId="0F5321F7" w14:textId="5CC11F6E" w:rsidR="00B70EA4" w:rsidRPr="00CC1350" w:rsidRDefault="00B70EA4" w:rsidP="00953D43">
    <w:pPr>
      <w:pStyle w:val="Footer"/>
      <w:tabs>
        <w:tab w:val="clear" w:pos="4320"/>
        <w:tab w:val="clear" w:pos="8640"/>
      </w:tabs>
      <w:rPr>
        <w:sz w:val="16"/>
      </w:rPr>
    </w:pPr>
    <w:r w:rsidRPr="00CC1350">
      <w:rPr>
        <w:sz w:val="16"/>
      </w:rPr>
      <w:t xml:space="preserve">All attachments must reference the </w:t>
    </w:r>
    <w:r w:rsidRPr="00CC1350">
      <w:rPr>
        <w:sz w:val="16"/>
      </w:rPr>
      <w:tab/>
    </w:r>
    <w:r w:rsidRPr="00CC1350">
      <w:rPr>
        <w:sz w:val="16"/>
      </w:rPr>
      <w:tab/>
    </w:r>
    <w:r w:rsidRPr="00CC1350">
      <w:rPr>
        <w:sz w:val="16"/>
      </w:rPr>
      <w:tab/>
    </w:r>
    <w:r w:rsidRPr="00CC1350">
      <w:rPr>
        <w:sz w:val="16"/>
      </w:rPr>
      <w:tab/>
      <w:t xml:space="preserve">Page </w:t>
    </w:r>
    <w:r w:rsidRPr="00CC1350">
      <w:rPr>
        <w:sz w:val="16"/>
      </w:rPr>
      <w:fldChar w:fldCharType="begin"/>
    </w:r>
    <w:r w:rsidRPr="00CC1350">
      <w:rPr>
        <w:sz w:val="16"/>
      </w:rPr>
      <w:instrText xml:space="preserve"> PAGE </w:instrText>
    </w:r>
    <w:r w:rsidRPr="00CC1350">
      <w:rPr>
        <w:sz w:val="16"/>
      </w:rPr>
      <w:fldChar w:fldCharType="separate"/>
    </w:r>
    <w:r w:rsidR="00C642F2">
      <w:rPr>
        <w:noProof/>
        <w:sz w:val="16"/>
      </w:rPr>
      <w:t>1</w:t>
    </w:r>
    <w:r w:rsidRPr="00CC1350">
      <w:rPr>
        <w:sz w:val="16"/>
      </w:rPr>
      <w:fldChar w:fldCharType="end"/>
    </w:r>
    <w:r w:rsidRPr="00CC1350">
      <w:rPr>
        <w:sz w:val="16"/>
      </w:rPr>
      <w:t xml:space="preserve"> of </w:t>
    </w:r>
    <w:r w:rsidRPr="00CC1350">
      <w:rPr>
        <w:sz w:val="16"/>
      </w:rPr>
      <w:fldChar w:fldCharType="begin"/>
    </w:r>
    <w:r w:rsidRPr="00CC1350">
      <w:rPr>
        <w:sz w:val="16"/>
      </w:rPr>
      <w:instrText xml:space="preserve"> NUMPAGES </w:instrText>
    </w:r>
    <w:r w:rsidRPr="00CC1350">
      <w:rPr>
        <w:sz w:val="16"/>
      </w:rPr>
      <w:fldChar w:fldCharType="separate"/>
    </w:r>
    <w:r w:rsidR="00C642F2">
      <w:rPr>
        <w:noProof/>
        <w:sz w:val="16"/>
      </w:rPr>
      <w:t>7</w:t>
    </w:r>
    <w:r w:rsidRPr="00CC1350">
      <w:rPr>
        <w:sz w:val="16"/>
      </w:rPr>
      <w:fldChar w:fldCharType="end"/>
    </w:r>
    <w:r w:rsidRPr="00CC1350">
      <w:rPr>
        <w:sz w:val="16"/>
      </w:rPr>
      <w:t xml:space="preserve"> </w:t>
    </w:r>
    <w:r w:rsidRPr="00CC1350">
      <w:rPr>
        <w:sz w:val="16"/>
      </w:rPr>
      <w:tab/>
    </w:r>
    <w:r w:rsidRPr="00CC1350">
      <w:rPr>
        <w:sz w:val="16"/>
      </w:rPr>
      <w:tab/>
    </w:r>
    <w:r w:rsidRPr="00CC1350">
      <w:rPr>
        <w:sz w:val="16"/>
      </w:rPr>
      <w:tab/>
    </w:r>
    <w:r w:rsidRPr="00CC1350">
      <w:rPr>
        <w:sz w:val="16"/>
      </w:rPr>
      <w:tab/>
      <w:t>form HUD-52860-A (04/2018)</w:t>
    </w:r>
  </w:p>
  <w:p w14:paraId="37C82361" w14:textId="79B4449B" w:rsidR="00B70EA4" w:rsidRPr="00CC1350" w:rsidRDefault="00B70EA4" w:rsidP="00953D43">
    <w:pPr>
      <w:rPr>
        <w:sz w:val="16"/>
      </w:rPr>
    </w:pPr>
    <w:r w:rsidRPr="00CC1350">
      <w:rPr>
        <w:sz w:val="16"/>
      </w:rPr>
      <w:t>Section and line number to which they apply.</w:t>
    </w:r>
  </w:p>
  <w:p w14:paraId="13B8F449" w14:textId="77777777" w:rsidR="00B70EA4" w:rsidRPr="00953D43" w:rsidRDefault="00B70EA4" w:rsidP="00953D43">
    <w:pPr>
      <w:rPr>
        <w:rFonts w:asciiTheme="minorHAnsi" w:hAnsiTheme="minorHAnsi"/>
        <w:sz w:val="16"/>
      </w:rPr>
    </w:pP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7AAD4" w14:textId="77777777" w:rsidR="00C072EE" w:rsidRDefault="00C072EE" w:rsidP="009D3F0E">
      <w:r>
        <w:separator/>
      </w:r>
    </w:p>
  </w:footnote>
  <w:footnote w:type="continuationSeparator" w:id="0">
    <w:p w14:paraId="4CB16656" w14:textId="77777777" w:rsidR="00C072EE" w:rsidRDefault="00C072EE" w:rsidP="009D3F0E">
      <w:r>
        <w:continuationSeparator/>
      </w:r>
    </w:p>
  </w:footnote>
  <w:footnote w:type="continuationNotice" w:id="1">
    <w:p w14:paraId="0FACCF31" w14:textId="77777777" w:rsidR="00C072EE" w:rsidRDefault="00C07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4" w:type="dxa"/>
      <w:tblLook w:val="0000" w:firstRow="0" w:lastRow="0" w:firstColumn="0" w:lastColumn="0" w:noHBand="0" w:noVBand="0"/>
    </w:tblPr>
    <w:tblGrid>
      <w:gridCol w:w="2980"/>
      <w:gridCol w:w="5221"/>
      <w:gridCol w:w="2883"/>
    </w:tblGrid>
    <w:tr w:rsidR="00B70EA4" w14:paraId="2A3EB12C" w14:textId="77777777" w:rsidTr="00BC6F9B">
      <w:trPr>
        <w:trHeight w:val="272"/>
      </w:trPr>
      <w:tc>
        <w:tcPr>
          <w:tcW w:w="2980" w:type="dxa"/>
        </w:tcPr>
        <w:p w14:paraId="393A52E6" w14:textId="77777777" w:rsidR="00B70EA4" w:rsidRPr="00CC2C9B" w:rsidRDefault="00B70EA4">
          <w:pPr>
            <w:pStyle w:val="Technical5a"/>
            <w:tabs>
              <w:tab w:val="clear" w:pos="-720"/>
              <w:tab w:val="right" w:pos="9360"/>
            </w:tabs>
            <w:rPr>
              <w:rFonts w:ascii="Times New Roman" w:hAnsi="Times New Roman"/>
            </w:rPr>
          </w:pPr>
          <w:r w:rsidRPr="00CC2C9B">
            <w:rPr>
              <w:rFonts w:ascii="Times New Roman" w:hAnsi="Times New Roman"/>
            </w:rPr>
            <w:t>Demolition and Disposition Addendum</w:t>
          </w:r>
        </w:p>
        <w:p w14:paraId="0D8B05D1" w14:textId="77777777" w:rsidR="00B70EA4" w:rsidRPr="00CC2C9B" w:rsidRDefault="00B70EA4">
          <w:pPr>
            <w:pStyle w:val="Technical5a"/>
            <w:tabs>
              <w:tab w:val="clear" w:pos="-720"/>
              <w:tab w:val="right" w:pos="9360"/>
            </w:tabs>
            <w:rPr>
              <w:rFonts w:ascii="Times New Roman" w:hAnsi="Times New Roman"/>
            </w:rPr>
          </w:pPr>
          <w:r w:rsidRPr="00CC2C9B">
            <w:rPr>
              <w:rFonts w:ascii="Times New Roman" w:hAnsi="Times New Roman"/>
            </w:rPr>
            <w:t>HUD-52860-A</w:t>
          </w:r>
        </w:p>
        <w:p w14:paraId="296AE89C" w14:textId="77777777" w:rsidR="00B70EA4" w:rsidRPr="00CC2C9B" w:rsidRDefault="00B70EA4">
          <w:pPr>
            <w:pStyle w:val="Technical5a"/>
            <w:tabs>
              <w:tab w:val="clear" w:pos="-720"/>
              <w:tab w:val="right" w:pos="9360"/>
            </w:tabs>
            <w:rPr>
              <w:rFonts w:ascii="Times New Roman" w:hAnsi="Times New Roman"/>
            </w:rPr>
          </w:pPr>
        </w:p>
      </w:tc>
      <w:tc>
        <w:tcPr>
          <w:tcW w:w="5221" w:type="dxa"/>
        </w:tcPr>
        <w:p w14:paraId="056A7FAB" w14:textId="77777777" w:rsidR="00B70EA4" w:rsidRPr="00CC2C9B" w:rsidRDefault="00B70EA4">
          <w:pPr>
            <w:tabs>
              <w:tab w:val="right" w:pos="9360"/>
            </w:tabs>
            <w:suppressAutoHyphens/>
            <w:spacing w:line="240" w:lineRule="atLeast"/>
            <w:jc w:val="center"/>
            <w:rPr>
              <w:b/>
              <w:bCs/>
              <w:sz w:val="18"/>
            </w:rPr>
          </w:pPr>
          <w:smartTag w:uri="urn:schemas-microsoft-com:office:smarttags" w:element="country-region">
            <w:smartTag w:uri="urn:schemas-microsoft-com:office:smarttags" w:element="place">
              <w:r w:rsidRPr="00CC2C9B">
                <w:rPr>
                  <w:b/>
                  <w:bCs/>
                  <w:sz w:val="18"/>
                </w:rPr>
                <w:t>U.S.</w:t>
              </w:r>
            </w:smartTag>
          </w:smartTag>
          <w:r w:rsidRPr="00CC2C9B">
            <w:rPr>
              <w:b/>
              <w:bCs/>
              <w:sz w:val="18"/>
            </w:rPr>
            <w:t xml:space="preserve"> Department of Housing</w:t>
          </w:r>
        </w:p>
        <w:p w14:paraId="61B0722D" w14:textId="77777777" w:rsidR="00B70EA4" w:rsidRPr="00CC2C9B" w:rsidRDefault="00B70EA4">
          <w:pPr>
            <w:tabs>
              <w:tab w:val="right" w:pos="9360"/>
            </w:tabs>
            <w:suppressAutoHyphens/>
            <w:spacing w:line="240" w:lineRule="atLeast"/>
            <w:jc w:val="center"/>
            <w:rPr>
              <w:b/>
              <w:bCs/>
              <w:sz w:val="18"/>
            </w:rPr>
          </w:pPr>
          <w:r w:rsidRPr="00CC2C9B">
            <w:rPr>
              <w:b/>
              <w:bCs/>
              <w:sz w:val="18"/>
            </w:rPr>
            <w:t>and Urban Development</w:t>
          </w:r>
        </w:p>
        <w:p w14:paraId="491904E2" w14:textId="77777777" w:rsidR="00B70EA4" w:rsidRPr="00CC2C9B" w:rsidRDefault="00B70EA4">
          <w:pPr>
            <w:tabs>
              <w:tab w:val="right" w:pos="9360"/>
            </w:tabs>
            <w:suppressAutoHyphens/>
            <w:spacing w:line="240" w:lineRule="atLeast"/>
            <w:jc w:val="center"/>
            <w:rPr>
              <w:b/>
              <w:bCs/>
              <w:sz w:val="18"/>
            </w:rPr>
          </w:pPr>
          <w:r w:rsidRPr="00CC2C9B">
            <w:rPr>
              <w:b/>
              <w:bCs/>
              <w:sz w:val="18"/>
            </w:rPr>
            <w:t>Office of Public and Indian Housing</w:t>
          </w:r>
        </w:p>
        <w:p w14:paraId="5FDD3874" w14:textId="77777777" w:rsidR="00B70EA4" w:rsidRPr="00CC2C9B" w:rsidRDefault="00B70EA4" w:rsidP="0047555F">
          <w:pPr>
            <w:tabs>
              <w:tab w:val="right" w:pos="9360"/>
            </w:tabs>
            <w:suppressAutoHyphens/>
            <w:spacing w:line="240" w:lineRule="atLeast"/>
            <w:rPr>
              <w:b/>
              <w:bCs/>
              <w:sz w:val="18"/>
            </w:rPr>
          </w:pPr>
        </w:p>
      </w:tc>
      <w:tc>
        <w:tcPr>
          <w:tcW w:w="2883" w:type="dxa"/>
        </w:tcPr>
        <w:p w14:paraId="44CB98A0" w14:textId="59F56655" w:rsidR="00B70EA4" w:rsidRPr="00CC2C9B" w:rsidRDefault="00B70EA4">
          <w:pPr>
            <w:tabs>
              <w:tab w:val="right" w:pos="9360"/>
            </w:tabs>
            <w:suppressAutoHyphens/>
            <w:spacing w:line="240" w:lineRule="atLeast"/>
            <w:jc w:val="right"/>
            <w:rPr>
              <w:b/>
              <w:bCs/>
              <w:sz w:val="18"/>
            </w:rPr>
          </w:pPr>
          <w:r w:rsidRPr="00CC2C9B">
            <w:rPr>
              <w:b/>
              <w:bCs/>
              <w:sz w:val="18"/>
            </w:rPr>
            <w:t>OMB Approval No. 2577-0075</w:t>
          </w:r>
        </w:p>
        <w:p w14:paraId="51AB0DD6" w14:textId="4F1D03D8" w:rsidR="00B70EA4" w:rsidRPr="00CC2C9B" w:rsidRDefault="00B70EA4">
          <w:pPr>
            <w:tabs>
              <w:tab w:val="right" w:pos="9360"/>
            </w:tabs>
            <w:suppressAutoHyphens/>
            <w:spacing w:line="240" w:lineRule="atLeast"/>
            <w:jc w:val="right"/>
            <w:rPr>
              <w:b/>
              <w:bCs/>
              <w:sz w:val="18"/>
            </w:rPr>
          </w:pPr>
          <w:r w:rsidRPr="00CC2C9B">
            <w:rPr>
              <w:b/>
              <w:bCs/>
              <w:sz w:val="18"/>
            </w:rPr>
            <w:t>(exp. 0</w:t>
          </w:r>
          <w:r w:rsidR="0075146D">
            <w:rPr>
              <w:b/>
              <w:bCs/>
              <w:sz w:val="18"/>
            </w:rPr>
            <w:t>8</w:t>
          </w:r>
          <w:r w:rsidRPr="00CC2C9B">
            <w:rPr>
              <w:b/>
              <w:bCs/>
              <w:sz w:val="18"/>
            </w:rPr>
            <w:t>/31/202</w:t>
          </w:r>
          <w:r w:rsidR="0075146D">
            <w:rPr>
              <w:b/>
              <w:bCs/>
              <w:sz w:val="18"/>
            </w:rPr>
            <w:t>3</w:t>
          </w:r>
          <w:r w:rsidRPr="00CC2C9B">
            <w:rPr>
              <w:b/>
              <w:bCs/>
              <w:sz w:val="18"/>
            </w:rPr>
            <w:t>)</w:t>
          </w:r>
        </w:p>
        <w:p w14:paraId="11D8F8E5" w14:textId="5D19C0B4" w:rsidR="00B70EA4" w:rsidRPr="00CC2C9B" w:rsidRDefault="00B70EA4" w:rsidP="00BC6F9B">
          <w:pPr>
            <w:rPr>
              <w:sz w:val="18"/>
            </w:rPr>
          </w:pPr>
        </w:p>
        <w:p w14:paraId="4002933B" w14:textId="77777777" w:rsidR="00B70EA4" w:rsidRPr="00CC2C9B" w:rsidRDefault="00B70EA4" w:rsidP="00BC6F9B">
          <w:pPr>
            <w:jc w:val="right"/>
            <w:rPr>
              <w:sz w:val="18"/>
            </w:rPr>
          </w:pPr>
        </w:p>
      </w:tc>
    </w:tr>
  </w:tbl>
  <w:p w14:paraId="421FA413" w14:textId="77777777" w:rsidR="00B70EA4" w:rsidRDefault="00B70EA4">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5C4"/>
    <w:multiLevelType w:val="hybridMultilevel"/>
    <w:tmpl w:val="1B6EA392"/>
    <w:lvl w:ilvl="0" w:tplc="D5CC7A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12180"/>
    <w:multiLevelType w:val="hybridMultilevel"/>
    <w:tmpl w:val="C34A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C37191"/>
    <w:multiLevelType w:val="hybridMultilevel"/>
    <w:tmpl w:val="6FEC3576"/>
    <w:lvl w:ilvl="0" w:tplc="50E0FC5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D2FC2"/>
    <w:multiLevelType w:val="hybridMultilevel"/>
    <w:tmpl w:val="07D6D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75CD0"/>
    <w:multiLevelType w:val="hybridMultilevel"/>
    <w:tmpl w:val="C0FE58C0"/>
    <w:lvl w:ilvl="0" w:tplc="29946F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27C25"/>
    <w:multiLevelType w:val="hybridMultilevel"/>
    <w:tmpl w:val="8CF0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A41B1"/>
    <w:multiLevelType w:val="hybridMultilevel"/>
    <w:tmpl w:val="398063BC"/>
    <w:lvl w:ilvl="0" w:tplc="A8CC140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BF7A43"/>
    <w:multiLevelType w:val="hybridMultilevel"/>
    <w:tmpl w:val="D89A03D8"/>
    <w:lvl w:ilvl="0" w:tplc="E5DCE8DE">
      <w:start w:val="1"/>
      <w:numFmt w:val="decimal"/>
      <w:lvlText w:val="%1."/>
      <w:lvlJc w:val="left"/>
      <w:pPr>
        <w:tabs>
          <w:tab w:val="num" w:pos="360"/>
        </w:tabs>
        <w:ind w:left="360" w:hanging="360"/>
      </w:pPr>
      <w:rPr>
        <w:rFonts w:ascii="Times New Roman" w:eastAsia="Calibri" w:hAnsi="Times New Roman" w:cs="Times New Roman"/>
        <w:b/>
        <w:color w:val="auto"/>
        <w:sz w:val="22"/>
        <w:szCs w:val="22"/>
      </w:rPr>
    </w:lvl>
    <w:lvl w:ilvl="1" w:tplc="C150AEF6">
      <w:start w:val="1"/>
      <w:numFmt w:val="lowerLetter"/>
      <w:lvlText w:val="%2."/>
      <w:lvlJc w:val="left"/>
      <w:pPr>
        <w:tabs>
          <w:tab w:val="num" w:pos="990"/>
        </w:tabs>
        <w:ind w:left="990" w:hanging="360"/>
      </w:pPr>
      <w:rPr>
        <w:rFonts w:cs="Times New Roman"/>
        <w:b w:val="0"/>
      </w:rPr>
    </w:lvl>
    <w:lvl w:ilvl="2" w:tplc="04090001">
      <w:start w:val="1"/>
      <w:numFmt w:val="bullet"/>
      <w:lvlText w:val=""/>
      <w:lvlJc w:val="left"/>
      <w:pPr>
        <w:tabs>
          <w:tab w:val="num" w:pos="2250"/>
        </w:tabs>
        <w:ind w:left="2250" w:hanging="720"/>
      </w:pPr>
      <w:rPr>
        <w:rFonts w:ascii="Symbol" w:hAnsi="Symbol" w:hint="default"/>
      </w:rPr>
    </w:lvl>
    <w:lvl w:ilvl="3" w:tplc="04090001">
      <w:start w:val="1"/>
      <w:numFmt w:val="bullet"/>
      <w:lvlText w:val=""/>
      <w:lvlJc w:val="left"/>
      <w:pPr>
        <w:tabs>
          <w:tab w:val="num" w:pos="2430"/>
        </w:tabs>
        <w:ind w:left="2430" w:hanging="360"/>
      </w:pPr>
      <w:rPr>
        <w:rFonts w:ascii="Symbol" w:hAnsi="Symbol" w:hint="default"/>
      </w:rPr>
    </w:lvl>
    <w:lvl w:ilvl="4" w:tplc="FFFFFFFF">
      <w:start w:val="1"/>
      <w:numFmt w:val="lowerLetter"/>
      <w:lvlText w:val="%5."/>
      <w:lvlJc w:val="left"/>
      <w:pPr>
        <w:tabs>
          <w:tab w:val="num" w:pos="3150"/>
        </w:tabs>
        <w:ind w:left="3150" w:hanging="360"/>
      </w:pPr>
      <w:rPr>
        <w:rFonts w:cs="Times New Roman"/>
      </w:rPr>
    </w:lvl>
    <w:lvl w:ilvl="5" w:tplc="FFFFFFFF">
      <w:start w:val="1"/>
      <w:numFmt w:val="lowerRoman"/>
      <w:lvlText w:val="%6."/>
      <w:lvlJc w:val="right"/>
      <w:pPr>
        <w:tabs>
          <w:tab w:val="num" w:pos="3870"/>
        </w:tabs>
        <w:ind w:left="3870" w:hanging="18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lowerLetter"/>
      <w:lvlText w:val="%8."/>
      <w:lvlJc w:val="left"/>
      <w:pPr>
        <w:tabs>
          <w:tab w:val="num" w:pos="5310"/>
        </w:tabs>
        <w:ind w:left="5310" w:hanging="360"/>
      </w:pPr>
      <w:rPr>
        <w:rFonts w:cs="Times New Roman"/>
      </w:rPr>
    </w:lvl>
    <w:lvl w:ilvl="8" w:tplc="FFFFFFFF">
      <w:start w:val="1"/>
      <w:numFmt w:val="lowerRoman"/>
      <w:lvlText w:val="%9."/>
      <w:lvlJc w:val="right"/>
      <w:pPr>
        <w:tabs>
          <w:tab w:val="num" w:pos="6030"/>
        </w:tabs>
        <w:ind w:left="6030" w:hanging="180"/>
      </w:pPr>
      <w:rPr>
        <w:rFonts w:cs="Times New Roman"/>
      </w:rPr>
    </w:lvl>
  </w:abstractNum>
  <w:abstractNum w:abstractNumId="9" w15:restartNumberingAfterBreak="0">
    <w:nsid w:val="58F16D12"/>
    <w:multiLevelType w:val="hybridMultilevel"/>
    <w:tmpl w:val="4A8A1E68"/>
    <w:lvl w:ilvl="0" w:tplc="233890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9168A6"/>
    <w:multiLevelType w:val="hybridMultilevel"/>
    <w:tmpl w:val="BBB6EDE2"/>
    <w:lvl w:ilvl="0" w:tplc="98E03C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66E54"/>
    <w:multiLevelType w:val="hybridMultilevel"/>
    <w:tmpl w:val="FA9E39D2"/>
    <w:lvl w:ilvl="0" w:tplc="A8CC140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1"/>
  </w:num>
  <w:num w:numId="4">
    <w:abstractNumId w:val="5"/>
  </w:num>
  <w:num w:numId="5">
    <w:abstractNumId w:val="4"/>
  </w:num>
  <w:num w:numId="6">
    <w:abstractNumId w:val="3"/>
  </w:num>
  <w:num w:numId="7">
    <w:abstractNumId w:val="0"/>
  </w:num>
  <w:num w:numId="8">
    <w:abstractNumId w:val="10"/>
  </w:num>
  <w:num w:numId="9">
    <w:abstractNumId w:val="6"/>
  </w:num>
  <w:num w:numId="10">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0063ABE8-C258-40B8-AE02-334552373BE3}"/>
  </w:docVars>
  <w:rsids>
    <w:rsidRoot w:val="009D3F0E"/>
    <w:rsid w:val="0000540B"/>
    <w:rsid w:val="00011549"/>
    <w:rsid w:val="00012482"/>
    <w:rsid w:val="00012DCE"/>
    <w:rsid w:val="00023812"/>
    <w:rsid w:val="0003057D"/>
    <w:rsid w:val="00032242"/>
    <w:rsid w:val="00033177"/>
    <w:rsid w:val="000355F2"/>
    <w:rsid w:val="00036E31"/>
    <w:rsid w:val="00041161"/>
    <w:rsid w:val="00045D55"/>
    <w:rsid w:val="000475F7"/>
    <w:rsid w:val="00060286"/>
    <w:rsid w:val="00063D7B"/>
    <w:rsid w:val="00071EAF"/>
    <w:rsid w:val="00073550"/>
    <w:rsid w:val="00076180"/>
    <w:rsid w:val="0008431B"/>
    <w:rsid w:val="000964E3"/>
    <w:rsid w:val="000A27A8"/>
    <w:rsid w:val="000A45D9"/>
    <w:rsid w:val="000A4BE9"/>
    <w:rsid w:val="000A67CB"/>
    <w:rsid w:val="000A6C99"/>
    <w:rsid w:val="000A74F9"/>
    <w:rsid w:val="000A7884"/>
    <w:rsid w:val="000B2F32"/>
    <w:rsid w:val="000B462A"/>
    <w:rsid w:val="000C1CF5"/>
    <w:rsid w:val="000C3DFC"/>
    <w:rsid w:val="000C4D90"/>
    <w:rsid w:val="000D3885"/>
    <w:rsid w:val="000E6AC5"/>
    <w:rsid w:val="000F56B9"/>
    <w:rsid w:val="000F6414"/>
    <w:rsid w:val="0010591D"/>
    <w:rsid w:val="00107681"/>
    <w:rsid w:val="00107DF1"/>
    <w:rsid w:val="00114CA7"/>
    <w:rsid w:val="00116F4C"/>
    <w:rsid w:val="001175B7"/>
    <w:rsid w:val="00122C21"/>
    <w:rsid w:val="00141D9B"/>
    <w:rsid w:val="00143233"/>
    <w:rsid w:val="0014502E"/>
    <w:rsid w:val="00146F83"/>
    <w:rsid w:val="001521D4"/>
    <w:rsid w:val="0015501B"/>
    <w:rsid w:val="001610C3"/>
    <w:rsid w:val="00162551"/>
    <w:rsid w:val="00172221"/>
    <w:rsid w:val="001771E1"/>
    <w:rsid w:val="001822C6"/>
    <w:rsid w:val="0018292F"/>
    <w:rsid w:val="001859B4"/>
    <w:rsid w:val="00185ABB"/>
    <w:rsid w:val="001926B8"/>
    <w:rsid w:val="001A503C"/>
    <w:rsid w:val="001B575E"/>
    <w:rsid w:val="001B7075"/>
    <w:rsid w:val="001C0531"/>
    <w:rsid w:val="001C23F6"/>
    <w:rsid w:val="001D046F"/>
    <w:rsid w:val="001D797E"/>
    <w:rsid w:val="001E20A4"/>
    <w:rsid w:val="001E40A6"/>
    <w:rsid w:val="001E5282"/>
    <w:rsid w:val="001E7785"/>
    <w:rsid w:val="001F51C3"/>
    <w:rsid w:val="00202A41"/>
    <w:rsid w:val="00202D6C"/>
    <w:rsid w:val="002031BC"/>
    <w:rsid w:val="00207E9C"/>
    <w:rsid w:val="00211E2A"/>
    <w:rsid w:val="002162A0"/>
    <w:rsid w:val="00230095"/>
    <w:rsid w:val="002309F9"/>
    <w:rsid w:val="00240415"/>
    <w:rsid w:val="00245F69"/>
    <w:rsid w:val="002476D3"/>
    <w:rsid w:val="00256BD8"/>
    <w:rsid w:val="00260D6B"/>
    <w:rsid w:val="00262382"/>
    <w:rsid w:val="002625BB"/>
    <w:rsid w:val="00270057"/>
    <w:rsid w:val="0027622B"/>
    <w:rsid w:val="00291CC0"/>
    <w:rsid w:val="0029799B"/>
    <w:rsid w:val="002A10F4"/>
    <w:rsid w:val="002B3017"/>
    <w:rsid w:val="002B4533"/>
    <w:rsid w:val="002B4904"/>
    <w:rsid w:val="002C32F4"/>
    <w:rsid w:val="002E7AB7"/>
    <w:rsid w:val="002F3080"/>
    <w:rsid w:val="002F67FF"/>
    <w:rsid w:val="002F6F12"/>
    <w:rsid w:val="00306A3F"/>
    <w:rsid w:val="003104F6"/>
    <w:rsid w:val="0031414B"/>
    <w:rsid w:val="00315671"/>
    <w:rsid w:val="00321824"/>
    <w:rsid w:val="00322FA6"/>
    <w:rsid w:val="00326D81"/>
    <w:rsid w:val="0033500F"/>
    <w:rsid w:val="00336618"/>
    <w:rsid w:val="0034692D"/>
    <w:rsid w:val="00360CC4"/>
    <w:rsid w:val="00381EE7"/>
    <w:rsid w:val="00384390"/>
    <w:rsid w:val="00384BE6"/>
    <w:rsid w:val="003906B2"/>
    <w:rsid w:val="003943A9"/>
    <w:rsid w:val="003A512A"/>
    <w:rsid w:val="003A6478"/>
    <w:rsid w:val="003B0DB9"/>
    <w:rsid w:val="003B3262"/>
    <w:rsid w:val="003B4EC3"/>
    <w:rsid w:val="003C02E5"/>
    <w:rsid w:val="003C0978"/>
    <w:rsid w:val="003D1C80"/>
    <w:rsid w:val="003D4B6C"/>
    <w:rsid w:val="003D4DE8"/>
    <w:rsid w:val="003D6C47"/>
    <w:rsid w:val="003E2666"/>
    <w:rsid w:val="003E5925"/>
    <w:rsid w:val="003E7FDD"/>
    <w:rsid w:val="003F4151"/>
    <w:rsid w:val="003F63C6"/>
    <w:rsid w:val="004073F2"/>
    <w:rsid w:val="00411450"/>
    <w:rsid w:val="004138F1"/>
    <w:rsid w:val="00413ED4"/>
    <w:rsid w:val="00416AF6"/>
    <w:rsid w:val="004268C1"/>
    <w:rsid w:val="004336DE"/>
    <w:rsid w:val="0043743E"/>
    <w:rsid w:val="00441060"/>
    <w:rsid w:val="0044453D"/>
    <w:rsid w:val="0044684B"/>
    <w:rsid w:val="00451938"/>
    <w:rsid w:val="00453F4B"/>
    <w:rsid w:val="004540D7"/>
    <w:rsid w:val="0045599B"/>
    <w:rsid w:val="00455FE2"/>
    <w:rsid w:val="00467C84"/>
    <w:rsid w:val="0047176F"/>
    <w:rsid w:val="00472F0B"/>
    <w:rsid w:val="004738D0"/>
    <w:rsid w:val="004752A6"/>
    <w:rsid w:val="0047555F"/>
    <w:rsid w:val="004757FC"/>
    <w:rsid w:val="00486DCD"/>
    <w:rsid w:val="0048716B"/>
    <w:rsid w:val="004950BB"/>
    <w:rsid w:val="00495A45"/>
    <w:rsid w:val="004A43CF"/>
    <w:rsid w:val="004A6009"/>
    <w:rsid w:val="004B0928"/>
    <w:rsid w:val="004B60EC"/>
    <w:rsid w:val="004C01D4"/>
    <w:rsid w:val="004C1641"/>
    <w:rsid w:val="004C5789"/>
    <w:rsid w:val="004C62E2"/>
    <w:rsid w:val="004C713A"/>
    <w:rsid w:val="004D2577"/>
    <w:rsid w:val="004E1536"/>
    <w:rsid w:val="004E3D35"/>
    <w:rsid w:val="004E64EE"/>
    <w:rsid w:val="004E7AB3"/>
    <w:rsid w:val="004E7C2D"/>
    <w:rsid w:val="004F2BD1"/>
    <w:rsid w:val="004F61CE"/>
    <w:rsid w:val="004F7354"/>
    <w:rsid w:val="0050026A"/>
    <w:rsid w:val="00507B5E"/>
    <w:rsid w:val="00511286"/>
    <w:rsid w:val="00514300"/>
    <w:rsid w:val="00515DB3"/>
    <w:rsid w:val="00517757"/>
    <w:rsid w:val="00535B51"/>
    <w:rsid w:val="00543E23"/>
    <w:rsid w:val="00554606"/>
    <w:rsid w:val="00555294"/>
    <w:rsid w:val="00564D68"/>
    <w:rsid w:val="005670B9"/>
    <w:rsid w:val="00572666"/>
    <w:rsid w:val="00577626"/>
    <w:rsid w:val="00581D01"/>
    <w:rsid w:val="005A7558"/>
    <w:rsid w:val="005B15FC"/>
    <w:rsid w:val="005B6AC6"/>
    <w:rsid w:val="005C2343"/>
    <w:rsid w:val="005C5CE4"/>
    <w:rsid w:val="005C6D74"/>
    <w:rsid w:val="005E3D45"/>
    <w:rsid w:val="005F04C1"/>
    <w:rsid w:val="005F0BCB"/>
    <w:rsid w:val="005F14BB"/>
    <w:rsid w:val="005F2CDE"/>
    <w:rsid w:val="005F4E44"/>
    <w:rsid w:val="0060320E"/>
    <w:rsid w:val="00607AE9"/>
    <w:rsid w:val="00607BAF"/>
    <w:rsid w:val="006139A7"/>
    <w:rsid w:val="00614140"/>
    <w:rsid w:val="00614A88"/>
    <w:rsid w:val="0061670D"/>
    <w:rsid w:val="00622DD4"/>
    <w:rsid w:val="00624B2E"/>
    <w:rsid w:val="00630198"/>
    <w:rsid w:val="00634450"/>
    <w:rsid w:val="0064304B"/>
    <w:rsid w:val="00652AB7"/>
    <w:rsid w:val="006531DF"/>
    <w:rsid w:val="00661CC9"/>
    <w:rsid w:val="00662B52"/>
    <w:rsid w:val="006648A6"/>
    <w:rsid w:val="00666539"/>
    <w:rsid w:val="00674284"/>
    <w:rsid w:val="00677911"/>
    <w:rsid w:val="006804F8"/>
    <w:rsid w:val="00681AA9"/>
    <w:rsid w:val="00681B35"/>
    <w:rsid w:val="00684B8A"/>
    <w:rsid w:val="00685160"/>
    <w:rsid w:val="00690568"/>
    <w:rsid w:val="00694F0C"/>
    <w:rsid w:val="006A2154"/>
    <w:rsid w:val="006A7E15"/>
    <w:rsid w:val="006A7FD2"/>
    <w:rsid w:val="006B19B4"/>
    <w:rsid w:val="006B30BB"/>
    <w:rsid w:val="006B7993"/>
    <w:rsid w:val="006B7D09"/>
    <w:rsid w:val="006C5D61"/>
    <w:rsid w:val="006C7CE9"/>
    <w:rsid w:val="006D23C8"/>
    <w:rsid w:val="006D4B4A"/>
    <w:rsid w:val="006D53D5"/>
    <w:rsid w:val="006E0DF8"/>
    <w:rsid w:val="006E2FCC"/>
    <w:rsid w:val="006E612D"/>
    <w:rsid w:val="006E7562"/>
    <w:rsid w:val="006F0C82"/>
    <w:rsid w:val="006F3E98"/>
    <w:rsid w:val="007068A0"/>
    <w:rsid w:val="0070797F"/>
    <w:rsid w:val="00723561"/>
    <w:rsid w:val="00723F57"/>
    <w:rsid w:val="00724276"/>
    <w:rsid w:val="00740D3A"/>
    <w:rsid w:val="00744B2C"/>
    <w:rsid w:val="00747506"/>
    <w:rsid w:val="00751310"/>
    <w:rsid w:val="00751345"/>
    <w:rsid w:val="0075146D"/>
    <w:rsid w:val="00752630"/>
    <w:rsid w:val="00756C21"/>
    <w:rsid w:val="00762133"/>
    <w:rsid w:val="00767934"/>
    <w:rsid w:val="00780143"/>
    <w:rsid w:val="00782E04"/>
    <w:rsid w:val="00785A05"/>
    <w:rsid w:val="007A0E1B"/>
    <w:rsid w:val="007A1BA5"/>
    <w:rsid w:val="007A313F"/>
    <w:rsid w:val="007A59AB"/>
    <w:rsid w:val="007A5E7B"/>
    <w:rsid w:val="007A5EB9"/>
    <w:rsid w:val="007A7846"/>
    <w:rsid w:val="007B1254"/>
    <w:rsid w:val="007C49F8"/>
    <w:rsid w:val="007C6B47"/>
    <w:rsid w:val="007D40D0"/>
    <w:rsid w:val="007D4294"/>
    <w:rsid w:val="007D5812"/>
    <w:rsid w:val="007D64C7"/>
    <w:rsid w:val="007E0536"/>
    <w:rsid w:val="007E26AE"/>
    <w:rsid w:val="007E59FE"/>
    <w:rsid w:val="007E61BD"/>
    <w:rsid w:val="007F1F54"/>
    <w:rsid w:val="007F3C8F"/>
    <w:rsid w:val="007F4352"/>
    <w:rsid w:val="0082052E"/>
    <w:rsid w:val="00820EB0"/>
    <w:rsid w:val="008218CD"/>
    <w:rsid w:val="00825AF8"/>
    <w:rsid w:val="008324AC"/>
    <w:rsid w:val="008371EB"/>
    <w:rsid w:val="00837CC3"/>
    <w:rsid w:val="0084240B"/>
    <w:rsid w:val="008441C1"/>
    <w:rsid w:val="008459EF"/>
    <w:rsid w:val="00846EC2"/>
    <w:rsid w:val="00852D09"/>
    <w:rsid w:val="00855A1E"/>
    <w:rsid w:val="00855DE2"/>
    <w:rsid w:val="00856E87"/>
    <w:rsid w:val="00866E8C"/>
    <w:rsid w:val="00872BFA"/>
    <w:rsid w:val="00873BB0"/>
    <w:rsid w:val="008763F3"/>
    <w:rsid w:val="00880D7D"/>
    <w:rsid w:val="0088152A"/>
    <w:rsid w:val="00883D0C"/>
    <w:rsid w:val="0088592F"/>
    <w:rsid w:val="008879E9"/>
    <w:rsid w:val="00896E57"/>
    <w:rsid w:val="008A40BA"/>
    <w:rsid w:val="008B2E76"/>
    <w:rsid w:val="008C0C9B"/>
    <w:rsid w:val="008D02B5"/>
    <w:rsid w:val="008D091D"/>
    <w:rsid w:val="008D7F3D"/>
    <w:rsid w:val="008E15A9"/>
    <w:rsid w:val="008E6D03"/>
    <w:rsid w:val="008F3F30"/>
    <w:rsid w:val="008F75C7"/>
    <w:rsid w:val="00902610"/>
    <w:rsid w:val="00904C3E"/>
    <w:rsid w:val="009079DB"/>
    <w:rsid w:val="009323EC"/>
    <w:rsid w:val="00934C51"/>
    <w:rsid w:val="00942C18"/>
    <w:rsid w:val="0094777D"/>
    <w:rsid w:val="00947C8C"/>
    <w:rsid w:val="00950840"/>
    <w:rsid w:val="009517F6"/>
    <w:rsid w:val="00953D43"/>
    <w:rsid w:val="009546AD"/>
    <w:rsid w:val="00955ED3"/>
    <w:rsid w:val="00964EF2"/>
    <w:rsid w:val="00967B1C"/>
    <w:rsid w:val="00970EA6"/>
    <w:rsid w:val="00974A3E"/>
    <w:rsid w:val="00981F1E"/>
    <w:rsid w:val="009867D4"/>
    <w:rsid w:val="009878CE"/>
    <w:rsid w:val="00993036"/>
    <w:rsid w:val="00994DC4"/>
    <w:rsid w:val="009A21F5"/>
    <w:rsid w:val="009A2561"/>
    <w:rsid w:val="009A4FBD"/>
    <w:rsid w:val="009A6257"/>
    <w:rsid w:val="009B39B3"/>
    <w:rsid w:val="009B4289"/>
    <w:rsid w:val="009B6E16"/>
    <w:rsid w:val="009C640B"/>
    <w:rsid w:val="009C7507"/>
    <w:rsid w:val="009C7A5F"/>
    <w:rsid w:val="009D3924"/>
    <w:rsid w:val="009D3F0E"/>
    <w:rsid w:val="009D7B5B"/>
    <w:rsid w:val="009E0179"/>
    <w:rsid w:val="009E1137"/>
    <w:rsid w:val="009F0213"/>
    <w:rsid w:val="009F1785"/>
    <w:rsid w:val="009F66E0"/>
    <w:rsid w:val="00A0088E"/>
    <w:rsid w:val="00A1027F"/>
    <w:rsid w:val="00A12725"/>
    <w:rsid w:val="00A203CF"/>
    <w:rsid w:val="00A212EA"/>
    <w:rsid w:val="00A2342F"/>
    <w:rsid w:val="00A34620"/>
    <w:rsid w:val="00A40113"/>
    <w:rsid w:val="00A40AEC"/>
    <w:rsid w:val="00A45C4E"/>
    <w:rsid w:val="00A46BCA"/>
    <w:rsid w:val="00A55320"/>
    <w:rsid w:val="00A553FF"/>
    <w:rsid w:val="00A576E8"/>
    <w:rsid w:val="00A6198F"/>
    <w:rsid w:val="00A62091"/>
    <w:rsid w:val="00A64558"/>
    <w:rsid w:val="00A767C5"/>
    <w:rsid w:val="00A81BBB"/>
    <w:rsid w:val="00A90442"/>
    <w:rsid w:val="00A91405"/>
    <w:rsid w:val="00A94E5E"/>
    <w:rsid w:val="00A953C9"/>
    <w:rsid w:val="00AA108B"/>
    <w:rsid w:val="00AA1626"/>
    <w:rsid w:val="00AA1AB9"/>
    <w:rsid w:val="00AA5C68"/>
    <w:rsid w:val="00AB0363"/>
    <w:rsid w:val="00AB4D4B"/>
    <w:rsid w:val="00AC1894"/>
    <w:rsid w:val="00AC26BE"/>
    <w:rsid w:val="00AC43D8"/>
    <w:rsid w:val="00AC4E4E"/>
    <w:rsid w:val="00AD1CD6"/>
    <w:rsid w:val="00AF6059"/>
    <w:rsid w:val="00B02355"/>
    <w:rsid w:val="00B107DB"/>
    <w:rsid w:val="00B123AA"/>
    <w:rsid w:val="00B1254D"/>
    <w:rsid w:val="00B22E17"/>
    <w:rsid w:val="00B254DE"/>
    <w:rsid w:val="00B258D1"/>
    <w:rsid w:val="00B27773"/>
    <w:rsid w:val="00B300CA"/>
    <w:rsid w:val="00B30575"/>
    <w:rsid w:val="00B31CA3"/>
    <w:rsid w:val="00B34AE2"/>
    <w:rsid w:val="00B357A0"/>
    <w:rsid w:val="00B36D1D"/>
    <w:rsid w:val="00B37D38"/>
    <w:rsid w:val="00B42349"/>
    <w:rsid w:val="00B427AC"/>
    <w:rsid w:val="00B50A7E"/>
    <w:rsid w:val="00B50C06"/>
    <w:rsid w:val="00B52A08"/>
    <w:rsid w:val="00B560AC"/>
    <w:rsid w:val="00B57845"/>
    <w:rsid w:val="00B6070D"/>
    <w:rsid w:val="00B64208"/>
    <w:rsid w:val="00B65ADE"/>
    <w:rsid w:val="00B6665C"/>
    <w:rsid w:val="00B70EA4"/>
    <w:rsid w:val="00B7214A"/>
    <w:rsid w:val="00B740FD"/>
    <w:rsid w:val="00B74F66"/>
    <w:rsid w:val="00B8139F"/>
    <w:rsid w:val="00B84A9D"/>
    <w:rsid w:val="00B87393"/>
    <w:rsid w:val="00B92392"/>
    <w:rsid w:val="00B93238"/>
    <w:rsid w:val="00B93239"/>
    <w:rsid w:val="00B948BA"/>
    <w:rsid w:val="00B95EBB"/>
    <w:rsid w:val="00BA3645"/>
    <w:rsid w:val="00BA6C08"/>
    <w:rsid w:val="00BA7243"/>
    <w:rsid w:val="00BA777D"/>
    <w:rsid w:val="00BB14F8"/>
    <w:rsid w:val="00BB541C"/>
    <w:rsid w:val="00BC18E2"/>
    <w:rsid w:val="00BC2D26"/>
    <w:rsid w:val="00BC318B"/>
    <w:rsid w:val="00BC54C4"/>
    <w:rsid w:val="00BC6F9B"/>
    <w:rsid w:val="00BC7B4E"/>
    <w:rsid w:val="00BE44A7"/>
    <w:rsid w:val="00BE4CFA"/>
    <w:rsid w:val="00BE5296"/>
    <w:rsid w:val="00C009E7"/>
    <w:rsid w:val="00C00B6D"/>
    <w:rsid w:val="00C00D3E"/>
    <w:rsid w:val="00C06C93"/>
    <w:rsid w:val="00C072EE"/>
    <w:rsid w:val="00C07EE1"/>
    <w:rsid w:val="00C34082"/>
    <w:rsid w:val="00C353AF"/>
    <w:rsid w:val="00C451E2"/>
    <w:rsid w:val="00C476AA"/>
    <w:rsid w:val="00C57EA2"/>
    <w:rsid w:val="00C60873"/>
    <w:rsid w:val="00C61F24"/>
    <w:rsid w:val="00C642F2"/>
    <w:rsid w:val="00C64F34"/>
    <w:rsid w:val="00C70574"/>
    <w:rsid w:val="00C70E5A"/>
    <w:rsid w:val="00C7223F"/>
    <w:rsid w:val="00C74C44"/>
    <w:rsid w:val="00C810A9"/>
    <w:rsid w:val="00C8154F"/>
    <w:rsid w:val="00C85B32"/>
    <w:rsid w:val="00C8609E"/>
    <w:rsid w:val="00C86FC1"/>
    <w:rsid w:val="00C91BCF"/>
    <w:rsid w:val="00C97B41"/>
    <w:rsid w:val="00CA2B02"/>
    <w:rsid w:val="00CA470C"/>
    <w:rsid w:val="00CA5C80"/>
    <w:rsid w:val="00CA66AC"/>
    <w:rsid w:val="00CB18B1"/>
    <w:rsid w:val="00CB7C5B"/>
    <w:rsid w:val="00CC0810"/>
    <w:rsid w:val="00CC1350"/>
    <w:rsid w:val="00CC2C9B"/>
    <w:rsid w:val="00CC61A5"/>
    <w:rsid w:val="00CD0571"/>
    <w:rsid w:val="00CD1C71"/>
    <w:rsid w:val="00CE4714"/>
    <w:rsid w:val="00CF10B7"/>
    <w:rsid w:val="00D01CF3"/>
    <w:rsid w:val="00D03734"/>
    <w:rsid w:val="00D064D7"/>
    <w:rsid w:val="00D0673B"/>
    <w:rsid w:val="00D06C2D"/>
    <w:rsid w:val="00D06FE8"/>
    <w:rsid w:val="00D07767"/>
    <w:rsid w:val="00D07987"/>
    <w:rsid w:val="00D07D0C"/>
    <w:rsid w:val="00D275CE"/>
    <w:rsid w:val="00D3042A"/>
    <w:rsid w:val="00D3297C"/>
    <w:rsid w:val="00D37EA1"/>
    <w:rsid w:val="00D52D0C"/>
    <w:rsid w:val="00D57FCA"/>
    <w:rsid w:val="00D60C3D"/>
    <w:rsid w:val="00D66745"/>
    <w:rsid w:val="00D72A09"/>
    <w:rsid w:val="00D73A2A"/>
    <w:rsid w:val="00D77557"/>
    <w:rsid w:val="00D913AC"/>
    <w:rsid w:val="00D9183D"/>
    <w:rsid w:val="00DB06A1"/>
    <w:rsid w:val="00DB0DB3"/>
    <w:rsid w:val="00DC6BBC"/>
    <w:rsid w:val="00DD7BB1"/>
    <w:rsid w:val="00DE02A6"/>
    <w:rsid w:val="00DE24C6"/>
    <w:rsid w:val="00DE2944"/>
    <w:rsid w:val="00DE318B"/>
    <w:rsid w:val="00DE6A21"/>
    <w:rsid w:val="00DE7C73"/>
    <w:rsid w:val="00DF5F75"/>
    <w:rsid w:val="00E005FB"/>
    <w:rsid w:val="00E0068D"/>
    <w:rsid w:val="00E01E21"/>
    <w:rsid w:val="00E07F41"/>
    <w:rsid w:val="00E108CD"/>
    <w:rsid w:val="00E12EE3"/>
    <w:rsid w:val="00E15135"/>
    <w:rsid w:val="00E17A7B"/>
    <w:rsid w:val="00E31186"/>
    <w:rsid w:val="00E34D47"/>
    <w:rsid w:val="00E42D2B"/>
    <w:rsid w:val="00E454BA"/>
    <w:rsid w:val="00E5745D"/>
    <w:rsid w:val="00E64F50"/>
    <w:rsid w:val="00E6528E"/>
    <w:rsid w:val="00E65FEB"/>
    <w:rsid w:val="00E71CCB"/>
    <w:rsid w:val="00E82235"/>
    <w:rsid w:val="00E82BF8"/>
    <w:rsid w:val="00E90745"/>
    <w:rsid w:val="00EA4DB2"/>
    <w:rsid w:val="00EB7AC4"/>
    <w:rsid w:val="00EC1331"/>
    <w:rsid w:val="00EC6843"/>
    <w:rsid w:val="00ED21F1"/>
    <w:rsid w:val="00ED73B8"/>
    <w:rsid w:val="00EE38C4"/>
    <w:rsid w:val="00EE6D8B"/>
    <w:rsid w:val="00EF5A18"/>
    <w:rsid w:val="00F046D6"/>
    <w:rsid w:val="00F07A5A"/>
    <w:rsid w:val="00F10D58"/>
    <w:rsid w:val="00F128A6"/>
    <w:rsid w:val="00F22002"/>
    <w:rsid w:val="00F22DB5"/>
    <w:rsid w:val="00F318FC"/>
    <w:rsid w:val="00F34A24"/>
    <w:rsid w:val="00F34EC1"/>
    <w:rsid w:val="00F3626A"/>
    <w:rsid w:val="00F4024D"/>
    <w:rsid w:val="00F4046A"/>
    <w:rsid w:val="00F4301D"/>
    <w:rsid w:val="00F5045E"/>
    <w:rsid w:val="00F526D2"/>
    <w:rsid w:val="00F53383"/>
    <w:rsid w:val="00F61702"/>
    <w:rsid w:val="00F6421C"/>
    <w:rsid w:val="00F65846"/>
    <w:rsid w:val="00F7480C"/>
    <w:rsid w:val="00F831C2"/>
    <w:rsid w:val="00F83444"/>
    <w:rsid w:val="00F83DBE"/>
    <w:rsid w:val="00F83E11"/>
    <w:rsid w:val="00F85D83"/>
    <w:rsid w:val="00F87B35"/>
    <w:rsid w:val="00F87DB1"/>
    <w:rsid w:val="00F9286F"/>
    <w:rsid w:val="00F947CD"/>
    <w:rsid w:val="00F94BC8"/>
    <w:rsid w:val="00FA1010"/>
    <w:rsid w:val="00FA4A03"/>
    <w:rsid w:val="00FC17DE"/>
    <w:rsid w:val="00FC26BC"/>
    <w:rsid w:val="00FD054E"/>
    <w:rsid w:val="00FE1C50"/>
    <w:rsid w:val="00FE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0E19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noteText">
    <w:name w:val="footnote text"/>
    <w:basedOn w:val="Normal"/>
    <w:link w:val="FootnoteTextChar"/>
    <w:uiPriority w:val="99"/>
    <w:unhideWhenUsed/>
    <w:rsid w:val="003104F6"/>
    <w:rPr>
      <w:rFonts w:ascii="Calibri" w:hAnsi="Calibri"/>
      <w:sz w:val="20"/>
      <w:szCs w:val="20"/>
    </w:rPr>
  </w:style>
  <w:style w:type="character" w:customStyle="1" w:styleId="FootnoteTextChar">
    <w:name w:val="Footnote Text Char"/>
    <w:link w:val="FootnoteText"/>
    <w:uiPriority w:val="99"/>
    <w:rsid w:val="003104F6"/>
    <w:rPr>
      <w:rFonts w:ascii="Calibri" w:hAnsi="Calibri"/>
    </w:rPr>
  </w:style>
  <w:style w:type="character" w:styleId="FootnoteReference">
    <w:name w:val="footnote reference"/>
    <w:uiPriority w:val="99"/>
    <w:unhideWhenUsed/>
    <w:rsid w:val="003104F6"/>
    <w:rPr>
      <w:vertAlign w:val="superscript"/>
    </w:rPr>
  </w:style>
  <w:style w:type="character" w:customStyle="1" w:styleId="Heading2Char">
    <w:name w:val="Heading 2 Char"/>
    <w:link w:val="Heading2"/>
    <w:rsid w:val="000A6C99"/>
    <w:rPr>
      <w:b/>
      <w:bCs/>
      <w:szCs w:val="24"/>
    </w:rPr>
  </w:style>
  <w:style w:type="character" w:customStyle="1" w:styleId="HeaderChar">
    <w:name w:val="Header Char"/>
    <w:link w:val="Header"/>
    <w:uiPriority w:val="99"/>
    <w:rsid w:val="009B6E16"/>
    <w:rPr>
      <w:sz w:val="24"/>
      <w:szCs w:val="24"/>
    </w:rPr>
  </w:style>
  <w:style w:type="character" w:customStyle="1" w:styleId="FooterChar">
    <w:name w:val="Footer Char"/>
    <w:link w:val="Footer"/>
    <w:uiPriority w:val="99"/>
    <w:rsid w:val="00BB541C"/>
    <w:rPr>
      <w:sz w:val="24"/>
      <w:szCs w:val="24"/>
    </w:rPr>
  </w:style>
  <w:style w:type="paragraph" w:styleId="CommentSubject">
    <w:name w:val="annotation subject"/>
    <w:basedOn w:val="CommentText"/>
    <w:next w:val="CommentText"/>
    <w:link w:val="CommentSubjectChar"/>
    <w:rsid w:val="00F6421C"/>
    <w:rPr>
      <w:b/>
      <w:bCs/>
    </w:rPr>
  </w:style>
  <w:style w:type="character" w:customStyle="1" w:styleId="CommentTextChar">
    <w:name w:val="Comment Text Char"/>
    <w:basedOn w:val="DefaultParagraphFont"/>
    <w:link w:val="CommentText"/>
    <w:uiPriority w:val="99"/>
    <w:rsid w:val="00F6421C"/>
  </w:style>
  <w:style w:type="character" w:customStyle="1" w:styleId="CommentSubjectChar">
    <w:name w:val="Comment Subject Char"/>
    <w:link w:val="CommentSubject"/>
    <w:rsid w:val="00F6421C"/>
    <w:rPr>
      <w:b/>
      <w:bCs/>
    </w:rPr>
  </w:style>
  <w:style w:type="character" w:customStyle="1" w:styleId="ListParagraphChar">
    <w:name w:val="List Paragraph Char"/>
    <w:aliases w:val="LAR NOFA Char"/>
    <w:link w:val="ListParagraph"/>
    <w:uiPriority w:val="34"/>
    <w:locked/>
    <w:rsid w:val="009A21F5"/>
    <w:rPr>
      <w:sz w:val="24"/>
      <w:szCs w:val="24"/>
    </w:rPr>
  </w:style>
  <w:style w:type="paragraph" w:styleId="ListParagraph">
    <w:name w:val="List Paragraph"/>
    <w:aliases w:val="LAR NOFA"/>
    <w:basedOn w:val="Normal"/>
    <w:link w:val="ListParagraphChar"/>
    <w:uiPriority w:val="34"/>
    <w:qFormat/>
    <w:rsid w:val="009A21F5"/>
    <w:pPr>
      <w:ind w:left="720"/>
    </w:pPr>
  </w:style>
  <w:style w:type="table" w:styleId="TableGrid">
    <w:name w:val="Table Grid"/>
    <w:basedOn w:val="TableNormal"/>
    <w:rsid w:val="00FC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3E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4117">
      <w:bodyDiv w:val="1"/>
      <w:marLeft w:val="0"/>
      <w:marRight w:val="0"/>
      <w:marTop w:val="0"/>
      <w:marBottom w:val="0"/>
      <w:divBdr>
        <w:top w:val="none" w:sz="0" w:space="0" w:color="auto"/>
        <w:left w:val="none" w:sz="0" w:space="0" w:color="auto"/>
        <w:bottom w:val="none" w:sz="0" w:space="0" w:color="auto"/>
        <w:right w:val="none" w:sz="0" w:space="0" w:color="auto"/>
      </w:divBdr>
    </w:div>
    <w:div w:id="78868863">
      <w:bodyDiv w:val="1"/>
      <w:marLeft w:val="0"/>
      <w:marRight w:val="0"/>
      <w:marTop w:val="0"/>
      <w:marBottom w:val="0"/>
      <w:divBdr>
        <w:top w:val="none" w:sz="0" w:space="0" w:color="auto"/>
        <w:left w:val="none" w:sz="0" w:space="0" w:color="auto"/>
        <w:bottom w:val="none" w:sz="0" w:space="0" w:color="auto"/>
        <w:right w:val="none" w:sz="0" w:space="0" w:color="auto"/>
      </w:divBdr>
    </w:div>
    <w:div w:id="287052789">
      <w:bodyDiv w:val="1"/>
      <w:marLeft w:val="0"/>
      <w:marRight w:val="0"/>
      <w:marTop w:val="0"/>
      <w:marBottom w:val="0"/>
      <w:divBdr>
        <w:top w:val="none" w:sz="0" w:space="0" w:color="auto"/>
        <w:left w:val="none" w:sz="0" w:space="0" w:color="auto"/>
        <w:bottom w:val="none" w:sz="0" w:space="0" w:color="auto"/>
        <w:right w:val="none" w:sz="0" w:space="0" w:color="auto"/>
      </w:divBdr>
    </w:div>
    <w:div w:id="298538951">
      <w:bodyDiv w:val="1"/>
      <w:marLeft w:val="0"/>
      <w:marRight w:val="0"/>
      <w:marTop w:val="0"/>
      <w:marBottom w:val="0"/>
      <w:divBdr>
        <w:top w:val="none" w:sz="0" w:space="0" w:color="auto"/>
        <w:left w:val="none" w:sz="0" w:space="0" w:color="auto"/>
        <w:bottom w:val="none" w:sz="0" w:space="0" w:color="auto"/>
        <w:right w:val="none" w:sz="0" w:space="0" w:color="auto"/>
      </w:divBdr>
    </w:div>
    <w:div w:id="428425100">
      <w:bodyDiv w:val="1"/>
      <w:marLeft w:val="0"/>
      <w:marRight w:val="0"/>
      <w:marTop w:val="0"/>
      <w:marBottom w:val="0"/>
      <w:divBdr>
        <w:top w:val="none" w:sz="0" w:space="0" w:color="auto"/>
        <w:left w:val="none" w:sz="0" w:space="0" w:color="auto"/>
        <w:bottom w:val="none" w:sz="0" w:space="0" w:color="auto"/>
        <w:right w:val="none" w:sz="0" w:space="0" w:color="auto"/>
      </w:divBdr>
    </w:div>
    <w:div w:id="517429370">
      <w:bodyDiv w:val="1"/>
      <w:marLeft w:val="0"/>
      <w:marRight w:val="0"/>
      <w:marTop w:val="0"/>
      <w:marBottom w:val="0"/>
      <w:divBdr>
        <w:top w:val="none" w:sz="0" w:space="0" w:color="auto"/>
        <w:left w:val="none" w:sz="0" w:space="0" w:color="auto"/>
        <w:bottom w:val="none" w:sz="0" w:space="0" w:color="auto"/>
        <w:right w:val="none" w:sz="0" w:space="0" w:color="auto"/>
      </w:divBdr>
    </w:div>
    <w:div w:id="517692960">
      <w:bodyDiv w:val="1"/>
      <w:marLeft w:val="0"/>
      <w:marRight w:val="0"/>
      <w:marTop w:val="0"/>
      <w:marBottom w:val="0"/>
      <w:divBdr>
        <w:top w:val="none" w:sz="0" w:space="0" w:color="auto"/>
        <w:left w:val="none" w:sz="0" w:space="0" w:color="auto"/>
        <w:bottom w:val="none" w:sz="0" w:space="0" w:color="auto"/>
        <w:right w:val="none" w:sz="0" w:space="0" w:color="auto"/>
      </w:divBdr>
    </w:div>
    <w:div w:id="613708526">
      <w:bodyDiv w:val="1"/>
      <w:marLeft w:val="0"/>
      <w:marRight w:val="0"/>
      <w:marTop w:val="0"/>
      <w:marBottom w:val="0"/>
      <w:divBdr>
        <w:top w:val="none" w:sz="0" w:space="0" w:color="auto"/>
        <w:left w:val="none" w:sz="0" w:space="0" w:color="auto"/>
        <w:bottom w:val="none" w:sz="0" w:space="0" w:color="auto"/>
        <w:right w:val="none" w:sz="0" w:space="0" w:color="auto"/>
      </w:divBdr>
    </w:div>
    <w:div w:id="692144774">
      <w:bodyDiv w:val="1"/>
      <w:marLeft w:val="0"/>
      <w:marRight w:val="0"/>
      <w:marTop w:val="0"/>
      <w:marBottom w:val="0"/>
      <w:divBdr>
        <w:top w:val="none" w:sz="0" w:space="0" w:color="auto"/>
        <w:left w:val="none" w:sz="0" w:space="0" w:color="auto"/>
        <w:bottom w:val="none" w:sz="0" w:space="0" w:color="auto"/>
        <w:right w:val="none" w:sz="0" w:space="0" w:color="auto"/>
      </w:divBdr>
    </w:div>
    <w:div w:id="738014886">
      <w:bodyDiv w:val="1"/>
      <w:marLeft w:val="0"/>
      <w:marRight w:val="0"/>
      <w:marTop w:val="0"/>
      <w:marBottom w:val="0"/>
      <w:divBdr>
        <w:top w:val="none" w:sz="0" w:space="0" w:color="auto"/>
        <w:left w:val="none" w:sz="0" w:space="0" w:color="auto"/>
        <w:bottom w:val="none" w:sz="0" w:space="0" w:color="auto"/>
        <w:right w:val="none" w:sz="0" w:space="0" w:color="auto"/>
      </w:divBdr>
    </w:div>
    <w:div w:id="858471910">
      <w:bodyDiv w:val="1"/>
      <w:marLeft w:val="0"/>
      <w:marRight w:val="0"/>
      <w:marTop w:val="0"/>
      <w:marBottom w:val="0"/>
      <w:divBdr>
        <w:top w:val="none" w:sz="0" w:space="0" w:color="auto"/>
        <w:left w:val="none" w:sz="0" w:space="0" w:color="auto"/>
        <w:bottom w:val="none" w:sz="0" w:space="0" w:color="auto"/>
        <w:right w:val="none" w:sz="0" w:space="0" w:color="auto"/>
      </w:divBdr>
    </w:div>
    <w:div w:id="950281792">
      <w:bodyDiv w:val="1"/>
      <w:marLeft w:val="0"/>
      <w:marRight w:val="0"/>
      <w:marTop w:val="0"/>
      <w:marBottom w:val="0"/>
      <w:divBdr>
        <w:top w:val="none" w:sz="0" w:space="0" w:color="auto"/>
        <w:left w:val="none" w:sz="0" w:space="0" w:color="auto"/>
        <w:bottom w:val="none" w:sz="0" w:space="0" w:color="auto"/>
        <w:right w:val="none" w:sz="0" w:space="0" w:color="auto"/>
      </w:divBdr>
    </w:div>
    <w:div w:id="1114714871">
      <w:bodyDiv w:val="1"/>
      <w:marLeft w:val="0"/>
      <w:marRight w:val="0"/>
      <w:marTop w:val="0"/>
      <w:marBottom w:val="0"/>
      <w:divBdr>
        <w:top w:val="none" w:sz="0" w:space="0" w:color="auto"/>
        <w:left w:val="none" w:sz="0" w:space="0" w:color="auto"/>
        <w:bottom w:val="none" w:sz="0" w:space="0" w:color="auto"/>
        <w:right w:val="none" w:sz="0" w:space="0" w:color="auto"/>
      </w:divBdr>
    </w:div>
    <w:div w:id="1135030174">
      <w:bodyDiv w:val="1"/>
      <w:marLeft w:val="0"/>
      <w:marRight w:val="0"/>
      <w:marTop w:val="0"/>
      <w:marBottom w:val="0"/>
      <w:divBdr>
        <w:top w:val="none" w:sz="0" w:space="0" w:color="auto"/>
        <w:left w:val="none" w:sz="0" w:space="0" w:color="auto"/>
        <w:bottom w:val="none" w:sz="0" w:space="0" w:color="auto"/>
        <w:right w:val="none" w:sz="0" w:space="0" w:color="auto"/>
      </w:divBdr>
    </w:div>
    <w:div w:id="1237011470">
      <w:bodyDiv w:val="1"/>
      <w:marLeft w:val="0"/>
      <w:marRight w:val="0"/>
      <w:marTop w:val="0"/>
      <w:marBottom w:val="0"/>
      <w:divBdr>
        <w:top w:val="none" w:sz="0" w:space="0" w:color="auto"/>
        <w:left w:val="none" w:sz="0" w:space="0" w:color="auto"/>
        <w:bottom w:val="none" w:sz="0" w:space="0" w:color="auto"/>
        <w:right w:val="none" w:sz="0" w:space="0" w:color="auto"/>
      </w:divBdr>
    </w:div>
    <w:div w:id="1264846922">
      <w:bodyDiv w:val="1"/>
      <w:marLeft w:val="0"/>
      <w:marRight w:val="0"/>
      <w:marTop w:val="0"/>
      <w:marBottom w:val="0"/>
      <w:divBdr>
        <w:top w:val="none" w:sz="0" w:space="0" w:color="auto"/>
        <w:left w:val="none" w:sz="0" w:space="0" w:color="auto"/>
        <w:bottom w:val="none" w:sz="0" w:space="0" w:color="auto"/>
        <w:right w:val="none" w:sz="0" w:space="0" w:color="auto"/>
      </w:divBdr>
    </w:div>
    <w:div w:id="1297250982">
      <w:bodyDiv w:val="1"/>
      <w:marLeft w:val="0"/>
      <w:marRight w:val="0"/>
      <w:marTop w:val="0"/>
      <w:marBottom w:val="0"/>
      <w:divBdr>
        <w:top w:val="none" w:sz="0" w:space="0" w:color="auto"/>
        <w:left w:val="none" w:sz="0" w:space="0" w:color="auto"/>
        <w:bottom w:val="none" w:sz="0" w:space="0" w:color="auto"/>
        <w:right w:val="none" w:sz="0" w:space="0" w:color="auto"/>
      </w:divBdr>
    </w:div>
    <w:div w:id="1310869257">
      <w:bodyDiv w:val="1"/>
      <w:marLeft w:val="0"/>
      <w:marRight w:val="0"/>
      <w:marTop w:val="0"/>
      <w:marBottom w:val="0"/>
      <w:divBdr>
        <w:top w:val="none" w:sz="0" w:space="0" w:color="auto"/>
        <w:left w:val="none" w:sz="0" w:space="0" w:color="auto"/>
        <w:bottom w:val="none" w:sz="0" w:space="0" w:color="auto"/>
        <w:right w:val="none" w:sz="0" w:space="0" w:color="auto"/>
      </w:divBdr>
    </w:div>
    <w:div w:id="1468932365">
      <w:bodyDiv w:val="1"/>
      <w:marLeft w:val="0"/>
      <w:marRight w:val="0"/>
      <w:marTop w:val="0"/>
      <w:marBottom w:val="0"/>
      <w:divBdr>
        <w:top w:val="none" w:sz="0" w:space="0" w:color="auto"/>
        <w:left w:val="none" w:sz="0" w:space="0" w:color="auto"/>
        <w:bottom w:val="none" w:sz="0" w:space="0" w:color="auto"/>
        <w:right w:val="none" w:sz="0" w:space="0" w:color="auto"/>
      </w:divBdr>
    </w:div>
    <w:div w:id="1578594745">
      <w:bodyDiv w:val="1"/>
      <w:marLeft w:val="0"/>
      <w:marRight w:val="0"/>
      <w:marTop w:val="0"/>
      <w:marBottom w:val="0"/>
      <w:divBdr>
        <w:top w:val="none" w:sz="0" w:space="0" w:color="auto"/>
        <w:left w:val="none" w:sz="0" w:space="0" w:color="auto"/>
        <w:bottom w:val="none" w:sz="0" w:space="0" w:color="auto"/>
        <w:right w:val="none" w:sz="0" w:space="0" w:color="auto"/>
      </w:divBdr>
    </w:div>
    <w:div w:id="1669401475">
      <w:bodyDiv w:val="1"/>
      <w:marLeft w:val="0"/>
      <w:marRight w:val="0"/>
      <w:marTop w:val="0"/>
      <w:marBottom w:val="0"/>
      <w:divBdr>
        <w:top w:val="none" w:sz="0" w:space="0" w:color="auto"/>
        <w:left w:val="none" w:sz="0" w:space="0" w:color="auto"/>
        <w:bottom w:val="none" w:sz="0" w:space="0" w:color="auto"/>
        <w:right w:val="none" w:sz="0" w:space="0" w:color="auto"/>
      </w:divBdr>
    </w:div>
    <w:div w:id="19591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0B60-905F-442E-83CC-B6C2AC660F9E}">
  <ds:schemaRefs>
    <ds:schemaRef ds:uri="http://schemas.openxmlformats.org/officeDocument/2006/bibliography"/>
  </ds:schemaRefs>
</ds:datastoreItem>
</file>

<file path=customXml/itemProps2.xml><?xml version="1.0" encoding="utf-8"?>
<ds:datastoreItem xmlns:ds="http://schemas.openxmlformats.org/officeDocument/2006/customXml" ds:itemID="{49BFC214-DE7A-47A5-A49D-DD2A05A32B1E}">
  <ds:schemaRefs>
    <ds:schemaRef ds:uri="http://schemas.microsoft.com/office/2006/metadata/longProperties"/>
  </ds:schemaRefs>
</ds:datastoreItem>
</file>

<file path=customXml/itemProps3.xml><?xml version="1.0" encoding="utf-8"?>
<ds:datastoreItem xmlns:ds="http://schemas.openxmlformats.org/officeDocument/2006/customXml" ds:itemID="{34B73426-60B5-4B01-B3D6-2E3216B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3757</Words>
  <Characters>22120</Characters>
  <Application>Microsoft Office Word</Application>
  <DocSecurity>0</DocSecurity>
  <Lines>184</Lines>
  <Paragraphs>51</Paragraphs>
  <ScaleCrop>false</ScaleCrop>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2018-05-03T16:00:00Z</dcterms:created>
  <dcterms:modified xsi:type="dcterms:W3CDTF">2020-08-11T17:19:00Z</dcterms:modified>
</cp:coreProperties>
</file>