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EFCB" w14:textId="77777777" w:rsidR="00115FD4" w:rsidRDefault="00115FD4">
      <w:pPr>
        <w:pStyle w:val="Level1"/>
        <w:numPr>
          <w:ilvl w:val="0"/>
          <w:numId w:val="0"/>
        </w:numPr>
        <w:tabs>
          <w:tab w:val="left" w:pos="2160"/>
        </w:tabs>
      </w:pPr>
    </w:p>
    <w:p w14:paraId="5ECC0254" w14:textId="77777777" w:rsidR="00115FD4" w:rsidRDefault="00115FD4">
      <w:pPr>
        <w:pStyle w:val="Level1"/>
        <w:numPr>
          <w:ilvl w:val="0"/>
          <w:numId w:val="0"/>
        </w:numPr>
        <w:tabs>
          <w:tab w:val="left" w:pos="2160"/>
        </w:tabs>
        <w:jc w:val="center"/>
        <w:rPr>
          <w:b/>
          <w:bCs/>
        </w:rPr>
      </w:pPr>
      <w:r>
        <w:rPr>
          <w:b/>
          <w:bCs/>
        </w:rPr>
        <w:t>CHAPTER 22</w:t>
      </w:r>
    </w:p>
    <w:p w14:paraId="53824A93" w14:textId="77777777" w:rsidR="00115FD4" w:rsidRDefault="00115FD4">
      <w:pPr>
        <w:pStyle w:val="Level1"/>
        <w:numPr>
          <w:ilvl w:val="0"/>
          <w:numId w:val="0"/>
        </w:numPr>
        <w:tabs>
          <w:tab w:val="left" w:pos="2160"/>
        </w:tabs>
        <w:jc w:val="center"/>
        <w:rPr>
          <w:b/>
          <w:bCs/>
        </w:rPr>
      </w:pPr>
    </w:p>
    <w:p w14:paraId="391162BB" w14:textId="77777777" w:rsidR="00973F22" w:rsidRDefault="00973F22" w:rsidP="00973F22">
      <w:pPr>
        <w:pStyle w:val="Level1"/>
        <w:numPr>
          <w:ilvl w:val="0"/>
          <w:numId w:val="0"/>
        </w:numPr>
        <w:tabs>
          <w:tab w:val="left" w:pos="2160"/>
        </w:tabs>
        <w:jc w:val="center"/>
        <w:rPr>
          <w:b/>
          <w:bCs/>
        </w:rPr>
      </w:pPr>
      <w:r>
        <w:rPr>
          <w:b/>
          <w:bCs/>
        </w:rPr>
        <w:t xml:space="preserve">FAIR HOUSING AND EQUAL OPPORTUNITY (FHEO) </w:t>
      </w:r>
      <w:r>
        <w:rPr>
          <w:rStyle w:val="FootnoteReference"/>
          <w:b/>
          <w:bCs/>
        </w:rPr>
        <w:footnoteReference w:id="2"/>
      </w:r>
    </w:p>
    <w:p w14:paraId="1EEA529C" w14:textId="77777777" w:rsidR="00115FD4" w:rsidRDefault="00115FD4">
      <w:pPr>
        <w:pStyle w:val="Level1"/>
        <w:numPr>
          <w:ilvl w:val="0"/>
          <w:numId w:val="0"/>
        </w:numPr>
        <w:tabs>
          <w:tab w:val="left" w:pos="2160"/>
        </w:tabs>
        <w:rPr>
          <w:b/>
          <w:bCs/>
        </w:rPr>
      </w:pPr>
      <w:r>
        <w:rPr>
          <w:b/>
          <w:bCs/>
        </w:rPr>
        <w:t xml:space="preserve"> </w:t>
      </w:r>
    </w:p>
    <w:p w14:paraId="1E6FDB01" w14:textId="77777777" w:rsidR="00115FD4" w:rsidRDefault="00115FD4">
      <w:pPr>
        <w:pStyle w:val="Level1"/>
        <w:numPr>
          <w:ilvl w:val="0"/>
          <w:numId w:val="0"/>
        </w:numPr>
        <w:tabs>
          <w:tab w:val="left" w:pos="2160"/>
        </w:tabs>
      </w:pPr>
    </w:p>
    <w:p w14:paraId="44316EE9" w14:textId="77777777" w:rsidR="00115FD4" w:rsidRDefault="00115FD4">
      <w:pPr>
        <w:pStyle w:val="Level1"/>
        <w:numPr>
          <w:ilvl w:val="1"/>
          <w:numId w:val="13"/>
        </w:numPr>
        <w:tabs>
          <w:tab w:val="clear" w:pos="360"/>
          <w:tab w:val="clear" w:pos="4320"/>
          <w:tab w:val="clear" w:pos="8640"/>
        </w:tabs>
        <w:ind w:left="720" w:hanging="720"/>
      </w:pPr>
      <w:r>
        <w:rPr>
          <w:u w:val="single"/>
        </w:rPr>
        <w:t>PURPOSE.</w:t>
      </w:r>
      <w:r>
        <w:rPr>
          <w:b/>
          <w:bCs/>
        </w:rPr>
        <w:t xml:space="preserve">  </w:t>
      </w:r>
      <w:r>
        <w:t>This Chapter provides guidance to CPD Field Office staff in carrying out their responsibilities to conduct limited monitoring reviews of:</w:t>
      </w:r>
    </w:p>
    <w:p w14:paraId="3778A74E" w14:textId="77777777" w:rsidR="00115FD4" w:rsidRDefault="00115FD4" w:rsidP="00DD4B07">
      <w:pPr>
        <w:pStyle w:val="Level1"/>
        <w:numPr>
          <w:ilvl w:val="0"/>
          <w:numId w:val="0"/>
        </w:numPr>
        <w:tabs>
          <w:tab w:val="clear" w:pos="4320"/>
          <w:tab w:val="clear" w:pos="8640"/>
        </w:tabs>
        <w:spacing w:line="120" w:lineRule="auto"/>
      </w:pPr>
    </w:p>
    <w:p w14:paraId="2AB719D4" w14:textId="77777777" w:rsidR="00115FD4" w:rsidRDefault="00115FD4">
      <w:pPr>
        <w:pStyle w:val="Level1"/>
        <w:numPr>
          <w:ilvl w:val="0"/>
          <w:numId w:val="16"/>
        </w:numPr>
        <w:tabs>
          <w:tab w:val="clear" w:pos="1800"/>
          <w:tab w:val="clear" w:pos="4320"/>
          <w:tab w:val="clear" w:pos="8640"/>
        </w:tabs>
        <w:ind w:left="1080"/>
      </w:pPr>
      <w:r>
        <w:t xml:space="preserve">civil rights-related program requirements (CRRPRs) in CPD </w:t>
      </w:r>
      <w:proofErr w:type="gramStart"/>
      <w:r>
        <w:t>programs;</w:t>
      </w:r>
      <w:proofErr w:type="gramEnd"/>
      <w:r>
        <w:t xml:space="preserve"> </w:t>
      </w:r>
    </w:p>
    <w:p w14:paraId="4D66A039" w14:textId="77777777" w:rsidR="00115FD4" w:rsidRDefault="00115FD4">
      <w:pPr>
        <w:pStyle w:val="Level1"/>
        <w:numPr>
          <w:ilvl w:val="0"/>
          <w:numId w:val="16"/>
        </w:numPr>
        <w:tabs>
          <w:tab w:val="clear" w:pos="1800"/>
          <w:tab w:val="clear" w:pos="4320"/>
          <w:tab w:val="clear" w:pos="8640"/>
        </w:tabs>
        <w:ind w:left="1080"/>
      </w:pPr>
      <w:r>
        <w:t xml:space="preserve">program requirements for equal opportunity for persons with disabilities; and </w:t>
      </w:r>
    </w:p>
    <w:p w14:paraId="751D8C1C" w14:textId="77777777" w:rsidR="00115FD4" w:rsidRDefault="00115FD4">
      <w:pPr>
        <w:pStyle w:val="Level1"/>
        <w:numPr>
          <w:ilvl w:val="0"/>
          <w:numId w:val="16"/>
        </w:numPr>
        <w:tabs>
          <w:tab w:val="clear" w:pos="1800"/>
          <w:tab w:val="clear" w:pos="4320"/>
          <w:tab w:val="clear" w:pos="8640"/>
        </w:tabs>
        <w:ind w:left="1080"/>
      </w:pPr>
      <w:r>
        <w:t>the economic development requirements of Section 3 of the Housing and Urban Development Act of 1968 applicable to CPD programs.</w:t>
      </w:r>
    </w:p>
    <w:p w14:paraId="09951379" w14:textId="77777777" w:rsidR="00115FD4" w:rsidRDefault="00115FD4">
      <w:pPr>
        <w:pStyle w:val="Level1"/>
        <w:numPr>
          <w:ilvl w:val="0"/>
          <w:numId w:val="0"/>
        </w:numPr>
        <w:tabs>
          <w:tab w:val="clear" w:pos="4320"/>
          <w:tab w:val="clear" w:pos="8640"/>
        </w:tabs>
        <w:ind w:left="720" w:hanging="720"/>
      </w:pPr>
    </w:p>
    <w:p w14:paraId="3718C1D4" w14:textId="77777777" w:rsidR="00115FD4" w:rsidRDefault="00115FD4">
      <w:pPr>
        <w:numPr>
          <w:ilvl w:val="1"/>
          <w:numId w:val="13"/>
        </w:numPr>
        <w:tabs>
          <w:tab w:val="clear" w:pos="360"/>
        </w:tabs>
        <w:ind w:left="720" w:hanging="720"/>
      </w:pPr>
      <w:r>
        <w:rPr>
          <w:u w:val="single"/>
        </w:rPr>
        <w:t>APPLICABILITY.</w:t>
      </w:r>
      <w:r>
        <w:t xml:space="preserve">  Fair Housing and Equal Opportunity (FHEO) monitoring reviews are on specific fair housing and equal opportunity requirements that are established by the statutes and administered by CPD and FHEO and their program regulations.  </w:t>
      </w:r>
    </w:p>
    <w:p w14:paraId="4BD0B6AF" w14:textId="77777777" w:rsidR="00115FD4" w:rsidRDefault="00115FD4"/>
    <w:p w14:paraId="20FD3B28" w14:textId="77777777" w:rsidR="00115FD4" w:rsidRDefault="00115FD4">
      <w:pPr>
        <w:ind w:left="1080" w:hanging="360"/>
      </w:pPr>
      <w:r>
        <w:t>A.</w:t>
      </w:r>
      <w:r>
        <w:tab/>
        <w:t>Compliance is based on requirements pertaining to nondiscrimination in programs receiving Federal financial assistance, including:</w:t>
      </w:r>
    </w:p>
    <w:p w14:paraId="2DD3305E" w14:textId="77777777" w:rsidR="00115FD4" w:rsidRDefault="00115FD4" w:rsidP="00CA43EE">
      <w:pPr>
        <w:spacing w:line="120" w:lineRule="auto"/>
      </w:pPr>
    </w:p>
    <w:p w14:paraId="19F360E4" w14:textId="77777777" w:rsidR="00115FD4" w:rsidRDefault="00115FD4">
      <w:pPr>
        <w:numPr>
          <w:ilvl w:val="0"/>
          <w:numId w:val="26"/>
        </w:numPr>
        <w:tabs>
          <w:tab w:val="clear" w:pos="789"/>
          <w:tab w:val="left" w:pos="1080"/>
        </w:tabs>
        <w:ind w:left="1080"/>
      </w:pPr>
      <w:r>
        <w:t xml:space="preserve">Title VI of the Civil Rights Act of </w:t>
      </w:r>
      <w:proofErr w:type="gramStart"/>
      <w:r>
        <w:t>1964;</w:t>
      </w:r>
      <w:proofErr w:type="gramEnd"/>
      <w:r>
        <w:t xml:space="preserve"> </w:t>
      </w:r>
    </w:p>
    <w:p w14:paraId="28D8BD08" w14:textId="77777777" w:rsidR="00115FD4" w:rsidRDefault="00115FD4">
      <w:pPr>
        <w:numPr>
          <w:ilvl w:val="0"/>
          <w:numId w:val="26"/>
        </w:numPr>
        <w:tabs>
          <w:tab w:val="clear" w:pos="789"/>
        </w:tabs>
        <w:ind w:left="1440" w:hanging="360"/>
      </w:pPr>
      <w:r>
        <w:t xml:space="preserve">Section 109 of Title I of the Housing and Community Development Act of </w:t>
      </w:r>
      <w:proofErr w:type="gramStart"/>
      <w:r>
        <w:t>1974;</w:t>
      </w:r>
      <w:proofErr w:type="gramEnd"/>
      <w:r>
        <w:t xml:space="preserve"> </w:t>
      </w:r>
    </w:p>
    <w:p w14:paraId="1DD8AA35" w14:textId="77777777" w:rsidR="00115FD4" w:rsidRDefault="00115FD4">
      <w:pPr>
        <w:numPr>
          <w:ilvl w:val="0"/>
          <w:numId w:val="26"/>
        </w:numPr>
        <w:tabs>
          <w:tab w:val="clear" w:pos="789"/>
          <w:tab w:val="left" w:pos="1080"/>
        </w:tabs>
        <w:ind w:left="1080"/>
      </w:pPr>
      <w:r>
        <w:t xml:space="preserve">Section 504 of the Rehabilitation Act of 1973; and </w:t>
      </w:r>
    </w:p>
    <w:p w14:paraId="1C0685FA" w14:textId="77777777" w:rsidR="00115FD4" w:rsidRDefault="00115FD4">
      <w:pPr>
        <w:numPr>
          <w:ilvl w:val="0"/>
          <w:numId w:val="26"/>
        </w:numPr>
        <w:tabs>
          <w:tab w:val="clear" w:pos="789"/>
          <w:tab w:val="left" w:pos="1080"/>
        </w:tabs>
        <w:ind w:left="1080"/>
      </w:pPr>
      <w:r>
        <w:t>the Age Discrimination Act of 1975.</w:t>
      </w:r>
    </w:p>
    <w:p w14:paraId="414E8FAD" w14:textId="77777777" w:rsidR="00115FD4" w:rsidRDefault="00115FD4" w:rsidP="00CA43EE">
      <w:pPr>
        <w:tabs>
          <w:tab w:val="left" w:pos="1080"/>
        </w:tabs>
        <w:spacing w:line="120" w:lineRule="auto"/>
        <w:ind w:left="1080"/>
      </w:pPr>
    </w:p>
    <w:p w14:paraId="1EA055DA" w14:textId="77777777" w:rsidR="00BB7C95" w:rsidRDefault="00BB7C95" w:rsidP="00BB7C95">
      <w:pPr>
        <w:tabs>
          <w:tab w:val="left" w:pos="1080"/>
        </w:tabs>
        <w:ind w:left="1080"/>
      </w:pPr>
      <w:r>
        <w:t xml:space="preserve">These requirements are designed to prevent discrimination in the delivery of benefits and services because of race, color, religion (creed), sex (including sexual orientation and gender identity), national origin, age, familial </w:t>
      </w:r>
      <w:proofErr w:type="gramStart"/>
      <w:r>
        <w:t>status</w:t>
      </w:r>
      <w:proofErr w:type="gramEnd"/>
      <w:r>
        <w:t xml:space="preserve"> or disability.</w:t>
      </w:r>
    </w:p>
    <w:p w14:paraId="31FEF9CF" w14:textId="77777777" w:rsidR="00115FD4" w:rsidRDefault="00115FD4">
      <w:pPr>
        <w:tabs>
          <w:tab w:val="left" w:pos="1080"/>
        </w:tabs>
        <w:ind w:left="1080"/>
      </w:pPr>
      <w:r>
        <w:t xml:space="preserve"> </w:t>
      </w:r>
    </w:p>
    <w:p w14:paraId="1DC23B50" w14:textId="77777777" w:rsidR="00115FD4" w:rsidRDefault="00115FD4">
      <w:pPr>
        <w:numPr>
          <w:ilvl w:val="0"/>
          <w:numId w:val="27"/>
        </w:numPr>
      </w:pPr>
      <w:r>
        <w:t>Other issues reviewed are:</w:t>
      </w:r>
    </w:p>
    <w:p w14:paraId="3F6A3FFC" w14:textId="77777777" w:rsidR="00115FD4" w:rsidRDefault="00115FD4" w:rsidP="00CA43EE">
      <w:pPr>
        <w:spacing w:line="120" w:lineRule="auto"/>
        <w:ind w:left="720"/>
      </w:pPr>
    </w:p>
    <w:p w14:paraId="6A256ACE" w14:textId="77777777" w:rsidR="00115FD4" w:rsidRDefault="00115FD4">
      <w:pPr>
        <w:numPr>
          <w:ilvl w:val="0"/>
          <w:numId w:val="26"/>
        </w:numPr>
        <w:tabs>
          <w:tab w:val="clear" w:pos="789"/>
        </w:tabs>
        <w:ind w:left="1440" w:hanging="360"/>
      </w:pPr>
      <w:r>
        <w:t xml:space="preserve">nondiscrimination in the sale, </w:t>
      </w:r>
      <w:proofErr w:type="gramStart"/>
      <w:r>
        <w:t>rental</w:t>
      </w:r>
      <w:proofErr w:type="gramEnd"/>
      <w:r>
        <w:t xml:space="preserve"> or financing of housing (the Fair Housing Act and Executive Order 11063) to ensure that HUD programs are conducted in a manner to affirmatively further the objectives of the Fair Housing Act; and </w:t>
      </w:r>
    </w:p>
    <w:p w14:paraId="387F4CE2" w14:textId="77777777" w:rsidR="00115FD4" w:rsidRDefault="00115FD4" w:rsidP="00CA43EE">
      <w:pPr>
        <w:spacing w:line="120" w:lineRule="auto"/>
        <w:ind w:left="1080"/>
      </w:pPr>
    </w:p>
    <w:p w14:paraId="06B55119" w14:textId="77777777" w:rsidR="00115FD4" w:rsidRDefault="00115FD4">
      <w:pPr>
        <w:numPr>
          <w:ilvl w:val="0"/>
          <w:numId w:val="26"/>
        </w:numPr>
        <w:tabs>
          <w:tab w:val="clear" w:pos="789"/>
        </w:tabs>
        <w:ind w:left="1440" w:hanging="360"/>
      </w:pPr>
      <w:r>
        <w:t xml:space="preserve">economic development requirements of Section 3 of the Housing and Urban Development Act of 1968 (Section 3) to ensure that, to the greatest extent feasible, employment and business opportunities generated by these </w:t>
      </w:r>
      <w:r>
        <w:lastRenderedPageBreak/>
        <w:t xml:space="preserve">programs are directed to low-income and very low-income residents and business concerns located within areas affected by such programs.  </w:t>
      </w:r>
    </w:p>
    <w:p w14:paraId="74F4DB22" w14:textId="77777777" w:rsidR="00115FD4" w:rsidRDefault="00115FD4">
      <w:pPr>
        <w:ind w:left="432"/>
      </w:pPr>
    </w:p>
    <w:p w14:paraId="7087AA40" w14:textId="77777777" w:rsidR="00115FD4" w:rsidRPr="006139CE" w:rsidRDefault="00115FD4" w:rsidP="006139CE">
      <w:pPr>
        <w:pStyle w:val="Default"/>
        <w:ind w:left="720" w:hanging="720"/>
        <w:rPr>
          <w:rFonts w:ascii="Times New Roman" w:hAnsi="Times New Roman" w:cs="Times New Roman"/>
          <w:b/>
          <w:bCs/>
        </w:rPr>
      </w:pPr>
      <w:r w:rsidRPr="006139CE">
        <w:rPr>
          <w:rFonts w:ascii="Times New Roman" w:hAnsi="Times New Roman" w:cs="Times New Roman"/>
        </w:rPr>
        <w:t>22-3</w:t>
      </w:r>
      <w:r w:rsidRPr="006139CE">
        <w:rPr>
          <w:rFonts w:ascii="Times New Roman" w:hAnsi="Times New Roman" w:cs="Times New Roman"/>
        </w:rPr>
        <w:tab/>
      </w:r>
      <w:r w:rsidRPr="006139CE">
        <w:rPr>
          <w:rFonts w:ascii="Times New Roman" w:hAnsi="Times New Roman" w:cs="Times New Roman"/>
          <w:u w:val="single"/>
        </w:rPr>
        <w:t xml:space="preserve">CPD </w:t>
      </w:r>
      <w:r w:rsidR="00346A2E">
        <w:rPr>
          <w:rFonts w:ascii="Times New Roman" w:hAnsi="Times New Roman" w:cs="Times New Roman"/>
          <w:u w:val="single"/>
        </w:rPr>
        <w:t xml:space="preserve">LIMITED MONITORING </w:t>
      </w:r>
      <w:r w:rsidRPr="006139CE">
        <w:rPr>
          <w:rFonts w:ascii="Times New Roman" w:hAnsi="Times New Roman" w:cs="Times New Roman"/>
          <w:u w:val="single"/>
        </w:rPr>
        <w:t>REVIEW RESPONSIBILITIES.</w:t>
      </w:r>
      <w:r w:rsidRPr="006139CE">
        <w:rPr>
          <w:rFonts w:ascii="Times New Roman" w:hAnsi="Times New Roman" w:cs="Times New Roman"/>
        </w:rPr>
        <w:t xml:space="preserve">  Primary responsibility for oversight of nondiscrimination requirements rests with the Office of Fair Housing and Equal Opportunity (FHEO). However, since </w:t>
      </w:r>
      <w:r w:rsidR="0019702D" w:rsidRPr="006139CE">
        <w:rPr>
          <w:rFonts w:ascii="Times New Roman" w:hAnsi="Times New Roman" w:cs="Times New Roman"/>
        </w:rPr>
        <w:t>one of HUD’s strategic goals is to “reduce housing discrimination, affirmatively further fair housing through HUD programs, and promote diverse inclusive communities”</w:t>
      </w:r>
      <w:r w:rsidRPr="006139CE">
        <w:rPr>
          <w:rFonts w:ascii="Times New Roman" w:hAnsi="Times New Roman" w:cs="Times New Roman"/>
        </w:rPr>
        <w:t xml:space="preserve">, CPD staff are responsible for </w:t>
      </w:r>
      <w:r w:rsidR="006E0616">
        <w:rPr>
          <w:rFonts w:ascii="Times New Roman" w:hAnsi="Times New Roman" w:cs="Times New Roman"/>
        </w:rPr>
        <w:t xml:space="preserve">conducting limited monitoring reviews as discussed in this Chapter.  For purposes of this Chapter, limited monitoring review is the means for </w:t>
      </w:r>
      <w:r w:rsidRPr="006139CE">
        <w:rPr>
          <w:rFonts w:ascii="Times New Roman" w:hAnsi="Times New Roman" w:cs="Times New Roman"/>
        </w:rPr>
        <w:t>collecting certain data c</w:t>
      </w:r>
      <w:r w:rsidR="009D6DED" w:rsidRPr="006139CE">
        <w:rPr>
          <w:rFonts w:ascii="Times New Roman" w:hAnsi="Times New Roman" w:cs="Times New Roman"/>
        </w:rPr>
        <w:t xml:space="preserve">oncerning program participants’ </w:t>
      </w:r>
      <w:r w:rsidRPr="006139CE">
        <w:rPr>
          <w:rFonts w:ascii="Times New Roman" w:hAnsi="Times New Roman" w:cs="Times New Roman"/>
        </w:rPr>
        <w:t>implementation of their nondiscrimination responsibilities within CPD’s programs.  CPD staff’s responsibilities include the following steps:</w:t>
      </w:r>
    </w:p>
    <w:p w14:paraId="1F9B3FAE" w14:textId="77777777" w:rsidR="00115FD4" w:rsidRDefault="00115FD4">
      <w:pPr>
        <w:ind w:left="675"/>
        <w:rPr>
          <w:b/>
          <w:bCs/>
        </w:rPr>
      </w:pPr>
    </w:p>
    <w:p w14:paraId="21E6B561" w14:textId="77777777" w:rsidR="00115FD4" w:rsidRDefault="00115FD4">
      <w:pPr>
        <w:ind w:left="705"/>
      </w:pPr>
      <w:r>
        <w:t xml:space="preserve">A.  </w:t>
      </w:r>
      <w:r>
        <w:rPr>
          <w:u w:val="single"/>
        </w:rPr>
        <w:t>Pre-Monitoring Review</w:t>
      </w:r>
      <w:r>
        <w:t xml:space="preserve">.  </w:t>
      </w:r>
    </w:p>
    <w:p w14:paraId="2AC90270" w14:textId="77777777" w:rsidR="00115FD4" w:rsidRDefault="00115FD4">
      <w:pPr>
        <w:ind w:left="1080"/>
      </w:pPr>
    </w:p>
    <w:p w14:paraId="7C6F3F00" w14:textId="77777777" w:rsidR="00115FD4" w:rsidRDefault="00115FD4">
      <w:pPr>
        <w:ind w:left="1620" w:hanging="540"/>
      </w:pPr>
      <w:r>
        <w:t>(1)</w:t>
      </w:r>
      <w:r>
        <w:tab/>
        <w:t>Conduct risk analysis to determine monitoring review priorities (following the guidance in Chapter 2 of this Handbook) and provide the monitoring schedule as well as any updates to the FHEO Field Office Director.</w:t>
      </w:r>
    </w:p>
    <w:p w14:paraId="52D0EBAB" w14:textId="77777777" w:rsidR="00115FD4" w:rsidRDefault="00115FD4">
      <w:pPr>
        <w:ind w:left="1440" w:hanging="360"/>
      </w:pPr>
    </w:p>
    <w:p w14:paraId="33EDE4F3" w14:textId="77777777" w:rsidR="00115FD4" w:rsidRDefault="00115FD4">
      <w:pPr>
        <w:ind w:left="1620" w:hanging="540"/>
      </w:pPr>
      <w:r>
        <w:t>(2)</w:t>
      </w:r>
      <w:r>
        <w:tab/>
        <w:t>Provide Grants Management Process (GMP) data to FHEO.</w:t>
      </w:r>
    </w:p>
    <w:p w14:paraId="48751259" w14:textId="77777777" w:rsidR="00115FD4" w:rsidRDefault="00115FD4">
      <w:pPr>
        <w:ind w:left="1440" w:hanging="360"/>
      </w:pPr>
    </w:p>
    <w:p w14:paraId="4E4DB287" w14:textId="77777777" w:rsidR="00115FD4" w:rsidRDefault="00115FD4">
      <w:pPr>
        <w:ind w:left="1620" w:hanging="540"/>
      </w:pPr>
      <w:r>
        <w:t>(3)</w:t>
      </w:r>
      <w:r>
        <w:tab/>
        <w:t>Examine the recommended materials specified in this Handbook for the program or programs being monitored.  At minimum, this includes reviews of:</w:t>
      </w:r>
    </w:p>
    <w:p w14:paraId="15C6C8DA" w14:textId="77777777" w:rsidR="00115FD4" w:rsidRDefault="00115FD4" w:rsidP="00DD4B07">
      <w:pPr>
        <w:spacing w:line="120" w:lineRule="auto"/>
        <w:ind w:left="1440" w:hanging="360"/>
      </w:pPr>
    </w:p>
    <w:p w14:paraId="06140494" w14:textId="77777777" w:rsidR="00115FD4" w:rsidRDefault="00115FD4">
      <w:pPr>
        <w:ind w:left="2160" w:hanging="540"/>
        <w:rPr>
          <w:bCs/>
        </w:rPr>
      </w:pPr>
      <w:r>
        <w:t>(i)</w:t>
      </w:r>
      <w:r>
        <w:tab/>
        <w:t xml:space="preserve">for CPD formula program participants, the </w:t>
      </w:r>
      <w:r>
        <w:rPr>
          <w:bCs/>
        </w:rPr>
        <w:t>CAPER and racial and   ethnic direct beneficiary data in the Integrated Disbursement and Information System (IDIS</w:t>
      </w:r>
      <w:proofErr w:type="gramStart"/>
      <w:r>
        <w:rPr>
          <w:bCs/>
        </w:rPr>
        <w:t>);</w:t>
      </w:r>
      <w:proofErr w:type="gramEnd"/>
    </w:p>
    <w:p w14:paraId="490049C7" w14:textId="77777777" w:rsidR="00115FD4" w:rsidRDefault="00115FD4" w:rsidP="00DD4B07">
      <w:pPr>
        <w:spacing w:line="120" w:lineRule="auto"/>
        <w:ind w:left="1987" w:hanging="360"/>
        <w:rPr>
          <w:bCs/>
        </w:rPr>
      </w:pPr>
    </w:p>
    <w:p w14:paraId="015A3357" w14:textId="77777777" w:rsidR="001E5A4E" w:rsidRDefault="001E5A4E" w:rsidP="001E5A4E">
      <w:pPr>
        <w:ind w:left="2160" w:hanging="540"/>
        <w:rPr>
          <w:bCs/>
        </w:rPr>
      </w:pPr>
      <w:r>
        <w:rPr>
          <w:bCs/>
        </w:rPr>
        <w:t>(ii)</w:t>
      </w:r>
      <w:r>
        <w:rPr>
          <w:bCs/>
        </w:rPr>
        <w:tab/>
        <w:t xml:space="preserve">for CPD formula program participants, the Analysis of Impediments to Fair Housing Choice (AI), Assessment of Fair Housing (AFH), or any other voluntary fair housing planning activities undertaken to support the program participant’s certification, and any information available in the FHEO Field Office on known impediments to fair housing choice and any known actions (appropriate or inappropriate) taken to address these </w:t>
      </w:r>
      <w:proofErr w:type="gramStart"/>
      <w:r>
        <w:rPr>
          <w:bCs/>
        </w:rPr>
        <w:t>impediments;</w:t>
      </w:r>
      <w:proofErr w:type="gramEnd"/>
    </w:p>
    <w:p w14:paraId="4D32F748" w14:textId="77777777" w:rsidR="00115FD4" w:rsidRDefault="00115FD4" w:rsidP="00DD4B07">
      <w:pPr>
        <w:pStyle w:val="Header"/>
        <w:tabs>
          <w:tab w:val="clear" w:pos="4320"/>
          <w:tab w:val="clear" w:pos="8640"/>
        </w:tabs>
        <w:spacing w:line="120" w:lineRule="auto"/>
        <w:rPr>
          <w:bCs/>
        </w:rPr>
      </w:pPr>
    </w:p>
    <w:p w14:paraId="374566CA" w14:textId="77777777" w:rsidR="00115FD4" w:rsidRDefault="00115FD4">
      <w:pPr>
        <w:ind w:left="2160" w:hanging="540"/>
        <w:rPr>
          <w:bCs/>
        </w:rPr>
      </w:pPr>
      <w:r>
        <w:rPr>
          <w:bCs/>
        </w:rPr>
        <w:t>(iii)</w:t>
      </w:r>
      <w:r>
        <w:rPr>
          <w:bCs/>
        </w:rPr>
        <w:tab/>
        <w:t>Grant agreements and other relevant legal documents (i.e., voluntary compliance agreements, special assurances) containing civil rights-related clauses.</w:t>
      </w:r>
    </w:p>
    <w:p w14:paraId="7C8520DB" w14:textId="77777777" w:rsidR="00115FD4" w:rsidRDefault="00115FD4" w:rsidP="00DD4B07">
      <w:pPr>
        <w:spacing w:line="120" w:lineRule="auto"/>
        <w:rPr>
          <w:bCs/>
        </w:rPr>
      </w:pPr>
    </w:p>
    <w:p w14:paraId="1A4A6AB8" w14:textId="77777777" w:rsidR="00115FD4" w:rsidRDefault="00115FD4">
      <w:pPr>
        <w:ind w:left="1620"/>
        <w:rPr>
          <w:bCs/>
        </w:rPr>
      </w:pPr>
      <w:r>
        <w:rPr>
          <w:bCs/>
        </w:rPr>
        <w:t>CPD and FHEO staff may coordinate their monitoring strategies based on risk assessment results.</w:t>
      </w:r>
    </w:p>
    <w:p w14:paraId="33ECE3BF" w14:textId="77777777" w:rsidR="00115FD4" w:rsidRDefault="00115FD4">
      <w:pPr>
        <w:ind w:left="1440"/>
        <w:rPr>
          <w:bCs/>
        </w:rPr>
      </w:pPr>
    </w:p>
    <w:p w14:paraId="21E9D421" w14:textId="77777777" w:rsidR="00115FD4" w:rsidRDefault="00115FD4">
      <w:pPr>
        <w:ind w:left="705"/>
        <w:rPr>
          <w:bCs/>
        </w:rPr>
      </w:pPr>
      <w:r>
        <w:rPr>
          <w:bCs/>
        </w:rPr>
        <w:t xml:space="preserve">B.   </w:t>
      </w:r>
      <w:r>
        <w:rPr>
          <w:bCs/>
          <w:u w:val="single"/>
        </w:rPr>
        <w:t>Monitoring Review</w:t>
      </w:r>
      <w:r>
        <w:rPr>
          <w:bCs/>
        </w:rPr>
        <w:t xml:space="preserve">.  </w:t>
      </w:r>
    </w:p>
    <w:p w14:paraId="227BC33E" w14:textId="77777777" w:rsidR="00115FD4" w:rsidRDefault="00115FD4" w:rsidP="00DD4B07">
      <w:pPr>
        <w:spacing w:line="120" w:lineRule="auto"/>
        <w:ind w:left="706"/>
        <w:rPr>
          <w:bCs/>
        </w:rPr>
      </w:pPr>
    </w:p>
    <w:p w14:paraId="00FDDF6B" w14:textId="77777777" w:rsidR="00115FD4" w:rsidRDefault="00115FD4">
      <w:pPr>
        <w:ind w:left="1620" w:hanging="540"/>
        <w:rPr>
          <w:bCs/>
        </w:rPr>
      </w:pPr>
      <w:r>
        <w:rPr>
          <w:bCs/>
        </w:rPr>
        <w:lastRenderedPageBreak/>
        <w:t>(1)</w:t>
      </w:r>
      <w:r>
        <w:rPr>
          <w:bCs/>
        </w:rPr>
        <w:tab/>
        <w:t>Complete the appropriate Exhibits in this Chapter for the applicable program.  The review is based primarily on an examination of the program participant’s records.  This includes the regulatory records required by:</w:t>
      </w:r>
    </w:p>
    <w:p w14:paraId="2670C0B3" w14:textId="77777777" w:rsidR="00115FD4" w:rsidRDefault="00115FD4">
      <w:pPr>
        <w:ind w:left="1440" w:hanging="360"/>
        <w:rPr>
          <w:bCs/>
        </w:rPr>
      </w:pPr>
    </w:p>
    <w:p w14:paraId="4E9D48AD" w14:textId="77777777" w:rsidR="00115FD4" w:rsidRDefault="00115FD4">
      <w:pPr>
        <w:ind w:left="2160" w:hanging="540"/>
        <w:rPr>
          <w:bCs/>
        </w:rPr>
      </w:pPr>
      <w:r>
        <w:rPr>
          <w:bCs/>
        </w:rPr>
        <w:t>(i)</w:t>
      </w:r>
      <w:r>
        <w:rPr>
          <w:bCs/>
        </w:rPr>
        <w:tab/>
        <w:t>24 CFR 570.506(g), for Community Development Block Grant (CDBG) entitlement program participants,</w:t>
      </w:r>
    </w:p>
    <w:p w14:paraId="02F9FC4A" w14:textId="77777777" w:rsidR="00115FD4" w:rsidRDefault="00115FD4">
      <w:pPr>
        <w:ind w:left="1620"/>
        <w:rPr>
          <w:bCs/>
        </w:rPr>
      </w:pPr>
      <w:r>
        <w:rPr>
          <w:bCs/>
        </w:rPr>
        <w:t>(ii)</w:t>
      </w:r>
      <w:r>
        <w:rPr>
          <w:bCs/>
        </w:rPr>
        <w:tab/>
        <w:t xml:space="preserve">24 CFR </w:t>
      </w:r>
      <w:r>
        <w:t>91.520(a)</w:t>
      </w:r>
      <w:r>
        <w:rPr>
          <w:bCs/>
        </w:rPr>
        <w:t xml:space="preserve">, for State CDBG program participants, </w:t>
      </w:r>
    </w:p>
    <w:p w14:paraId="4B50602C" w14:textId="5DAE13D6" w:rsidR="00115FD4" w:rsidRDefault="00115FD4">
      <w:pPr>
        <w:ind w:left="1620"/>
        <w:rPr>
          <w:bCs/>
        </w:rPr>
      </w:pPr>
      <w:r>
        <w:rPr>
          <w:bCs/>
        </w:rPr>
        <w:t>(iii)</w:t>
      </w:r>
      <w:r>
        <w:rPr>
          <w:bCs/>
        </w:rPr>
        <w:tab/>
        <w:t>24 CFR 92.509(b), for HOME participating jurisdictions,</w:t>
      </w:r>
    </w:p>
    <w:p w14:paraId="67516784" w14:textId="77777777" w:rsidR="00F96B83" w:rsidRDefault="0092323D">
      <w:pPr>
        <w:ind w:left="1620"/>
        <w:rPr>
          <w:bCs/>
        </w:rPr>
      </w:pPr>
      <w:r>
        <w:rPr>
          <w:bCs/>
        </w:rPr>
        <w:t>(</w:t>
      </w:r>
      <w:r w:rsidR="00AD567D">
        <w:rPr>
          <w:bCs/>
        </w:rPr>
        <w:t xml:space="preserve">iv)   </w:t>
      </w:r>
      <w:r w:rsidR="00F96B83">
        <w:rPr>
          <w:bCs/>
        </w:rPr>
        <w:tab/>
        <w:t>24 CFR 93.407, for Housing Trust Fund grantees, and</w:t>
      </w:r>
    </w:p>
    <w:p w14:paraId="65866827" w14:textId="316D3BE4" w:rsidR="00AD567D" w:rsidRDefault="00F96B83">
      <w:pPr>
        <w:ind w:left="1620"/>
        <w:rPr>
          <w:bCs/>
        </w:rPr>
      </w:pPr>
      <w:r>
        <w:rPr>
          <w:bCs/>
        </w:rPr>
        <w:t xml:space="preserve">(v) </w:t>
      </w:r>
      <w:r w:rsidR="00AD567D">
        <w:rPr>
          <w:bCs/>
        </w:rPr>
        <w:t>24 CFR 574.530, for HOPWA grantees,</w:t>
      </w:r>
    </w:p>
    <w:p w14:paraId="70568DC9" w14:textId="77777777" w:rsidR="00115FD4" w:rsidRDefault="00115FD4">
      <w:pPr>
        <w:rPr>
          <w:bCs/>
        </w:rPr>
      </w:pPr>
    </w:p>
    <w:p w14:paraId="438A4E42" w14:textId="77777777" w:rsidR="00115FD4" w:rsidRDefault="00115FD4">
      <w:pPr>
        <w:ind w:left="1620"/>
        <w:rPr>
          <w:bCs/>
        </w:rPr>
      </w:pPr>
      <w:r>
        <w:rPr>
          <w:bCs/>
        </w:rPr>
        <w:t>and which are identified by FHEO for CPD prior to the monitoring review.</w:t>
      </w:r>
    </w:p>
    <w:p w14:paraId="2BE905BB" w14:textId="77777777" w:rsidR="00115FD4" w:rsidRDefault="00115FD4">
      <w:pPr>
        <w:ind w:left="1440"/>
        <w:rPr>
          <w:bCs/>
        </w:rPr>
      </w:pPr>
    </w:p>
    <w:p w14:paraId="258DA2EA" w14:textId="77777777" w:rsidR="00115FD4" w:rsidRDefault="00115FD4">
      <w:pPr>
        <w:ind w:left="1620"/>
      </w:pPr>
      <w:r>
        <w:t>CPD staff does not make “findings of civil rights compliance</w:t>
      </w:r>
      <w:r w:rsidR="00986EAB">
        <w:t>,</w:t>
      </w:r>
      <w:r>
        <w:t>”</w:t>
      </w:r>
      <w:r w:rsidR="00986EAB">
        <w:t xml:space="preserve"> Findings, or Concerns</w:t>
      </w:r>
      <w:r>
        <w:t xml:space="preserve"> for program participants.</w:t>
      </w:r>
      <w:r>
        <w:rPr>
          <w:bCs/>
        </w:rPr>
        <w:t xml:space="preserve">  However, CPD does identify civil rights/fair housing </w:t>
      </w:r>
      <w:r w:rsidR="00AE4077">
        <w:rPr>
          <w:bCs/>
        </w:rPr>
        <w:t xml:space="preserve">issues </w:t>
      </w:r>
      <w:r>
        <w:rPr>
          <w:bCs/>
        </w:rPr>
        <w:t xml:space="preserve">for FHEO staff to further review.  Civil rights </w:t>
      </w:r>
      <w:r w:rsidR="004724BC">
        <w:rPr>
          <w:bCs/>
        </w:rPr>
        <w:t>issues</w:t>
      </w:r>
      <w:r>
        <w:rPr>
          <w:bCs/>
        </w:rPr>
        <w:t xml:space="preserve"> are identified on the appropriate Exhibit as well as </w:t>
      </w:r>
      <w:r w:rsidR="004724BC">
        <w:rPr>
          <w:bCs/>
        </w:rPr>
        <w:t xml:space="preserve">on Exhibit 2-1, </w:t>
      </w:r>
      <w:r w:rsidR="0005295F">
        <w:rPr>
          <w:bCs/>
          <w:i/>
        </w:rPr>
        <w:t>CPD Monitoring Summary S</w:t>
      </w:r>
      <w:r w:rsidR="00986EAB">
        <w:rPr>
          <w:bCs/>
          <w:i/>
        </w:rPr>
        <w:t>h</w:t>
      </w:r>
      <w:r w:rsidR="0005295F">
        <w:rPr>
          <w:bCs/>
          <w:i/>
        </w:rPr>
        <w:t>eet</w:t>
      </w:r>
      <w:r>
        <w:rPr>
          <w:bCs/>
        </w:rPr>
        <w:t xml:space="preserve">.”  </w:t>
      </w:r>
      <w:r>
        <w:t xml:space="preserve">During the exit conference, CPD staff advises the program participant of nondiscrimination </w:t>
      </w:r>
      <w:r w:rsidR="007266CC">
        <w:t>issues</w:t>
      </w:r>
      <w:r>
        <w:t xml:space="preserve">, if any, that have been identified. CPD staff may provide guidance regarding civil rights-related program requirements (CRRPRs) although it is advisable to first discuss the guidance with FHEO staff. The CPD staff also advises the participants that any such </w:t>
      </w:r>
      <w:r w:rsidR="007266CC">
        <w:t>issues</w:t>
      </w:r>
      <w:r>
        <w:t xml:space="preserve"> are being referred to FHEO for further review and possible action</w:t>
      </w:r>
      <w:r w:rsidR="00D809FD">
        <w:t xml:space="preserve"> and that </w:t>
      </w:r>
      <w:r w:rsidR="007266CC">
        <w:t xml:space="preserve">the issues may result in Findings or Concerns </w:t>
      </w:r>
      <w:r w:rsidR="00AE4077">
        <w:t xml:space="preserve">that would be identified by FHEO staff separately, </w:t>
      </w:r>
      <w:r w:rsidR="00D809FD">
        <w:t xml:space="preserve">based </w:t>
      </w:r>
      <w:r w:rsidR="00AE4077">
        <w:t>upon</w:t>
      </w:r>
      <w:r w:rsidR="00D809FD">
        <w:t xml:space="preserve"> its</w:t>
      </w:r>
      <w:r w:rsidR="00AE4077">
        <w:t xml:space="preserve"> review </w:t>
      </w:r>
      <w:r w:rsidR="00D809FD">
        <w:t>process</w:t>
      </w:r>
      <w:r w:rsidR="00AE4077">
        <w:t>.</w:t>
      </w:r>
      <w:r>
        <w:t xml:space="preserve">    </w:t>
      </w:r>
    </w:p>
    <w:p w14:paraId="45AFA587" w14:textId="77777777" w:rsidR="00115FD4" w:rsidRDefault="00115FD4">
      <w:pPr>
        <w:ind w:left="1440"/>
      </w:pPr>
    </w:p>
    <w:p w14:paraId="7E6E008F" w14:textId="77777777" w:rsidR="00115FD4" w:rsidRDefault="00115FD4">
      <w:pPr>
        <w:ind w:left="1620" w:hanging="540"/>
      </w:pPr>
      <w:r>
        <w:t>(2)</w:t>
      </w:r>
      <w:r>
        <w:tab/>
        <w:t>Within five (5) business days after the monitoring review has been completed, forward the completed Exhibit(s) and other relevant documentation to FHEO.  FHEO follows up as needed and specified under FHEO responsibilities.</w:t>
      </w:r>
    </w:p>
    <w:p w14:paraId="5D1869F4" w14:textId="77777777" w:rsidR="00115FD4" w:rsidRDefault="00115FD4">
      <w:pPr>
        <w:ind w:left="1440" w:hanging="360"/>
      </w:pPr>
    </w:p>
    <w:p w14:paraId="0CA5A729" w14:textId="77777777" w:rsidR="00115FD4" w:rsidRDefault="00115FD4">
      <w:pPr>
        <w:ind w:left="1620" w:hanging="540"/>
      </w:pPr>
      <w:r>
        <w:t>(3)</w:t>
      </w:r>
      <w:r>
        <w:tab/>
        <w:t>CPD reviewers are encouraged to discuss civil rights questions and issues with FHEO staff during the monitoring process.</w:t>
      </w:r>
    </w:p>
    <w:p w14:paraId="4A0A8A7D" w14:textId="77777777" w:rsidR="00115FD4" w:rsidRDefault="00115FD4"/>
    <w:p w14:paraId="116FB8E7" w14:textId="77777777" w:rsidR="00115FD4" w:rsidRDefault="00115FD4">
      <w:pPr>
        <w:ind w:left="1080" w:hanging="360"/>
      </w:pPr>
      <w:r>
        <w:t xml:space="preserve">C.  </w:t>
      </w:r>
      <w:r>
        <w:rPr>
          <w:u w:val="single"/>
        </w:rPr>
        <w:t>Post-Monitoring Review</w:t>
      </w:r>
      <w:r>
        <w:t xml:space="preserve">.  </w:t>
      </w:r>
    </w:p>
    <w:p w14:paraId="06152115" w14:textId="77777777" w:rsidR="00115FD4" w:rsidRDefault="00115FD4">
      <w:pPr>
        <w:ind w:left="1080" w:hanging="360"/>
      </w:pPr>
    </w:p>
    <w:p w14:paraId="73A2C7B7" w14:textId="77777777" w:rsidR="00115FD4" w:rsidRDefault="00115FD4">
      <w:pPr>
        <w:ind w:left="1620" w:hanging="540"/>
        <w:rPr>
          <w:b/>
          <w:bCs/>
        </w:rPr>
      </w:pPr>
      <w:r>
        <w:t>(1)</w:t>
      </w:r>
      <w:r>
        <w:tab/>
        <w:t>Enter pertinent information into CPD’s database(s) for future risk analyses.</w:t>
      </w:r>
    </w:p>
    <w:p w14:paraId="46D4B450" w14:textId="77777777" w:rsidR="00115FD4" w:rsidRDefault="00115FD4"/>
    <w:p w14:paraId="69162C37" w14:textId="77777777" w:rsidR="00115FD4" w:rsidRDefault="00115FD4">
      <w:pPr>
        <w:ind w:left="1620" w:hanging="540"/>
      </w:pPr>
      <w:r>
        <w:t>(2)</w:t>
      </w:r>
      <w:r>
        <w:tab/>
        <w:t>Provide a copy of CPD’s final monitoring letter to FHEO.  (Note:  It is preferable that CPD and FHEO engage in joint decision-making on advice given and/or actions taken to contribute to consistency in program oversight and management.)</w:t>
      </w:r>
    </w:p>
    <w:p w14:paraId="12AB1AF1" w14:textId="77777777" w:rsidR="00115FD4" w:rsidRDefault="00115FD4">
      <w:pPr>
        <w:ind w:left="1620" w:hanging="540"/>
      </w:pPr>
    </w:p>
    <w:p w14:paraId="493544AD" w14:textId="77777777" w:rsidR="00115FD4" w:rsidRDefault="00115FD4">
      <w:pPr>
        <w:ind w:left="1620" w:hanging="540"/>
        <w:rPr>
          <w:b/>
          <w:bCs/>
        </w:rPr>
      </w:pPr>
      <w:r>
        <w:t>(3)</w:t>
      </w:r>
      <w:r>
        <w:tab/>
        <w:t>Review any correspondence between FHEO and the program participant and discuss joint issues with FHEO.</w:t>
      </w:r>
    </w:p>
    <w:p w14:paraId="1B98725F" w14:textId="77777777" w:rsidR="00115FD4" w:rsidRDefault="00115FD4">
      <w:pPr>
        <w:rPr>
          <w:b/>
          <w:bCs/>
        </w:rPr>
      </w:pPr>
    </w:p>
    <w:p w14:paraId="426871F7" w14:textId="77777777" w:rsidR="00115FD4" w:rsidRDefault="00115FD4">
      <w:pPr>
        <w:ind w:left="1620" w:hanging="540"/>
        <w:rPr>
          <w:b/>
          <w:bCs/>
        </w:rPr>
      </w:pPr>
      <w:r>
        <w:t>(4)</w:t>
      </w:r>
      <w:r>
        <w:tab/>
        <w:t xml:space="preserve">Provide FHEO with any correspondence received from </w:t>
      </w:r>
      <w:r w:rsidR="00AD68E3">
        <w:t xml:space="preserve">a </w:t>
      </w:r>
      <w:r>
        <w:t>program participant in response to FHEO communication with the program participant.</w:t>
      </w:r>
    </w:p>
    <w:p w14:paraId="3BE8E733" w14:textId="77777777" w:rsidR="00115FD4" w:rsidRDefault="00115FD4">
      <w:pPr>
        <w:ind w:left="1800" w:hanging="360"/>
      </w:pPr>
    </w:p>
    <w:p w14:paraId="70FA5A87" w14:textId="77777777" w:rsidR="00115FD4" w:rsidRDefault="00115FD4">
      <w:pPr>
        <w:pStyle w:val="BodyTextIndent3"/>
        <w:ind w:left="720" w:hanging="720"/>
        <w:rPr>
          <w:sz w:val="24"/>
          <w:szCs w:val="24"/>
        </w:rPr>
      </w:pPr>
      <w:r>
        <w:rPr>
          <w:sz w:val="24"/>
          <w:szCs w:val="24"/>
        </w:rPr>
        <w:t xml:space="preserve">22-4 </w:t>
      </w:r>
      <w:r>
        <w:rPr>
          <w:sz w:val="24"/>
          <w:szCs w:val="24"/>
        </w:rPr>
        <w:tab/>
      </w:r>
      <w:r>
        <w:rPr>
          <w:sz w:val="24"/>
          <w:szCs w:val="24"/>
          <w:u w:val="single"/>
        </w:rPr>
        <w:t>FHEO REVIEW AND FOLLOW-UP RESPONSIBILITY.</w:t>
      </w:r>
      <w:r>
        <w:rPr>
          <w:b/>
          <w:bCs/>
          <w:sz w:val="24"/>
          <w:szCs w:val="24"/>
        </w:rPr>
        <w:t xml:space="preserve">  </w:t>
      </w:r>
      <w:r>
        <w:rPr>
          <w:bCs/>
          <w:sz w:val="24"/>
          <w:szCs w:val="24"/>
        </w:rPr>
        <w:t xml:space="preserve">FHEO </w:t>
      </w:r>
      <w:r w:rsidR="006D78A2">
        <w:rPr>
          <w:bCs/>
          <w:sz w:val="24"/>
          <w:szCs w:val="24"/>
        </w:rPr>
        <w:t xml:space="preserve">is authorized </w:t>
      </w:r>
      <w:r>
        <w:rPr>
          <w:bCs/>
          <w:sz w:val="24"/>
          <w:szCs w:val="24"/>
        </w:rPr>
        <w:t xml:space="preserve">to determine and resolve matters involving compliance with </w:t>
      </w:r>
      <w:r w:rsidR="00D434E0">
        <w:rPr>
          <w:bCs/>
          <w:sz w:val="24"/>
          <w:szCs w:val="24"/>
        </w:rPr>
        <w:t>civil rights-related program</w:t>
      </w:r>
      <w:r>
        <w:rPr>
          <w:bCs/>
          <w:sz w:val="24"/>
          <w:szCs w:val="24"/>
        </w:rPr>
        <w:t xml:space="preserve"> requirements, as detailed in the Delegation of Authority published in the </w:t>
      </w:r>
      <w:r>
        <w:rPr>
          <w:bCs/>
          <w:sz w:val="24"/>
          <w:szCs w:val="24"/>
          <w:u w:val="single"/>
        </w:rPr>
        <w:t>Federal Register</w:t>
      </w:r>
      <w:r>
        <w:rPr>
          <w:bCs/>
          <w:sz w:val="24"/>
          <w:szCs w:val="24"/>
        </w:rPr>
        <w:t xml:space="preserve"> dated</w:t>
      </w:r>
      <w:r w:rsidR="00217FDD">
        <w:rPr>
          <w:sz w:val="24"/>
          <w:szCs w:val="24"/>
        </w:rPr>
        <w:t xml:space="preserve"> November 29, 2011</w:t>
      </w:r>
      <w:r>
        <w:rPr>
          <w:sz w:val="24"/>
          <w:szCs w:val="24"/>
        </w:rPr>
        <w:t xml:space="preserve"> (see Vol. </w:t>
      </w:r>
      <w:r w:rsidR="00217FDD">
        <w:rPr>
          <w:sz w:val="24"/>
          <w:szCs w:val="24"/>
        </w:rPr>
        <w:t>76</w:t>
      </w:r>
      <w:r>
        <w:rPr>
          <w:sz w:val="24"/>
          <w:szCs w:val="24"/>
        </w:rPr>
        <w:t xml:space="preserve">, No. </w:t>
      </w:r>
      <w:r w:rsidR="00F47EBD">
        <w:rPr>
          <w:sz w:val="24"/>
          <w:szCs w:val="24"/>
        </w:rPr>
        <w:t>229</w:t>
      </w:r>
      <w:r>
        <w:rPr>
          <w:sz w:val="24"/>
          <w:szCs w:val="24"/>
        </w:rPr>
        <w:t xml:space="preserve">, page </w:t>
      </w:r>
      <w:r w:rsidR="00F47EBD">
        <w:rPr>
          <w:sz w:val="24"/>
          <w:szCs w:val="24"/>
        </w:rPr>
        <w:t>73987</w:t>
      </w:r>
      <w:r>
        <w:rPr>
          <w:sz w:val="24"/>
          <w:szCs w:val="24"/>
        </w:rPr>
        <w:t>; FR-</w:t>
      </w:r>
      <w:r w:rsidR="00F47EBD">
        <w:rPr>
          <w:sz w:val="24"/>
          <w:szCs w:val="24"/>
        </w:rPr>
        <w:t>5544</w:t>
      </w:r>
      <w:r>
        <w:rPr>
          <w:sz w:val="24"/>
          <w:szCs w:val="24"/>
        </w:rPr>
        <w:t>-D-</w:t>
      </w:r>
      <w:r w:rsidR="00F47EBD">
        <w:rPr>
          <w:sz w:val="24"/>
          <w:szCs w:val="24"/>
        </w:rPr>
        <w:t>06</w:t>
      </w:r>
      <w:r>
        <w:rPr>
          <w:sz w:val="24"/>
          <w:szCs w:val="24"/>
        </w:rPr>
        <w:t>).</w:t>
      </w:r>
      <w:r w:rsidR="000333ED">
        <w:rPr>
          <w:bCs/>
          <w:sz w:val="24"/>
          <w:szCs w:val="24"/>
        </w:rPr>
        <w:t xml:space="preserve"> </w:t>
      </w:r>
      <w:r>
        <w:rPr>
          <w:bCs/>
          <w:sz w:val="24"/>
          <w:szCs w:val="24"/>
        </w:rPr>
        <w:t xml:space="preserve"> FHEO uses the results of CPD staff’s limited monitoring reviews as one of the bases for risk determination.  In sharing this limited monitoring review responsibility, FHEO Field Office staff work cooperatively with CPD staff throughout the process by:</w:t>
      </w:r>
      <w:r>
        <w:rPr>
          <w:sz w:val="24"/>
          <w:szCs w:val="24"/>
        </w:rPr>
        <w:t xml:space="preserve"> </w:t>
      </w:r>
    </w:p>
    <w:p w14:paraId="4F6FE66D" w14:textId="77777777" w:rsidR="00115FD4" w:rsidRDefault="00115FD4">
      <w:pPr>
        <w:tabs>
          <w:tab w:val="left" w:pos="1800"/>
        </w:tabs>
        <w:rPr>
          <w:b/>
          <w:bCs/>
        </w:rPr>
      </w:pPr>
    </w:p>
    <w:p w14:paraId="12E7C755" w14:textId="77777777" w:rsidR="00115FD4" w:rsidRDefault="00115FD4">
      <w:pPr>
        <w:ind w:left="1260" w:hanging="540"/>
      </w:pPr>
      <w:r>
        <w:t>A.</w:t>
      </w:r>
      <w:r>
        <w:tab/>
        <w:t>Providing training and technical assistance (TA) to CPD Field Office staff who will be conducting the limited monitoring reviews.  This training and TA will be conducted upon request or on an as-needed basis.</w:t>
      </w:r>
    </w:p>
    <w:p w14:paraId="60D6B249" w14:textId="77777777" w:rsidR="00115FD4" w:rsidRDefault="00115FD4">
      <w:pPr>
        <w:tabs>
          <w:tab w:val="left" w:pos="1080"/>
        </w:tabs>
        <w:ind w:left="720"/>
      </w:pPr>
    </w:p>
    <w:p w14:paraId="27829361" w14:textId="77777777" w:rsidR="00115FD4" w:rsidRDefault="00115FD4">
      <w:pPr>
        <w:ind w:left="1260" w:hanging="540"/>
      </w:pPr>
      <w:r>
        <w:t>B.</w:t>
      </w:r>
      <w:r>
        <w:tab/>
        <w:t xml:space="preserve">Conducting its FHEO risk analysis process to identify which program participants FHEO will recommend for review during the year.  In years in which CPD reviews a specific program participant but FHEO does not conduct a Title VI and/or Section 109 limited monitoring review of that recipient, CPD staff will conduct the FHEO limited monitoring review, if CPD and/or FHEO risk assessment results indicate the need.  FHEO risk assessment results will be provided to the CPD Field Office </w:t>
      </w:r>
      <w:proofErr w:type="gramStart"/>
      <w:r>
        <w:t>Director</w:t>
      </w:r>
      <w:proofErr w:type="gramEnd"/>
      <w:r>
        <w:t xml:space="preserve"> and a negotiated monitoring review schedule and monitoring strategies will be developed for the local Field Office based on risk analysis results. </w:t>
      </w:r>
    </w:p>
    <w:p w14:paraId="575CC98D" w14:textId="77777777" w:rsidR="00115FD4" w:rsidRDefault="00115FD4">
      <w:pPr>
        <w:tabs>
          <w:tab w:val="left" w:pos="1080"/>
        </w:tabs>
      </w:pPr>
    </w:p>
    <w:p w14:paraId="1DAD13D8" w14:textId="77777777" w:rsidR="00115FD4" w:rsidRDefault="00115FD4">
      <w:pPr>
        <w:pStyle w:val="Level1"/>
        <w:numPr>
          <w:ilvl w:val="0"/>
          <w:numId w:val="0"/>
        </w:numPr>
        <w:ind w:left="1260" w:hanging="540"/>
      </w:pPr>
      <w:r>
        <w:t>C.</w:t>
      </w:r>
      <w:r>
        <w:tab/>
        <w:t>Providing CPD with information on any Fair Housing Act, Section 504, and other civil rights issues encountered with CPD program participants.  FHEO will coordinate provision of this information with Regional Counsel.  Headquarters FHEO, with assistance from the Office of General Counsel for Fair Housing, and the Department</w:t>
      </w:r>
      <w:r w:rsidRPr="00EC5EF1">
        <w:rPr>
          <w:rStyle w:val="FollowedHyperlink"/>
          <w:u w:val="none"/>
        </w:rPr>
        <w:t xml:space="preserve"> o</w:t>
      </w:r>
      <w:r>
        <w:t xml:space="preserve">f Justice (DOJ), will update this information throughout the year and share with FHEO Field Offices.  This list is also available on FHEO’s Civil Rights </w:t>
      </w:r>
      <w:r w:rsidR="001D2E9A">
        <w:t>Threshold List</w:t>
      </w:r>
      <w:r>
        <w:t xml:space="preserve"> website at </w:t>
      </w:r>
      <w:hyperlink r:id="rId12" w:history="1">
        <w:r w:rsidR="00A23211">
          <w:rPr>
            <w:rStyle w:val="Hyperlink"/>
          </w:rPr>
          <w:t>http://hudatwork.hud.gov/HUD/fheo/po/e/FEReview/threshold</w:t>
        </w:r>
      </w:hyperlink>
      <w:r>
        <w:t xml:space="preserve">. Within five (5) business days of receipt, FHEO Field Offices will forward any information to CPD that may be relevant for CPD staff with respect to CPD’s scheduled monitoring review of program participants during the year.  </w:t>
      </w:r>
    </w:p>
    <w:p w14:paraId="13DF1558" w14:textId="77777777" w:rsidR="00115FD4" w:rsidRDefault="00115FD4">
      <w:pPr>
        <w:pStyle w:val="Level1"/>
        <w:numPr>
          <w:ilvl w:val="0"/>
          <w:numId w:val="0"/>
        </w:numPr>
        <w:ind w:left="1440" w:hanging="360"/>
      </w:pPr>
    </w:p>
    <w:p w14:paraId="70429C92" w14:textId="6900F6A3" w:rsidR="00115FD4" w:rsidRDefault="00115FD4">
      <w:pPr>
        <w:ind w:left="1260" w:hanging="540"/>
      </w:pPr>
      <w:r>
        <w:t>D.</w:t>
      </w:r>
      <w:r>
        <w:tab/>
      </w:r>
      <w:r w:rsidR="00992DCA">
        <w:t>Reviewing all completed Exhibits for civil rights concerns</w:t>
      </w:r>
      <w:r>
        <w:t xml:space="preserve"> to determine whether identified civil rights</w:t>
      </w:r>
      <w:r w:rsidR="00760DB2">
        <w:t xml:space="preserve"> issues</w:t>
      </w:r>
      <w:r>
        <w:t xml:space="preserve"> that surfaced during the limited monitoring review require further action (such as additional monitoring or referral to the FHEO Regional Hub office for possible compliance review).  If deficiencies or concerns are raised, FHEO staff will take the following steps:</w:t>
      </w:r>
    </w:p>
    <w:p w14:paraId="467D7171" w14:textId="77777777" w:rsidR="00115FD4" w:rsidRDefault="00115FD4">
      <w:pPr>
        <w:tabs>
          <w:tab w:val="left" w:pos="1080"/>
        </w:tabs>
        <w:ind w:left="1440" w:hanging="360"/>
      </w:pPr>
      <w:r>
        <w:t xml:space="preserve"> </w:t>
      </w:r>
    </w:p>
    <w:p w14:paraId="5575E52D" w14:textId="77777777" w:rsidR="00115FD4" w:rsidRDefault="00115FD4">
      <w:pPr>
        <w:ind w:left="1800" w:hanging="360"/>
      </w:pPr>
      <w:r>
        <w:t>i.</w:t>
      </w:r>
      <w:r>
        <w:tab/>
      </w:r>
      <w:proofErr w:type="gramStart"/>
      <w:r>
        <w:t>provide</w:t>
      </w:r>
      <w:proofErr w:type="gramEnd"/>
      <w:r>
        <w:t xml:space="preserve"> technical assistance to the program participant to resolve the </w:t>
      </w:r>
      <w:r w:rsidR="00531FD6">
        <w:t>problems</w:t>
      </w:r>
      <w:r>
        <w:t>, as needed, and/or</w:t>
      </w:r>
    </w:p>
    <w:p w14:paraId="26E5C31F" w14:textId="77777777" w:rsidR="00115FD4" w:rsidRDefault="00115FD4">
      <w:pPr>
        <w:ind w:left="1800" w:hanging="360"/>
      </w:pPr>
    </w:p>
    <w:p w14:paraId="577B3295" w14:textId="77777777" w:rsidR="00115FD4" w:rsidRDefault="00115FD4">
      <w:pPr>
        <w:ind w:left="1800" w:hanging="360"/>
      </w:pPr>
      <w:r>
        <w:t>ii.</w:t>
      </w:r>
      <w:r>
        <w:tab/>
        <w:t>conduct an FHEO program monitoring or compliance review.</w:t>
      </w:r>
    </w:p>
    <w:p w14:paraId="2C50726B" w14:textId="77777777" w:rsidR="00115FD4" w:rsidRDefault="00115FD4">
      <w:pPr>
        <w:ind w:left="1800" w:hanging="360"/>
      </w:pPr>
    </w:p>
    <w:p w14:paraId="2542491E" w14:textId="77777777" w:rsidR="00115FD4" w:rsidRDefault="00115FD4">
      <w:pPr>
        <w:ind w:left="1260" w:hanging="540"/>
        <w:rPr>
          <w:bCs/>
        </w:rPr>
      </w:pPr>
      <w:r>
        <w:t>E.</w:t>
      </w:r>
      <w:r>
        <w:tab/>
        <w:t xml:space="preserve">Reviewing a randomly selected sample of all Exhibits and attachments (approximately 35% of the universe) for </w:t>
      </w:r>
      <w:r>
        <w:rPr>
          <w:bCs/>
        </w:rPr>
        <w:t>quality control purposes.</w:t>
      </w:r>
    </w:p>
    <w:p w14:paraId="7AFBB9FE" w14:textId="77777777" w:rsidR="00115FD4" w:rsidRDefault="00115FD4">
      <w:pPr>
        <w:ind w:left="1440" w:hanging="360"/>
      </w:pPr>
    </w:p>
    <w:p w14:paraId="261B4B06" w14:textId="77777777" w:rsidR="00115FD4" w:rsidRDefault="00115FD4">
      <w:pPr>
        <w:ind w:left="1260" w:hanging="540"/>
      </w:pPr>
      <w:r>
        <w:t>F.</w:t>
      </w:r>
      <w:r>
        <w:tab/>
        <w:t>Providing copies of letters and related information to CPD staff on all follow-up and discussing problems, as necessary.</w:t>
      </w:r>
    </w:p>
    <w:p w14:paraId="0019E180" w14:textId="77777777" w:rsidR="00115FD4" w:rsidRDefault="00115FD4">
      <w:pPr>
        <w:ind w:left="1440" w:hanging="360"/>
      </w:pPr>
    </w:p>
    <w:p w14:paraId="7BECA770" w14:textId="77777777" w:rsidR="00390BFC" w:rsidRPr="001C4083" w:rsidRDefault="00115FD4">
      <w:pPr>
        <w:ind w:left="1260" w:hanging="540"/>
      </w:pPr>
      <w:r>
        <w:t>G.</w:t>
      </w:r>
      <w:r>
        <w:tab/>
      </w:r>
      <w:r w:rsidRPr="001C4083">
        <w:t xml:space="preserve">If there are any civil rights-related program noncompliance </w:t>
      </w:r>
      <w:r w:rsidR="008633BA" w:rsidRPr="001C4083">
        <w:t>issues identified by CPD</w:t>
      </w:r>
      <w:r w:rsidRPr="001C4083">
        <w:t>,</w:t>
      </w:r>
      <w:r w:rsidR="005136DA" w:rsidRPr="001C4083">
        <w:t xml:space="preserve"> </w:t>
      </w:r>
      <w:r w:rsidR="00582B7A" w:rsidRPr="001C4083">
        <w:t xml:space="preserve">CPD will provide this information to FHEO and </w:t>
      </w:r>
      <w:r w:rsidR="002B6765" w:rsidRPr="001C4083">
        <w:t xml:space="preserve">FHEO will </w:t>
      </w:r>
      <w:r w:rsidR="00CE4B31" w:rsidRPr="001C4083">
        <w:t xml:space="preserve">determine what actions </w:t>
      </w:r>
      <w:r w:rsidR="00A029CA" w:rsidRPr="001C4083">
        <w:t xml:space="preserve">(e.g., technical assistance, training, compliance review) </w:t>
      </w:r>
      <w:r w:rsidR="00CE4B31" w:rsidRPr="001C4083">
        <w:t>are needed</w:t>
      </w:r>
      <w:r w:rsidR="009C033B" w:rsidRPr="001C4083">
        <w:t>, w</w:t>
      </w:r>
      <w:r w:rsidRPr="001C4083">
        <w:t>orking directly with the program participant</w:t>
      </w:r>
      <w:r w:rsidR="009C033B" w:rsidRPr="001C4083">
        <w:t>.</w:t>
      </w:r>
      <w:r w:rsidRPr="001C4083">
        <w:t xml:space="preserve"> </w:t>
      </w:r>
      <w:r w:rsidR="009C033B" w:rsidRPr="001C4083">
        <w:t xml:space="preserve"> FHEO will</w:t>
      </w:r>
      <w:r w:rsidRPr="001C4083">
        <w:t xml:space="preserve"> keep CPD apprised of all issues and progress</w:t>
      </w:r>
      <w:r w:rsidR="00AA03C8">
        <w:t xml:space="preserve"> and</w:t>
      </w:r>
      <w:r w:rsidR="007B7DE4" w:rsidRPr="001C4083">
        <w:t xml:space="preserve"> provide </w:t>
      </w:r>
      <w:r w:rsidR="00D02674" w:rsidRPr="001C4083">
        <w:t xml:space="preserve">to CPD </w:t>
      </w:r>
      <w:r w:rsidR="007B7DE4" w:rsidRPr="001C4083">
        <w:t>copies of any grantee correspondence.</w:t>
      </w:r>
    </w:p>
    <w:p w14:paraId="40E07FE1" w14:textId="77777777" w:rsidR="00390BFC" w:rsidRPr="001C4083" w:rsidRDefault="00390BFC">
      <w:pPr>
        <w:ind w:left="1260" w:hanging="540"/>
      </w:pPr>
    </w:p>
    <w:p w14:paraId="7F96BC84" w14:textId="77777777" w:rsidR="00115FD4" w:rsidRPr="001C4083" w:rsidRDefault="006A22CF" w:rsidP="00390BFC">
      <w:pPr>
        <w:ind w:left="1260"/>
      </w:pPr>
      <w:r w:rsidRPr="001C4083">
        <w:t xml:space="preserve">If FHEO believes that further action is not warranted or subsequently does not </w:t>
      </w:r>
      <w:r w:rsidR="00856111" w:rsidRPr="001C4083">
        <w:t>make any findings of noncompliance</w:t>
      </w:r>
      <w:r w:rsidRPr="001C4083">
        <w:t xml:space="preserve">, it will </w:t>
      </w:r>
      <w:r w:rsidR="00EC10E7" w:rsidRPr="001C4083">
        <w:t xml:space="preserve">notify </w:t>
      </w:r>
      <w:r w:rsidR="00E62339" w:rsidRPr="001C4083">
        <w:t>the grantee</w:t>
      </w:r>
      <w:r w:rsidR="00EC10E7" w:rsidRPr="001C4083">
        <w:t xml:space="preserve"> and</w:t>
      </w:r>
      <w:r w:rsidR="00856111" w:rsidRPr="001C4083">
        <w:t xml:space="preserve"> </w:t>
      </w:r>
      <w:r w:rsidR="00EC10E7" w:rsidRPr="001C4083">
        <w:t xml:space="preserve">provide </w:t>
      </w:r>
      <w:r w:rsidR="00E62339" w:rsidRPr="001C4083">
        <w:t xml:space="preserve">CPD with </w:t>
      </w:r>
      <w:r w:rsidR="00EC10E7" w:rsidRPr="001C4083">
        <w:t>copies of any</w:t>
      </w:r>
      <w:r w:rsidR="00390BFC" w:rsidRPr="001C4083">
        <w:t xml:space="preserve"> </w:t>
      </w:r>
      <w:r w:rsidR="00327FBA" w:rsidRPr="001C4083">
        <w:t xml:space="preserve">grantee </w:t>
      </w:r>
      <w:r w:rsidR="00390BFC" w:rsidRPr="001C4083">
        <w:t>correspondence</w:t>
      </w:r>
      <w:r w:rsidR="00432CBB" w:rsidRPr="001C4083">
        <w:t xml:space="preserve"> pertaining </w:t>
      </w:r>
      <w:r w:rsidR="00390BFC" w:rsidRPr="001C4083">
        <w:t xml:space="preserve">to </w:t>
      </w:r>
      <w:r w:rsidR="00856111" w:rsidRPr="001C4083">
        <w:t xml:space="preserve">its </w:t>
      </w:r>
      <w:r w:rsidR="00390BFC" w:rsidRPr="001C4083">
        <w:t>conclusions</w:t>
      </w:r>
      <w:r w:rsidR="00A14CDA" w:rsidRPr="001C4083">
        <w:t>.</w:t>
      </w:r>
    </w:p>
    <w:p w14:paraId="54CB15BA" w14:textId="77777777" w:rsidR="00115FD4" w:rsidRDefault="00115FD4">
      <w:pPr>
        <w:ind w:left="1440" w:hanging="360"/>
      </w:pPr>
    </w:p>
    <w:p w14:paraId="0E0D717E" w14:textId="77777777" w:rsidR="00115FD4" w:rsidRDefault="00115FD4">
      <w:pPr>
        <w:ind w:left="1260" w:hanging="540"/>
      </w:pPr>
      <w:r>
        <w:t>H.</w:t>
      </w:r>
      <w:r>
        <w:tab/>
        <w:t>Using CPD’s completed Exhibits for FHEO’s future risk analyses.  All limited monitoring review</w:t>
      </w:r>
      <w:r w:rsidR="00D22185">
        <w:t xml:space="preserve"> issues</w:t>
      </w:r>
      <w:r>
        <w:t xml:space="preserve"> referred to FHEO and any follow-up actions that FHEO may take will be entered into FHEO’s risk analysis data management systems (RADMS).  Information from RADMS will be used to assist FHEO in determining low, medium, or high-risk program participants in the following year.  </w:t>
      </w:r>
    </w:p>
    <w:p w14:paraId="34C797FC" w14:textId="77777777" w:rsidR="00115FD4" w:rsidRDefault="00115FD4">
      <w:pPr>
        <w:ind w:left="1440" w:hanging="360"/>
        <w:rPr>
          <w:b/>
          <w:color w:val="FF0000"/>
        </w:rPr>
      </w:pPr>
    </w:p>
    <w:p w14:paraId="681E74A3" w14:textId="77777777" w:rsidR="00115FD4" w:rsidRDefault="00115FD4" w:rsidP="00F435B8">
      <w:pPr>
        <w:numPr>
          <w:ilvl w:val="1"/>
          <w:numId w:val="23"/>
        </w:numPr>
        <w:tabs>
          <w:tab w:val="clear" w:pos="360"/>
        </w:tabs>
        <w:ind w:left="720" w:hanging="720"/>
      </w:pPr>
      <w:r w:rsidRPr="00F435B8">
        <w:rPr>
          <w:u w:val="single"/>
        </w:rPr>
        <w:t>CDBG EQUAL OPPORTUNITY AND FAIR HOUSING REVIEW CRITERIA.</w:t>
      </w:r>
      <w:r>
        <w:t xml:space="preserve">  </w:t>
      </w:r>
    </w:p>
    <w:p w14:paraId="736D861A" w14:textId="77777777" w:rsidR="00F435B8" w:rsidRDefault="00F435B8" w:rsidP="00F435B8">
      <w:pPr>
        <w:ind w:left="720"/>
      </w:pPr>
      <w:r w:rsidRPr="00F435B8">
        <w:rPr>
          <w:color w:val="000000"/>
        </w:rPr>
        <w:t>The rules at 24 CFR 570.904 set criteria for HUD to review recipient performance with respect to nondiscrimination and equal opportunity requirements in four areas: (1) carrying out the CDBG-funded program in accordance with civil rights certifications and civil rights requirements of the Housing and Community Development Act relating to equal employment opportunity, equal opportunity in services, benefits, and participation, and in affirmatively furthering fair housing; (2) compliance with Title VI of the Civil Rights Act and Section 109 of the Housing and Community Development Act; (3) compliance with the Fair Housing Act and the obligation to affirmatively further fair housing; and (4) performance with respect to the use of minority and women’s business enterprises as described in Executive Orders 11625, 12432, and 12138.  With respect to performance in accordance with civil rights certifications and civil rights requirements under the Housing and Community Development Act, HUD will presume compliance unless there is evidence that shows, or from which it is reasonable to infer, that the recipient, motivated by considerations of race, color, religion where applicable, sex, national origin, age or handicap has treated some persons less favorably than others; there is evidence that a policy, practice, standard or method of administration, although neutral on its face, operates to deny or affect adversely in a significant way the  provision of employment or services, benefits or participation to persons of a particular race, color, religion where applicable, sex, national origin, age or handicap or fair housing to persons of a particular race, color, religion, sex, or national origin; or the recipient has failed to meet any further assurance in order for HUD to accept the recipient’s prior civil rights certification</w:t>
      </w:r>
      <w:r>
        <w:rPr>
          <w:color w:val="000000"/>
          <w:sz w:val="23"/>
          <w:szCs w:val="23"/>
        </w:rPr>
        <w:t>.</w:t>
      </w:r>
    </w:p>
    <w:p w14:paraId="4BBE7B12" w14:textId="77777777" w:rsidR="00F435B8" w:rsidRDefault="00F435B8" w:rsidP="00F435B8">
      <w:pPr>
        <w:ind w:left="720"/>
      </w:pPr>
    </w:p>
    <w:p w14:paraId="65844378" w14:textId="77777777" w:rsidR="00115FD4" w:rsidRDefault="00115FD4">
      <w:pPr>
        <w:numPr>
          <w:ilvl w:val="1"/>
          <w:numId w:val="23"/>
        </w:numPr>
        <w:tabs>
          <w:tab w:val="clear" w:pos="360"/>
        </w:tabs>
        <w:ind w:left="720" w:hanging="720"/>
      </w:pPr>
      <w:r>
        <w:rPr>
          <w:u w:val="single"/>
        </w:rPr>
        <w:t>CDBG NONDISCRIMINATION COMPLIANCE.</w:t>
      </w:r>
      <w:r>
        <w:t xml:space="preserve"> The requirements at 24 CFR 570.912 establish what actions HUD may impose if a CDBG program participant is found to be in noncompliance with civil rights and fair housing statutes.  Program participants are given sixty (60) days to come into compliance.  If after 60 days, the program participant fails to comply, HUD may:</w:t>
      </w:r>
    </w:p>
    <w:p w14:paraId="1E1D3BF2" w14:textId="77777777" w:rsidR="00115FD4" w:rsidRDefault="00115FD4"/>
    <w:p w14:paraId="62917539" w14:textId="77777777" w:rsidR="00115FD4" w:rsidRDefault="00115FD4">
      <w:pPr>
        <w:numPr>
          <w:ilvl w:val="0"/>
          <w:numId w:val="28"/>
        </w:numPr>
        <w:tabs>
          <w:tab w:val="clear" w:pos="1080"/>
          <w:tab w:val="num" w:pos="1260"/>
        </w:tabs>
        <w:ind w:left="1260" w:hanging="540"/>
      </w:pPr>
      <w:r>
        <w:t>Refer the matter to the Attorney General with a recommendation that an appropriate civil action be instituted.</w:t>
      </w:r>
    </w:p>
    <w:p w14:paraId="014B0266" w14:textId="77777777" w:rsidR="00115FD4" w:rsidRDefault="00115FD4">
      <w:pPr>
        <w:ind w:left="720"/>
      </w:pPr>
    </w:p>
    <w:p w14:paraId="35A7ABBE" w14:textId="77777777" w:rsidR="00115FD4" w:rsidRDefault="00115FD4">
      <w:pPr>
        <w:numPr>
          <w:ilvl w:val="0"/>
          <w:numId w:val="28"/>
        </w:numPr>
        <w:tabs>
          <w:tab w:val="clear" w:pos="1080"/>
          <w:tab w:val="num" w:pos="1260"/>
        </w:tabs>
        <w:ind w:left="1260" w:hanging="540"/>
      </w:pPr>
      <w:r>
        <w:t>Exercise the powers and functions provided by Title VI of the Civil Rights Act of 1964 (42 U.S.C. 2000d).</w:t>
      </w:r>
    </w:p>
    <w:p w14:paraId="7C7463B3" w14:textId="77777777" w:rsidR="00115FD4" w:rsidRDefault="00115FD4"/>
    <w:p w14:paraId="1821C0DE" w14:textId="77777777" w:rsidR="00115FD4" w:rsidRDefault="00115FD4">
      <w:pPr>
        <w:numPr>
          <w:ilvl w:val="0"/>
          <w:numId w:val="28"/>
        </w:numPr>
        <w:tabs>
          <w:tab w:val="clear" w:pos="1080"/>
          <w:tab w:val="num" w:pos="1260"/>
        </w:tabs>
        <w:ind w:left="1260" w:hanging="540"/>
      </w:pPr>
      <w:r>
        <w:t>Exercise the powers and functions provided for in 24 CFR 570.913.</w:t>
      </w:r>
    </w:p>
    <w:p w14:paraId="61F0BB6B" w14:textId="77777777" w:rsidR="00115FD4" w:rsidRDefault="00115FD4"/>
    <w:p w14:paraId="6B52EF9B" w14:textId="77777777" w:rsidR="00115FD4" w:rsidRDefault="00115FD4">
      <w:pPr>
        <w:numPr>
          <w:ilvl w:val="0"/>
          <w:numId w:val="28"/>
        </w:numPr>
        <w:tabs>
          <w:tab w:val="clear" w:pos="1080"/>
          <w:tab w:val="num" w:pos="1260"/>
        </w:tabs>
        <w:ind w:left="1260" w:hanging="540"/>
      </w:pPr>
      <w:r>
        <w:t>Take such other action as may be provided by law.</w:t>
      </w:r>
    </w:p>
    <w:p w14:paraId="51464D8C" w14:textId="77777777" w:rsidR="00BC4574" w:rsidRDefault="00BC4574" w:rsidP="00BC4574">
      <w:pPr>
        <w:pStyle w:val="ListParagraph"/>
      </w:pPr>
    </w:p>
    <w:p w14:paraId="1E0C19CB" w14:textId="58AEE7FB" w:rsidR="00BC4574" w:rsidRDefault="00BC4574" w:rsidP="00BC4574">
      <w:r>
        <w:t xml:space="preserve">22-7 </w:t>
      </w:r>
      <w:r>
        <w:tab/>
        <w:t>REMOVED</w:t>
      </w:r>
    </w:p>
    <w:p w14:paraId="67BEF130" w14:textId="77777777" w:rsidR="00115FD4" w:rsidRDefault="00115FD4"/>
    <w:p w14:paraId="1F7AD217" w14:textId="77777777" w:rsidR="00115FD4" w:rsidRDefault="00115FD4"/>
    <w:p w14:paraId="45EB3FCB" w14:textId="2D04B973" w:rsidR="004B4FF2" w:rsidRDefault="00115FD4" w:rsidP="004B4FF2">
      <w:pPr>
        <w:ind w:left="720" w:hanging="720"/>
        <w:rPr>
          <w:bCs/>
        </w:rPr>
      </w:pPr>
      <w:r>
        <w:t xml:space="preserve">22-8    </w:t>
      </w:r>
      <w:r w:rsidR="004B4FF2">
        <w:rPr>
          <w:u w:val="single"/>
        </w:rPr>
        <w:t>CHAPTER ATTACHMENT AND EXHIBITS.</w:t>
      </w:r>
      <w:r w:rsidR="004B4FF2">
        <w:t xml:space="preserve">  This Chapter contains an Attachment and seven (7) Exhibits.  Attachment 22-1. “Applicable Civil Rights Laws, Their Applicable Regulations and Coverage,” provides a summary table of the civil rights laws and their applicable regulations by the categories of program participants that must comply with these authorities.  </w:t>
      </w:r>
      <w:r w:rsidR="004B4FF2">
        <w:rPr>
          <w:bCs/>
        </w:rPr>
        <w:t xml:space="preserve">The 7 Exhibits, which contain the limited monitoring review standards and procedures for CPD field staff use, are briefly described below.  CPD staff need only use the program Exhibit applicable to the on-going CPD monitoring review along with the Exhibit to review Section 504 of the Rehabilitation Act.  For example, if CPD staff is conducting a HOME review, </w:t>
      </w:r>
      <w:proofErr w:type="gramStart"/>
      <w:r w:rsidR="004B4FF2">
        <w:rPr>
          <w:bCs/>
        </w:rPr>
        <w:t>Exhibit</w:t>
      </w:r>
      <w:proofErr w:type="gramEnd"/>
      <w:r w:rsidR="004B4FF2">
        <w:rPr>
          <w:bCs/>
        </w:rPr>
        <w:t xml:space="preserve"> 22-3, “Guide for Review of the HOME Investment Partnerships Program,” is used along with Exhibit 22-6, Guide for Review of the Civil Rights-Related Program Requirements for Section 504 of the Rehabilitation Act of 1973, as amended.” </w:t>
      </w:r>
    </w:p>
    <w:p w14:paraId="696E1FA0" w14:textId="6CFB1FE4" w:rsidR="00115FD4" w:rsidRDefault="00115FD4" w:rsidP="004B4FF2">
      <w:pPr>
        <w:ind w:left="720" w:hanging="720"/>
      </w:pPr>
    </w:p>
    <w:p w14:paraId="40C0243A" w14:textId="77777777" w:rsidR="00115FD4" w:rsidRDefault="00115FD4">
      <w:pPr>
        <w:pStyle w:val="BodyText"/>
        <w:spacing w:after="0"/>
        <w:ind w:left="1260" w:hanging="540"/>
      </w:pPr>
      <w:r>
        <w:t>A.</w:t>
      </w:r>
      <w:r>
        <w:tab/>
      </w:r>
      <w:r>
        <w:rPr>
          <w:u w:val="single"/>
        </w:rPr>
        <w:t>Exhibit 22-1, “Guide for Review of Civil Rights-Related Program Requirements for the Community Development Block Grant (CDBG) Entitlement Program.”</w:t>
      </w:r>
      <w:r>
        <w:t xml:space="preserve">  This Exhibit is designed to determine whether:</w:t>
      </w:r>
    </w:p>
    <w:p w14:paraId="263A9C83" w14:textId="77777777" w:rsidR="00115FD4" w:rsidRDefault="00115FD4">
      <w:pPr>
        <w:pStyle w:val="Level1"/>
        <w:numPr>
          <w:ilvl w:val="0"/>
          <w:numId w:val="0"/>
        </w:numPr>
        <w:rPr>
          <w:bCs/>
        </w:rPr>
      </w:pPr>
    </w:p>
    <w:p w14:paraId="31932675" w14:textId="77777777" w:rsidR="00115FD4" w:rsidRDefault="00115FD4">
      <w:pPr>
        <w:pStyle w:val="BodyText"/>
        <w:spacing w:after="0"/>
        <w:ind w:left="1440" w:hanging="360"/>
        <w:rPr>
          <w:bCs/>
        </w:rPr>
      </w:pPr>
      <w:r>
        <w:rPr>
          <w:bCs/>
        </w:rPr>
        <w:t>1.</w:t>
      </w:r>
      <w:r>
        <w:rPr>
          <w:bCs/>
        </w:rPr>
        <w:tab/>
        <w:t>A program participant maintains records as required by 24 CFR 570.506(g).</w:t>
      </w:r>
    </w:p>
    <w:p w14:paraId="75371A50" w14:textId="77777777" w:rsidR="00115FD4" w:rsidRDefault="00115FD4">
      <w:pPr>
        <w:pStyle w:val="BodyText"/>
        <w:spacing w:after="0"/>
        <w:rPr>
          <w:bCs/>
        </w:rPr>
      </w:pPr>
    </w:p>
    <w:p w14:paraId="5DF957A9" w14:textId="77777777" w:rsidR="00115FD4" w:rsidRDefault="00115FD4">
      <w:pPr>
        <w:pStyle w:val="BodyText"/>
        <w:spacing w:after="0"/>
        <w:ind w:left="1440" w:hanging="360"/>
        <w:rPr>
          <w:bCs/>
        </w:rPr>
      </w:pPr>
      <w:r>
        <w:rPr>
          <w:bCs/>
        </w:rPr>
        <w:t>2.  The records maintained by the program participant accurately portray its actions and, if the CPD reviewer is conducting an on-site monitoring review, the activities can be verified on-site.</w:t>
      </w:r>
    </w:p>
    <w:p w14:paraId="41A4DE1D" w14:textId="77777777" w:rsidR="00115FD4" w:rsidRDefault="00115FD4">
      <w:pPr>
        <w:pStyle w:val="BodyText"/>
        <w:spacing w:after="0"/>
        <w:ind w:left="1440" w:hanging="360"/>
        <w:rPr>
          <w:bCs/>
        </w:rPr>
      </w:pPr>
    </w:p>
    <w:p w14:paraId="6CE9D1B4" w14:textId="77777777" w:rsidR="00115FD4" w:rsidRDefault="00115FD4">
      <w:pPr>
        <w:pStyle w:val="BodyText"/>
        <w:tabs>
          <w:tab w:val="left" w:pos="1260"/>
        </w:tabs>
        <w:spacing w:after="0"/>
        <w:ind w:left="1260" w:hanging="540"/>
        <w:rPr>
          <w:bCs/>
        </w:rPr>
      </w:pPr>
      <w:r>
        <w:rPr>
          <w:bCs/>
        </w:rPr>
        <w:t>B.</w:t>
      </w:r>
      <w:r>
        <w:rPr>
          <w:bCs/>
        </w:rPr>
        <w:tab/>
      </w:r>
      <w:r>
        <w:rPr>
          <w:bCs/>
          <w:u w:val="single"/>
        </w:rPr>
        <w:t>Exhibit 22-2, “Guide for Review of Civil Rights-Related Requirements for the State Community Development Block Grant (CDBG) Program.”</w:t>
      </w:r>
      <w:r>
        <w:t xml:space="preserve">  </w:t>
      </w:r>
      <w:r w:rsidR="000318DD">
        <w:rPr>
          <w:bCs/>
        </w:rPr>
        <w:t xml:space="preserve">This Exhibit </w:t>
      </w:r>
      <w:r>
        <w:rPr>
          <w:bCs/>
        </w:rPr>
        <w:t>is to be used when conducting a monitoring review of the State CDBG Program for record-keeping requirements by the program and monitoring of its recipients’ record-keeping requirements.</w:t>
      </w:r>
    </w:p>
    <w:p w14:paraId="611ED80E" w14:textId="77777777" w:rsidR="00115FD4" w:rsidRDefault="00115FD4">
      <w:pPr>
        <w:pStyle w:val="BodyText"/>
        <w:tabs>
          <w:tab w:val="left" w:pos="1080"/>
        </w:tabs>
        <w:spacing w:after="0"/>
        <w:ind w:left="1080" w:hanging="720"/>
      </w:pPr>
    </w:p>
    <w:p w14:paraId="7753800D" w14:textId="77777777" w:rsidR="00115FD4" w:rsidRDefault="00115FD4">
      <w:pPr>
        <w:pStyle w:val="BodyText"/>
        <w:spacing w:after="0"/>
        <w:ind w:left="1260" w:hanging="540"/>
        <w:rPr>
          <w:bCs/>
        </w:rPr>
      </w:pPr>
      <w:r>
        <w:rPr>
          <w:bCs/>
        </w:rPr>
        <w:t>C.</w:t>
      </w:r>
      <w:r>
        <w:rPr>
          <w:bCs/>
        </w:rPr>
        <w:tab/>
      </w:r>
      <w:r>
        <w:rPr>
          <w:bCs/>
          <w:u w:val="single"/>
        </w:rPr>
        <w:t>Exhibit 22-3, “Guide for Review of the HOME Investment Partnerships Program.”</w:t>
      </w:r>
      <w:r>
        <w:rPr>
          <w:bCs/>
        </w:rPr>
        <w:t xml:space="preserve">   When reviewing a HOME participating jurisdiction (PJ), this Exhibit is designed to determine whether the PJ has records and data that document its implementation of the program’s civil rights-related requirements.</w:t>
      </w:r>
    </w:p>
    <w:p w14:paraId="5964734C" w14:textId="77777777" w:rsidR="00115FD4" w:rsidRDefault="00115FD4">
      <w:pPr>
        <w:pStyle w:val="BodyText"/>
        <w:spacing w:after="0"/>
        <w:ind w:left="1080" w:hanging="360"/>
      </w:pPr>
    </w:p>
    <w:p w14:paraId="7DA81F1F" w14:textId="77777777" w:rsidR="00115FD4" w:rsidRDefault="00115FD4">
      <w:pPr>
        <w:pStyle w:val="BodyText"/>
        <w:spacing w:after="0"/>
        <w:ind w:left="1260" w:hanging="540"/>
        <w:rPr>
          <w:bCs/>
        </w:rPr>
      </w:pPr>
      <w:r>
        <w:rPr>
          <w:bCs/>
        </w:rPr>
        <w:t>D.</w:t>
      </w:r>
      <w:r>
        <w:rPr>
          <w:bCs/>
        </w:rPr>
        <w:tab/>
      </w:r>
      <w:r>
        <w:rPr>
          <w:bCs/>
          <w:u w:val="single"/>
        </w:rPr>
        <w:t>Exhibit 22-4, “Guide for Review of the Emergency Shelter Grants (ESG) Program.”</w:t>
      </w:r>
      <w:r>
        <w:rPr>
          <w:bCs/>
        </w:rPr>
        <w:t xml:space="preserve">  This Exhibit is designed for use in conducting a monitoring review of either a local </w:t>
      </w:r>
      <w:proofErr w:type="gramStart"/>
      <w:r>
        <w:rPr>
          <w:bCs/>
        </w:rPr>
        <w:t>jurisdiction’s</w:t>
      </w:r>
      <w:proofErr w:type="gramEnd"/>
      <w:r>
        <w:rPr>
          <w:bCs/>
        </w:rPr>
        <w:t xml:space="preserve"> or a State’s ESG program with emphasis on record-keeping requirements.  </w:t>
      </w:r>
    </w:p>
    <w:p w14:paraId="35BED369" w14:textId="77777777" w:rsidR="00115FD4" w:rsidRDefault="00115FD4">
      <w:pPr>
        <w:pStyle w:val="BodyText"/>
        <w:spacing w:after="0"/>
        <w:ind w:left="1260" w:hanging="540"/>
        <w:rPr>
          <w:bCs/>
        </w:rPr>
      </w:pPr>
    </w:p>
    <w:p w14:paraId="74C13364" w14:textId="77777777" w:rsidR="00115FD4" w:rsidRDefault="00115FD4">
      <w:pPr>
        <w:pStyle w:val="BodyText"/>
        <w:spacing w:after="0"/>
        <w:ind w:left="1260" w:hanging="540"/>
        <w:rPr>
          <w:bCs/>
        </w:rPr>
      </w:pPr>
      <w:r>
        <w:rPr>
          <w:bCs/>
        </w:rPr>
        <w:t>E.</w:t>
      </w:r>
      <w:r>
        <w:rPr>
          <w:bCs/>
        </w:rPr>
        <w:tab/>
      </w:r>
      <w:r>
        <w:rPr>
          <w:bCs/>
          <w:u w:val="single"/>
        </w:rPr>
        <w:t>Exhibit 22-5, “Guide for Review of the Civil Rights-Related Program Requirements for CPD Non-Formula Grant Programs.”</w:t>
      </w:r>
      <w:r>
        <w:rPr>
          <w:bCs/>
        </w:rPr>
        <w:t xml:space="preserve">  This Exhibit is to be used when conducting a monitoring review of the civil rights-related program requirements for any of CPD’s non-formula grant programs.  It covers competitively funded programs and, in the case of the Housing Opportunities for Persons </w:t>
      </w:r>
      <w:proofErr w:type="gramStart"/>
      <w:r>
        <w:rPr>
          <w:bCs/>
        </w:rPr>
        <w:t>With</w:t>
      </w:r>
      <w:proofErr w:type="gramEnd"/>
      <w:r>
        <w:rPr>
          <w:bCs/>
        </w:rPr>
        <w:t xml:space="preserve"> AIDS (HOPWA) program, it is to be used for either the formula or competitive portion of the HOPWA program.</w:t>
      </w:r>
    </w:p>
    <w:p w14:paraId="32DD71C6" w14:textId="77777777" w:rsidR="00115FD4" w:rsidRDefault="00115FD4">
      <w:pPr>
        <w:pStyle w:val="BodyText"/>
        <w:spacing w:after="0"/>
        <w:ind w:left="1260" w:hanging="540"/>
        <w:rPr>
          <w:bCs/>
        </w:rPr>
      </w:pPr>
    </w:p>
    <w:p w14:paraId="746288E0" w14:textId="1E6AB81E" w:rsidR="00115FD4" w:rsidRDefault="00115FD4" w:rsidP="00247EE0">
      <w:pPr>
        <w:pStyle w:val="BodyText"/>
        <w:numPr>
          <w:ilvl w:val="0"/>
          <w:numId w:val="30"/>
        </w:numPr>
        <w:spacing w:after="0"/>
        <w:rPr>
          <w:bCs/>
        </w:rPr>
      </w:pPr>
      <w:r>
        <w:rPr>
          <w:bCs/>
          <w:u w:val="single"/>
        </w:rPr>
        <w:t>Exhibit 22-6, “Guide for Review of the Civil Rights-Related Program Requirements for Section 504 of the Rehabilitation Act of 1973, as amended.”</w:t>
      </w:r>
      <w:r>
        <w:rPr>
          <w:bCs/>
        </w:rPr>
        <w:t xml:space="preserve">  This Exhibit is designed to assess the program participant’s implementation of the requirements pertaining to persons with disabilities covered under this law.  Section 109 of the Housing and Community Development Act makes Section 504 requirements applicable to all programs under Title I of this Act.  This Exhibit is to be used when monitoring the CDBG (Entitlement and State), HOME and ESG Programs.</w:t>
      </w:r>
    </w:p>
    <w:p w14:paraId="0329F250" w14:textId="77777777" w:rsidR="00115FD4" w:rsidRDefault="00115FD4">
      <w:pPr>
        <w:pStyle w:val="BodyText"/>
        <w:spacing w:after="0"/>
        <w:ind w:left="1260" w:hanging="540"/>
        <w:rPr>
          <w:bCs/>
        </w:rPr>
      </w:pPr>
    </w:p>
    <w:p w14:paraId="7B41A121" w14:textId="00E48DA0" w:rsidR="00115FD4" w:rsidRDefault="00115FD4">
      <w:pPr>
        <w:pStyle w:val="BodyText"/>
        <w:spacing w:after="0"/>
        <w:ind w:left="1260" w:hanging="540"/>
      </w:pPr>
    </w:p>
    <w:p w14:paraId="1FCF666E" w14:textId="77777777" w:rsidR="00115FD4" w:rsidRDefault="00115FD4">
      <w:pPr>
        <w:tabs>
          <w:tab w:val="left" w:pos="1080"/>
        </w:tabs>
        <w:ind w:left="1260" w:hanging="540"/>
      </w:pPr>
    </w:p>
    <w:sectPr w:rsidR="00115FD4">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A8D5" w14:textId="77777777" w:rsidR="005578E5" w:rsidRDefault="005578E5">
      <w:r>
        <w:separator/>
      </w:r>
    </w:p>
  </w:endnote>
  <w:endnote w:type="continuationSeparator" w:id="0">
    <w:p w14:paraId="202853CE" w14:textId="77777777" w:rsidR="005578E5" w:rsidRDefault="005578E5">
      <w:r>
        <w:continuationSeparator/>
      </w:r>
    </w:p>
  </w:endnote>
  <w:endnote w:type="continuationNotice" w:id="1">
    <w:p w14:paraId="6355460F" w14:textId="77777777" w:rsidR="005578E5" w:rsidRDefault="00557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2893" w14:textId="0C0DB4B9" w:rsidR="00FC7107" w:rsidRPr="00CC1B21" w:rsidRDefault="002C3EE0">
    <w:pPr>
      <w:pStyle w:val="Footer"/>
      <w:rPr>
        <w:sz w:val="22"/>
        <w:szCs w:val="22"/>
      </w:rPr>
    </w:pPr>
    <w:r>
      <w:rPr>
        <w:sz w:val="22"/>
        <w:szCs w:val="22"/>
      </w:rPr>
      <w:t>1</w:t>
    </w:r>
    <w:r w:rsidR="00FC7107" w:rsidRPr="00CC1B21">
      <w:rPr>
        <w:sz w:val="22"/>
        <w:szCs w:val="22"/>
      </w:rPr>
      <w:t>/20</w:t>
    </w:r>
    <w:r>
      <w:rPr>
        <w:sz w:val="22"/>
        <w:szCs w:val="22"/>
      </w:rPr>
      <w:t>24</w:t>
    </w:r>
    <w:r w:rsidR="00FC7107" w:rsidRPr="00CC1B21">
      <w:rPr>
        <w:sz w:val="22"/>
        <w:szCs w:val="22"/>
      </w:rPr>
      <w:tab/>
      <w:t>22-</w:t>
    </w:r>
    <w:r w:rsidR="00FC7107" w:rsidRPr="00CC1B21">
      <w:rPr>
        <w:rStyle w:val="PageNumber"/>
        <w:sz w:val="22"/>
        <w:szCs w:val="22"/>
      </w:rPr>
      <w:fldChar w:fldCharType="begin"/>
    </w:r>
    <w:r w:rsidR="00FC7107" w:rsidRPr="00CC1B21">
      <w:rPr>
        <w:rStyle w:val="PageNumber"/>
        <w:sz w:val="22"/>
        <w:szCs w:val="22"/>
      </w:rPr>
      <w:instrText xml:space="preserve"> PAGE </w:instrText>
    </w:r>
    <w:r w:rsidR="00FC7107" w:rsidRPr="00CC1B21">
      <w:rPr>
        <w:rStyle w:val="PageNumber"/>
        <w:sz w:val="22"/>
        <w:szCs w:val="22"/>
      </w:rPr>
      <w:fldChar w:fldCharType="separate"/>
    </w:r>
    <w:r w:rsidR="00CC1B21">
      <w:rPr>
        <w:rStyle w:val="PageNumber"/>
        <w:noProof/>
        <w:sz w:val="22"/>
        <w:szCs w:val="22"/>
      </w:rPr>
      <w:t>6</w:t>
    </w:r>
    <w:r w:rsidR="00FC7107" w:rsidRPr="00CC1B21">
      <w:rPr>
        <w:rStyle w:val="PageNumber"/>
        <w:sz w:val="22"/>
        <w:szCs w:val="22"/>
      </w:rPr>
      <w:fldChar w:fldCharType="end"/>
    </w:r>
    <w:r w:rsidR="00FC7107" w:rsidRPr="00CC1B21">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9E7B" w14:textId="4E07F54B" w:rsidR="00FC7107" w:rsidRPr="00CC1B21" w:rsidRDefault="00FC7107">
    <w:pPr>
      <w:pStyle w:val="Footer"/>
      <w:rPr>
        <w:sz w:val="22"/>
        <w:szCs w:val="22"/>
      </w:rPr>
    </w:pPr>
    <w:r>
      <w:tab/>
    </w:r>
    <w:r w:rsidRPr="00CC1B21">
      <w:rPr>
        <w:sz w:val="22"/>
        <w:szCs w:val="22"/>
      </w:rPr>
      <w:t>22-</w:t>
    </w:r>
    <w:r w:rsidRPr="00CC1B21">
      <w:rPr>
        <w:rStyle w:val="PageNumber"/>
        <w:sz w:val="22"/>
        <w:szCs w:val="22"/>
      </w:rPr>
      <w:fldChar w:fldCharType="begin"/>
    </w:r>
    <w:r w:rsidRPr="00CC1B21">
      <w:rPr>
        <w:rStyle w:val="PageNumber"/>
        <w:sz w:val="22"/>
        <w:szCs w:val="22"/>
      </w:rPr>
      <w:instrText xml:space="preserve"> PAGE </w:instrText>
    </w:r>
    <w:r w:rsidRPr="00CC1B21">
      <w:rPr>
        <w:rStyle w:val="PageNumber"/>
        <w:sz w:val="22"/>
        <w:szCs w:val="22"/>
      </w:rPr>
      <w:fldChar w:fldCharType="separate"/>
    </w:r>
    <w:r w:rsidR="00CC1B21">
      <w:rPr>
        <w:rStyle w:val="PageNumber"/>
        <w:noProof/>
        <w:sz w:val="22"/>
        <w:szCs w:val="22"/>
      </w:rPr>
      <w:t>3</w:t>
    </w:r>
    <w:r w:rsidRPr="00CC1B21">
      <w:rPr>
        <w:rStyle w:val="PageNumber"/>
        <w:sz w:val="22"/>
        <w:szCs w:val="22"/>
      </w:rPr>
      <w:fldChar w:fldCharType="end"/>
    </w:r>
    <w:r w:rsidRPr="00CC1B21">
      <w:rPr>
        <w:sz w:val="22"/>
        <w:szCs w:val="22"/>
      </w:rPr>
      <w:tab/>
    </w:r>
    <w:r w:rsidR="002C3EE0">
      <w:rPr>
        <w:sz w:val="22"/>
        <w:szCs w:val="22"/>
      </w:rPr>
      <w:t>1</w:t>
    </w:r>
    <w:r w:rsidRPr="00CC1B21">
      <w:rPr>
        <w:sz w:val="22"/>
        <w:szCs w:val="22"/>
      </w:rPr>
      <w:t>/20</w:t>
    </w:r>
    <w:r w:rsidR="002C3EE0">
      <w:rPr>
        <w:sz w:val="22"/>
        <w:szCs w:val="22"/>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6870" w14:textId="77777777" w:rsidR="00FC7107" w:rsidRDefault="00FC7107">
    <w:pPr>
      <w:pStyle w:val="Footer"/>
    </w:pPr>
    <w:r>
      <w:tab/>
      <w:t>22-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i/>
        <w:iCs/>
      </w:rPr>
      <w:t xml:space="preserve"> </w:t>
    </w:r>
    <w:r>
      <w:t>09/2005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42D4" w14:textId="77777777" w:rsidR="005578E5" w:rsidRDefault="005578E5">
      <w:r>
        <w:separator/>
      </w:r>
    </w:p>
  </w:footnote>
  <w:footnote w:type="continuationSeparator" w:id="0">
    <w:p w14:paraId="2334D718" w14:textId="77777777" w:rsidR="005578E5" w:rsidRDefault="005578E5">
      <w:r>
        <w:continuationSeparator/>
      </w:r>
    </w:p>
  </w:footnote>
  <w:footnote w:type="continuationNotice" w:id="1">
    <w:p w14:paraId="6EAA565D" w14:textId="77777777" w:rsidR="005578E5" w:rsidRDefault="005578E5"/>
  </w:footnote>
  <w:footnote w:id="2">
    <w:p w14:paraId="4DAFE07F" w14:textId="23846EDE" w:rsidR="00973F22" w:rsidRDefault="00973F22" w:rsidP="00973F22">
      <w:pPr>
        <w:pStyle w:val="FootnoteText"/>
        <w:ind w:left="180" w:hanging="180"/>
      </w:pPr>
      <w:r>
        <w:rPr>
          <w:rStyle w:val="FootnoteReference"/>
        </w:rPr>
        <w:footnoteRef/>
      </w:r>
      <w:r>
        <w:t xml:space="preserve">  </w:t>
      </w:r>
      <w:r w:rsidRPr="00556C69">
        <w:t xml:space="preserve">HUD plans to revise this Chapter in conformance with the </w:t>
      </w:r>
      <w:r>
        <w:t xml:space="preserve">any regulation the department promulgates to implement the Fair Housing Act’s </w:t>
      </w:r>
      <w:r w:rsidRPr="00556C69">
        <w:t xml:space="preserve">Affirmatively Furthering Fair Housing </w:t>
      </w:r>
      <w:r>
        <w:t xml:space="preserve">mandate (42 USC 3608(d)), including the Interim Final Rule published on June 10, </w:t>
      </w:r>
      <w:proofErr w:type="gramStart"/>
      <w:r>
        <w:t>2021</w:t>
      </w:r>
      <w:proofErr w:type="gramEnd"/>
      <w:r>
        <w:t xml:space="preserve"> at 86 FR 30779, </w:t>
      </w:r>
      <w:r w:rsidRPr="00556C69">
        <w:t>and related program regulations, and to reflect additional fair housing and other civil rights developments.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8493" w14:textId="2A773CC5" w:rsidR="00FC7107" w:rsidRDefault="00FC7107">
    <w:pPr>
      <w:pStyle w:val="Header"/>
    </w:pPr>
    <w:r>
      <w:t>6509.2 REV-</w:t>
    </w:r>
    <w:r w:rsidR="00A35FEF">
      <w:t>7</w:t>
    </w:r>
    <w:r w:rsidR="002C3EE0">
      <w:t xml:space="preserve"> CHG 5</w:t>
    </w:r>
    <w:r>
      <w:tab/>
    </w:r>
    <w:r>
      <w:tab/>
    </w:r>
  </w:p>
  <w:p w14:paraId="6D5AF89B" w14:textId="77777777" w:rsidR="00FC7107" w:rsidRDefault="00FC7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DCE4" w14:textId="04A6F4BA" w:rsidR="00FC7107" w:rsidRDefault="00FC7107" w:rsidP="00704C23">
    <w:pPr>
      <w:pStyle w:val="Header"/>
      <w:jc w:val="right"/>
    </w:pPr>
    <w:r>
      <w:tab/>
      <w:t>6509.2 REV-</w:t>
    </w:r>
    <w:r w:rsidR="00A35FEF">
      <w:t>7</w:t>
    </w:r>
    <w:r w:rsidR="002A79C4">
      <w:t xml:space="preserve"> CHG 5</w:t>
    </w:r>
    <w:r w:rsidR="00AB521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4E12" w14:textId="77777777" w:rsidR="00FC7107" w:rsidRDefault="00FC7107">
    <w:pPr>
      <w:pStyle w:val="Header"/>
    </w:pPr>
    <w:r>
      <w:tab/>
    </w:r>
    <w:r>
      <w:tab/>
      <w:t>6509.2 REV-5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6C8"/>
    <w:multiLevelType w:val="hybridMultilevel"/>
    <w:tmpl w:val="E77E6DBA"/>
    <w:lvl w:ilvl="0" w:tplc="F6A49D0C">
      <w:start w:val="1"/>
      <w:numFmt w:val="bullet"/>
      <w:lvlText w:val=""/>
      <w:lvlJc w:val="left"/>
      <w:pPr>
        <w:tabs>
          <w:tab w:val="num" w:pos="789"/>
        </w:tabs>
        <w:ind w:left="429" w:firstLine="0"/>
      </w:pPr>
      <w:rPr>
        <w:rFonts w:ascii="Symbol" w:hAnsi="Symbol" w:hint="default"/>
      </w:rPr>
    </w:lvl>
    <w:lvl w:ilvl="1" w:tplc="04090003">
      <w:start w:val="1"/>
      <w:numFmt w:val="bullet"/>
      <w:lvlText w:val="o"/>
      <w:lvlJc w:val="left"/>
      <w:pPr>
        <w:tabs>
          <w:tab w:val="num" w:pos="1869"/>
        </w:tabs>
        <w:ind w:left="1869" w:hanging="360"/>
      </w:pPr>
      <w:rPr>
        <w:rFonts w:ascii="Courier New" w:hAnsi="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1" w15:restartNumberingAfterBreak="0">
    <w:nsid w:val="02C90BBC"/>
    <w:multiLevelType w:val="hybridMultilevel"/>
    <w:tmpl w:val="83887E32"/>
    <w:lvl w:ilvl="0" w:tplc="86B2E67A">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0E4ED2"/>
    <w:multiLevelType w:val="hybridMultilevel"/>
    <w:tmpl w:val="C1C060A8"/>
    <w:lvl w:ilvl="0" w:tplc="277C182C">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4" w15:restartNumberingAfterBreak="0">
    <w:nsid w:val="161A1A9C"/>
    <w:multiLevelType w:val="hybridMultilevel"/>
    <w:tmpl w:val="33C4307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AF3D73"/>
    <w:multiLevelType w:val="hybridMultilevel"/>
    <w:tmpl w:val="AE080C9E"/>
    <w:lvl w:ilvl="0" w:tplc="60368E90">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8208D9"/>
    <w:multiLevelType w:val="hybridMultilevel"/>
    <w:tmpl w:val="A4DAB4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5BD76C9"/>
    <w:multiLevelType w:val="hybridMultilevel"/>
    <w:tmpl w:val="EE6A0786"/>
    <w:lvl w:ilvl="0" w:tplc="932EEEA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BA76772"/>
    <w:multiLevelType w:val="multilevel"/>
    <w:tmpl w:val="F8C8A0F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3D47CC2"/>
    <w:multiLevelType w:val="hybridMultilevel"/>
    <w:tmpl w:val="74544296"/>
    <w:lvl w:ilvl="0" w:tplc="6F64B9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BDF14C8"/>
    <w:multiLevelType w:val="hybridMultilevel"/>
    <w:tmpl w:val="C614AB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E57D82"/>
    <w:multiLevelType w:val="multilevel"/>
    <w:tmpl w:val="60483E4C"/>
    <w:lvl w:ilvl="0">
      <w:start w:val="2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0945C1"/>
    <w:multiLevelType w:val="hybridMultilevel"/>
    <w:tmpl w:val="CF663A28"/>
    <w:lvl w:ilvl="0" w:tplc="57909BEE">
      <w:start w:val="3"/>
      <w:numFmt w:val="decimal"/>
      <w:lvlText w:val="%1."/>
      <w:lvlJc w:val="left"/>
      <w:pPr>
        <w:tabs>
          <w:tab w:val="num" w:pos="1440"/>
        </w:tabs>
        <w:ind w:left="1440" w:hanging="360"/>
      </w:pPr>
      <w:rPr>
        <w:rFonts w:hint="default"/>
      </w:rPr>
    </w:lvl>
    <w:lvl w:ilvl="1" w:tplc="B8841C50">
      <w:start w:val="7"/>
      <w:numFmt w:val="upperRoman"/>
      <w:lvlText w:val="%2."/>
      <w:lvlJc w:val="left"/>
      <w:pPr>
        <w:tabs>
          <w:tab w:val="num" w:pos="2520"/>
        </w:tabs>
        <w:ind w:left="2520" w:hanging="720"/>
      </w:pPr>
      <w:rPr>
        <w:rFonts w:hint="default"/>
        <w:b/>
        <w:i/>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4BC2FDC"/>
    <w:multiLevelType w:val="hybridMultilevel"/>
    <w:tmpl w:val="2C842118"/>
    <w:lvl w:ilvl="0" w:tplc="C1AA3EDA">
      <w:start w:val="1"/>
      <w:numFmt w:val="decimal"/>
      <w:lvlText w:val="(%1)"/>
      <w:lvlJc w:val="left"/>
      <w:pPr>
        <w:tabs>
          <w:tab w:val="num" w:pos="1800"/>
        </w:tabs>
        <w:ind w:left="1800" w:hanging="360"/>
      </w:pPr>
      <w:rPr>
        <w:rFonts w:hint="default"/>
      </w:rPr>
    </w:lvl>
    <w:lvl w:ilvl="1" w:tplc="D9AE9B28">
      <w:start w:val="4"/>
      <w:numFmt w:val="lowerLetter"/>
      <w:lvlText w:val="(%2)"/>
      <w:lvlJc w:val="left"/>
      <w:pPr>
        <w:tabs>
          <w:tab w:val="num" w:pos="2520"/>
        </w:tabs>
        <w:ind w:left="2520" w:hanging="360"/>
      </w:pPr>
      <w:rPr>
        <w:rFonts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6A45570"/>
    <w:multiLevelType w:val="hybridMultilevel"/>
    <w:tmpl w:val="372AB55A"/>
    <w:lvl w:ilvl="0" w:tplc="819CB396">
      <w:start w:val="1"/>
      <w:numFmt w:val="decimal"/>
      <w:lvlText w:val="(%1)"/>
      <w:lvlJc w:val="left"/>
      <w:pPr>
        <w:tabs>
          <w:tab w:val="num" w:pos="1800"/>
        </w:tabs>
        <w:ind w:left="1800" w:hanging="360"/>
      </w:pPr>
      <w:rPr>
        <w:rFonts w:hint="default"/>
      </w:rPr>
    </w:lvl>
    <w:lvl w:ilvl="1" w:tplc="BD888042">
      <w:start w:val="1"/>
      <w:numFmt w:val="lowerLetter"/>
      <w:lvlText w:val="(%2)"/>
      <w:lvlJc w:val="left"/>
      <w:pPr>
        <w:tabs>
          <w:tab w:val="num" w:pos="2535"/>
        </w:tabs>
        <w:ind w:left="2535" w:hanging="375"/>
      </w:pPr>
      <w:rPr>
        <w:rFonts w:hint="default"/>
      </w:rPr>
    </w:lvl>
    <w:lvl w:ilvl="2" w:tplc="EEFCFC18">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68F61EB"/>
    <w:multiLevelType w:val="hybridMultilevel"/>
    <w:tmpl w:val="9D403224"/>
    <w:lvl w:ilvl="0" w:tplc="9E165EAE">
      <w:start w:val="1"/>
      <w:numFmt w:val="lowerLetter"/>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8B84A36"/>
    <w:multiLevelType w:val="hybridMultilevel"/>
    <w:tmpl w:val="8098CEAA"/>
    <w:lvl w:ilvl="0" w:tplc="7032BEA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B3B4014"/>
    <w:multiLevelType w:val="multilevel"/>
    <w:tmpl w:val="D7A0BF56"/>
    <w:lvl w:ilvl="0">
      <w:start w:val="1"/>
      <w:numFmt w:val="decimal"/>
      <w:pStyle w:val="Level1"/>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20"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664E81"/>
    <w:multiLevelType w:val="hybridMultilevel"/>
    <w:tmpl w:val="E70C5924"/>
    <w:lvl w:ilvl="0" w:tplc="7A7C4A5A">
      <w:start w:val="2"/>
      <w:numFmt w:val="decimal"/>
      <w:lvlText w:val="%1."/>
      <w:lvlJc w:val="left"/>
      <w:pPr>
        <w:tabs>
          <w:tab w:val="num" w:pos="1440"/>
        </w:tabs>
        <w:ind w:left="144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2BB794F"/>
    <w:multiLevelType w:val="hybridMultilevel"/>
    <w:tmpl w:val="3DF4205A"/>
    <w:lvl w:ilvl="0" w:tplc="92DEC07C">
      <w:start w:val="6"/>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8633EF"/>
    <w:multiLevelType w:val="hybridMultilevel"/>
    <w:tmpl w:val="98266F90"/>
    <w:lvl w:ilvl="0" w:tplc="6F64B9A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25" w15:restartNumberingAfterBreak="0">
    <w:nsid w:val="74C611B0"/>
    <w:multiLevelType w:val="hybridMultilevel"/>
    <w:tmpl w:val="9E3E3258"/>
    <w:lvl w:ilvl="0" w:tplc="6F64B9A8">
      <w:start w:val="2"/>
      <w:numFmt w:val="upperLetter"/>
      <w:lvlText w:val="%1."/>
      <w:lvlJc w:val="left"/>
      <w:pPr>
        <w:tabs>
          <w:tab w:val="num" w:pos="1080"/>
        </w:tabs>
        <w:ind w:left="1080" w:hanging="360"/>
      </w:pPr>
      <w:rPr>
        <w:rFonts w:hint="default"/>
      </w:rPr>
    </w:lvl>
    <w:lvl w:ilvl="1" w:tplc="D7CA021A">
      <w:start w:val="4"/>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4FA6D03"/>
    <w:multiLevelType w:val="multilevel"/>
    <w:tmpl w:val="CDE68412"/>
    <w:lvl w:ilvl="0">
      <w:start w:val="22"/>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7A842FF"/>
    <w:multiLevelType w:val="multilevel"/>
    <w:tmpl w:val="DDC80160"/>
    <w:lvl w:ilvl="0">
      <w:start w:val="22"/>
      <w:numFmt w:val="decimalZero"/>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7241052">
    <w:abstractNumId w:val="3"/>
  </w:num>
  <w:num w:numId="2" w16cid:durableId="42056648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8741193">
    <w:abstractNumId w:val="13"/>
  </w:num>
  <w:num w:numId="4" w16cid:durableId="1385565712">
    <w:abstractNumId w:val="19"/>
  </w:num>
  <w:num w:numId="5" w16cid:durableId="627514195">
    <w:abstractNumId w:val="6"/>
  </w:num>
  <w:num w:numId="6" w16cid:durableId="1770806939">
    <w:abstractNumId w:val="28"/>
  </w:num>
  <w:num w:numId="7" w16cid:durableId="837354279">
    <w:abstractNumId w:val="20"/>
  </w:num>
  <w:num w:numId="8" w16cid:durableId="675353121">
    <w:abstractNumId w:val="24"/>
  </w:num>
  <w:num w:numId="9" w16cid:durableId="923490356">
    <w:abstractNumId w:val="5"/>
  </w:num>
  <w:num w:numId="10" w16cid:durableId="243540572">
    <w:abstractNumId w:val="14"/>
  </w:num>
  <w:num w:numId="11" w16cid:durableId="1530995785">
    <w:abstractNumId w:val="26"/>
  </w:num>
  <w:num w:numId="12" w16cid:durableId="1335300030">
    <w:abstractNumId w:val="2"/>
  </w:num>
  <w:num w:numId="13" w16cid:durableId="585305461">
    <w:abstractNumId w:val="9"/>
  </w:num>
  <w:num w:numId="14" w16cid:durableId="1957590671">
    <w:abstractNumId w:val="12"/>
  </w:num>
  <w:num w:numId="15" w16cid:durableId="213004515">
    <w:abstractNumId w:val="11"/>
  </w:num>
  <w:num w:numId="16" w16cid:durableId="688718442">
    <w:abstractNumId w:val="7"/>
  </w:num>
  <w:num w:numId="17" w16cid:durableId="1384331049">
    <w:abstractNumId w:val="4"/>
  </w:num>
  <w:num w:numId="18" w16cid:durableId="1270310792">
    <w:abstractNumId w:val="21"/>
  </w:num>
  <w:num w:numId="19" w16cid:durableId="347757339">
    <w:abstractNumId w:val="18"/>
  </w:num>
  <w:num w:numId="20" w16cid:durableId="1721828958">
    <w:abstractNumId w:val="8"/>
  </w:num>
  <w:num w:numId="21" w16cid:durableId="1645158655">
    <w:abstractNumId w:val="16"/>
  </w:num>
  <w:num w:numId="22" w16cid:durableId="520776817">
    <w:abstractNumId w:val="15"/>
  </w:num>
  <w:num w:numId="23" w16cid:durableId="1750887227">
    <w:abstractNumId w:val="27"/>
  </w:num>
  <w:num w:numId="24" w16cid:durableId="63068185">
    <w:abstractNumId w:val="1"/>
  </w:num>
  <w:num w:numId="25" w16cid:durableId="1891574767">
    <w:abstractNumId w:val="17"/>
  </w:num>
  <w:num w:numId="26" w16cid:durableId="923417913">
    <w:abstractNumId w:val="0"/>
  </w:num>
  <w:num w:numId="27" w16cid:durableId="1962303316">
    <w:abstractNumId w:val="25"/>
  </w:num>
  <w:num w:numId="28" w16cid:durableId="1440612510">
    <w:abstractNumId w:val="10"/>
  </w:num>
  <w:num w:numId="29" w16cid:durableId="1618953263">
    <w:abstractNumId w:val="23"/>
  </w:num>
  <w:num w:numId="30" w16cid:durableId="20806394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9E"/>
    <w:rsid w:val="00000A5E"/>
    <w:rsid w:val="000318DD"/>
    <w:rsid w:val="000333ED"/>
    <w:rsid w:val="00045C3D"/>
    <w:rsid w:val="0005295F"/>
    <w:rsid w:val="000928B9"/>
    <w:rsid w:val="000957BB"/>
    <w:rsid w:val="000D5C42"/>
    <w:rsid w:val="00105472"/>
    <w:rsid w:val="00114577"/>
    <w:rsid w:val="00115FD4"/>
    <w:rsid w:val="001242B8"/>
    <w:rsid w:val="00152269"/>
    <w:rsid w:val="0017725A"/>
    <w:rsid w:val="0019702D"/>
    <w:rsid w:val="001A243F"/>
    <w:rsid w:val="001C4083"/>
    <w:rsid w:val="001D1A97"/>
    <w:rsid w:val="001D2E9A"/>
    <w:rsid w:val="001E5A4E"/>
    <w:rsid w:val="001E744C"/>
    <w:rsid w:val="00200029"/>
    <w:rsid w:val="00217FDD"/>
    <w:rsid w:val="00247EE0"/>
    <w:rsid w:val="00250089"/>
    <w:rsid w:val="002707A9"/>
    <w:rsid w:val="002778F5"/>
    <w:rsid w:val="002A79C4"/>
    <w:rsid w:val="002B6765"/>
    <w:rsid w:val="002C207D"/>
    <w:rsid w:val="002C3EE0"/>
    <w:rsid w:val="002E4318"/>
    <w:rsid w:val="0030570D"/>
    <w:rsid w:val="00322B74"/>
    <w:rsid w:val="00323E0D"/>
    <w:rsid w:val="00327FBA"/>
    <w:rsid w:val="00335D08"/>
    <w:rsid w:val="00344E65"/>
    <w:rsid w:val="00346A2E"/>
    <w:rsid w:val="003638ED"/>
    <w:rsid w:val="0036796A"/>
    <w:rsid w:val="0038026B"/>
    <w:rsid w:val="00390BFC"/>
    <w:rsid w:val="003B59DB"/>
    <w:rsid w:val="003F5E8C"/>
    <w:rsid w:val="00401277"/>
    <w:rsid w:val="00406CC6"/>
    <w:rsid w:val="00407755"/>
    <w:rsid w:val="00407A13"/>
    <w:rsid w:val="0041386B"/>
    <w:rsid w:val="00431B84"/>
    <w:rsid w:val="00432CBB"/>
    <w:rsid w:val="00445088"/>
    <w:rsid w:val="00450E58"/>
    <w:rsid w:val="00452921"/>
    <w:rsid w:val="0046345A"/>
    <w:rsid w:val="004724BC"/>
    <w:rsid w:val="00474EF3"/>
    <w:rsid w:val="004763EE"/>
    <w:rsid w:val="00484DC7"/>
    <w:rsid w:val="0049799D"/>
    <w:rsid w:val="004B4FF2"/>
    <w:rsid w:val="004C19DA"/>
    <w:rsid w:val="004C30A9"/>
    <w:rsid w:val="0051098A"/>
    <w:rsid w:val="005136DA"/>
    <w:rsid w:val="00531FD6"/>
    <w:rsid w:val="00536FC9"/>
    <w:rsid w:val="00556C69"/>
    <w:rsid w:val="005578E5"/>
    <w:rsid w:val="00565E84"/>
    <w:rsid w:val="00576C7D"/>
    <w:rsid w:val="00582B7A"/>
    <w:rsid w:val="005A2431"/>
    <w:rsid w:val="005C5FD0"/>
    <w:rsid w:val="005D20CA"/>
    <w:rsid w:val="006027A4"/>
    <w:rsid w:val="00610830"/>
    <w:rsid w:val="006139CE"/>
    <w:rsid w:val="006401A3"/>
    <w:rsid w:val="0064389E"/>
    <w:rsid w:val="00651C54"/>
    <w:rsid w:val="00654CAE"/>
    <w:rsid w:val="006700DB"/>
    <w:rsid w:val="006A22CF"/>
    <w:rsid w:val="006C46C7"/>
    <w:rsid w:val="006D78A2"/>
    <w:rsid w:val="006E0616"/>
    <w:rsid w:val="006E466E"/>
    <w:rsid w:val="00704C23"/>
    <w:rsid w:val="007218D0"/>
    <w:rsid w:val="007266CC"/>
    <w:rsid w:val="00760DB2"/>
    <w:rsid w:val="00770096"/>
    <w:rsid w:val="00793CB5"/>
    <w:rsid w:val="007B6F4A"/>
    <w:rsid w:val="007B7DE4"/>
    <w:rsid w:val="0084046B"/>
    <w:rsid w:val="0084207B"/>
    <w:rsid w:val="00851B52"/>
    <w:rsid w:val="00856111"/>
    <w:rsid w:val="008633BA"/>
    <w:rsid w:val="0087688D"/>
    <w:rsid w:val="00885B57"/>
    <w:rsid w:val="00892251"/>
    <w:rsid w:val="008B5372"/>
    <w:rsid w:val="008C2BC3"/>
    <w:rsid w:val="008E4C17"/>
    <w:rsid w:val="009035C8"/>
    <w:rsid w:val="009100D9"/>
    <w:rsid w:val="0092323D"/>
    <w:rsid w:val="00926125"/>
    <w:rsid w:val="00926ECC"/>
    <w:rsid w:val="009639FA"/>
    <w:rsid w:val="00973F22"/>
    <w:rsid w:val="00982FFE"/>
    <w:rsid w:val="00984355"/>
    <w:rsid w:val="00986EAB"/>
    <w:rsid w:val="00992DCA"/>
    <w:rsid w:val="009963FE"/>
    <w:rsid w:val="009A6570"/>
    <w:rsid w:val="009A74CB"/>
    <w:rsid w:val="009C033B"/>
    <w:rsid w:val="009D6DED"/>
    <w:rsid w:val="009F5D9C"/>
    <w:rsid w:val="00A029CA"/>
    <w:rsid w:val="00A04857"/>
    <w:rsid w:val="00A11160"/>
    <w:rsid w:val="00A14CDA"/>
    <w:rsid w:val="00A23211"/>
    <w:rsid w:val="00A35FEF"/>
    <w:rsid w:val="00A54FBA"/>
    <w:rsid w:val="00A7592D"/>
    <w:rsid w:val="00A8093E"/>
    <w:rsid w:val="00AA00D8"/>
    <w:rsid w:val="00AA03C8"/>
    <w:rsid w:val="00AB521E"/>
    <w:rsid w:val="00AC7F30"/>
    <w:rsid w:val="00AD567D"/>
    <w:rsid w:val="00AD5E3F"/>
    <w:rsid w:val="00AD68E3"/>
    <w:rsid w:val="00AE4077"/>
    <w:rsid w:val="00B06E87"/>
    <w:rsid w:val="00B419E2"/>
    <w:rsid w:val="00B4464B"/>
    <w:rsid w:val="00B56676"/>
    <w:rsid w:val="00B605DE"/>
    <w:rsid w:val="00BA3886"/>
    <w:rsid w:val="00BB0F1D"/>
    <w:rsid w:val="00BB7C95"/>
    <w:rsid w:val="00BC4574"/>
    <w:rsid w:val="00BD068C"/>
    <w:rsid w:val="00C1226D"/>
    <w:rsid w:val="00C20E32"/>
    <w:rsid w:val="00C72C2B"/>
    <w:rsid w:val="00C81A70"/>
    <w:rsid w:val="00CA43EE"/>
    <w:rsid w:val="00CC1B21"/>
    <w:rsid w:val="00CC3BE7"/>
    <w:rsid w:val="00CE4B31"/>
    <w:rsid w:val="00CF730C"/>
    <w:rsid w:val="00D02674"/>
    <w:rsid w:val="00D061E0"/>
    <w:rsid w:val="00D1487B"/>
    <w:rsid w:val="00D22185"/>
    <w:rsid w:val="00D434E0"/>
    <w:rsid w:val="00D46E3B"/>
    <w:rsid w:val="00D56925"/>
    <w:rsid w:val="00D627C5"/>
    <w:rsid w:val="00D809FD"/>
    <w:rsid w:val="00D93E3B"/>
    <w:rsid w:val="00D97F52"/>
    <w:rsid w:val="00DC24CD"/>
    <w:rsid w:val="00DD4B07"/>
    <w:rsid w:val="00DE2EF2"/>
    <w:rsid w:val="00E12947"/>
    <w:rsid w:val="00E17798"/>
    <w:rsid w:val="00E22C82"/>
    <w:rsid w:val="00E62339"/>
    <w:rsid w:val="00EB2729"/>
    <w:rsid w:val="00EC10E7"/>
    <w:rsid w:val="00EC5EF1"/>
    <w:rsid w:val="00F349B8"/>
    <w:rsid w:val="00F435B8"/>
    <w:rsid w:val="00F46FA4"/>
    <w:rsid w:val="00F47EBD"/>
    <w:rsid w:val="00F605AA"/>
    <w:rsid w:val="00F82451"/>
    <w:rsid w:val="00F945E7"/>
    <w:rsid w:val="00F96B83"/>
    <w:rsid w:val="00FB3817"/>
    <w:rsid w:val="00FB47AB"/>
    <w:rsid w:val="00FC7107"/>
    <w:rsid w:val="00FD7803"/>
    <w:rsid w:val="00FE5512"/>
    <w:rsid w:val="00FF023F"/>
    <w:rsid w:val="00FF4711"/>
    <w:rsid w:val="73FD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BAE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0"/>
    </w:rPr>
  </w:style>
  <w:style w:type="paragraph" w:customStyle="1" w:styleId="Level1">
    <w:name w:val="Level 1"/>
    <w:basedOn w:val="Header"/>
    <w:pPr>
      <w:numPr>
        <w:numId w:val="4"/>
      </w:numPr>
    </w:pPr>
  </w:style>
  <w:style w:type="paragraph" w:styleId="BodyTextIndent2">
    <w:name w:val="Body Text Indent 2"/>
    <w:basedOn w:val="Normal"/>
    <w:semiHidden/>
    <w:pPr>
      <w:spacing w:after="120" w:line="480" w:lineRule="auto"/>
      <w:ind w:left="360"/>
    </w:pPr>
  </w:style>
  <w:style w:type="paragraph" w:styleId="BodyText">
    <w:name w:val="Body Text"/>
    <w:basedOn w:val="Normal"/>
    <w:semiHidden/>
    <w:pPr>
      <w:spacing w:after="120"/>
    </w:pPr>
  </w:style>
  <w:style w:type="character" w:styleId="Hyperlink">
    <w:name w:val="Hyperlink"/>
    <w:semiHidden/>
    <w:rPr>
      <w:color w:val="auto"/>
      <w:u w:val="single"/>
    </w:rPr>
  </w:style>
  <w:style w:type="paragraph" w:styleId="BodyTextIndent3">
    <w:name w:val="Body Text Indent 3"/>
    <w:basedOn w:val="Normal"/>
    <w:semiHidden/>
    <w:pPr>
      <w:spacing w:after="120"/>
      <w:ind w:left="360"/>
    </w:pPr>
    <w:rPr>
      <w:sz w:val="16"/>
      <w:szCs w:val="1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FollowedHyperlink">
    <w:name w:val="FollowedHyperlink"/>
    <w:semiHidden/>
    <w:rPr>
      <w:color w:val="auto"/>
      <w:u w:val="single"/>
    </w:rPr>
  </w:style>
  <w:style w:type="paragraph" w:styleId="BalloonText">
    <w:name w:val="Balloon Text"/>
    <w:basedOn w:val="Normal"/>
    <w:link w:val="BalloonTextChar"/>
    <w:uiPriority w:val="99"/>
    <w:semiHidden/>
    <w:unhideWhenUsed/>
    <w:rsid w:val="00B605DE"/>
    <w:rPr>
      <w:rFonts w:ascii="Tahoma" w:hAnsi="Tahoma" w:cs="Tahoma"/>
      <w:sz w:val="16"/>
      <w:szCs w:val="16"/>
    </w:rPr>
  </w:style>
  <w:style w:type="character" w:customStyle="1" w:styleId="BalloonTextChar">
    <w:name w:val="Balloon Text Char"/>
    <w:link w:val="BalloonText"/>
    <w:uiPriority w:val="99"/>
    <w:semiHidden/>
    <w:rsid w:val="00B605DE"/>
    <w:rPr>
      <w:rFonts w:ascii="Tahoma" w:hAnsi="Tahoma" w:cs="Tahoma"/>
      <w:sz w:val="16"/>
      <w:szCs w:val="16"/>
    </w:rPr>
  </w:style>
  <w:style w:type="paragraph" w:styleId="ListParagraph">
    <w:name w:val="List Paragraph"/>
    <w:basedOn w:val="Normal"/>
    <w:uiPriority w:val="34"/>
    <w:qFormat/>
    <w:rsid w:val="00F82451"/>
    <w:pPr>
      <w:ind w:left="720"/>
    </w:pPr>
  </w:style>
  <w:style w:type="paragraph" w:styleId="Revision">
    <w:name w:val="Revision"/>
    <w:hidden/>
    <w:uiPriority w:val="99"/>
    <w:semiHidden/>
    <w:rsid w:val="000957BB"/>
    <w:rPr>
      <w:sz w:val="24"/>
      <w:szCs w:val="24"/>
    </w:rPr>
  </w:style>
  <w:style w:type="paragraph" w:customStyle="1" w:styleId="Default">
    <w:name w:val="Default"/>
    <w:rsid w:val="0084207B"/>
    <w:pPr>
      <w:autoSpaceDE w:val="0"/>
      <w:autoSpaceDN w:val="0"/>
      <w:adjustRightInd w:val="0"/>
    </w:pPr>
    <w:rPr>
      <w:rFonts w:ascii="Avenir Next" w:hAnsi="Avenir Next" w:cs="Avenir Next"/>
      <w:color w:val="000000"/>
      <w:sz w:val="24"/>
      <w:szCs w:val="24"/>
    </w:rPr>
  </w:style>
  <w:style w:type="paragraph" w:customStyle="1" w:styleId="Pa3">
    <w:name w:val="Pa3"/>
    <w:basedOn w:val="Default"/>
    <w:next w:val="Default"/>
    <w:uiPriority w:val="99"/>
    <w:rsid w:val="0084207B"/>
    <w:pPr>
      <w:spacing w:line="201" w:lineRule="atLeast"/>
    </w:pPr>
    <w:rPr>
      <w:rFonts w:cs="Times New Roman"/>
      <w:color w:val="auto"/>
    </w:rPr>
  </w:style>
  <w:style w:type="character" w:customStyle="1" w:styleId="A14">
    <w:name w:val="A14"/>
    <w:uiPriority w:val="99"/>
    <w:rsid w:val="0084207B"/>
    <w:rPr>
      <w:rFonts w:cs="Avenir Next"/>
      <w:color w:val="000000"/>
      <w:sz w:val="18"/>
      <w:szCs w:val="18"/>
    </w:rPr>
  </w:style>
  <w:style w:type="paragraph" w:styleId="EndnoteText">
    <w:name w:val="endnote text"/>
    <w:basedOn w:val="Normal"/>
    <w:link w:val="EndnoteTextChar"/>
    <w:uiPriority w:val="99"/>
    <w:semiHidden/>
    <w:unhideWhenUsed/>
    <w:rsid w:val="00E22C82"/>
    <w:rPr>
      <w:sz w:val="20"/>
      <w:szCs w:val="20"/>
    </w:rPr>
  </w:style>
  <w:style w:type="character" w:customStyle="1" w:styleId="EndnoteTextChar">
    <w:name w:val="Endnote Text Char"/>
    <w:basedOn w:val="DefaultParagraphFont"/>
    <w:link w:val="EndnoteText"/>
    <w:uiPriority w:val="99"/>
    <w:semiHidden/>
    <w:rsid w:val="00E22C82"/>
  </w:style>
  <w:style w:type="character" w:styleId="EndnoteReference">
    <w:name w:val="endnote reference"/>
    <w:uiPriority w:val="99"/>
    <w:semiHidden/>
    <w:unhideWhenUsed/>
    <w:rsid w:val="00E22C82"/>
    <w:rPr>
      <w:vertAlign w:val="superscript"/>
    </w:rPr>
  </w:style>
  <w:style w:type="paragraph" w:styleId="FootnoteText">
    <w:name w:val="footnote text"/>
    <w:basedOn w:val="Normal"/>
    <w:link w:val="FootnoteTextChar"/>
    <w:uiPriority w:val="99"/>
    <w:semiHidden/>
    <w:unhideWhenUsed/>
    <w:rsid w:val="008E4C17"/>
    <w:rPr>
      <w:sz w:val="20"/>
      <w:szCs w:val="20"/>
    </w:rPr>
  </w:style>
  <w:style w:type="character" w:customStyle="1" w:styleId="FootnoteTextChar">
    <w:name w:val="Footnote Text Char"/>
    <w:basedOn w:val="DefaultParagraphFont"/>
    <w:link w:val="FootnoteText"/>
    <w:uiPriority w:val="99"/>
    <w:semiHidden/>
    <w:rsid w:val="008E4C17"/>
  </w:style>
  <w:style w:type="character" w:styleId="FootnoteReference">
    <w:name w:val="footnote reference"/>
    <w:uiPriority w:val="99"/>
    <w:semiHidden/>
    <w:unhideWhenUsed/>
    <w:rsid w:val="008E4C17"/>
    <w:rPr>
      <w:vertAlign w:val="superscript"/>
    </w:rPr>
  </w:style>
  <w:style w:type="paragraph" w:styleId="NormalWeb">
    <w:name w:val="Normal (Web)"/>
    <w:basedOn w:val="Normal"/>
    <w:uiPriority w:val="99"/>
    <w:semiHidden/>
    <w:unhideWhenUsed/>
    <w:rsid w:val="0049799D"/>
    <w:pPr>
      <w:spacing w:before="100" w:beforeAutospacing="1" w:after="100" w:afterAutospacing="1"/>
    </w:pPr>
  </w:style>
  <w:style w:type="character" w:styleId="CommentReference">
    <w:name w:val="annotation reference"/>
    <w:uiPriority w:val="99"/>
    <w:semiHidden/>
    <w:unhideWhenUsed/>
    <w:rsid w:val="005D20CA"/>
    <w:rPr>
      <w:sz w:val="16"/>
      <w:szCs w:val="16"/>
    </w:rPr>
  </w:style>
  <w:style w:type="paragraph" w:styleId="CommentText">
    <w:name w:val="annotation text"/>
    <w:basedOn w:val="Normal"/>
    <w:link w:val="CommentTextChar"/>
    <w:uiPriority w:val="99"/>
    <w:unhideWhenUsed/>
    <w:rsid w:val="005D20CA"/>
    <w:rPr>
      <w:sz w:val="20"/>
      <w:szCs w:val="20"/>
    </w:rPr>
  </w:style>
  <w:style w:type="character" w:customStyle="1" w:styleId="CommentTextChar">
    <w:name w:val="Comment Text Char"/>
    <w:basedOn w:val="DefaultParagraphFont"/>
    <w:link w:val="CommentText"/>
    <w:uiPriority w:val="99"/>
    <w:rsid w:val="005D20CA"/>
  </w:style>
  <w:style w:type="paragraph" w:styleId="CommentSubject">
    <w:name w:val="annotation subject"/>
    <w:basedOn w:val="CommentText"/>
    <w:next w:val="CommentText"/>
    <w:link w:val="CommentSubjectChar"/>
    <w:uiPriority w:val="99"/>
    <w:semiHidden/>
    <w:unhideWhenUsed/>
    <w:rsid w:val="005D20CA"/>
    <w:rPr>
      <w:b/>
      <w:bCs/>
    </w:rPr>
  </w:style>
  <w:style w:type="character" w:customStyle="1" w:styleId="CommentSubjectChar">
    <w:name w:val="Comment Subject Char"/>
    <w:link w:val="CommentSubject"/>
    <w:uiPriority w:val="99"/>
    <w:semiHidden/>
    <w:rsid w:val="005D20CA"/>
    <w:rPr>
      <w:b/>
      <w:bCs/>
    </w:rPr>
  </w:style>
  <w:style w:type="character" w:styleId="UnresolvedMention">
    <w:name w:val="Unresolved Mention"/>
    <w:basedOn w:val="DefaultParagraphFont"/>
    <w:uiPriority w:val="99"/>
    <w:semiHidden/>
    <w:unhideWhenUsed/>
    <w:rsid w:val="001D1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0323">
      <w:bodyDiv w:val="1"/>
      <w:marLeft w:val="0"/>
      <w:marRight w:val="0"/>
      <w:marTop w:val="0"/>
      <w:marBottom w:val="0"/>
      <w:divBdr>
        <w:top w:val="none" w:sz="0" w:space="0" w:color="auto"/>
        <w:left w:val="none" w:sz="0" w:space="0" w:color="auto"/>
        <w:bottom w:val="none" w:sz="0" w:space="0" w:color="auto"/>
        <w:right w:val="none" w:sz="0" w:space="0" w:color="auto"/>
      </w:divBdr>
    </w:div>
    <w:div w:id="458840560">
      <w:bodyDiv w:val="1"/>
      <w:marLeft w:val="0"/>
      <w:marRight w:val="0"/>
      <w:marTop w:val="0"/>
      <w:marBottom w:val="0"/>
      <w:divBdr>
        <w:top w:val="none" w:sz="0" w:space="0" w:color="auto"/>
        <w:left w:val="none" w:sz="0" w:space="0" w:color="auto"/>
        <w:bottom w:val="none" w:sz="0" w:space="0" w:color="auto"/>
        <w:right w:val="none" w:sz="0" w:space="0" w:color="auto"/>
      </w:divBdr>
    </w:div>
    <w:div w:id="1465469827">
      <w:bodyDiv w:val="1"/>
      <w:marLeft w:val="0"/>
      <w:marRight w:val="0"/>
      <w:marTop w:val="0"/>
      <w:marBottom w:val="0"/>
      <w:divBdr>
        <w:top w:val="none" w:sz="0" w:space="0" w:color="auto"/>
        <w:left w:val="none" w:sz="0" w:space="0" w:color="auto"/>
        <w:bottom w:val="none" w:sz="0" w:space="0" w:color="auto"/>
        <w:right w:val="none" w:sz="0" w:space="0" w:color="auto"/>
      </w:divBdr>
    </w:div>
    <w:div w:id="1810053641">
      <w:bodyDiv w:val="1"/>
      <w:marLeft w:val="0"/>
      <w:marRight w:val="0"/>
      <w:marTop w:val="0"/>
      <w:marBottom w:val="0"/>
      <w:divBdr>
        <w:top w:val="none" w:sz="0" w:space="0" w:color="auto"/>
        <w:left w:val="none" w:sz="0" w:space="0" w:color="auto"/>
        <w:bottom w:val="none" w:sz="0" w:space="0" w:color="auto"/>
        <w:right w:val="none" w:sz="0" w:space="0" w:color="auto"/>
      </w:divBdr>
    </w:div>
    <w:div w:id="1865971705">
      <w:bodyDiv w:val="1"/>
      <w:marLeft w:val="0"/>
      <w:marRight w:val="0"/>
      <w:marTop w:val="0"/>
      <w:marBottom w:val="0"/>
      <w:divBdr>
        <w:top w:val="none" w:sz="0" w:space="0" w:color="auto"/>
        <w:left w:val="none" w:sz="0" w:space="0" w:color="auto"/>
        <w:bottom w:val="none" w:sz="0" w:space="0" w:color="auto"/>
        <w:right w:val="none" w:sz="0" w:space="0" w:color="auto"/>
      </w:divBdr>
    </w:div>
    <w:div w:id="19759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hudatwork.hud.gov/HUD/fheo/po/e/FEReview/threshol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5" ma:contentTypeDescription="Create a new document." ma:contentTypeScope="" ma:versionID="bd73b8f1d2f831bca1ee5822debe6ddd">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46dda5929fecf5159c9262dcb01dc573"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91BD7-61CC-4A3E-901B-92F7DDDD4E71}">
  <ds:schemaRefs>
    <ds:schemaRef ds:uri="http://schemas.microsoft.com/office/2006/metadata/longProperties"/>
  </ds:schemaRefs>
</ds:datastoreItem>
</file>

<file path=customXml/itemProps2.xml><?xml version="1.0" encoding="utf-8"?>
<ds:datastoreItem xmlns:ds="http://schemas.openxmlformats.org/officeDocument/2006/customXml" ds:itemID="{C5493A2F-0C99-48C9-92F4-B5B1ACD0A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90293-C8F1-469B-8703-0A37E60DB26C}">
  <ds:schemaRefs>
    <ds:schemaRef ds:uri="http://schemas.microsoft.com/sharepoint/v3/contenttype/forms"/>
  </ds:schemaRefs>
</ds:datastoreItem>
</file>

<file path=customXml/itemProps4.xml><?xml version="1.0" encoding="utf-8"?>
<ds:datastoreItem xmlns:ds="http://schemas.openxmlformats.org/officeDocument/2006/customXml" ds:itemID="{ED8C0A2E-742F-4EC5-86C1-C9287963502B}">
  <ds:schemaRefs>
    <ds:schemaRef ds:uri="http://purl.org/dc/terms/"/>
    <ds:schemaRef ds:uri="http://schemas.microsoft.com/office/2006/documentManagement/types"/>
    <ds:schemaRef ds:uri="a9979162-b859-4b73-a23b-882159dd20dd"/>
    <ds:schemaRef ds:uri="http://schemas.openxmlformats.org/package/2006/metadata/core-properties"/>
    <ds:schemaRef ds:uri="533b647e-c6ce-41dd-9975-d3bf1368065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B7D0BA91-22AB-474D-822D-C2AA3B17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2450</Words>
  <Characters>14186</Characters>
  <Application>Microsoft Office Word</Application>
  <DocSecurity>0</DocSecurity>
  <Lines>118</Lines>
  <Paragraphs>33</Paragraphs>
  <ScaleCrop>false</ScaleCrop>
  <Company/>
  <LinksUpToDate>false</LinksUpToDate>
  <CharactersWithSpaces>16603</CharactersWithSpaces>
  <SharedDoc>false</SharedDoc>
  <HLinks>
    <vt:vector size="12" baseType="variant">
      <vt:variant>
        <vt:i4>4259844</vt:i4>
      </vt:variant>
      <vt:variant>
        <vt:i4>0</vt:i4>
      </vt:variant>
      <vt:variant>
        <vt:i4>0</vt:i4>
      </vt:variant>
      <vt:variant>
        <vt:i4>5</vt:i4>
      </vt:variant>
      <vt:variant>
        <vt:lpwstr>http://hudatwork.hud.gov/HUD/fheo/po/e/FEReview/threshold</vt:lpwstr>
      </vt:variant>
      <vt:variant>
        <vt:lpwstr/>
      </vt:variant>
      <vt:variant>
        <vt:i4>8257659</vt:i4>
      </vt:variant>
      <vt:variant>
        <vt:i4>0</vt:i4>
      </vt:variant>
      <vt:variant>
        <vt:i4>0</vt:i4>
      </vt:variant>
      <vt:variant>
        <vt:i4>5</vt:i4>
      </vt:variant>
      <vt:variant>
        <vt:lpwstr>https://www.hud.gov/sites/dfiles/ENF/documents/Bostock Legal Memorandum 02-09-2021.pdf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2023-08-09T14:31:00Z</dcterms:created>
  <dcterms:modified xsi:type="dcterms:W3CDTF">2024-01-11T22:34:00Z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ies>
</file>