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7AD4B6C8"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320323">
        <w:rPr>
          <w:rFonts w:asciiTheme="minorHAnsi" w:hAnsiTheme="minorHAnsi" w:cstheme="minorHAnsi"/>
          <w:b/>
          <w:sz w:val="40"/>
          <w:szCs w:val="40"/>
        </w:rPr>
        <w:t>2</w:t>
      </w:r>
      <w:r w:rsidR="00670B00">
        <w:rPr>
          <w:rFonts w:asciiTheme="minorHAnsi" w:hAnsiTheme="minorHAnsi" w:cstheme="minorHAnsi"/>
          <w:b/>
          <w:sz w:val="40"/>
          <w:szCs w:val="40"/>
        </w:rPr>
        <w:t>3</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06F720FF"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320323">
        <w:rPr>
          <w:rFonts w:asciiTheme="minorHAnsi" w:hAnsiTheme="minorHAnsi" w:cstheme="minorHAnsi"/>
          <w:b/>
          <w:sz w:val="32"/>
          <w:szCs w:val="32"/>
        </w:rPr>
        <w:t>05/</w:t>
      </w:r>
      <w:r w:rsidR="004B0691">
        <w:rPr>
          <w:rFonts w:asciiTheme="minorHAnsi" w:hAnsiTheme="minorHAnsi" w:cstheme="minorHAnsi"/>
          <w:b/>
          <w:sz w:val="32"/>
          <w:szCs w:val="32"/>
        </w:rPr>
        <w:t>17</w:t>
      </w:r>
      <w:r w:rsidR="00670B00">
        <w:rPr>
          <w:rFonts w:asciiTheme="minorHAnsi" w:hAnsiTheme="minorHAnsi" w:cstheme="minorHAnsi"/>
          <w:b/>
          <w:sz w:val="32"/>
          <w:szCs w:val="32"/>
        </w:rPr>
        <w:t>/23</w:t>
      </w:r>
    </w:p>
    <w:p w14:paraId="0D986080" w14:textId="51B97984"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320323">
        <w:rPr>
          <w:rFonts w:asciiTheme="minorHAnsi" w:hAnsiTheme="minorHAnsi" w:cstheme="minorHAnsi"/>
          <w:b/>
          <w:sz w:val="32"/>
          <w:szCs w:val="32"/>
        </w:rPr>
        <w:t>05/</w:t>
      </w:r>
      <w:r w:rsidR="004B0691">
        <w:rPr>
          <w:rFonts w:asciiTheme="minorHAnsi" w:hAnsiTheme="minorHAnsi" w:cstheme="minorHAnsi"/>
          <w:b/>
          <w:sz w:val="32"/>
          <w:szCs w:val="32"/>
        </w:rPr>
        <w:t>17</w:t>
      </w:r>
      <w:r w:rsidR="00670B00">
        <w:rPr>
          <w:rFonts w:asciiTheme="minorHAnsi" w:hAnsiTheme="minorHAnsi" w:cstheme="minorHAnsi"/>
          <w:b/>
          <w:sz w:val="32"/>
          <w:szCs w:val="32"/>
        </w:rPr>
        <w:t>/23</w:t>
      </w:r>
    </w:p>
    <w:p w14:paraId="29BAB3E4" w14:textId="77777777" w:rsidR="00F27845" w:rsidRPr="0065550E" w:rsidRDefault="00F27845" w:rsidP="00F27845">
      <w:pPr>
        <w:pStyle w:val="ColumnHeading"/>
        <w:rPr>
          <w:rFonts w:asciiTheme="minorHAnsi" w:hAnsiTheme="minorHAnsi" w:cstheme="minorHAnsi"/>
          <w:sz w:val="32"/>
          <w:szCs w:val="32"/>
        </w:rPr>
      </w:pPr>
      <w:r w:rsidRPr="0065550E">
        <w:rPr>
          <w:rFonts w:asciiTheme="minorHAnsi" w:hAnsiTheme="minorHAnsi" w:cstheme="minorHAnsi"/>
          <w:sz w:val="32"/>
          <w:szCs w:val="32"/>
        </w:rPr>
        <w:tab/>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59D2FC6F" w:rsidR="00F27845" w:rsidRPr="0065550E" w:rsidRDefault="00320323" w:rsidP="00F27845">
      <w:pPr>
        <w:pStyle w:val="ColumnHeading"/>
        <w:rPr>
          <w:rFonts w:asciiTheme="minorHAnsi" w:hAnsiTheme="minorHAnsi" w:cstheme="minorHAnsi"/>
          <w:sz w:val="32"/>
          <w:szCs w:val="32"/>
        </w:rPr>
      </w:pPr>
      <w:r>
        <w:rPr>
          <w:rFonts w:asciiTheme="minorHAnsi" w:hAnsiTheme="minorHAnsi" w:cstheme="minorHAnsi"/>
          <w:sz w:val="32"/>
          <w:szCs w:val="32"/>
        </w:rPr>
        <w:t xml:space="preserve">May </w:t>
      </w:r>
      <w:r w:rsidR="00670B00">
        <w:rPr>
          <w:rFonts w:asciiTheme="minorHAnsi" w:hAnsiTheme="minorHAnsi" w:cstheme="minorHAnsi"/>
          <w:sz w:val="32"/>
          <w:szCs w:val="32"/>
        </w:rPr>
        <w:t>2023</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326A8A">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03166493"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4F1B6A">
        <w:rPr>
          <w:rFonts w:asciiTheme="minorHAnsi" w:hAnsiTheme="minorHAnsi" w:cstheme="minorHAnsi"/>
        </w:rPr>
        <w:t>2</w:t>
      </w:r>
      <w:r w:rsidR="00670B00">
        <w:rPr>
          <w:rFonts w:asciiTheme="minorHAnsi" w:hAnsiTheme="minorHAnsi" w:cstheme="minorHAnsi"/>
        </w:rPr>
        <w:t>3</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0D43F372" w14:textId="285CA38A" w:rsidR="00751533" w:rsidRDefault="00F27845">
          <w:pPr>
            <w:pStyle w:val="TOC2"/>
            <w:rPr>
              <w:rFonts w:asciiTheme="minorHAnsi" w:eastAsiaTheme="minorEastAsia" w:hAnsiTheme="minorHAnsi" w:cstheme="minorBidi"/>
              <w:kern w:val="2"/>
              <w14:ligatures w14:val="standardContextual"/>
            </w:rPr>
          </w:pPr>
          <w:r w:rsidRPr="0065550E">
            <w:rPr>
              <w:rFonts w:asciiTheme="minorHAnsi" w:hAnsiTheme="minorHAnsi"/>
            </w:rPr>
            <w:fldChar w:fldCharType="begin"/>
          </w:r>
          <w:r w:rsidRPr="0065550E">
            <w:rPr>
              <w:rFonts w:asciiTheme="minorHAnsi" w:hAnsiTheme="minorHAnsi"/>
            </w:rPr>
            <w:instrText xml:space="preserve"> TOC \o "1-2" \h \z \u </w:instrText>
          </w:r>
          <w:r w:rsidRPr="0065550E">
            <w:rPr>
              <w:rFonts w:asciiTheme="minorHAnsi" w:hAnsiTheme="minorHAnsi"/>
            </w:rPr>
            <w:fldChar w:fldCharType="separate"/>
          </w:r>
          <w:hyperlink w:anchor="_Toc135214836" w:history="1">
            <w:r w:rsidR="00751533" w:rsidRPr="002E0955">
              <w:rPr>
                <w:rStyle w:val="Hyperlink"/>
                <w:rFonts w:cstheme="minorHAnsi"/>
              </w:rPr>
              <w:t>1.</w:t>
            </w:r>
            <w:r w:rsidR="00751533">
              <w:rPr>
                <w:rFonts w:asciiTheme="minorHAnsi" w:eastAsiaTheme="minorEastAsia" w:hAnsiTheme="minorHAnsi" w:cstheme="minorBidi"/>
                <w:kern w:val="2"/>
                <w14:ligatures w14:val="standardContextual"/>
              </w:rPr>
              <w:tab/>
            </w:r>
            <w:r w:rsidR="00751533" w:rsidRPr="002E0955">
              <w:rPr>
                <w:rStyle w:val="Hyperlink"/>
                <w:rFonts w:cstheme="minorHAnsi"/>
              </w:rPr>
              <w:t>CT22 Assignment Claims: Allow CT22 timeline Setup at 97% MCA with related CT22 timeline step trigger and logic changes (586118 and 586119)</w:t>
            </w:r>
            <w:r w:rsidR="00751533">
              <w:rPr>
                <w:webHidden/>
              </w:rPr>
              <w:tab/>
            </w:r>
            <w:r w:rsidR="00751533">
              <w:rPr>
                <w:webHidden/>
              </w:rPr>
              <w:fldChar w:fldCharType="begin"/>
            </w:r>
            <w:r w:rsidR="00751533">
              <w:rPr>
                <w:webHidden/>
              </w:rPr>
              <w:instrText xml:space="preserve"> PAGEREF _Toc135214836 \h </w:instrText>
            </w:r>
            <w:r w:rsidR="00751533">
              <w:rPr>
                <w:webHidden/>
              </w:rPr>
            </w:r>
            <w:r w:rsidR="00751533">
              <w:rPr>
                <w:webHidden/>
              </w:rPr>
              <w:fldChar w:fldCharType="separate"/>
            </w:r>
            <w:r w:rsidR="00751533">
              <w:rPr>
                <w:webHidden/>
              </w:rPr>
              <w:t>3</w:t>
            </w:r>
            <w:r w:rsidR="00751533">
              <w:rPr>
                <w:webHidden/>
              </w:rPr>
              <w:fldChar w:fldCharType="end"/>
            </w:r>
          </w:hyperlink>
        </w:p>
        <w:p w14:paraId="178FBAB4" w14:textId="02DF1F1B"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65550E" w:rsidRDefault="00F27845" w:rsidP="00F27845">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9"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0"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4022071C" w14:textId="77777777" w:rsidR="00F27845" w:rsidRDefault="00F27845" w:rsidP="00F27845">
      <w:pPr>
        <w:spacing w:before="0" w:after="160" w:line="259" w:lineRule="auto"/>
        <w:jc w:val="both"/>
        <w:rPr>
          <w:rFonts w:asciiTheme="minorHAnsi" w:hAnsiTheme="minorHAnsi" w:cstheme="minorHAnsi"/>
          <w:sz w:val="24"/>
          <w:szCs w:val="24"/>
        </w:rPr>
      </w:pPr>
      <w:bookmarkStart w:id="0" w:name="_Toc31779985"/>
    </w:p>
    <w:p w14:paraId="7477A565" w14:textId="77777777" w:rsidR="00F27845" w:rsidRPr="00C11027" w:rsidRDefault="00F27845" w:rsidP="00F27845">
      <w:pPr>
        <w:spacing w:before="0" w:after="160" w:line="259" w:lineRule="auto"/>
        <w:jc w:val="both"/>
        <w:rPr>
          <w:rFonts w:asciiTheme="minorHAnsi" w:hAnsiTheme="minorHAnsi" w:cstheme="minorHAnsi"/>
          <w:sz w:val="24"/>
          <w:szCs w:val="24"/>
        </w:rPr>
      </w:pPr>
    </w:p>
    <w:p w14:paraId="00107387" w14:textId="15E9DD15" w:rsidR="00F27845" w:rsidRPr="004D144C" w:rsidRDefault="00F27845" w:rsidP="004D144C">
      <w:pPr>
        <w:spacing w:before="0" w:after="160" w:line="259" w:lineRule="auto"/>
        <w:rPr>
          <w:rFonts w:ascii="Arial" w:eastAsia="Times New Roman" w:hAnsi="Arial" w:cs="Arial"/>
          <w:b/>
          <w:bCs/>
          <w:sz w:val="24"/>
          <w:szCs w:val="24"/>
        </w:rPr>
      </w:pPr>
      <w:r>
        <w:br w:type="page"/>
      </w:r>
    </w:p>
    <w:p w14:paraId="122CBB4B" w14:textId="129C8523" w:rsidR="00F27845" w:rsidRDefault="00670B00" w:rsidP="00F27845">
      <w:pPr>
        <w:pStyle w:val="Heading2"/>
        <w:numPr>
          <w:ilvl w:val="0"/>
          <w:numId w:val="1"/>
        </w:numPr>
        <w:tabs>
          <w:tab w:val="num" w:pos="360"/>
        </w:tabs>
        <w:ind w:left="0" w:firstLine="0"/>
        <w:rPr>
          <w:rFonts w:asciiTheme="minorHAnsi" w:hAnsiTheme="minorHAnsi" w:cstheme="minorHAnsi"/>
        </w:rPr>
      </w:pPr>
      <w:bookmarkStart w:id="1" w:name="_Toc135214836"/>
      <w:bookmarkEnd w:id="0"/>
      <w:r w:rsidRPr="00670B00">
        <w:rPr>
          <w:rFonts w:asciiTheme="minorHAnsi" w:hAnsiTheme="minorHAnsi" w:cstheme="minorHAnsi"/>
        </w:rPr>
        <w:lastRenderedPageBreak/>
        <w:t>CT22 Assignment Claims</w:t>
      </w:r>
      <w:r w:rsidRPr="00003B4F">
        <w:rPr>
          <w:rFonts w:asciiTheme="minorHAnsi" w:hAnsiTheme="minorHAnsi" w:cstheme="minorHAnsi"/>
        </w:rPr>
        <w:t xml:space="preserve">: Allow CT22 timeline Setup at 97% MCA </w:t>
      </w:r>
      <w:r w:rsidR="0075587C">
        <w:rPr>
          <w:rFonts w:asciiTheme="minorHAnsi" w:hAnsiTheme="minorHAnsi" w:cstheme="minorHAnsi"/>
        </w:rPr>
        <w:t xml:space="preserve">with </w:t>
      </w:r>
      <w:r w:rsidR="00003B4F" w:rsidRPr="00003B4F">
        <w:rPr>
          <w:rFonts w:asciiTheme="minorHAnsi" w:hAnsiTheme="minorHAnsi" w:cstheme="minorHAnsi"/>
        </w:rPr>
        <w:t>related</w:t>
      </w:r>
      <w:r w:rsidRPr="00003B4F">
        <w:rPr>
          <w:rFonts w:asciiTheme="minorHAnsi" w:hAnsiTheme="minorHAnsi" w:cstheme="minorHAnsi"/>
        </w:rPr>
        <w:t xml:space="preserve"> </w:t>
      </w:r>
      <w:r w:rsidR="00003B4F" w:rsidRPr="00003B4F">
        <w:rPr>
          <w:rFonts w:asciiTheme="minorHAnsi" w:hAnsiTheme="minorHAnsi" w:cstheme="minorHAnsi"/>
        </w:rPr>
        <w:t xml:space="preserve">CT22 timeline step trigger and logic changes </w:t>
      </w:r>
      <w:r w:rsidRPr="00003B4F">
        <w:rPr>
          <w:rFonts w:asciiTheme="minorHAnsi" w:hAnsiTheme="minorHAnsi" w:cstheme="minorHAnsi"/>
        </w:rPr>
        <w:t>(586118</w:t>
      </w:r>
      <w:r w:rsidR="006C34E6">
        <w:rPr>
          <w:rFonts w:asciiTheme="minorHAnsi" w:hAnsiTheme="minorHAnsi" w:cstheme="minorHAnsi"/>
        </w:rPr>
        <w:t xml:space="preserve"> and 586119)</w:t>
      </w:r>
      <w:bookmarkEnd w:id="1"/>
    </w:p>
    <w:p w14:paraId="094A9AA4" w14:textId="6E1BED94" w:rsidR="002769CE" w:rsidRPr="00003B4F" w:rsidRDefault="00670B00" w:rsidP="004D144C">
      <w:pPr>
        <w:rPr>
          <w:rFonts w:asciiTheme="minorHAnsi" w:hAnsiTheme="minorHAnsi" w:cstheme="minorHAnsi"/>
        </w:rPr>
      </w:pPr>
      <w:r>
        <w:rPr>
          <w:rFonts w:asciiTheme="minorHAnsi" w:hAnsiTheme="minorHAnsi" w:cstheme="minorHAnsi"/>
        </w:rPr>
        <w:t>P</w:t>
      </w:r>
      <w:r w:rsidRPr="00003B4F">
        <w:rPr>
          <w:rFonts w:asciiTheme="minorHAnsi" w:hAnsiTheme="minorHAnsi" w:cstheme="minorHAnsi"/>
        </w:rPr>
        <w:t>er</w:t>
      </w:r>
      <w:r w:rsidR="0075587C">
        <w:rPr>
          <w:rFonts w:asciiTheme="minorHAnsi" w:hAnsiTheme="minorHAnsi" w:cstheme="minorHAnsi"/>
        </w:rPr>
        <w:t xml:space="preserve"> </w:t>
      </w:r>
      <w:r w:rsidRPr="00003B4F">
        <w:rPr>
          <w:rFonts w:asciiTheme="minorHAnsi" w:hAnsiTheme="minorHAnsi" w:cstheme="minorHAnsi"/>
        </w:rPr>
        <w:t xml:space="preserve">Mortgagee Letter – </w:t>
      </w:r>
      <w:r w:rsidR="0075587C" w:rsidRPr="004B0691">
        <w:rPr>
          <w:rFonts w:asciiTheme="minorHAnsi" w:hAnsiTheme="minorHAnsi" w:cstheme="minorHAnsi"/>
        </w:rPr>
        <w:t>2023-</w:t>
      </w:r>
      <w:r w:rsidR="004B0691" w:rsidRPr="004B0691">
        <w:rPr>
          <w:rFonts w:asciiTheme="minorHAnsi" w:hAnsiTheme="minorHAnsi" w:cstheme="minorHAnsi"/>
        </w:rPr>
        <w:t>10</w:t>
      </w:r>
      <w:r w:rsidRPr="00003B4F">
        <w:rPr>
          <w:rFonts w:asciiTheme="minorHAnsi" w:hAnsiTheme="minorHAnsi" w:cstheme="minorHAnsi"/>
        </w:rPr>
        <w:t>, HUD has requested HERMIT be modified to allow CT22 Assignment Claim timelines to be created when the Loan Balance/ UPB is at 97% of the Maximum Claim Amount (MCA) instead of requiring the loan to be at 97.5% of MCA.  Changes have also been made to CT22 Assignment Timeline step triggers and validations</w:t>
      </w:r>
      <w:r w:rsidR="009471D9">
        <w:rPr>
          <w:rFonts w:asciiTheme="minorHAnsi" w:hAnsiTheme="minorHAnsi" w:cstheme="minorHAnsi"/>
        </w:rPr>
        <w:t xml:space="preserve"> as mentioned in the summ</w:t>
      </w:r>
      <w:r w:rsidR="00B12788">
        <w:rPr>
          <w:rFonts w:asciiTheme="minorHAnsi" w:hAnsiTheme="minorHAnsi" w:cstheme="minorHAnsi"/>
        </w:rPr>
        <w:t>ary</w:t>
      </w:r>
      <w:r w:rsidR="009471D9">
        <w:rPr>
          <w:rFonts w:asciiTheme="minorHAnsi" w:hAnsiTheme="minorHAnsi" w:cstheme="minorHAnsi"/>
        </w:rPr>
        <w:t xml:space="preserve"> of changes below</w:t>
      </w:r>
      <w:r w:rsidRPr="00003B4F">
        <w:rPr>
          <w:rFonts w:asciiTheme="minorHAnsi" w:hAnsiTheme="minorHAnsi" w:cstheme="minorHAnsi"/>
        </w:rPr>
        <w:t>.</w:t>
      </w:r>
      <w:r w:rsidR="006C34E6" w:rsidRPr="00003B4F">
        <w:rPr>
          <w:rFonts w:asciiTheme="minorHAnsi" w:hAnsiTheme="minorHAnsi" w:cstheme="minorHAnsi"/>
        </w:rPr>
        <w:t xml:space="preserve"> </w:t>
      </w:r>
      <w:r w:rsidR="002769CE" w:rsidRPr="00003B4F">
        <w:rPr>
          <w:rFonts w:asciiTheme="minorHAnsi" w:hAnsiTheme="minorHAnsi" w:cstheme="minorHAnsi"/>
        </w:rPr>
        <w:t>T</w:t>
      </w:r>
      <w:r w:rsidR="006C34E6" w:rsidRPr="00003B4F">
        <w:rPr>
          <w:rFonts w:asciiTheme="minorHAnsi" w:hAnsiTheme="minorHAnsi" w:cstheme="minorHAnsi"/>
        </w:rPr>
        <w:t xml:space="preserve">he changes </w:t>
      </w:r>
      <w:r w:rsidR="00482B51" w:rsidRPr="00003B4F">
        <w:rPr>
          <w:rFonts w:asciiTheme="minorHAnsi" w:hAnsiTheme="minorHAnsi" w:cstheme="minorHAnsi"/>
        </w:rPr>
        <w:t xml:space="preserve">to MCA percentage logic </w:t>
      </w:r>
      <w:r w:rsidR="006C34E6" w:rsidRPr="00003B4F">
        <w:rPr>
          <w:rFonts w:asciiTheme="minorHAnsi" w:hAnsiTheme="minorHAnsi" w:cstheme="minorHAnsi"/>
        </w:rPr>
        <w:t>only affect</w:t>
      </w:r>
      <w:r w:rsidR="00482B51" w:rsidRPr="00003B4F">
        <w:rPr>
          <w:rFonts w:asciiTheme="minorHAnsi" w:hAnsiTheme="minorHAnsi" w:cstheme="minorHAnsi"/>
        </w:rPr>
        <w:t>s</w:t>
      </w:r>
      <w:r w:rsidR="006C34E6" w:rsidRPr="00003B4F">
        <w:rPr>
          <w:rFonts w:asciiTheme="minorHAnsi" w:hAnsiTheme="minorHAnsi" w:cstheme="minorHAnsi"/>
        </w:rPr>
        <w:t xml:space="preserve"> standard / Non-MOE Assignment CT22</w:t>
      </w:r>
      <w:r w:rsidR="002769CE" w:rsidRPr="00003B4F">
        <w:rPr>
          <w:rFonts w:asciiTheme="minorHAnsi" w:hAnsiTheme="minorHAnsi" w:cstheme="minorHAnsi"/>
        </w:rPr>
        <w:t>. Existing CT22 MOE Assignment logic remains unchanged</w:t>
      </w:r>
      <w:r w:rsidR="00482B51" w:rsidRPr="00003B4F">
        <w:rPr>
          <w:rFonts w:asciiTheme="minorHAnsi" w:hAnsiTheme="minorHAnsi" w:cstheme="minorHAnsi"/>
        </w:rPr>
        <w:t xml:space="preserve"> and still bypasses MCA percentage checks</w:t>
      </w:r>
      <w:r w:rsidR="006C34E6" w:rsidRPr="00003B4F">
        <w:rPr>
          <w:rFonts w:asciiTheme="minorHAnsi" w:hAnsiTheme="minorHAnsi" w:cstheme="minorHAnsi"/>
        </w:rPr>
        <w:t>.</w:t>
      </w:r>
      <w:r w:rsidRPr="00003B4F">
        <w:rPr>
          <w:rFonts w:asciiTheme="minorHAnsi" w:hAnsiTheme="minorHAnsi" w:cstheme="minorHAnsi"/>
        </w:rPr>
        <w:t xml:space="preserve"> </w:t>
      </w:r>
    </w:p>
    <w:p w14:paraId="182F4B87" w14:textId="2FFBBBF6" w:rsidR="00670B00" w:rsidRPr="00003B4F" w:rsidRDefault="002769CE" w:rsidP="004D144C">
      <w:pPr>
        <w:rPr>
          <w:rFonts w:asciiTheme="minorHAnsi" w:hAnsiTheme="minorHAnsi" w:cstheme="minorHAnsi"/>
        </w:rPr>
      </w:pPr>
      <w:r w:rsidRPr="00003B4F">
        <w:rPr>
          <w:rFonts w:asciiTheme="minorHAnsi" w:hAnsiTheme="minorHAnsi" w:cstheme="minorHAnsi"/>
          <w:b/>
          <w:bCs/>
        </w:rPr>
        <w:t>Summary of changes:</w:t>
      </w:r>
    </w:p>
    <w:p w14:paraId="2938BC69" w14:textId="078D3262" w:rsidR="006C34E6" w:rsidRPr="00003B4F" w:rsidRDefault="006C34E6" w:rsidP="006C34E6">
      <w:pPr>
        <w:pStyle w:val="NoSpacing"/>
        <w:numPr>
          <w:ilvl w:val="0"/>
          <w:numId w:val="5"/>
        </w:numPr>
        <w:rPr>
          <w:rFonts w:asciiTheme="minorHAnsi" w:eastAsiaTheme="minorHAnsi" w:hAnsiTheme="minorHAnsi" w:cstheme="minorHAnsi"/>
        </w:rPr>
      </w:pPr>
      <w:r w:rsidRPr="00003B4F">
        <w:rPr>
          <w:rFonts w:asciiTheme="minorHAnsi" w:eastAsiaTheme="minorHAnsi" w:hAnsiTheme="minorHAnsi" w:cstheme="minorHAnsi"/>
        </w:rPr>
        <w:t xml:space="preserve">CT22 Timeline Setup / Initiation permitted at 97% of </w:t>
      </w:r>
      <w:proofErr w:type="gramStart"/>
      <w:r w:rsidRPr="00003B4F">
        <w:rPr>
          <w:rFonts w:asciiTheme="minorHAnsi" w:eastAsiaTheme="minorHAnsi" w:hAnsiTheme="minorHAnsi" w:cstheme="minorHAnsi"/>
        </w:rPr>
        <w:t>MCA</w:t>
      </w:r>
      <w:proofErr w:type="gramEnd"/>
    </w:p>
    <w:p w14:paraId="322DAA38" w14:textId="69F46BFB" w:rsidR="006C34E6" w:rsidRPr="00003B4F" w:rsidRDefault="006C34E6" w:rsidP="006C34E6">
      <w:pPr>
        <w:pStyle w:val="NoSpacing"/>
        <w:numPr>
          <w:ilvl w:val="0"/>
          <w:numId w:val="5"/>
        </w:numPr>
        <w:rPr>
          <w:rFonts w:asciiTheme="minorHAnsi" w:eastAsiaTheme="minorHAnsi" w:hAnsiTheme="minorHAnsi" w:cstheme="minorHAnsi"/>
        </w:rPr>
      </w:pPr>
      <w:r w:rsidRPr="00003B4F">
        <w:rPr>
          <w:rFonts w:asciiTheme="minorHAnsi" w:eastAsiaTheme="minorHAnsi" w:hAnsiTheme="minorHAnsi" w:cstheme="minorHAnsi"/>
        </w:rPr>
        <w:t>CT22 Timeline Step Description change: Confirm loan balance is 97.000% or greater than MCA</w:t>
      </w:r>
    </w:p>
    <w:p w14:paraId="4C741DAE" w14:textId="10C6070C" w:rsidR="006C34E6" w:rsidRPr="00003B4F" w:rsidRDefault="006C34E6" w:rsidP="006C34E6">
      <w:pPr>
        <w:pStyle w:val="NoSpacing"/>
        <w:numPr>
          <w:ilvl w:val="0"/>
          <w:numId w:val="5"/>
        </w:numPr>
        <w:rPr>
          <w:rFonts w:asciiTheme="minorHAnsi" w:eastAsiaTheme="minorHAnsi" w:hAnsiTheme="minorHAnsi" w:cstheme="minorHAnsi"/>
        </w:rPr>
      </w:pPr>
      <w:r w:rsidRPr="00003B4F">
        <w:rPr>
          <w:rFonts w:asciiTheme="minorHAnsi" w:eastAsiaTheme="minorHAnsi" w:hAnsiTheme="minorHAnsi" w:cstheme="minorHAnsi"/>
        </w:rPr>
        <w:t xml:space="preserve">CT22 Timeline step error logic &amp; Message changes: </w:t>
      </w:r>
    </w:p>
    <w:p w14:paraId="1808FFD3" w14:textId="6ACA4D01" w:rsidR="006C34E6" w:rsidRPr="00003B4F" w:rsidRDefault="006C34E6" w:rsidP="006C34E6">
      <w:pPr>
        <w:pStyle w:val="NoSpacing"/>
        <w:numPr>
          <w:ilvl w:val="1"/>
          <w:numId w:val="5"/>
        </w:numPr>
        <w:rPr>
          <w:rFonts w:asciiTheme="minorHAnsi" w:eastAsiaTheme="minorHAnsi" w:hAnsiTheme="minorHAnsi" w:cstheme="minorHAnsi"/>
        </w:rPr>
      </w:pPr>
      <w:r w:rsidRPr="00003B4F">
        <w:rPr>
          <w:rFonts w:asciiTheme="minorHAnsi" w:eastAsiaTheme="minorHAnsi" w:hAnsiTheme="minorHAnsi" w:cstheme="minorHAnsi"/>
        </w:rPr>
        <w:t>Step “HUD Issued Preliminary Title Approval” removed error if MCA percentage is less than 98%</w:t>
      </w:r>
    </w:p>
    <w:p w14:paraId="07FBCACD" w14:textId="5105968F" w:rsidR="00670B00" w:rsidRPr="00003B4F" w:rsidRDefault="006C34E6" w:rsidP="006C34E6">
      <w:pPr>
        <w:pStyle w:val="NoSpacing"/>
        <w:numPr>
          <w:ilvl w:val="1"/>
          <w:numId w:val="5"/>
        </w:numPr>
        <w:rPr>
          <w:rFonts w:asciiTheme="minorHAnsi" w:eastAsiaTheme="minorHAnsi" w:hAnsiTheme="minorHAnsi" w:cstheme="minorHAnsi"/>
        </w:rPr>
      </w:pPr>
      <w:r w:rsidRPr="00003B4F">
        <w:rPr>
          <w:rFonts w:asciiTheme="minorHAnsi" w:eastAsiaTheme="minorHAnsi" w:hAnsiTheme="minorHAnsi" w:cstheme="minorHAnsi"/>
        </w:rPr>
        <w:t>Step “Assignment sent to HUD for recording / Servicer files claim 27011” (Claim Form Filing) updated claim hard stop validation MCA percentage to 98%</w:t>
      </w:r>
    </w:p>
    <w:p w14:paraId="60F9F575" w14:textId="515839C1" w:rsidR="00482B51" w:rsidRPr="00003B4F" w:rsidRDefault="00482B51" w:rsidP="00482B51">
      <w:pPr>
        <w:pStyle w:val="NoSpacing"/>
        <w:numPr>
          <w:ilvl w:val="0"/>
          <w:numId w:val="5"/>
        </w:numPr>
        <w:rPr>
          <w:rFonts w:asciiTheme="minorHAnsi" w:eastAsiaTheme="minorHAnsi" w:hAnsiTheme="minorHAnsi" w:cstheme="minorHAnsi"/>
        </w:rPr>
      </w:pPr>
      <w:r w:rsidRPr="00003B4F">
        <w:rPr>
          <w:rFonts w:asciiTheme="minorHAnsi" w:eastAsiaTheme="minorHAnsi" w:hAnsiTheme="minorHAnsi" w:cstheme="minorHAnsi"/>
        </w:rPr>
        <w:t>CT22 Timeline Step Trigger Changes</w:t>
      </w:r>
      <w:r w:rsidRPr="00003B4F">
        <w:rPr>
          <w:rFonts w:asciiTheme="minorHAnsi" w:eastAsiaTheme="minorHAnsi" w:hAnsiTheme="minorHAnsi" w:cstheme="minorHAnsi"/>
          <w:i/>
          <w:iCs/>
        </w:rPr>
        <w:t xml:space="preserve"> affects all CT22 Timelines going forward</w:t>
      </w:r>
      <w:r w:rsidRPr="00003B4F">
        <w:rPr>
          <w:rFonts w:asciiTheme="minorHAnsi" w:eastAsiaTheme="minorHAnsi" w:hAnsiTheme="minorHAnsi" w:cstheme="minorHAnsi"/>
        </w:rPr>
        <w:t xml:space="preserve">: </w:t>
      </w:r>
    </w:p>
    <w:p w14:paraId="704A6630" w14:textId="77777777" w:rsidR="00482B51" w:rsidRPr="00003B4F" w:rsidRDefault="00482B51" w:rsidP="00482B51">
      <w:pPr>
        <w:pStyle w:val="NoSpacing"/>
        <w:numPr>
          <w:ilvl w:val="1"/>
          <w:numId w:val="5"/>
        </w:numPr>
        <w:rPr>
          <w:rFonts w:asciiTheme="minorHAnsi" w:eastAsiaTheme="minorHAnsi" w:hAnsiTheme="minorHAnsi" w:cstheme="minorHAnsi"/>
        </w:rPr>
      </w:pPr>
      <w:r w:rsidRPr="00003B4F">
        <w:rPr>
          <w:rFonts w:asciiTheme="minorHAnsi" w:eastAsiaTheme="minorHAnsi" w:hAnsiTheme="minorHAnsi" w:cstheme="minorHAnsi"/>
        </w:rPr>
        <w:t>Step “Original Mortgage/Deed of Trust &amp; Note sent to HUD” is added immediately upon CT22 timeline Setup/Initiation</w:t>
      </w:r>
    </w:p>
    <w:p w14:paraId="713F33B9" w14:textId="77777777" w:rsidR="00482B51" w:rsidRPr="00003B4F" w:rsidRDefault="00482B51" w:rsidP="00482B51">
      <w:pPr>
        <w:pStyle w:val="NoSpacing"/>
        <w:numPr>
          <w:ilvl w:val="1"/>
          <w:numId w:val="5"/>
        </w:numPr>
        <w:rPr>
          <w:rFonts w:asciiTheme="minorHAnsi" w:eastAsiaTheme="minorHAnsi" w:hAnsiTheme="minorHAnsi" w:cstheme="minorHAnsi"/>
        </w:rPr>
      </w:pPr>
      <w:r w:rsidRPr="00003B4F">
        <w:rPr>
          <w:rFonts w:asciiTheme="minorHAnsi" w:eastAsiaTheme="minorHAnsi" w:hAnsiTheme="minorHAnsi" w:cstheme="minorHAnsi"/>
        </w:rPr>
        <w:t>Step “Original Mortgage/Deed of Trust &amp; Note received by HUD” is added immediately upon CT22 timeline Setup/Initiation</w:t>
      </w:r>
    </w:p>
    <w:p w14:paraId="20B03CD1" w14:textId="77777777" w:rsidR="00482B51" w:rsidRPr="00003B4F" w:rsidRDefault="00482B51" w:rsidP="00482B51">
      <w:pPr>
        <w:pStyle w:val="NoSpacing"/>
        <w:numPr>
          <w:ilvl w:val="1"/>
          <w:numId w:val="5"/>
        </w:numPr>
        <w:rPr>
          <w:rFonts w:asciiTheme="minorHAnsi" w:eastAsiaTheme="minorHAnsi" w:hAnsiTheme="minorHAnsi" w:cstheme="minorHAnsi"/>
        </w:rPr>
      </w:pPr>
      <w:r w:rsidRPr="00003B4F">
        <w:rPr>
          <w:rFonts w:asciiTheme="minorHAnsi" w:eastAsiaTheme="minorHAnsi" w:hAnsiTheme="minorHAnsi" w:cstheme="minorHAnsi"/>
        </w:rPr>
        <w:t xml:space="preserve">Step “Assignment to HUD sent for recording/Servicer Files Claim Type 22 - Form 27011” is now added when step “HUD Issued Preliminary Title Approval” is </w:t>
      </w:r>
      <w:proofErr w:type="gramStart"/>
      <w:r w:rsidRPr="00003B4F">
        <w:rPr>
          <w:rFonts w:asciiTheme="minorHAnsi" w:eastAsiaTheme="minorHAnsi" w:hAnsiTheme="minorHAnsi" w:cstheme="minorHAnsi"/>
        </w:rPr>
        <w:t>completed</w:t>
      </w:r>
      <w:proofErr w:type="gramEnd"/>
    </w:p>
    <w:p w14:paraId="5E6DC423" w14:textId="16477091" w:rsidR="006C34E6" w:rsidRPr="00003B4F" w:rsidRDefault="006C34E6" w:rsidP="006C34E6">
      <w:pPr>
        <w:pStyle w:val="NoSpacing"/>
        <w:numPr>
          <w:ilvl w:val="0"/>
          <w:numId w:val="5"/>
        </w:numPr>
        <w:rPr>
          <w:rFonts w:asciiTheme="minorHAnsi" w:eastAsiaTheme="minorHAnsi" w:hAnsiTheme="minorHAnsi" w:cstheme="minorHAnsi"/>
        </w:rPr>
      </w:pPr>
      <w:r w:rsidRPr="00003B4F">
        <w:rPr>
          <w:rFonts w:asciiTheme="minorHAnsi" w:eastAsiaTheme="minorHAnsi" w:hAnsiTheme="minorHAnsi" w:cstheme="minorHAnsi"/>
        </w:rPr>
        <w:t>Data Changes</w:t>
      </w:r>
    </w:p>
    <w:p w14:paraId="4B0E708D" w14:textId="7C27CCE8" w:rsidR="00670B00" w:rsidRPr="00003B4F" w:rsidRDefault="002769CE" w:rsidP="004D144C">
      <w:pPr>
        <w:rPr>
          <w:rFonts w:asciiTheme="minorHAnsi" w:hAnsiTheme="minorHAnsi" w:cstheme="minorHAnsi"/>
          <w:b/>
          <w:bCs/>
        </w:rPr>
      </w:pPr>
      <w:r w:rsidRPr="00003B4F">
        <w:rPr>
          <w:rFonts w:asciiTheme="minorHAnsi" w:hAnsiTheme="minorHAnsi" w:cstheme="minorHAnsi"/>
          <w:b/>
          <w:bCs/>
        </w:rPr>
        <w:t xml:space="preserve">Detailed changes: </w:t>
      </w:r>
    </w:p>
    <w:p w14:paraId="5EF5E0E3" w14:textId="7F0CC778" w:rsidR="00482B51"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 xml:space="preserve">The changes to MCA percentage logic only affects standard / Non-MOE Assignment CT22. Existing CT22 MOE Assignment logic remains unchanged and still bypasses MCA percentage checks. </w:t>
      </w:r>
    </w:p>
    <w:p w14:paraId="1D545F3E" w14:textId="00733647" w:rsidR="00482B51"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CT22 Timeline Setup / Initiation permitted at 97% of MCA</w:t>
      </w:r>
    </w:p>
    <w:p w14:paraId="1C8F26BA" w14:textId="345A779F" w:rsidR="00482B51" w:rsidRPr="00003B4F" w:rsidRDefault="00482B51" w:rsidP="00482B51">
      <w:pPr>
        <w:pStyle w:val="ListParagraph"/>
        <w:numPr>
          <w:ilvl w:val="0"/>
          <w:numId w:val="5"/>
        </w:numPr>
        <w:rPr>
          <w:rFonts w:asciiTheme="minorHAnsi" w:hAnsiTheme="minorHAnsi" w:cstheme="minorHAnsi"/>
          <w:i/>
          <w:iCs/>
        </w:rPr>
      </w:pPr>
      <w:r w:rsidRPr="00003B4F">
        <w:rPr>
          <w:rFonts w:asciiTheme="minorHAnsi" w:hAnsiTheme="minorHAnsi" w:cstheme="minorHAnsi"/>
        </w:rPr>
        <w:t>User can now create a new Claim Type 22 – Assignment timeline from the Endorsed &gt; Claims &gt; Setup page when the Loan Balance or UPB is 97% of MCA instead of 97.5%.  All other existing validation and error messages remain in place and must be satisfied to successfully set up a CT22 timeline.</w:t>
      </w:r>
    </w:p>
    <w:p w14:paraId="38F8FFDF" w14:textId="0DABD6D9" w:rsidR="00482B51" w:rsidRPr="00003B4F" w:rsidRDefault="00482B51" w:rsidP="00482B51">
      <w:pPr>
        <w:pStyle w:val="ListParagraph"/>
        <w:numPr>
          <w:ilvl w:val="0"/>
          <w:numId w:val="5"/>
        </w:numPr>
        <w:rPr>
          <w:rFonts w:asciiTheme="minorHAnsi" w:hAnsiTheme="minorHAnsi" w:cstheme="minorHAnsi"/>
          <w:i/>
          <w:iCs/>
        </w:rPr>
      </w:pPr>
      <w:r w:rsidRPr="00003B4F">
        <w:rPr>
          <w:rFonts w:asciiTheme="minorHAnsi" w:hAnsiTheme="minorHAnsi" w:cstheme="minorHAnsi"/>
        </w:rPr>
        <w:t>New message: “Loan Balance must be &gt; = 97.000% of the max claim amount”.</w:t>
      </w:r>
    </w:p>
    <w:p w14:paraId="582F0DD7" w14:textId="2B506220" w:rsidR="006E046B"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CT22 Timeline Step Description change</w:t>
      </w:r>
      <w:r w:rsidR="006E046B" w:rsidRPr="00003B4F">
        <w:rPr>
          <w:rFonts w:asciiTheme="minorHAnsi" w:hAnsiTheme="minorHAnsi" w:cstheme="minorHAnsi"/>
        </w:rPr>
        <w:t>d</w:t>
      </w:r>
    </w:p>
    <w:p w14:paraId="646E5298" w14:textId="77777777" w:rsidR="00CE65F5" w:rsidRDefault="006E046B" w:rsidP="006E046B">
      <w:pPr>
        <w:pStyle w:val="ListParagraph"/>
        <w:numPr>
          <w:ilvl w:val="0"/>
          <w:numId w:val="5"/>
        </w:numPr>
        <w:rPr>
          <w:rFonts w:asciiTheme="minorHAnsi" w:hAnsiTheme="minorHAnsi" w:cstheme="minorHAnsi"/>
        </w:rPr>
      </w:pPr>
      <w:r w:rsidRPr="00003B4F">
        <w:rPr>
          <w:rFonts w:asciiTheme="minorHAnsi" w:hAnsiTheme="minorHAnsi" w:cstheme="minorHAnsi"/>
        </w:rPr>
        <w:t>Step Description has been updated to replace 97.5% with 97%. New Step Description “</w:t>
      </w:r>
      <w:r w:rsidR="00482B51" w:rsidRPr="00003B4F">
        <w:rPr>
          <w:rFonts w:asciiTheme="minorHAnsi" w:hAnsiTheme="minorHAnsi" w:cstheme="minorHAnsi"/>
        </w:rPr>
        <w:t>Confirm loan balance is 97.000% or greater than MCA</w:t>
      </w:r>
      <w:r w:rsidRPr="00003B4F">
        <w:rPr>
          <w:rFonts w:asciiTheme="minorHAnsi" w:hAnsiTheme="minorHAnsi" w:cstheme="minorHAnsi"/>
        </w:rPr>
        <w:t xml:space="preserve">”.  </w:t>
      </w:r>
    </w:p>
    <w:p w14:paraId="2DC7C3F6" w14:textId="17F21047" w:rsidR="00482B51" w:rsidRDefault="006E046B" w:rsidP="00CE65F5">
      <w:pPr>
        <w:pStyle w:val="ListParagraph"/>
        <w:ind w:left="1080"/>
        <w:rPr>
          <w:rFonts w:asciiTheme="minorHAnsi" w:hAnsiTheme="minorHAnsi" w:cstheme="minorHAnsi"/>
        </w:rPr>
      </w:pPr>
      <w:r w:rsidRPr="00CE65F5">
        <w:rPr>
          <w:rFonts w:asciiTheme="minorHAnsi" w:hAnsiTheme="minorHAnsi" w:cstheme="minorHAnsi"/>
          <w:b/>
          <w:bCs/>
        </w:rPr>
        <w:lastRenderedPageBreak/>
        <w:t>Note:</w:t>
      </w:r>
      <w:r w:rsidRPr="00003B4F">
        <w:rPr>
          <w:rFonts w:asciiTheme="minorHAnsi" w:hAnsiTheme="minorHAnsi" w:cstheme="minorHAnsi"/>
        </w:rPr>
        <w:t xml:space="preserve"> All Step Descriptions for this step display the new text, even steps on CT22 timelines created before release date. </w:t>
      </w:r>
    </w:p>
    <w:p w14:paraId="649743D6" w14:textId="77777777" w:rsidR="004F1B6A" w:rsidRPr="00003B4F" w:rsidRDefault="004F1B6A" w:rsidP="00CE65F5">
      <w:pPr>
        <w:pStyle w:val="ListParagraph"/>
        <w:ind w:left="1080"/>
        <w:rPr>
          <w:rFonts w:asciiTheme="minorHAnsi" w:hAnsiTheme="minorHAnsi" w:cstheme="minorHAnsi"/>
        </w:rPr>
      </w:pPr>
    </w:p>
    <w:p w14:paraId="6AE5251A" w14:textId="77777777" w:rsidR="00482B51"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 xml:space="preserve">CT22 Timeline step error logic &amp; Message changes: </w:t>
      </w:r>
    </w:p>
    <w:p w14:paraId="73CD390C" w14:textId="0B37A0E9" w:rsidR="00482B51" w:rsidRPr="00003B4F" w:rsidRDefault="00482B51" w:rsidP="00482B51">
      <w:pPr>
        <w:pStyle w:val="ListParagraph"/>
        <w:numPr>
          <w:ilvl w:val="0"/>
          <w:numId w:val="5"/>
        </w:numPr>
        <w:rPr>
          <w:rFonts w:asciiTheme="minorHAnsi" w:hAnsiTheme="minorHAnsi" w:cstheme="minorHAnsi"/>
        </w:rPr>
      </w:pPr>
      <w:r w:rsidRPr="00003B4F">
        <w:rPr>
          <w:rFonts w:asciiTheme="minorHAnsi" w:hAnsiTheme="minorHAnsi" w:cstheme="minorHAnsi"/>
        </w:rPr>
        <w:t xml:space="preserve">Step “HUD Issued Preliminary Title Approval” </w:t>
      </w:r>
      <w:r w:rsidR="006E046B" w:rsidRPr="00003B4F">
        <w:rPr>
          <w:rFonts w:asciiTheme="minorHAnsi" w:hAnsiTheme="minorHAnsi" w:cstheme="minorHAnsi"/>
        </w:rPr>
        <w:t xml:space="preserve">no longer requires the MCA percentage to be at least </w:t>
      </w:r>
      <w:r w:rsidRPr="00003B4F">
        <w:rPr>
          <w:rFonts w:asciiTheme="minorHAnsi" w:hAnsiTheme="minorHAnsi" w:cstheme="minorHAnsi"/>
        </w:rPr>
        <w:t xml:space="preserve"> 98%</w:t>
      </w:r>
      <w:r w:rsidR="006E046B" w:rsidRPr="00003B4F">
        <w:rPr>
          <w:rFonts w:asciiTheme="minorHAnsi" w:hAnsiTheme="minorHAnsi" w:cstheme="minorHAnsi"/>
        </w:rPr>
        <w:t xml:space="preserve">. In other words, to complete this step the UPB </w:t>
      </w:r>
      <w:r w:rsidR="0075587C">
        <w:rPr>
          <w:rFonts w:asciiTheme="minorHAnsi" w:hAnsiTheme="minorHAnsi" w:cstheme="minorHAnsi"/>
        </w:rPr>
        <w:t xml:space="preserve">can be less than 98%. </w:t>
      </w:r>
    </w:p>
    <w:p w14:paraId="23128310" w14:textId="6766A8CA" w:rsidR="00482B51" w:rsidRPr="00003B4F" w:rsidRDefault="00482B51" w:rsidP="00482B51">
      <w:pPr>
        <w:pStyle w:val="ListParagraph"/>
        <w:numPr>
          <w:ilvl w:val="0"/>
          <w:numId w:val="5"/>
        </w:numPr>
        <w:rPr>
          <w:rFonts w:asciiTheme="minorHAnsi" w:hAnsiTheme="minorHAnsi" w:cstheme="minorHAnsi"/>
        </w:rPr>
      </w:pPr>
      <w:r w:rsidRPr="00003B4F">
        <w:rPr>
          <w:rFonts w:asciiTheme="minorHAnsi" w:hAnsiTheme="minorHAnsi" w:cstheme="minorHAnsi"/>
        </w:rPr>
        <w:t>Step “Assignment sent to HUD for recording / Servicer files claim 27011” (Claim Form Filing)</w:t>
      </w:r>
      <w:r w:rsidR="006E046B" w:rsidRPr="00003B4F">
        <w:rPr>
          <w:rFonts w:asciiTheme="minorHAnsi" w:hAnsiTheme="minorHAnsi" w:cstheme="minorHAnsi"/>
        </w:rPr>
        <w:t xml:space="preserve"> claim hard stop validation </w:t>
      </w:r>
      <w:r w:rsidRPr="00003B4F">
        <w:rPr>
          <w:rFonts w:asciiTheme="minorHAnsi" w:hAnsiTheme="minorHAnsi" w:cstheme="minorHAnsi"/>
        </w:rPr>
        <w:t xml:space="preserve">MCA percentage </w:t>
      </w:r>
      <w:r w:rsidR="006E046B" w:rsidRPr="00003B4F">
        <w:rPr>
          <w:rFonts w:asciiTheme="minorHAnsi" w:hAnsiTheme="minorHAnsi" w:cstheme="minorHAnsi"/>
        </w:rPr>
        <w:t xml:space="preserve">was updated </w:t>
      </w:r>
      <w:r w:rsidRPr="00003B4F">
        <w:rPr>
          <w:rFonts w:asciiTheme="minorHAnsi" w:hAnsiTheme="minorHAnsi" w:cstheme="minorHAnsi"/>
        </w:rPr>
        <w:t>to 98%</w:t>
      </w:r>
      <w:r w:rsidR="006E046B" w:rsidRPr="00003B4F">
        <w:rPr>
          <w:rFonts w:asciiTheme="minorHAnsi" w:hAnsiTheme="minorHAnsi" w:cstheme="minorHAnsi"/>
        </w:rPr>
        <w:t>. In other words, to complete this step, UPB must be at least 98% of MCA.</w:t>
      </w:r>
    </w:p>
    <w:p w14:paraId="183AC07A" w14:textId="77777777" w:rsidR="00482B51"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 xml:space="preserve">CT22 Timeline Step Trigger Changes affects all CT22 Timelines going forward: </w:t>
      </w:r>
    </w:p>
    <w:p w14:paraId="20F6BC9F" w14:textId="7024B401" w:rsidR="00482B51" w:rsidRPr="00003B4F" w:rsidRDefault="00482B51" w:rsidP="006E046B">
      <w:pPr>
        <w:pStyle w:val="ListParagraph"/>
        <w:numPr>
          <w:ilvl w:val="0"/>
          <w:numId w:val="5"/>
        </w:numPr>
        <w:rPr>
          <w:rFonts w:asciiTheme="minorHAnsi" w:hAnsiTheme="minorHAnsi" w:cstheme="minorHAnsi"/>
        </w:rPr>
      </w:pPr>
      <w:r w:rsidRPr="00003B4F">
        <w:rPr>
          <w:rFonts w:asciiTheme="minorHAnsi" w:hAnsiTheme="minorHAnsi" w:cstheme="minorHAnsi"/>
        </w:rPr>
        <w:t>Step “Original Mortgage/Deed of Trust &amp; Note sent to HUD” is added immediately upon CT22 timeline Setup/Initiation</w:t>
      </w:r>
      <w:r w:rsidR="006E046B" w:rsidRPr="00003B4F">
        <w:rPr>
          <w:rFonts w:asciiTheme="minorHAnsi" w:hAnsiTheme="minorHAnsi" w:cstheme="minorHAnsi"/>
        </w:rPr>
        <w:t xml:space="preserve">. This step was previously triggered by completion of step “HUD Issued Preliminary Title Approval”.  Going forward, this step can be </w:t>
      </w:r>
      <w:proofErr w:type="gramStart"/>
      <w:r w:rsidR="006E046B" w:rsidRPr="00003B4F">
        <w:rPr>
          <w:rFonts w:asciiTheme="minorHAnsi" w:hAnsiTheme="minorHAnsi" w:cstheme="minorHAnsi"/>
        </w:rPr>
        <w:t>completed</w:t>
      </w:r>
      <w:proofErr w:type="gramEnd"/>
      <w:r w:rsidR="006E046B" w:rsidRPr="00003B4F">
        <w:rPr>
          <w:rFonts w:asciiTheme="minorHAnsi" w:hAnsiTheme="minorHAnsi" w:cstheme="minorHAnsi"/>
        </w:rPr>
        <w:t xml:space="preserve"> any time within the CT22 timeline process.</w:t>
      </w:r>
    </w:p>
    <w:p w14:paraId="34AEF15C" w14:textId="25BEBEB4" w:rsidR="00482B51" w:rsidRPr="00003B4F" w:rsidRDefault="00482B51" w:rsidP="006E046B">
      <w:pPr>
        <w:pStyle w:val="ListParagraph"/>
        <w:numPr>
          <w:ilvl w:val="0"/>
          <w:numId w:val="5"/>
        </w:numPr>
        <w:rPr>
          <w:rFonts w:asciiTheme="minorHAnsi" w:hAnsiTheme="minorHAnsi" w:cstheme="minorHAnsi"/>
        </w:rPr>
      </w:pPr>
      <w:r w:rsidRPr="00003B4F">
        <w:rPr>
          <w:rFonts w:asciiTheme="minorHAnsi" w:hAnsiTheme="minorHAnsi" w:cstheme="minorHAnsi"/>
        </w:rPr>
        <w:t>Step “Original Mortgage/Deed of Trust &amp; Note received by HUD” is added immediately upon CT22 timeline Setup/Initiation</w:t>
      </w:r>
      <w:r w:rsidR="006E046B" w:rsidRPr="00003B4F">
        <w:rPr>
          <w:rFonts w:asciiTheme="minorHAnsi" w:hAnsiTheme="minorHAnsi" w:cstheme="minorHAnsi"/>
        </w:rPr>
        <w:t xml:space="preserve">. Going forward, this step can be </w:t>
      </w:r>
      <w:proofErr w:type="gramStart"/>
      <w:r w:rsidR="006E046B" w:rsidRPr="00003B4F">
        <w:rPr>
          <w:rFonts w:asciiTheme="minorHAnsi" w:hAnsiTheme="minorHAnsi" w:cstheme="minorHAnsi"/>
        </w:rPr>
        <w:t>completed</w:t>
      </w:r>
      <w:proofErr w:type="gramEnd"/>
      <w:r w:rsidR="006E046B" w:rsidRPr="00003B4F">
        <w:rPr>
          <w:rFonts w:asciiTheme="minorHAnsi" w:hAnsiTheme="minorHAnsi" w:cstheme="minorHAnsi"/>
        </w:rPr>
        <w:t xml:space="preserve"> any time within the CT22 timeline process</w:t>
      </w:r>
      <w:r w:rsidR="00E323EF">
        <w:rPr>
          <w:rFonts w:asciiTheme="minorHAnsi" w:hAnsiTheme="minorHAnsi" w:cstheme="minorHAnsi"/>
        </w:rPr>
        <w:t>.</w:t>
      </w:r>
    </w:p>
    <w:p w14:paraId="366E28D8" w14:textId="32DB4DBD" w:rsidR="00482B51" w:rsidRPr="00003B4F" w:rsidRDefault="00482B51" w:rsidP="006E046B">
      <w:pPr>
        <w:pStyle w:val="ListParagraph"/>
        <w:numPr>
          <w:ilvl w:val="0"/>
          <w:numId w:val="5"/>
        </w:numPr>
        <w:rPr>
          <w:rFonts w:asciiTheme="minorHAnsi" w:hAnsiTheme="minorHAnsi" w:cstheme="minorHAnsi"/>
        </w:rPr>
      </w:pPr>
      <w:r w:rsidRPr="00003B4F">
        <w:rPr>
          <w:rFonts w:asciiTheme="minorHAnsi" w:hAnsiTheme="minorHAnsi" w:cstheme="minorHAnsi"/>
        </w:rPr>
        <w:t>Step “Assignment to HUD sent for recording/Servicer Files Claim Type 22 - Form 27011” is added when step “HUD Issued Preliminary Title Approval” is completed</w:t>
      </w:r>
      <w:r w:rsidR="00003B4F" w:rsidRPr="00003B4F">
        <w:rPr>
          <w:rFonts w:asciiTheme="minorHAnsi" w:hAnsiTheme="minorHAnsi" w:cstheme="minorHAnsi"/>
        </w:rPr>
        <w:t xml:space="preserve">. This step is still completed in the normal manner: by clicking the magnifying glass icon on the step and submitting the Claim Worksheet using the popup modal buttons. To successfully complete this step, validations must pass, including the updated validation that UPB must be at least 98% of MCA. </w:t>
      </w:r>
    </w:p>
    <w:p w14:paraId="3B21B8D1" w14:textId="77777777" w:rsidR="00482B51" w:rsidRPr="00003B4F" w:rsidRDefault="00482B51" w:rsidP="00482B51">
      <w:pPr>
        <w:pStyle w:val="ListParagraph"/>
        <w:numPr>
          <w:ilvl w:val="0"/>
          <w:numId w:val="2"/>
        </w:numPr>
        <w:rPr>
          <w:rFonts w:asciiTheme="minorHAnsi" w:hAnsiTheme="minorHAnsi" w:cstheme="minorHAnsi"/>
        </w:rPr>
      </w:pPr>
      <w:r w:rsidRPr="00003B4F">
        <w:rPr>
          <w:rFonts w:asciiTheme="minorHAnsi" w:hAnsiTheme="minorHAnsi" w:cstheme="minorHAnsi"/>
        </w:rPr>
        <w:t>Data Changes</w:t>
      </w:r>
    </w:p>
    <w:p w14:paraId="33E7DA3F" w14:textId="186FC38A" w:rsidR="00E323EF" w:rsidRPr="00E323EF" w:rsidRDefault="00003B4F" w:rsidP="00E573F8">
      <w:pPr>
        <w:pStyle w:val="ListParagraph"/>
        <w:numPr>
          <w:ilvl w:val="0"/>
          <w:numId w:val="5"/>
        </w:numPr>
        <w:rPr>
          <w:rFonts w:asciiTheme="minorHAnsi" w:eastAsiaTheme="minorHAnsi" w:hAnsiTheme="minorHAnsi" w:cstheme="minorHAnsi"/>
          <w:i/>
          <w:iCs/>
        </w:rPr>
      </w:pPr>
      <w:r w:rsidRPr="00003B4F">
        <w:rPr>
          <w:rFonts w:asciiTheme="minorHAnsi" w:hAnsiTheme="minorHAnsi" w:cstheme="minorHAnsi"/>
        </w:rPr>
        <w:t xml:space="preserve">To account for loans with existing CT22 timelines “in between” the new population of CT22 and the legacy population of CT22 created before this release, </w:t>
      </w:r>
      <w:r w:rsidR="00E323EF">
        <w:rPr>
          <w:rFonts w:asciiTheme="minorHAnsi" w:hAnsiTheme="minorHAnsi" w:cstheme="minorHAnsi"/>
        </w:rPr>
        <w:t xml:space="preserve">the following steps were added to necessary existing Active CT22 timelines to allow the assignment process to be completed: </w:t>
      </w:r>
    </w:p>
    <w:p w14:paraId="1AADB4E7" w14:textId="32444CA3" w:rsidR="00E323EF" w:rsidRPr="00E323EF" w:rsidRDefault="00E323EF" w:rsidP="00E323EF">
      <w:pPr>
        <w:pStyle w:val="ListParagraph"/>
        <w:numPr>
          <w:ilvl w:val="1"/>
          <w:numId w:val="5"/>
        </w:numPr>
        <w:rPr>
          <w:rFonts w:asciiTheme="minorHAnsi" w:eastAsiaTheme="minorHAnsi" w:hAnsiTheme="minorHAnsi" w:cstheme="minorHAnsi"/>
          <w:i/>
          <w:iCs/>
        </w:rPr>
      </w:pPr>
      <w:r w:rsidRPr="00003B4F">
        <w:rPr>
          <w:rFonts w:asciiTheme="minorHAnsi" w:hAnsiTheme="minorHAnsi" w:cstheme="minorHAnsi"/>
        </w:rPr>
        <w:t>Original Mortgage/Deed of Trust &amp; Note sent to HUD</w:t>
      </w:r>
    </w:p>
    <w:p w14:paraId="7332E112" w14:textId="716F0F5E" w:rsidR="0067162D" w:rsidRPr="00E323EF" w:rsidRDefault="00E323EF" w:rsidP="00E323EF">
      <w:pPr>
        <w:pStyle w:val="ListParagraph"/>
        <w:numPr>
          <w:ilvl w:val="1"/>
          <w:numId w:val="5"/>
        </w:numPr>
        <w:rPr>
          <w:rFonts w:asciiTheme="minorHAnsi" w:eastAsiaTheme="minorHAnsi" w:hAnsiTheme="minorHAnsi" w:cstheme="minorHAnsi"/>
          <w:i/>
          <w:iCs/>
        </w:rPr>
      </w:pPr>
      <w:r w:rsidRPr="00003B4F">
        <w:rPr>
          <w:rFonts w:asciiTheme="minorHAnsi" w:hAnsiTheme="minorHAnsi" w:cstheme="minorHAnsi"/>
        </w:rPr>
        <w:t xml:space="preserve">Original Mortgage/Deed of Trust &amp; Note </w:t>
      </w:r>
      <w:r>
        <w:rPr>
          <w:rFonts w:asciiTheme="minorHAnsi" w:hAnsiTheme="minorHAnsi" w:cstheme="minorHAnsi"/>
        </w:rPr>
        <w:t xml:space="preserve">received by </w:t>
      </w:r>
      <w:proofErr w:type="gramStart"/>
      <w:r w:rsidRPr="00003B4F">
        <w:rPr>
          <w:rFonts w:asciiTheme="minorHAnsi" w:hAnsiTheme="minorHAnsi" w:cstheme="minorHAnsi"/>
        </w:rPr>
        <w:t>HUD</w:t>
      </w:r>
      <w:proofErr w:type="gramEnd"/>
      <w:r w:rsidR="00003B4F" w:rsidRPr="00003B4F">
        <w:rPr>
          <w:rFonts w:asciiTheme="minorHAnsi" w:hAnsiTheme="minorHAnsi" w:cstheme="minorHAnsi"/>
        </w:rPr>
        <w:t xml:space="preserve"> </w:t>
      </w:r>
    </w:p>
    <w:p w14:paraId="79C02810" w14:textId="639D909B" w:rsidR="00E323EF" w:rsidRPr="00E323EF" w:rsidRDefault="00E323EF" w:rsidP="00E323EF">
      <w:pPr>
        <w:pStyle w:val="ListParagraph"/>
        <w:numPr>
          <w:ilvl w:val="1"/>
          <w:numId w:val="5"/>
        </w:numPr>
        <w:rPr>
          <w:rFonts w:asciiTheme="minorHAnsi" w:eastAsiaTheme="minorHAnsi" w:hAnsiTheme="minorHAnsi" w:cstheme="minorHAnsi"/>
          <w:i/>
          <w:iCs/>
        </w:rPr>
      </w:pPr>
      <w:r w:rsidRPr="00C15560">
        <w:rPr>
          <w:rFonts w:asciiTheme="minorHAnsi" w:hAnsiTheme="minorHAnsi" w:cstheme="minorHAnsi"/>
        </w:rPr>
        <w:t>Assignment to HUD sent for recording/Servicer Files Claim Type 22 - Form 27011</w:t>
      </w:r>
    </w:p>
    <w:p w14:paraId="336FDCEC" w14:textId="33DDA885" w:rsidR="002219B9" w:rsidRPr="00E323EF" w:rsidRDefault="004A7152" w:rsidP="00E323EF">
      <w:pPr>
        <w:pStyle w:val="ListParagraph"/>
        <w:ind w:left="1080"/>
        <w:rPr>
          <w:rFonts w:asciiTheme="minorHAnsi" w:eastAsiaTheme="minorHAnsi" w:hAnsiTheme="minorHAnsi" w:cstheme="minorHAnsi"/>
          <w:i/>
          <w:iCs/>
        </w:rPr>
      </w:pPr>
    </w:p>
    <w:sectPr w:rsidR="002219B9" w:rsidRPr="00E323EF" w:rsidSect="006D3D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8C7" w14:textId="77777777" w:rsidR="0067162D" w:rsidRDefault="0067162D" w:rsidP="0067162D">
      <w:pPr>
        <w:spacing w:before="0" w:after="0"/>
      </w:pPr>
      <w:r>
        <w:separator/>
      </w:r>
    </w:p>
  </w:endnote>
  <w:endnote w:type="continuationSeparator" w:id="0">
    <w:p w14:paraId="6FA3FAC5" w14:textId="77777777" w:rsidR="0067162D" w:rsidRDefault="0067162D"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6E3" w14:textId="77777777" w:rsidR="008C41D3" w:rsidRDefault="004A7152">
    <w:pPr>
      <w:pStyle w:val="Footer"/>
    </w:pPr>
  </w:p>
  <w:p w14:paraId="08158472" w14:textId="77777777" w:rsidR="008C41D3" w:rsidRPr="0064246A" w:rsidRDefault="004A7152" w:rsidP="008C41D3">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 xml:space="preserve">This document is a proprietary document created by Reverse Technology Group, LLC that shall not be duplicated, </w:t>
    </w:r>
    <w:r>
      <w:rPr>
        <w:rFonts w:ascii="Calibri" w:hAnsi="Calibri" w:cs="Calibri"/>
        <w:i/>
        <w:iCs/>
        <w:sz w:val="16"/>
        <w:szCs w:val="16"/>
      </w:rPr>
      <w:t>used or disclosed -in whole or in part -for any purpose without explicit permission from Reverse Technology Group, LLC.</w:t>
    </w:r>
  </w:p>
  <w:p w14:paraId="3C86C2CF" w14:textId="77777777" w:rsidR="008C41D3" w:rsidRPr="00255ABA" w:rsidRDefault="00DE4C8F" w:rsidP="008C41D3">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6F3D06" w:rsidRPr="00A013D7" w:rsidRDefault="004A7152"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8495" w14:textId="77777777" w:rsidR="0067162D" w:rsidRDefault="0067162D" w:rsidP="0067162D">
      <w:pPr>
        <w:spacing w:before="0" w:after="0"/>
      </w:pPr>
      <w:r>
        <w:separator/>
      </w:r>
    </w:p>
  </w:footnote>
  <w:footnote w:type="continuationSeparator" w:id="0">
    <w:p w14:paraId="5DEE74DA" w14:textId="77777777" w:rsidR="0067162D" w:rsidRDefault="0067162D"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D1AA" w14:textId="040123C8" w:rsidR="008C41D3" w:rsidRDefault="00DE4C8F" w:rsidP="008C41D3">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320323">
      <w:rPr>
        <w:rFonts w:ascii="Cambria" w:eastAsia="Times New Roman" w:hAnsi="Cambria"/>
        <w:sz w:val="32"/>
        <w:szCs w:val="32"/>
      </w:rPr>
      <w:t>2</w:t>
    </w:r>
    <w:r w:rsidR="00670B00">
      <w:rPr>
        <w:rFonts w:ascii="Cambria" w:eastAsia="Times New Roman" w:hAnsi="Cambria"/>
        <w:sz w:val="32"/>
        <w:szCs w:val="32"/>
      </w:rPr>
      <w:t>3</w:t>
    </w:r>
  </w:p>
  <w:p w14:paraId="41BC1D3B" w14:textId="77777777" w:rsidR="008C41D3" w:rsidRPr="008C41D3" w:rsidRDefault="004A7152" w:rsidP="008C41D3">
    <w:pPr>
      <w:jc w:val="both"/>
      <w:rPr>
        <w:i/>
        <w:iCs/>
      </w:rPr>
    </w:pPr>
  </w:p>
  <w:p w14:paraId="68BA3C4B" w14:textId="77777777" w:rsidR="008C41D3" w:rsidRDefault="004A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A16"/>
    <w:multiLevelType w:val="hybridMultilevel"/>
    <w:tmpl w:val="CBB8EA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2D14A1"/>
    <w:multiLevelType w:val="hybridMultilevel"/>
    <w:tmpl w:val="28F4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9F3A70"/>
    <w:multiLevelType w:val="hybridMultilevel"/>
    <w:tmpl w:val="7E8C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73223"/>
    <w:multiLevelType w:val="hybridMultilevel"/>
    <w:tmpl w:val="E6A4E090"/>
    <w:lvl w:ilvl="0" w:tplc="797E6F38">
      <w:start w:val="1"/>
      <w:numFmt w:val="lowerLetter"/>
      <w:lvlText w:val="%1."/>
      <w:lvlJc w:val="left"/>
      <w:pPr>
        <w:ind w:left="720" w:hanging="360"/>
      </w:pPr>
      <w:rPr>
        <w:rFonts w:asciiTheme="minorHAnsi" w:eastAsia="Calibri" w:hAnsiTheme="minorHAnsi" w:cstheme="minorHAns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179D8"/>
    <w:multiLevelType w:val="hybridMultilevel"/>
    <w:tmpl w:val="35CAF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1130F7"/>
    <w:multiLevelType w:val="hybridMultilevel"/>
    <w:tmpl w:val="16701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55728A"/>
    <w:multiLevelType w:val="hybridMultilevel"/>
    <w:tmpl w:val="D532743C"/>
    <w:lvl w:ilvl="0" w:tplc="14D48B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C02BA"/>
    <w:multiLevelType w:val="hybridMultilevel"/>
    <w:tmpl w:val="BBCE4292"/>
    <w:lvl w:ilvl="0" w:tplc="ED7AF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33960"/>
    <w:multiLevelType w:val="hybridMultilevel"/>
    <w:tmpl w:val="CD80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2433782">
    <w:abstractNumId w:val="7"/>
  </w:num>
  <w:num w:numId="2" w16cid:durableId="2002082895">
    <w:abstractNumId w:val="3"/>
  </w:num>
  <w:num w:numId="3" w16cid:durableId="2011323666">
    <w:abstractNumId w:val="2"/>
  </w:num>
  <w:num w:numId="4" w16cid:durableId="1226840145">
    <w:abstractNumId w:val="8"/>
  </w:num>
  <w:num w:numId="5" w16cid:durableId="326901076">
    <w:abstractNumId w:val="5"/>
  </w:num>
  <w:num w:numId="6" w16cid:durableId="1713264695">
    <w:abstractNumId w:val="0"/>
  </w:num>
  <w:num w:numId="7" w16cid:durableId="1264608229">
    <w:abstractNumId w:val="1"/>
  </w:num>
  <w:num w:numId="8" w16cid:durableId="647246646">
    <w:abstractNumId w:val="4"/>
  </w:num>
  <w:num w:numId="9" w16cid:durableId="22688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3B4F"/>
    <w:rsid w:val="000603A8"/>
    <w:rsid w:val="0008767D"/>
    <w:rsid w:val="00101250"/>
    <w:rsid w:val="001C7211"/>
    <w:rsid w:val="002769CE"/>
    <w:rsid w:val="00285DE0"/>
    <w:rsid w:val="00320323"/>
    <w:rsid w:val="003F0081"/>
    <w:rsid w:val="00470791"/>
    <w:rsid w:val="00482B51"/>
    <w:rsid w:val="004A7152"/>
    <w:rsid w:val="004B0691"/>
    <w:rsid w:val="004C6EF3"/>
    <w:rsid w:val="004D144C"/>
    <w:rsid w:val="004F1B6A"/>
    <w:rsid w:val="00670B00"/>
    <w:rsid w:val="0067162D"/>
    <w:rsid w:val="006C34E6"/>
    <w:rsid w:val="006E046B"/>
    <w:rsid w:val="00751533"/>
    <w:rsid w:val="0075587C"/>
    <w:rsid w:val="009471D9"/>
    <w:rsid w:val="00B12788"/>
    <w:rsid w:val="00C9168C"/>
    <w:rsid w:val="00CD6AFB"/>
    <w:rsid w:val="00CE65F5"/>
    <w:rsid w:val="00CF3847"/>
    <w:rsid w:val="00DE4C8F"/>
    <w:rsid w:val="00E323EF"/>
    <w:rsid w:val="00F27845"/>
    <w:rsid w:val="00F63B90"/>
    <w:rsid w:val="00FC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27BA8D"/>
  <w15:chartTrackingRefBased/>
  <w15:docId w15:val="{4143FE6D-7707-42F5-8DD1-77FB6BEB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4F1B6A"/>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semiHidden/>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semiHidden/>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swers@hud.gov" TargetMode="External"/><Relationship Id="rId4" Type="http://schemas.openxmlformats.org/officeDocument/2006/relationships/webSettings" Target="webSettings.xml"/><Relationship Id="rId9" Type="http://schemas.openxmlformats.org/officeDocument/2006/relationships/hyperlink" Target="mailto:support@hecm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Leriche, T</cp:lastModifiedBy>
  <cp:revision>2</cp:revision>
  <dcterms:created xsi:type="dcterms:W3CDTF">2023-05-18T18:20:00Z</dcterms:created>
  <dcterms:modified xsi:type="dcterms:W3CDTF">2023-05-18T18:20:00Z</dcterms:modified>
</cp:coreProperties>
</file>