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80A99" w:rsidRPr="00F80A99" w:rsidRDefault="00F80A99" w:rsidP="00F80A99">
      <w:pPr>
        <w:spacing w:after="0" w:line="240" w:lineRule="auto"/>
        <w:jc w:val="center"/>
        <w:rPr>
          <w:rFonts w:ascii="Verdana" w:eastAsia="Calibri" w:hAnsi="Verdana" w:cs="Times New Roman"/>
          <w:b/>
          <w:sz w:val="32"/>
          <w:szCs w:val="32"/>
          <w:u w:val="single"/>
        </w:rPr>
      </w:pPr>
      <w:bookmarkStart w:id="0" w:name="_top"/>
      <w:bookmarkEnd w:id="0"/>
      <w:r w:rsidRPr="00F80A99">
        <w:rPr>
          <w:rFonts w:ascii="Verdana" w:eastAsia="Calibri" w:hAnsi="Verdana" w:cs="Times New Roman"/>
          <w:b/>
          <w:sz w:val="32"/>
          <w:szCs w:val="32"/>
          <w:u w:val="single"/>
        </w:rPr>
        <w:t>HUD’s Lean 232 Program</w:t>
      </w:r>
    </w:p>
    <w:p w:rsidR="00F80A99" w:rsidRPr="00F80A99" w:rsidRDefault="00F80A99" w:rsidP="00F80A99">
      <w:pPr>
        <w:spacing w:after="0" w:line="240" w:lineRule="auto"/>
        <w:jc w:val="center"/>
        <w:rPr>
          <w:rFonts w:ascii="Verdana" w:eastAsia="Calibri" w:hAnsi="Verdana" w:cs="Times New Roman"/>
          <w:b/>
          <w:sz w:val="32"/>
          <w:szCs w:val="32"/>
        </w:rPr>
      </w:pPr>
      <w:r w:rsidRPr="00F80A99">
        <w:rPr>
          <w:rFonts w:ascii="Verdana" w:eastAsia="Calibri" w:hAnsi="Verdana" w:cs="Times New Roman"/>
          <w:b/>
          <w:sz w:val="32"/>
          <w:szCs w:val="32"/>
        </w:rPr>
        <w:t>Office of Residential Care Facilities (ORCF)</w:t>
      </w:r>
    </w:p>
    <w:p w:rsidR="00F80A99" w:rsidRPr="00F80A99" w:rsidRDefault="00F80A99" w:rsidP="00F80A99">
      <w:pPr>
        <w:spacing w:after="0" w:line="240" w:lineRule="auto"/>
        <w:jc w:val="center"/>
        <w:rPr>
          <w:rFonts w:ascii="Verdana" w:eastAsia="Calibri" w:hAnsi="Verdana" w:cs="Times New Roman"/>
          <w:b/>
          <w:sz w:val="32"/>
          <w:szCs w:val="32"/>
          <w:u w:val="single"/>
        </w:rPr>
      </w:pPr>
      <w:r w:rsidRPr="00F80A99">
        <w:rPr>
          <w:rFonts w:ascii="Verdana" w:eastAsia="Calibri" w:hAnsi="Verdana" w:cs="Times New Roman"/>
          <w:b/>
          <w:sz w:val="32"/>
          <w:szCs w:val="32"/>
          <w:u w:val="single"/>
        </w:rPr>
        <w:t xml:space="preserve">Real Estate Assessment Center (REAC) </w:t>
      </w:r>
    </w:p>
    <w:p w:rsidR="00F80A99" w:rsidRPr="00F80A99" w:rsidRDefault="00F80A99" w:rsidP="00F80A99">
      <w:pPr>
        <w:spacing w:after="0" w:line="240" w:lineRule="auto"/>
        <w:jc w:val="center"/>
        <w:rPr>
          <w:rFonts w:ascii="Verdana" w:eastAsia="Calibri" w:hAnsi="Verdana" w:cs="Times New Roman"/>
          <w:b/>
          <w:sz w:val="32"/>
          <w:szCs w:val="32"/>
          <w:u w:val="single"/>
        </w:rPr>
      </w:pPr>
      <w:r w:rsidRPr="00F80A99">
        <w:rPr>
          <w:rFonts w:ascii="Verdana" w:eastAsia="Calibri" w:hAnsi="Verdana" w:cs="Times New Roman"/>
          <w:b/>
          <w:sz w:val="32"/>
          <w:szCs w:val="32"/>
          <w:u w:val="single"/>
        </w:rPr>
        <w:t>Update and Clarification</w:t>
      </w:r>
    </w:p>
    <w:p w:rsidR="00F80A99" w:rsidRPr="00F80A99" w:rsidRDefault="00F80A99" w:rsidP="00F80A99">
      <w:pPr>
        <w:spacing w:after="0" w:line="240" w:lineRule="auto"/>
        <w:jc w:val="center"/>
        <w:rPr>
          <w:rFonts w:ascii="Verdana" w:eastAsia="Calibri" w:hAnsi="Verdana" w:cs="Times New Roman"/>
          <w:b/>
          <w:sz w:val="32"/>
          <w:szCs w:val="32"/>
          <w:u w:val="single"/>
        </w:rPr>
      </w:pPr>
      <w:r w:rsidRPr="00F80A99">
        <w:rPr>
          <w:rFonts w:ascii="Verdana" w:eastAsia="Calibri" w:hAnsi="Verdana" w:cs="Times New Roman"/>
          <w:b/>
          <w:sz w:val="32"/>
          <w:szCs w:val="32"/>
          <w:u w:val="single"/>
        </w:rPr>
        <w:t>May 1, 2018</w:t>
      </w:r>
    </w:p>
    <w:p w:rsidR="00F80A99" w:rsidRPr="00F80A99" w:rsidRDefault="00F80A99" w:rsidP="00F80A99">
      <w:pPr>
        <w:spacing w:after="0" w:line="240" w:lineRule="auto"/>
        <w:jc w:val="center"/>
        <w:rPr>
          <w:rFonts w:ascii="Verdana" w:eastAsia="Calibri" w:hAnsi="Verdana" w:cs="Times New Roman"/>
        </w:rPr>
      </w:pPr>
      <w:r w:rsidRPr="00F80A99">
        <w:rPr>
          <w:rFonts w:ascii="Verdana" w:eastAsia="Calibri" w:hAnsi="Verdana" w:cs="Times New Roman"/>
          <w:noProof/>
          <w:color w:val="1F497D"/>
        </w:rPr>
        <w:drawing>
          <wp:inline distT="0" distB="0" distL="0" distR="0" wp14:anchorId="41E87626" wp14:editId="0E096D9E">
            <wp:extent cx="5702300" cy="94615"/>
            <wp:effectExtent l="0" t="0" r="0" b="635"/>
            <wp:docPr id="1" name="Picture 1"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00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02300" cy="94615"/>
                    </a:xfrm>
                    <a:prstGeom prst="rect">
                      <a:avLst/>
                    </a:prstGeom>
                    <a:noFill/>
                    <a:ln>
                      <a:noFill/>
                    </a:ln>
                  </pic:spPr>
                </pic:pic>
              </a:graphicData>
            </a:graphic>
          </wp:inline>
        </w:drawing>
      </w:r>
    </w:p>
    <w:p w:rsidR="00F80A99" w:rsidRPr="00F80A99" w:rsidRDefault="00F80A99" w:rsidP="00F80A99">
      <w:pPr>
        <w:spacing w:after="0" w:line="240" w:lineRule="auto"/>
        <w:rPr>
          <w:rFonts w:ascii="Verdana" w:eastAsia="Calibri" w:hAnsi="Verdana" w:cs="Times New Roman"/>
          <w:sz w:val="24"/>
        </w:rPr>
      </w:pPr>
    </w:p>
    <w:p w:rsidR="00F80A99" w:rsidRPr="00F80A99" w:rsidRDefault="00F80A99" w:rsidP="00F80A99">
      <w:pPr>
        <w:spacing w:after="0" w:line="240" w:lineRule="auto"/>
        <w:rPr>
          <w:rFonts w:ascii="Verdana" w:eastAsia="Calibri" w:hAnsi="Verdana" w:cs="Times New Roman"/>
          <w:sz w:val="24"/>
        </w:rPr>
      </w:pPr>
    </w:p>
    <w:p w:rsidR="00F80A99" w:rsidRPr="00F80A99" w:rsidRDefault="00F80A99" w:rsidP="00F80A99">
      <w:pPr>
        <w:spacing w:after="0" w:line="240" w:lineRule="auto"/>
        <w:rPr>
          <w:rFonts w:ascii="Verdana" w:eastAsia="Calibri" w:hAnsi="Verdana" w:cs="Times New Roman"/>
          <w:i/>
          <w:sz w:val="32"/>
          <w:u w:val="single"/>
        </w:rPr>
      </w:pPr>
      <w:r w:rsidRPr="00F80A99">
        <w:rPr>
          <w:rFonts w:ascii="Verdana" w:eastAsia="Calibri" w:hAnsi="Verdana" w:cs="Times New Roman"/>
          <w:i/>
          <w:sz w:val="32"/>
          <w:u w:val="single"/>
        </w:rPr>
        <w:t>May 1, 2018 Contents</w:t>
      </w:r>
    </w:p>
    <w:p w:rsidR="00F80A99" w:rsidRPr="00F80A99" w:rsidRDefault="00F80A99" w:rsidP="00F80A99">
      <w:pPr>
        <w:spacing w:after="0" w:line="240" w:lineRule="auto"/>
        <w:rPr>
          <w:rFonts w:ascii="Verdana" w:eastAsia="Calibri" w:hAnsi="Verdana" w:cs="Times New Roman"/>
          <w:b/>
          <w:i/>
          <w:sz w:val="32"/>
          <w:u w:val="single"/>
        </w:rPr>
      </w:pPr>
    </w:p>
    <w:p w:rsidR="00F80A99" w:rsidRPr="00F80A99" w:rsidRDefault="00F80A99" w:rsidP="00F80A99">
      <w:pPr>
        <w:tabs>
          <w:tab w:val="right" w:leader="dot" w:pos="9350"/>
        </w:tabs>
        <w:spacing w:after="0" w:line="240" w:lineRule="auto"/>
        <w:ind w:left="270" w:hanging="270"/>
        <w:rPr>
          <w:rFonts w:ascii="Calibri" w:eastAsia="Times New Roman" w:hAnsi="Calibri" w:cs="Times New Roman"/>
          <w:noProof/>
        </w:rPr>
      </w:pPr>
      <w:r w:rsidRPr="00F80A99">
        <w:rPr>
          <w:rFonts w:ascii="Verdana" w:eastAsia="Calibri" w:hAnsi="Verdana" w:cs="Times New Roman"/>
          <w:i/>
          <w:sz w:val="24"/>
        </w:rPr>
        <w:fldChar w:fldCharType="begin"/>
      </w:r>
      <w:r w:rsidRPr="00F80A99">
        <w:rPr>
          <w:rFonts w:ascii="Verdana" w:eastAsia="Calibri" w:hAnsi="Verdana" w:cs="Times New Roman"/>
          <w:i/>
          <w:sz w:val="24"/>
        </w:rPr>
        <w:instrText xml:space="preserve"> TOC \o "1-3" \n \h \z \u </w:instrText>
      </w:r>
      <w:r w:rsidRPr="00F80A99">
        <w:rPr>
          <w:rFonts w:ascii="Verdana" w:eastAsia="Calibri" w:hAnsi="Verdana" w:cs="Times New Roman"/>
          <w:i/>
          <w:sz w:val="24"/>
        </w:rPr>
        <w:fldChar w:fldCharType="separate"/>
      </w:r>
      <w:hyperlink w:anchor="_Toc511809855" w:history="1">
        <w:r w:rsidRPr="00F80A99">
          <w:rPr>
            <w:rFonts w:ascii="Verdana" w:eastAsia="Calibri" w:hAnsi="Verdana" w:cs="Times New Roman"/>
            <w:noProof/>
            <w:color w:val="0000FF"/>
            <w:sz w:val="24"/>
            <w:u w:val="single"/>
          </w:rPr>
          <w:t>Asset Management Updates and Reminders on Real Estate Assessment Center (REAC) Inspections</w:t>
        </w:r>
      </w:hyperlink>
    </w:p>
    <w:p w:rsidR="00F80A99" w:rsidRPr="00F80A99" w:rsidRDefault="00F80A99" w:rsidP="00F80A99">
      <w:pPr>
        <w:tabs>
          <w:tab w:val="right" w:leader="dot" w:pos="9350"/>
        </w:tabs>
        <w:spacing w:after="0" w:line="240" w:lineRule="auto"/>
        <w:ind w:left="270"/>
        <w:rPr>
          <w:rFonts w:ascii="Calibri" w:eastAsia="Times New Roman" w:hAnsi="Calibri" w:cs="Times New Roman"/>
          <w:noProof/>
        </w:rPr>
      </w:pPr>
      <w:hyperlink w:anchor="_Toc511809856" w:history="1">
        <w:r w:rsidRPr="00F80A99">
          <w:rPr>
            <w:rFonts w:ascii="Verdana" w:eastAsia="Calibri" w:hAnsi="Verdana" w:cs="Times New Roman"/>
            <w:noProof/>
            <w:color w:val="0000FF"/>
            <w:sz w:val="24"/>
            <w:u w:val="single"/>
          </w:rPr>
          <w:t>Clarification of Process for REAC Inspections of Section 232 Projects</w:t>
        </w:r>
      </w:hyperlink>
    </w:p>
    <w:p w:rsidR="00F80A99" w:rsidRPr="00F80A99" w:rsidRDefault="00F80A99" w:rsidP="00F80A99">
      <w:pPr>
        <w:tabs>
          <w:tab w:val="right" w:leader="dot" w:pos="9350"/>
        </w:tabs>
        <w:spacing w:after="0" w:line="240" w:lineRule="auto"/>
        <w:ind w:left="270"/>
        <w:rPr>
          <w:rFonts w:ascii="Calibri" w:eastAsia="Times New Roman" w:hAnsi="Calibri" w:cs="Times New Roman"/>
          <w:noProof/>
        </w:rPr>
      </w:pPr>
      <w:hyperlink w:anchor="_Toc511809857" w:history="1">
        <w:r w:rsidRPr="00F80A99">
          <w:rPr>
            <w:rFonts w:ascii="Verdana" w:eastAsia="Calibri" w:hAnsi="Verdana" w:cs="Times New Roman"/>
            <w:noProof/>
            <w:color w:val="0000FF"/>
            <w:sz w:val="24"/>
            <w:u w:val="single"/>
          </w:rPr>
          <w:t>REAC Inspections and Skilled Nursing Facilities (SNFs)</w:t>
        </w:r>
      </w:hyperlink>
    </w:p>
    <w:p w:rsidR="00F80A99" w:rsidRPr="00F80A99" w:rsidRDefault="00F80A99" w:rsidP="00F80A99">
      <w:pPr>
        <w:tabs>
          <w:tab w:val="right" w:leader="dot" w:pos="9350"/>
        </w:tabs>
        <w:spacing w:after="0" w:line="240" w:lineRule="auto"/>
        <w:ind w:left="270"/>
        <w:rPr>
          <w:rFonts w:ascii="Calibri" w:eastAsia="Times New Roman" w:hAnsi="Calibri" w:cs="Times New Roman"/>
          <w:noProof/>
        </w:rPr>
      </w:pPr>
      <w:hyperlink w:anchor="_Toc511809858" w:history="1">
        <w:r w:rsidRPr="00F80A99">
          <w:rPr>
            <w:rFonts w:ascii="Verdana" w:eastAsia="Calibri" w:hAnsi="Verdana" w:cs="Times New Roman"/>
            <w:noProof/>
            <w:color w:val="0000FF"/>
            <w:sz w:val="24"/>
            <w:u w:val="single"/>
          </w:rPr>
          <w:t>Database Adjustment/Pre-Database Adjustments/Technical Review</w:t>
        </w:r>
      </w:hyperlink>
    </w:p>
    <w:p w:rsidR="00F80A99" w:rsidRPr="00F80A99" w:rsidRDefault="00F80A99" w:rsidP="00F80A99">
      <w:pPr>
        <w:tabs>
          <w:tab w:val="right" w:leader="dot" w:pos="9350"/>
        </w:tabs>
        <w:spacing w:after="0" w:line="240" w:lineRule="auto"/>
        <w:ind w:left="270"/>
        <w:rPr>
          <w:rFonts w:ascii="Calibri" w:eastAsia="Times New Roman" w:hAnsi="Calibri" w:cs="Times New Roman"/>
          <w:noProof/>
        </w:rPr>
      </w:pPr>
      <w:hyperlink w:anchor="_Toc511809859" w:history="1">
        <w:r w:rsidRPr="00F80A99">
          <w:rPr>
            <w:rFonts w:ascii="Verdana" w:eastAsia="Calibri" w:hAnsi="Verdana" w:cs="Times New Roman"/>
            <w:noProof/>
            <w:color w:val="0000FF"/>
            <w:sz w:val="24"/>
            <w:u w:val="single"/>
          </w:rPr>
          <w:t>REAC Information on HUD.gov</w:t>
        </w:r>
      </w:hyperlink>
    </w:p>
    <w:p w:rsidR="00F80A99" w:rsidRPr="00F80A99" w:rsidRDefault="00F80A99" w:rsidP="00F80A99">
      <w:pPr>
        <w:tabs>
          <w:tab w:val="right" w:leader="dot" w:pos="9350"/>
        </w:tabs>
        <w:spacing w:after="0" w:line="240" w:lineRule="auto"/>
        <w:ind w:left="270" w:hanging="270"/>
        <w:rPr>
          <w:rFonts w:ascii="Calibri" w:eastAsia="Times New Roman" w:hAnsi="Calibri" w:cs="Times New Roman"/>
          <w:noProof/>
        </w:rPr>
      </w:pPr>
      <w:hyperlink w:anchor="_Toc511809860" w:history="1">
        <w:r w:rsidRPr="00F80A99">
          <w:rPr>
            <w:rFonts w:ascii="Verdana" w:eastAsia="Calibri" w:hAnsi="Verdana" w:cs="Times New Roman"/>
            <w:noProof/>
            <w:color w:val="0000FF"/>
            <w:sz w:val="24"/>
            <w:u w:val="single"/>
          </w:rPr>
          <w:t>Document Links Included In This Blast</w:t>
        </w:r>
      </w:hyperlink>
    </w:p>
    <w:p w:rsidR="00F80A99" w:rsidRPr="00F80A99" w:rsidRDefault="00F80A99" w:rsidP="00F80A99">
      <w:pPr>
        <w:spacing w:after="0" w:line="240" w:lineRule="auto"/>
        <w:rPr>
          <w:rFonts w:ascii="Verdana" w:eastAsia="Calibri" w:hAnsi="Verdana" w:cs="Times New Roman"/>
          <w:sz w:val="24"/>
        </w:rPr>
      </w:pPr>
      <w:r w:rsidRPr="00F80A99">
        <w:rPr>
          <w:rFonts w:ascii="Verdana" w:eastAsia="Calibri" w:hAnsi="Verdana" w:cs="Times New Roman"/>
          <w:i/>
          <w:sz w:val="24"/>
        </w:rPr>
        <w:fldChar w:fldCharType="end"/>
      </w:r>
    </w:p>
    <w:p w:rsidR="00F80A99" w:rsidRPr="00F80A99" w:rsidRDefault="00F80A99" w:rsidP="00F80A99">
      <w:pPr>
        <w:spacing w:after="0" w:line="240" w:lineRule="auto"/>
        <w:jc w:val="center"/>
        <w:rPr>
          <w:rFonts w:ascii="Verdana" w:eastAsia="Calibri" w:hAnsi="Verdana" w:cs="Times New Roman"/>
          <w:sz w:val="24"/>
        </w:rPr>
      </w:pPr>
      <w:r w:rsidRPr="00F80A99">
        <w:rPr>
          <w:rFonts w:ascii="Verdana" w:eastAsia="Calibri" w:hAnsi="Verdana" w:cs="Times New Roman"/>
          <w:noProof/>
          <w:color w:val="1F497D"/>
        </w:rPr>
        <w:drawing>
          <wp:inline distT="0" distB="0" distL="0" distR="0" wp14:anchorId="1ABF09C3" wp14:editId="2DE63CA2">
            <wp:extent cx="5702300" cy="94615"/>
            <wp:effectExtent l="0" t="0" r="0" b="635"/>
            <wp:docPr id="2" name="Picture 2"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00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02300" cy="94615"/>
                    </a:xfrm>
                    <a:prstGeom prst="rect">
                      <a:avLst/>
                    </a:prstGeom>
                    <a:noFill/>
                    <a:ln>
                      <a:noFill/>
                    </a:ln>
                  </pic:spPr>
                </pic:pic>
              </a:graphicData>
            </a:graphic>
          </wp:inline>
        </w:drawing>
      </w:r>
    </w:p>
    <w:p w:rsidR="00F80A99" w:rsidRPr="00F80A99" w:rsidRDefault="00F80A99" w:rsidP="00F80A99">
      <w:pPr>
        <w:spacing w:after="0" w:line="240" w:lineRule="auto"/>
        <w:rPr>
          <w:rFonts w:ascii="Verdana" w:eastAsia="Calibri" w:hAnsi="Verdana" w:cs="Times New Roman"/>
          <w:color w:val="000000"/>
          <w:sz w:val="24"/>
        </w:rPr>
      </w:pPr>
      <w:bookmarkStart w:id="1" w:name="_Toc380585836"/>
      <w:bookmarkEnd w:id="1"/>
    </w:p>
    <w:p w:rsidR="00F80A99" w:rsidRPr="00F80A99" w:rsidRDefault="00F80A99" w:rsidP="00F80A99">
      <w:pPr>
        <w:spacing w:after="0" w:line="240" w:lineRule="auto"/>
        <w:rPr>
          <w:rFonts w:ascii="Verdana" w:eastAsia="Calibri" w:hAnsi="Verdana" w:cs="Times New Roman"/>
          <w:sz w:val="24"/>
        </w:rPr>
      </w:pPr>
      <w:bookmarkStart w:id="2" w:name="_Toc511141909"/>
      <w:r w:rsidRPr="00F80A99">
        <w:rPr>
          <w:rFonts w:ascii="Verdana" w:eastAsia="Calibri" w:hAnsi="Verdana" w:cs="Times New Roman"/>
          <w:sz w:val="24"/>
        </w:rPr>
        <w:t>This Email Blast is most relevant to servicers of Section 232 projects since it provides updates and clarification on REAC inspections of Section 232 projects.  The Office of Residential Care Facilities (ORCF) will be following up with a session to address questions about this guidance.  Details will be provided in a forthcoming Email Blast.</w:t>
      </w:r>
    </w:p>
    <w:p w:rsidR="00F80A99" w:rsidRPr="00F80A99" w:rsidRDefault="00F80A99" w:rsidP="00F80A99">
      <w:pPr>
        <w:spacing w:after="120" w:line="240" w:lineRule="auto"/>
        <w:outlineLvl w:val="0"/>
        <w:rPr>
          <w:rFonts w:ascii="Verdana" w:eastAsia="Calibri" w:hAnsi="Verdana" w:cs="Times New Roman"/>
          <w:b/>
          <w:bCs/>
          <w:caps/>
          <w:sz w:val="28"/>
          <w:szCs w:val="32"/>
          <w:u w:val="single"/>
        </w:rPr>
      </w:pPr>
    </w:p>
    <w:p w:rsidR="00F80A99" w:rsidRPr="00F80A99" w:rsidRDefault="00F80A99" w:rsidP="00F80A99">
      <w:pPr>
        <w:spacing w:after="120" w:line="240" w:lineRule="auto"/>
        <w:outlineLvl w:val="0"/>
        <w:rPr>
          <w:rFonts w:ascii="Verdana" w:eastAsia="Calibri" w:hAnsi="Verdana" w:cs="Times New Roman"/>
          <w:b/>
          <w:bCs/>
          <w:caps/>
          <w:sz w:val="28"/>
          <w:szCs w:val="32"/>
          <w:u w:val="single"/>
        </w:rPr>
      </w:pPr>
      <w:bookmarkStart w:id="3" w:name="_Toc511809855"/>
      <w:r w:rsidRPr="00F80A99">
        <w:rPr>
          <w:rFonts w:ascii="Verdana" w:eastAsia="Calibri" w:hAnsi="Verdana" w:cs="Times New Roman"/>
          <w:b/>
          <w:bCs/>
          <w:caps/>
          <w:sz w:val="28"/>
          <w:szCs w:val="32"/>
          <w:u w:val="single"/>
        </w:rPr>
        <w:t>Asset Management Updates and Reminders on Real Estate Assessment Center (REAC) Inspections</w:t>
      </w:r>
      <w:bookmarkEnd w:id="2"/>
      <w:bookmarkEnd w:id="3"/>
    </w:p>
    <w:p w:rsidR="00F80A99" w:rsidRPr="00F80A99" w:rsidRDefault="00F80A99" w:rsidP="00F80A99">
      <w:pPr>
        <w:spacing w:after="0" w:line="240" w:lineRule="auto"/>
        <w:rPr>
          <w:rFonts w:ascii="Verdana" w:eastAsia="Calibri" w:hAnsi="Verdana" w:cs="Times New Roman"/>
          <w:sz w:val="24"/>
        </w:rPr>
      </w:pPr>
    </w:p>
    <w:p w:rsidR="00F80A99" w:rsidRPr="00F80A99" w:rsidRDefault="00F80A99" w:rsidP="00F80A99">
      <w:pPr>
        <w:spacing w:after="0" w:line="240" w:lineRule="auto"/>
        <w:outlineLvl w:val="1"/>
        <w:rPr>
          <w:rFonts w:ascii="Verdana" w:eastAsia="Calibri" w:hAnsi="Verdana" w:cs="Times New Roman"/>
          <w:b/>
          <w:bCs/>
          <w:sz w:val="24"/>
          <w:szCs w:val="24"/>
          <w:u w:val="single"/>
        </w:rPr>
      </w:pPr>
      <w:bookmarkStart w:id="4" w:name="_Toc511141910"/>
      <w:bookmarkStart w:id="5" w:name="_Toc511809856"/>
      <w:r w:rsidRPr="00F80A99">
        <w:rPr>
          <w:rFonts w:ascii="Verdana" w:eastAsia="Calibri" w:hAnsi="Verdana" w:cs="Times New Roman"/>
          <w:b/>
          <w:bCs/>
          <w:sz w:val="24"/>
          <w:szCs w:val="24"/>
          <w:u w:val="single"/>
        </w:rPr>
        <w:t>Clarification of Process for REAC Inspections of Section 232 Projects</w:t>
      </w:r>
      <w:bookmarkEnd w:id="4"/>
      <w:bookmarkEnd w:id="5"/>
    </w:p>
    <w:p w:rsidR="00F80A99" w:rsidRPr="00F80A99" w:rsidRDefault="00F80A99" w:rsidP="00F80A99">
      <w:pPr>
        <w:spacing w:after="0" w:line="240" w:lineRule="auto"/>
        <w:rPr>
          <w:rFonts w:ascii="Verdana" w:eastAsia="Calibri" w:hAnsi="Verdana" w:cs="Times New Roman"/>
          <w:sz w:val="24"/>
          <w:szCs w:val="24"/>
        </w:rPr>
      </w:pPr>
    </w:p>
    <w:p w:rsidR="00F80A99" w:rsidRPr="00F80A99" w:rsidRDefault="00F80A99" w:rsidP="00F80A99">
      <w:pPr>
        <w:spacing w:after="0" w:line="240" w:lineRule="auto"/>
        <w:rPr>
          <w:rFonts w:ascii="Verdana" w:eastAsia="Calibri" w:hAnsi="Verdana" w:cs="Times New Roman"/>
          <w:sz w:val="24"/>
          <w:szCs w:val="24"/>
        </w:rPr>
      </w:pPr>
      <w:r w:rsidRPr="00F80A99">
        <w:rPr>
          <w:rFonts w:ascii="Verdana" w:eastAsia="Calibri" w:hAnsi="Verdana" w:cs="Times New Roman"/>
          <w:sz w:val="24"/>
          <w:szCs w:val="24"/>
        </w:rPr>
        <w:t xml:space="preserve">ORCF is clarifying its internal process for addressing Section 232 projects with a </w:t>
      </w:r>
      <w:bookmarkStart w:id="6" w:name="_Hlk509396471"/>
      <w:r w:rsidRPr="00F80A99">
        <w:rPr>
          <w:rFonts w:ascii="Verdana" w:eastAsia="Calibri" w:hAnsi="Verdana" w:cs="Times New Roman"/>
          <w:sz w:val="24"/>
          <w:szCs w:val="24"/>
        </w:rPr>
        <w:t xml:space="preserve">single, non-consecutive score of 31-59 </w:t>
      </w:r>
      <w:bookmarkEnd w:id="6"/>
      <w:r w:rsidRPr="00F80A99">
        <w:rPr>
          <w:rFonts w:ascii="Verdana" w:eastAsia="Calibri" w:hAnsi="Verdana" w:cs="Times New Roman"/>
          <w:sz w:val="24"/>
          <w:szCs w:val="24"/>
        </w:rPr>
        <w:t>on a REAC physical inspection report to ensure consistency with the process followed by Multifamily Housing (as outlined in Notice 2011-24 and Notice 2015-02).</w:t>
      </w:r>
    </w:p>
    <w:p w:rsidR="00F80A99" w:rsidRPr="00F80A99" w:rsidRDefault="00F80A99" w:rsidP="00F80A99">
      <w:pPr>
        <w:spacing w:after="0" w:line="240" w:lineRule="auto"/>
        <w:rPr>
          <w:rFonts w:ascii="Verdana" w:eastAsia="Calibri" w:hAnsi="Verdana" w:cs="Times New Roman"/>
          <w:sz w:val="24"/>
          <w:szCs w:val="24"/>
        </w:rPr>
      </w:pPr>
    </w:p>
    <w:p w:rsidR="00F80A99" w:rsidRPr="00F80A99" w:rsidRDefault="00F80A99" w:rsidP="00F80A99">
      <w:pPr>
        <w:spacing w:after="0" w:line="240" w:lineRule="auto"/>
        <w:rPr>
          <w:rFonts w:ascii="Verdana" w:eastAsia="Calibri" w:hAnsi="Verdana" w:cs="Times New Roman"/>
          <w:sz w:val="24"/>
          <w:szCs w:val="24"/>
        </w:rPr>
      </w:pPr>
      <w:r w:rsidRPr="00F80A99">
        <w:rPr>
          <w:rFonts w:ascii="Verdana" w:eastAsia="Calibri" w:hAnsi="Verdana" w:cs="Times New Roman"/>
          <w:sz w:val="24"/>
          <w:szCs w:val="24"/>
        </w:rPr>
        <w:t xml:space="preserve">Currently, when a Section 232 project receives a single, non-consecutive score of 31-59, after the owner completes their 100% survey and provides the Project Owner Certification to HUD, ORCF staff immediately requests </w:t>
      </w:r>
      <w:r w:rsidRPr="00F80A99">
        <w:rPr>
          <w:rFonts w:ascii="Verdana" w:eastAsia="Calibri" w:hAnsi="Verdana" w:cs="Times New Roman"/>
          <w:sz w:val="24"/>
          <w:szCs w:val="24"/>
        </w:rPr>
        <w:lastRenderedPageBreak/>
        <w:t xml:space="preserve">another inspection with REAC staff.  This inspection has been performed by REAC staff.  </w:t>
      </w:r>
    </w:p>
    <w:p w:rsidR="00F80A99" w:rsidRPr="00F80A99" w:rsidRDefault="00F80A99" w:rsidP="00F80A99">
      <w:pPr>
        <w:spacing w:after="0" w:line="240" w:lineRule="auto"/>
        <w:rPr>
          <w:rFonts w:ascii="Verdana" w:eastAsia="Calibri" w:hAnsi="Verdana" w:cs="Times New Roman"/>
          <w:sz w:val="24"/>
          <w:szCs w:val="24"/>
        </w:rPr>
      </w:pPr>
    </w:p>
    <w:p w:rsidR="00F80A99" w:rsidRPr="00F80A99" w:rsidRDefault="00F80A99" w:rsidP="00F80A99">
      <w:pPr>
        <w:spacing w:after="0" w:line="240" w:lineRule="auto"/>
        <w:rPr>
          <w:rFonts w:ascii="Verdana" w:eastAsia="Calibri" w:hAnsi="Verdana" w:cs="Times New Roman"/>
          <w:sz w:val="24"/>
          <w:szCs w:val="24"/>
        </w:rPr>
      </w:pPr>
      <w:r w:rsidRPr="00F80A99">
        <w:rPr>
          <w:rFonts w:ascii="Verdana" w:eastAsia="Calibri" w:hAnsi="Verdana" w:cs="Times New Roman"/>
          <w:sz w:val="24"/>
          <w:szCs w:val="24"/>
        </w:rPr>
        <w:t xml:space="preserve">Effective with the issuance of this Email Blast, ORCF staff will no longer request a subsequent inspection from REAC staff (provided HUD has received a Project Owner Certification that is acceptable to HUD).  On such projects, the next REAC inspection will be performed one year from the date that HUD releases the prior REAC inspection report and the next REAC inspection will be ordered by the lender using the normal REAC inspection protocol.  </w:t>
      </w:r>
    </w:p>
    <w:p w:rsidR="00F80A99" w:rsidRPr="00F80A99" w:rsidRDefault="00F80A99" w:rsidP="00F80A99">
      <w:pPr>
        <w:spacing w:after="0" w:line="240" w:lineRule="auto"/>
        <w:rPr>
          <w:rFonts w:ascii="Verdana" w:eastAsia="Calibri" w:hAnsi="Verdana" w:cs="Times New Roman"/>
          <w:sz w:val="24"/>
          <w:szCs w:val="24"/>
        </w:rPr>
      </w:pPr>
    </w:p>
    <w:p w:rsidR="00F80A99" w:rsidRPr="00F80A99" w:rsidRDefault="00F80A99" w:rsidP="00F80A99">
      <w:pPr>
        <w:spacing w:after="0" w:line="240" w:lineRule="auto"/>
        <w:rPr>
          <w:rFonts w:ascii="Verdana" w:eastAsia="Calibri" w:hAnsi="Verdana" w:cs="Times New Roman"/>
          <w:sz w:val="24"/>
          <w:szCs w:val="24"/>
        </w:rPr>
      </w:pPr>
      <w:r w:rsidRPr="00F80A99">
        <w:rPr>
          <w:rFonts w:ascii="Verdana" w:eastAsia="Calibri" w:hAnsi="Verdana" w:cs="Times New Roman"/>
          <w:sz w:val="24"/>
          <w:szCs w:val="24"/>
        </w:rPr>
        <w:t>Please note that ORCF staff will continue to request a subsequent inspection from REAC in the following situations:</w:t>
      </w:r>
    </w:p>
    <w:p w:rsidR="00F80A99" w:rsidRPr="00F80A99" w:rsidRDefault="00F80A99" w:rsidP="00F80A99">
      <w:pPr>
        <w:spacing w:after="0" w:line="240" w:lineRule="auto"/>
        <w:rPr>
          <w:rFonts w:ascii="Verdana" w:eastAsia="Calibri" w:hAnsi="Verdana" w:cs="Times New Roman"/>
          <w:sz w:val="24"/>
          <w:szCs w:val="24"/>
        </w:rPr>
      </w:pPr>
    </w:p>
    <w:p w:rsidR="00F80A99" w:rsidRPr="00F80A99" w:rsidRDefault="00F80A99" w:rsidP="00F80A99">
      <w:pPr>
        <w:numPr>
          <w:ilvl w:val="0"/>
          <w:numId w:val="4"/>
        </w:numPr>
        <w:spacing w:after="0" w:line="240" w:lineRule="auto"/>
        <w:contextualSpacing/>
        <w:rPr>
          <w:rFonts w:ascii="Verdana" w:eastAsia="Calibri" w:hAnsi="Verdana" w:cs="Times New Roman"/>
          <w:sz w:val="24"/>
          <w:szCs w:val="24"/>
        </w:rPr>
      </w:pPr>
      <w:r w:rsidRPr="00F80A99">
        <w:rPr>
          <w:rFonts w:ascii="Verdana" w:eastAsia="Calibri" w:hAnsi="Verdana" w:cs="Times New Roman"/>
          <w:sz w:val="24"/>
          <w:szCs w:val="24"/>
        </w:rPr>
        <w:t>The project received a score of less than 31, or</w:t>
      </w:r>
    </w:p>
    <w:p w:rsidR="00F80A99" w:rsidRPr="00F80A99" w:rsidRDefault="00F80A99" w:rsidP="00F80A99">
      <w:pPr>
        <w:numPr>
          <w:ilvl w:val="0"/>
          <w:numId w:val="4"/>
        </w:numPr>
        <w:spacing w:after="0" w:line="240" w:lineRule="auto"/>
        <w:contextualSpacing/>
        <w:rPr>
          <w:rFonts w:ascii="Verdana" w:eastAsia="Calibri" w:hAnsi="Verdana" w:cs="Times New Roman"/>
          <w:sz w:val="24"/>
          <w:szCs w:val="24"/>
        </w:rPr>
      </w:pPr>
      <w:r w:rsidRPr="00F80A99">
        <w:rPr>
          <w:rFonts w:ascii="Verdana" w:eastAsia="Calibri" w:hAnsi="Verdana" w:cs="Times New Roman"/>
          <w:sz w:val="24"/>
          <w:szCs w:val="24"/>
        </w:rPr>
        <w:t>The project received two or more consecutive scores of less than 60, or</w:t>
      </w:r>
    </w:p>
    <w:p w:rsidR="00F80A99" w:rsidRPr="00F80A99" w:rsidRDefault="00F80A99" w:rsidP="00F80A99">
      <w:pPr>
        <w:numPr>
          <w:ilvl w:val="0"/>
          <w:numId w:val="4"/>
        </w:numPr>
        <w:spacing w:after="0" w:line="240" w:lineRule="auto"/>
        <w:contextualSpacing/>
        <w:rPr>
          <w:rFonts w:ascii="Verdana" w:eastAsia="Calibri" w:hAnsi="Verdana" w:cs="Times New Roman"/>
          <w:sz w:val="24"/>
          <w:szCs w:val="24"/>
        </w:rPr>
      </w:pPr>
      <w:r w:rsidRPr="00F80A99">
        <w:rPr>
          <w:rFonts w:ascii="Verdana" w:eastAsia="Calibri" w:hAnsi="Verdana" w:cs="Times New Roman"/>
          <w:sz w:val="24"/>
          <w:szCs w:val="24"/>
        </w:rPr>
        <w:t>The project received a single, non-consecutive score of 31-59, and the owner failed to provide the required Project Owner Certification in a manner that is acceptable to HUD, or</w:t>
      </w:r>
    </w:p>
    <w:p w:rsidR="00F80A99" w:rsidRPr="00F80A99" w:rsidRDefault="00F80A99" w:rsidP="00F80A99">
      <w:pPr>
        <w:numPr>
          <w:ilvl w:val="0"/>
          <w:numId w:val="4"/>
        </w:numPr>
        <w:spacing w:after="0" w:line="240" w:lineRule="auto"/>
        <w:contextualSpacing/>
        <w:rPr>
          <w:rFonts w:ascii="Verdana" w:eastAsia="Calibri" w:hAnsi="Verdana" w:cs="Times New Roman"/>
          <w:sz w:val="24"/>
          <w:szCs w:val="24"/>
        </w:rPr>
      </w:pPr>
      <w:r w:rsidRPr="00F80A99">
        <w:rPr>
          <w:rFonts w:ascii="Verdana" w:eastAsia="Calibri" w:hAnsi="Verdana" w:cs="Times New Roman"/>
          <w:sz w:val="24"/>
          <w:szCs w:val="24"/>
        </w:rPr>
        <w:t>Any subsequent inspection required on a Nursing Home/SNF due to a previous less than 60 score.</w:t>
      </w:r>
    </w:p>
    <w:p w:rsidR="00F80A99" w:rsidRPr="00F80A99" w:rsidRDefault="00F80A99" w:rsidP="00F80A99">
      <w:pPr>
        <w:spacing w:after="0" w:line="240" w:lineRule="auto"/>
        <w:rPr>
          <w:rFonts w:ascii="Verdana" w:eastAsia="Calibri" w:hAnsi="Verdana" w:cs="Times New Roman"/>
          <w:b/>
          <w:bCs/>
          <w:sz w:val="24"/>
          <w:szCs w:val="24"/>
        </w:rPr>
      </w:pPr>
    </w:p>
    <w:p w:rsidR="00F80A99" w:rsidRPr="00F80A99" w:rsidRDefault="00F80A99" w:rsidP="00F80A99">
      <w:pPr>
        <w:spacing w:after="0" w:line="240" w:lineRule="auto"/>
        <w:outlineLvl w:val="1"/>
        <w:rPr>
          <w:rFonts w:ascii="Verdana" w:eastAsia="Calibri" w:hAnsi="Verdana" w:cs="Times New Roman"/>
          <w:b/>
          <w:bCs/>
          <w:sz w:val="24"/>
          <w:szCs w:val="24"/>
          <w:u w:val="single"/>
        </w:rPr>
      </w:pPr>
      <w:bookmarkStart w:id="7" w:name="_Toc511141911"/>
      <w:bookmarkStart w:id="8" w:name="_Toc511809857"/>
      <w:r w:rsidRPr="00F80A99">
        <w:rPr>
          <w:rFonts w:ascii="Verdana" w:eastAsia="Calibri" w:hAnsi="Verdana" w:cs="Times New Roman"/>
          <w:b/>
          <w:bCs/>
          <w:sz w:val="24"/>
          <w:szCs w:val="24"/>
          <w:u w:val="single"/>
        </w:rPr>
        <w:t>REAC Inspections and Skilled Nursing Facilities (SNFs)</w:t>
      </w:r>
      <w:bookmarkEnd w:id="7"/>
      <w:bookmarkEnd w:id="8"/>
    </w:p>
    <w:p w:rsidR="00F80A99" w:rsidRPr="00F80A99" w:rsidRDefault="00F80A99" w:rsidP="00F80A99">
      <w:pPr>
        <w:spacing w:after="0" w:line="240" w:lineRule="auto"/>
        <w:rPr>
          <w:rFonts w:ascii="Verdana" w:eastAsia="Calibri" w:hAnsi="Verdana" w:cs="Times New Roman"/>
          <w:b/>
          <w:sz w:val="24"/>
          <w:szCs w:val="24"/>
        </w:rPr>
      </w:pPr>
    </w:p>
    <w:p w:rsidR="00F80A99" w:rsidRPr="00F80A99" w:rsidRDefault="00F80A99" w:rsidP="00F80A99">
      <w:pPr>
        <w:spacing w:after="0" w:line="240" w:lineRule="auto"/>
        <w:rPr>
          <w:rFonts w:ascii="Verdana" w:eastAsia="Calibri" w:hAnsi="Verdana" w:cs="Times New Roman"/>
          <w:sz w:val="24"/>
          <w:szCs w:val="24"/>
        </w:rPr>
      </w:pPr>
      <w:r w:rsidRPr="00F80A99">
        <w:rPr>
          <w:rFonts w:ascii="Verdana" w:eastAsia="Calibri" w:hAnsi="Verdana" w:cs="Times New Roman"/>
          <w:sz w:val="24"/>
          <w:szCs w:val="24"/>
        </w:rPr>
        <w:t xml:space="preserve">On September 7, 2012 (effective October 9, 2012), HUD issued the Final Rule:  </w:t>
      </w:r>
      <w:r w:rsidRPr="00F80A99">
        <w:rPr>
          <w:rFonts w:ascii="Verdana" w:eastAsia="Calibri" w:hAnsi="Verdana" w:cs="Times New Roman"/>
          <w:b/>
          <w:bCs/>
          <w:sz w:val="24"/>
          <w:szCs w:val="24"/>
        </w:rPr>
        <w:t>Federal Housing Administration (FHA): Section 232 Healthcare Facility Insurance Program-Strengthening Accountability and Regulatory Revisions Update</w:t>
      </w:r>
      <w:r w:rsidRPr="00F80A99">
        <w:rPr>
          <w:rFonts w:ascii="Verdana" w:eastAsia="Calibri" w:hAnsi="Verdana" w:cs="Times New Roman"/>
          <w:sz w:val="24"/>
          <w:szCs w:val="24"/>
        </w:rPr>
        <w:t xml:space="preserve">. The rule amended 24 CFR Section 200.85, </w:t>
      </w:r>
      <w:r w:rsidRPr="00F80A99">
        <w:rPr>
          <w:rFonts w:ascii="Verdana" w:eastAsia="Calibri" w:hAnsi="Verdana" w:cs="Times New Roman"/>
          <w:i/>
          <w:iCs/>
          <w:sz w:val="24"/>
          <w:szCs w:val="24"/>
        </w:rPr>
        <w:t>Physical Condition Standards and Physical Inspection Requirements</w:t>
      </w:r>
      <w:r w:rsidRPr="00F80A99">
        <w:rPr>
          <w:rFonts w:ascii="Verdana" w:eastAsia="Calibri" w:hAnsi="Verdana" w:cs="Times New Roman"/>
          <w:sz w:val="24"/>
          <w:szCs w:val="24"/>
        </w:rPr>
        <w:t>, to allow HUD greater flexibility in the physical inspections of skilled nursing facilities (SNF), assisted living facilities, board and care facilities and intermediate care facilities.</w:t>
      </w:r>
    </w:p>
    <w:p w:rsidR="00F80A99" w:rsidRPr="00F80A99" w:rsidRDefault="00F80A99" w:rsidP="00F80A99">
      <w:pPr>
        <w:spacing w:after="0" w:line="240" w:lineRule="auto"/>
        <w:ind w:left="720"/>
        <w:rPr>
          <w:rFonts w:ascii="Verdana" w:eastAsia="Calibri" w:hAnsi="Verdana" w:cs="Times New Roman"/>
          <w:sz w:val="24"/>
          <w:szCs w:val="24"/>
        </w:rPr>
      </w:pPr>
    </w:p>
    <w:p w:rsidR="00F80A99" w:rsidRPr="00F80A99" w:rsidRDefault="00F80A99" w:rsidP="00F80A99">
      <w:pPr>
        <w:spacing w:after="0" w:line="240" w:lineRule="auto"/>
        <w:rPr>
          <w:rFonts w:ascii="Verdana" w:eastAsia="Calibri" w:hAnsi="Verdana" w:cs="Times New Roman"/>
          <w:sz w:val="24"/>
          <w:szCs w:val="24"/>
        </w:rPr>
      </w:pPr>
      <w:r w:rsidRPr="00F80A99">
        <w:rPr>
          <w:rFonts w:ascii="Verdana" w:eastAsia="Calibri" w:hAnsi="Verdana" w:cs="Times New Roman"/>
          <w:sz w:val="24"/>
          <w:szCs w:val="24"/>
        </w:rPr>
        <w:t>In implementing this rule, the Office of Healthcare Programs (OHP) chose only to exempt all SNFs in the HUD portfolio where the last REAC inspection score was 60 or above – considered a passing score. The remaining SNFs were required to have subsequent inspections and would not be considered exempt until they received a passing score.</w:t>
      </w:r>
    </w:p>
    <w:p w:rsidR="00F80A99" w:rsidRPr="00F80A99" w:rsidRDefault="00F80A99" w:rsidP="00F80A99">
      <w:pPr>
        <w:spacing w:after="0" w:line="240" w:lineRule="auto"/>
        <w:rPr>
          <w:rFonts w:ascii="Verdana" w:eastAsia="Calibri" w:hAnsi="Verdana" w:cs="Times New Roman"/>
          <w:sz w:val="24"/>
          <w:szCs w:val="24"/>
        </w:rPr>
      </w:pPr>
    </w:p>
    <w:p w:rsidR="00F80A99" w:rsidRPr="00F80A99" w:rsidRDefault="00F80A99" w:rsidP="00F80A99">
      <w:pPr>
        <w:spacing w:after="0" w:line="240" w:lineRule="auto"/>
        <w:rPr>
          <w:rFonts w:ascii="Verdana" w:eastAsia="Calibri" w:hAnsi="Verdana" w:cs="Times New Roman"/>
          <w:sz w:val="24"/>
          <w:szCs w:val="24"/>
        </w:rPr>
      </w:pPr>
      <w:r w:rsidRPr="00F80A99">
        <w:rPr>
          <w:rFonts w:ascii="Verdana" w:eastAsia="Calibri" w:hAnsi="Verdana" w:cs="Times New Roman"/>
          <w:sz w:val="24"/>
          <w:szCs w:val="24"/>
        </w:rPr>
        <w:t>We have had several properties scheduled by lenders for a REAC inspection that should have been exempt - based on the above criteria.  Lenders should check the Account Executive Facility Assignments - Contact Listing (</w:t>
      </w:r>
      <w:hyperlink r:id="rId6" w:history="1">
        <w:r w:rsidRPr="00F80A99">
          <w:rPr>
            <w:rFonts w:ascii="Verdana" w:eastAsia="Calibri" w:hAnsi="Verdana" w:cs="Times New Roman"/>
            <w:color w:val="0000FF"/>
            <w:sz w:val="24"/>
            <w:szCs w:val="24"/>
            <w:u w:val="single"/>
          </w:rPr>
          <w:t>here</w:t>
        </w:r>
      </w:hyperlink>
      <w:r w:rsidRPr="00F80A99">
        <w:rPr>
          <w:rFonts w:ascii="Verdana" w:eastAsia="Calibri" w:hAnsi="Verdana" w:cs="Times New Roman"/>
          <w:sz w:val="24"/>
          <w:szCs w:val="24"/>
        </w:rPr>
        <w:t xml:space="preserve">) to verify if a property has been exempted from REAC Inspections prior to </w:t>
      </w:r>
      <w:r w:rsidRPr="00F80A99">
        <w:rPr>
          <w:rFonts w:ascii="Verdana" w:eastAsia="Calibri" w:hAnsi="Verdana" w:cs="Times New Roman"/>
          <w:sz w:val="24"/>
          <w:szCs w:val="24"/>
        </w:rPr>
        <w:lastRenderedPageBreak/>
        <w:t xml:space="preserve">scheduling.  In addition, if the property is a SNF </w:t>
      </w:r>
      <w:r w:rsidRPr="00F80A99">
        <w:rPr>
          <w:rFonts w:ascii="Verdana" w:eastAsia="Calibri" w:hAnsi="Verdana" w:cs="Times New Roman"/>
          <w:b/>
          <w:sz w:val="24"/>
          <w:szCs w:val="24"/>
          <w:u w:val="single"/>
        </w:rPr>
        <w:t>and</w:t>
      </w:r>
      <w:r w:rsidRPr="00F80A99">
        <w:rPr>
          <w:rFonts w:ascii="Verdana" w:eastAsia="Calibri" w:hAnsi="Verdana" w:cs="Times New Roman"/>
          <w:sz w:val="24"/>
          <w:szCs w:val="24"/>
        </w:rPr>
        <w:t xml:space="preserve"> the last REAC inspection was a score of 60 or greater, they are not subject to additional REAC Inspections.  Please note, projects containing more than one type of facility are coded as the predominant (based on number of beds) facility type.  If you notice an error on this report or have any questions, please contact the assigned Account Executive (AE).  In any event, lenders will not have to order any second inspection on a SNF/Nursing Home. </w:t>
      </w:r>
    </w:p>
    <w:p w:rsidR="00F80A99" w:rsidRPr="00F80A99" w:rsidRDefault="00F80A99" w:rsidP="00F80A99">
      <w:pPr>
        <w:spacing w:after="0" w:line="240" w:lineRule="auto"/>
        <w:rPr>
          <w:rFonts w:ascii="Verdana" w:eastAsia="Calibri" w:hAnsi="Verdana" w:cs="Times New Roman"/>
          <w:sz w:val="24"/>
          <w:szCs w:val="24"/>
        </w:rPr>
      </w:pPr>
    </w:p>
    <w:p w:rsidR="00F80A99" w:rsidRPr="00F80A99" w:rsidRDefault="00F80A99" w:rsidP="00F80A99">
      <w:pPr>
        <w:spacing w:after="0" w:line="240" w:lineRule="auto"/>
        <w:rPr>
          <w:rFonts w:ascii="Verdana" w:eastAsia="Calibri" w:hAnsi="Verdana" w:cs="Times New Roman"/>
          <w:b/>
          <w:sz w:val="24"/>
          <w:u w:val="single"/>
        </w:rPr>
      </w:pPr>
      <w:r w:rsidRPr="00F80A99">
        <w:rPr>
          <w:rFonts w:ascii="Verdana" w:eastAsia="Calibri" w:hAnsi="Verdana" w:cs="Times New Roman"/>
          <w:b/>
          <w:sz w:val="24"/>
          <w:u w:val="single"/>
        </w:rPr>
        <w:t>Exigent Health and Safety (EH&amp;S) Tickets</w:t>
      </w:r>
    </w:p>
    <w:p w:rsidR="00F80A99" w:rsidRPr="00F80A99" w:rsidRDefault="00F80A99" w:rsidP="00F80A99">
      <w:pPr>
        <w:spacing w:after="0" w:line="240" w:lineRule="auto"/>
        <w:rPr>
          <w:rFonts w:ascii="Verdana" w:eastAsia="Calibri" w:hAnsi="Verdana" w:cs="Times New Roman"/>
          <w:sz w:val="24"/>
        </w:rPr>
      </w:pPr>
    </w:p>
    <w:p w:rsidR="00F80A99" w:rsidRPr="00F80A99" w:rsidRDefault="00F80A99" w:rsidP="00F80A99">
      <w:pPr>
        <w:spacing w:after="0" w:line="240" w:lineRule="auto"/>
        <w:rPr>
          <w:rFonts w:ascii="Verdana" w:eastAsia="Calibri" w:hAnsi="Verdana" w:cs="Times New Roman"/>
          <w:sz w:val="24"/>
          <w:szCs w:val="24"/>
        </w:rPr>
      </w:pPr>
      <w:r w:rsidRPr="00F80A99">
        <w:rPr>
          <w:rFonts w:ascii="Verdana" w:eastAsia="Times New Roman" w:hAnsi="Verdana" w:cs="Times New Roman"/>
          <w:sz w:val="24"/>
          <w:szCs w:val="24"/>
        </w:rPr>
        <w:t>Many Section 232 facilities have</w:t>
      </w:r>
      <w:r w:rsidRPr="00F80A99">
        <w:rPr>
          <w:rFonts w:ascii="Verdana" w:eastAsia="Calibri" w:hAnsi="Verdana" w:cs="Times New Roman"/>
          <w:sz w:val="24"/>
          <w:szCs w:val="24"/>
        </w:rPr>
        <w:t xml:space="preserve"> residents with Alzheimer’s, dementia or other memory issues, and require restricted windows and doors to provide for resident safety.  In a REAC Inspection, these blocked doors and windows are marked as blocked egress, which results in EH&amp;S findings.  The inspector leaves a ticket and informs the property that they must address the blocked egress finding.  If windows or doors are physically altered because of this REAC deficiency, it may be a resident safety issue as well as a conflict with licensing requirements.</w:t>
      </w:r>
    </w:p>
    <w:p w:rsidR="00F80A99" w:rsidRPr="00F80A99" w:rsidRDefault="00F80A99" w:rsidP="00F80A99">
      <w:pPr>
        <w:spacing w:after="0" w:line="240" w:lineRule="auto"/>
        <w:rPr>
          <w:rFonts w:ascii="Verdana" w:eastAsia="Calibri" w:hAnsi="Verdana" w:cs="Times New Roman"/>
          <w:sz w:val="24"/>
          <w:szCs w:val="24"/>
        </w:rPr>
      </w:pPr>
    </w:p>
    <w:p w:rsidR="00F80A99" w:rsidRPr="00F80A99" w:rsidRDefault="00F80A99" w:rsidP="00F80A99">
      <w:pPr>
        <w:spacing w:after="0" w:line="240" w:lineRule="auto"/>
        <w:rPr>
          <w:rFonts w:ascii="Verdana" w:eastAsia="Calibri" w:hAnsi="Verdana" w:cs="Times New Roman"/>
          <w:sz w:val="24"/>
          <w:szCs w:val="24"/>
        </w:rPr>
      </w:pPr>
      <w:r w:rsidRPr="00F80A99">
        <w:rPr>
          <w:rFonts w:ascii="Verdana" w:eastAsia="Calibri" w:hAnsi="Verdana" w:cs="Times New Roman"/>
          <w:sz w:val="24"/>
          <w:szCs w:val="24"/>
        </w:rPr>
        <w:t>To address our concern that some properties may physically alter the facility to address this REAC deficiency, REAC has updated the tickets left at the property to include the following language:</w:t>
      </w:r>
    </w:p>
    <w:p w:rsidR="00F80A99" w:rsidRPr="00F80A99" w:rsidRDefault="00F80A99" w:rsidP="00F80A99">
      <w:pPr>
        <w:spacing w:after="0" w:line="240" w:lineRule="auto"/>
        <w:rPr>
          <w:rFonts w:ascii="Verdana" w:eastAsia="Calibri" w:hAnsi="Verdana" w:cs="Times New Roman"/>
          <w:sz w:val="24"/>
          <w:szCs w:val="24"/>
        </w:rPr>
      </w:pPr>
    </w:p>
    <w:p w:rsidR="00F80A99" w:rsidRPr="00F80A99" w:rsidRDefault="00F80A99" w:rsidP="00F80A99">
      <w:pPr>
        <w:autoSpaceDE w:val="0"/>
        <w:autoSpaceDN w:val="0"/>
        <w:adjustRightInd w:val="0"/>
        <w:spacing w:after="0" w:line="240" w:lineRule="auto"/>
        <w:ind w:left="720"/>
        <w:rPr>
          <w:rFonts w:ascii="Verdana" w:eastAsia="Calibri" w:hAnsi="Verdana" w:cs="Times New Roman"/>
          <w:i/>
          <w:sz w:val="24"/>
          <w:szCs w:val="24"/>
        </w:rPr>
      </w:pPr>
      <w:r w:rsidRPr="00F80A99">
        <w:rPr>
          <w:rFonts w:ascii="Verdana" w:eastAsia="Calibri" w:hAnsi="Verdana" w:cs="Times New Roman"/>
          <w:i/>
          <w:sz w:val="24"/>
          <w:szCs w:val="24"/>
        </w:rPr>
        <w:t>FOR NURSING HOME/HEALTHCARE PROPERTIES ONLY: If local or state code requires that windows either not open or open only a prescribed number of inches (e.g., 6 inches) to prevent residents with Alzheimer's, dementia, or other conditions from injury or leaving the premises, the nursing home property is not required to mitigate the deficiency ''blocked egress/inoperable'' window(s) when recorded on this form as an observed EH&amp;S deficiency. If local or state code allows for this restriction and the property has not filed a pre-database adjustment with the REAC, please submit an appeal immediately (within 45 days of the inspection report's release date) and indicate it should also be processed as a pre-database adjustment.</w:t>
      </w:r>
    </w:p>
    <w:p w:rsidR="00F80A99" w:rsidRPr="00F80A99" w:rsidRDefault="00F80A99" w:rsidP="00F80A99">
      <w:pPr>
        <w:autoSpaceDE w:val="0"/>
        <w:autoSpaceDN w:val="0"/>
        <w:adjustRightInd w:val="0"/>
        <w:spacing w:after="0" w:line="240" w:lineRule="auto"/>
        <w:ind w:left="720"/>
        <w:rPr>
          <w:rFonts w:ascii="Verdana" w:eastAsia="Calibri" w:hAnsi="Verdana" w:cs="Times New Roman"/>
          <w:sz w:val="24"/>
          <w:szCs w:val="24"/>
        </w:rPr>
      </w:pPr>
    </w:p>
    <w:p w:rsidR="00F80A99" w:rsidRPr="00F80A99" w:rsidRDefault="00F80A99" w:rsidP="00F80A99">
      <w:pPr>
        <w:autoSpaceDE w:val="0"/>
        <w:autoSpaceDN w:val="0"/>
        <w:adjustRightInd w:val="0"/>
        <w:spacing w:after="0" w:line="240" w:lineRule="auto"/>
        <w:rPr>
          <w:rFonts w:ascii="Verdana" w:eastAsia="Calibri" w:hAnsi="Verdana" w:cs="Times New Roman"/>
          <w:sz w:val="24"/>
          <w:szCs w:val="24"/>
        </w:rPr>
      </w:pPr>
      <w:r w:rsidRPr="00F80A99">
        <w:rPr>
          <w:rFonts w:ascii="Verdana" w:eastAsia="Calibri" w:hAnsi="Verdana" w:cs="Times New Roman"/>
          <w:sz w:val="24"/>
          <w:szCs w:val="24"/>
        </w:rPr>
        <w:t>The borrower certification related to corrected EH&amp;S deficiencies should note the specifics of any egress deficiency that meets the above language.  If you have any questions or concerns on this issue, please contact your assigned AE.</w:t>
      </w:r>
    </w:p>
    <w:p w:rsidR="00F80A99" w:rsidRPr="00F80A99" w:rsidRDefault="00F80A99" w:rsidP="00F80A99">
      <w:pPr>
        <w:autoSpaceDE w:val="0"/>
        <w:autoSpaceDN w:val="0"/>
        <w:adjustRightInd w:val="0"/>
        <w:spacing w:after="0" w:line="240" w:lineRule="auto"/>
        <w:rPr>
          <w:rFonts w:ascii="Verdana" w:eastAsia="Calibri" w:hAnsi="Verdana" w:cs="Times New Roman"/>
          <w:sz w:val="24"/>
          <w:szCs w:val="24"/>
        </w:rPr>
      </w:pPr>
    </w:p>
    <w:p w:rsidR="00F80A99" w:rsidRPr="00F80A99" w:rsidRDefault="00F80A99" w:rsidP="00F80A99">
      <w:pPr>
        <w:spacing w:after="0" w:line="240" w:lineRule="auto"/>
        <w:outlineLvl w:val="1"/>
        <w:rPr>
          <w:rFonts w:ascii="Verdana" w:eastAsia="Calibri" w:hAnsi="Verdana" w:cs="Times New Roman"/>
          <w:b/>
          <w:bCs/>
          <w:sz w:val="24"/>
          <w:szCs w:val="24"/>
          <w:u w:val="single"/>
        </w:rPr>
      </w:pPr>
      <w:bookmarkStart w:id="9" w:name="_Toc511141913"/>
      <w:bookmarkStart w:id="10" w:name="_Toc511809858"/>
      <w:r w:rsidRPr="00F80A99">
        <w:rPr>
          <w:rFonts w:ascii="Verdana" w:eastAsia="Calibri" w:hAnsi="Verdana" w:cs="Times New Roman"/>
          <w:b/>
          <w:bCs/>
          <w:sz w:val="24"/>
          <w:szCs w:val="24"/>
          <w:u w:val="single"/>
        </w:rPr>
        <w:t>Database Adjustment/Pre-Database Adjustments/Technical Review</w:t>
      </w:r>
      <w:bookmarkEnd w:id="9"/>
      <w:bookmarkEnd w:id="10"/>
    </w:p>
    <w:p w:rsidR="00F80A99" w:rsidRPr="00F80A99" w:rsidRDefault="00F80A99" w:rsidP="00F80A99">
      <w:pPr>
        <w:autoSpaceDE w:val="0"/>
        <w:autoSpaceDN w:val="0"/>
        <w:adjustRightInd w:val="0"/>
        <w:spacing w:after="0" w:line="240" w:lineRule="auto"/>
        <w:rPr>
          <w:rFonts w:ascii="Verdana" w:eastAsia="Calibri" w:hAnsi="Verdana" w:cs="Times New Roman"/>
          <w:sz w:val="24"/>
          <w:szCs w:val="24"/>
        </w:rPr>
      </w:pPr>
    </w:p>
    <w:p w:rsidR="00F80A99" w:rsidRPr="00F80A99" w:rsidRDefault="00F80A99" w:rsidP="00F80A99">
      <w:pPr>
        <w:autoSpaceDE w:val="0"/>
        <w:autoSpaceDN w:val="0"/>
        <w:adjustRightInd w:val="0"/>
        <w:spacing w:after="0" w:line="240" w:lineRule="auto"/>
        <w:rPr>
          <w:rFonts w:ascii="Verdana" w:eastAsia="Calibri" w:hAnsi="Verdana" w:cs="Times New Roman"/>
          <w:sz w:val="24"/>
          <w:szCs w:val="24"/>
        </w:rPr>
      </w:pPr>
      <w:r w:rsidRPr="00F80A99">
        <w:rPr>
          <w:rFonts w:ascii="Verdana" w:eastAsia="Calibri" w:hAnsi="Verdana" w:cs="Times New Roman"/>
          <w:sz w:val="24"/>
          <w:szCs w:val="24"/>
        </w:rPr>
        <w:t xml:space="preserve">One of the most common database adjustments needed is the blocked egress issue noted above.  We strongly encourage you to submit a </w:t>
      </w:r>
      <w:r w:rsidRPr="00F80A99">
        <w:rPr>
          <w:rFonts w:ascii="Verdana" w:eastAsia="Calibri" w:hAnsi="Verdana" w:cs="Times New Roman"/>
          <w:sz w:val="24"/>
          <w:szCs w:val="24"/>
        </w:rPr>
        <w:lastRenderedPageBreak/>
        <w:t>database/pre-database adjustment for these findings to prevent the same issue from recurring.</w:t>
      </w:r>
    </w:p>
    <w:p w:rsidR="00F80A99" w:rsidRPr="00F80A99" w:rsidRDefault="00F80A99" w:rsidP="00F80A99">
      <w:pPr>
        <w:autoSpaceDE w:val="0"/>
        <w:autoSpaceDN w:val="0"/>
        <w:adjustRightInd w:val="0"/>
        <w:spacing w:after="0" w:line="240" w:lineRule="auto"/>
        <w:rPr>
          <w:rFonts w:ascii="Verdana" w:eastAsia="Calibri" w:hAnsi="Verdana" w:cs="Times New Roman"/>
          <w:sz w:val="24"/>
          <w:szCs w:val="24"/>
        </w:rPr>
      </w:pPr>
    </w:p>
    <w:p w:rsidR="00F80A99" w:rsidRPr="00F80A99" w:rsidRDefault="00F80A99" w:rsidP="00F80A99">
      <w:pPr>
        <w:autoSpaceDE w:val="0"/>
        <w:autoSpaceDN w:val="0"/>
        <w:adjustRightInd w:val="0"/>
        <w:spacing w:after="0" w:line="240" w:lineRule="auto"/>
        <w:rPr>
          <w:rFonts w:ascii="Verdana" w:eastAsia="Calibri" w:hAnsi="Verdana" w:cs="Times New Roman"/>
          <w:sz w:val="24"/>
          <w:szCs w:val="24"/>
        </w:rPr>
      </w:pPr>
      <w:r w:rsidRPr="00F80A99">
        <w:rPr>
          <w:rFonts w:ascii="Verdana" w:eastAsia="Calibri" w:hAnsi="Verdana" w:cs="Times New Roman"/>
          <w:sz w:val="24"/>
          <w:szCs w:val="24"/>
        </w:rPr>
        <w:t>Below are the differences between the types of adjustments and key points to remember when submitting a request for an adjustment:</w:t>
      </w:r>
    </w:p>
    <w:p w:rsidR="00F80A99" w:rsidRPr="00F80A99" w:rsidRDefault="00F80A99" w:rsidP="00F80A99">
      <w:pPr>
        <w:autoSpaceDE w:val="0"/>
        <w:autoSpaceDN w:val="0"/>
        <w:adjustRightInd w:val="0"/>
        <w:spacing w:after="0" w:line="240" w:lineRule="auto"/>
        <w:rPr>
          <w:rFonts w:ascii="Verdana" w:eastAsia="Calibri" w:hAnsi="Verdana" w:cs="Times New Roman"/>
          <w:sz w:val="24"/>
          <w:szCs w:val="24"/>
        </w:rPr>
      </w:pPr>
    </w:p>
    <w:p w:rsidR="00F80A99" w:rsidRPr="00F80A99" w:rsidRDefault="00F80A99" w:rsidP="00F80A99">
      <w:pPr>
        <w:numPr>
          <w:ilvl w:val="0"/>
          <w:numId w:val="2"/>
        </w:numPr>
        <w:autoSpaceDE w:val="0"/>
        <w:autoSpaceDN w:val="0"/>
        <w:adjustRightInd w:val="0"/>
        <w:spacing w:after="0" w:line="240" w:lineRule="auto"/>
        <w:contextualSpacing/>
        <w:rPr>
          <w:rFonts w:ascii="Verdana" w:eastAsia="Calibri" w:hAnsi="Verdana" w:cs="Times New Roman"/>
          <w:sz w:val="24"/>
          <w:szCs w:val="24"/>
        </w:rPr>
      </w:pPr>
      <w:r w:rsidRPr="00F80A99">
        <w:rPr>
          <w:rFonts w:ascii="Verdana" w:eastAsia="Calibri" w:hAnsi="Verdana" w:cs="Times New Roman"/>
          <w:b/>
          <w:sz w:val="24"/>
          <w:szCs w:val="24"/>
        </w:rPr>
        <w:t>Database Adjustment</w:t>
      </w:r>
      <w:r w:rsidRPr="00F80A99">
        <w:rPr>
          <w:rFonts w:ascii="Verdana" w:eastAsia="Calibri" w:hAnsi="Verdana" w:cs="Times New Roman"/>
          <w:sz w:val="24"/>
          <w:szCs w:val="24"/>
        </w:rPr>
        <w:t>:  Requesting REAC to reevaluate the report as there are circumstances out of the ordinary, such as:</w:t>
      </w:r>
    </w:p>
    <w:p w:rsidR="00F80A99" w:rsidRPr="00F80A99" w:rsidRDefault="00F80A99" w:rsidP="00F80A99">
      <w:pPr>
        <w:numPr>
          <w:ilvl w:val="1"/>
          <w:numId w:val="6"/>
        </w:numPr>
        <w:autoSpaceDE w:val="0"/>
        <w:autoSpaceDN w:val="0"/>
        <w:adjustRightInd w:val="0"/>
        <w:spacing w:after="0" w:line="240" w:lineRule="auto"/>
        <w:contextualSpacing/>
        <w:rPr>
          <w:rFonts w:ascii="Verdana" w:eastAsia="Calibri" w:hAnsi="Verdana" w:cs="Times New Roman"/>
          <w:sz w:val="24"/>
          <w:szCs w:val="24"/>
        </w:rPr>
      </w:pPr>
      <w:r w:rsidRPr="00F80A99">
        <w:rPr>
          <w:rFonts w:ascii="Verdana" w:eastAsia="Calibri" w:hAnsi="Verdana" w:cs="Times New Roman"/>
          <w:sz w:val="24"/>
          <w:szCs w:val="24"/>
        </w:rPr>
        <w:t>Local Conditions and Exceptions – allowed by local codes or license</w:t>
      </w:r>
    </w:p>
    <w:p w:rsidR="00F80A99" w:rsidRPr="00F80A99" w:rsidRDefault="00F80A99" w:rsidP="00F80A99">
      <w:pPr>
        <w:numPr>
          <w:ilvl w:val="1"/>
          <w:numId w:val="6"/>
        </w:numPr>
        <w:autoSpaceDE w:val="0"/>
        <w:autoSpaceDN w:val="0"/>
        <w:adjustRightInd w:val="0"/>
        <w:spacing w:after="0" w:line="240" w:lineRule="auto"/>
        <w:contextualSpacing/>
        <w:rPr>
          <w:rFonts w:ascii="Verdana" w:eastAsia="Calibri" w:hAnsi="Verdana" w:cs="Times New Roman"/>
          <w:sz w:val="24"/>
          <w:szCs w:val="24"/>
        </w:rPr>
      </w:pPr>
      <w:r w:rsidRPr="00F80A99">
        <w:rPr>
          <w:rFonts w:ascii="Verdana" w:eastAsia="Calibri" w:hAnsi="Verdana" w:cs="Times New Roman"/>
          <w:sz w:val="24"/>
          <w:szCs w:val="24"/>
        </w:rPr>
        <w:t>Ownership issues (sidewalk or retaining wall not part of the mortgaged property)</w:t>
      </w:r>
    </w:p>
    <w:p w:rsidR="00F80A99" w:rsidRPr="00F80A99" w:rsidRDefault="00F80A99" w:rsidP="00F80A99">
      <w:pPr>
        <w:numPr>
          <w:ilvl w:val="1"/>
          <w:numId w:val="6"/>
        </w:numPr>
        <w:autoSpaceDE w:val="0"/>
        <w:autoSpaceDN w:val="0"/>
        <w:adjustRightInd w:val="0"/>
        <w:spacing w:after="0" w:line="240" w:lineRule="auto"/>
        <w:contextualSpacing/>
        <w:rPr>
          <w:rFonts w:ascii="Verdana" w:eastAsia="Calibri" w:hAnsi="Verdana" w:cs="Times New Roman"/>
          <w:sz w:val="24"/>
          <w:szCs w:val="24"/>
        </w:rPr>
      </w:pPr>
      <w:r w:rsidRPr="00F80A99">
        <w:rPr>
          <w:rFonts w:ascii="Verdana" w:eastAsia="Calibri" w:hAnsi="Verdana" w:cs="Times New Roman"/>
          <w:sz w:val="24"/>
          <w:szCs w:val="24"/>
        </w:rPr>
        <w:t>Adverse Conditions Beyond Owner’s Control – natural disaster</w:t>
      </w:r>
    </w:p>
    <w:p w:rsidR="00F80A99" w:rsidRPr="00F80A99" w:rsidRDefault="00F80A99" w:rsidP="00F80A99">
      <w:pPr>
        <w:autoSpaceDE w:val="0"/>
        <w:autoSpaceDN w:val="0"/>
        <w:adjustRightInd w:val="0"/>
        <w:spacing w:after="0" w:line="240" w:lineRule="auto"/>
        <w:ind w:left="1080"/>
        <w:rPr>
          <w:rFonts w:ascii="Verdana" w:eastAsia="Calibri" w:hAnsi="Verdana" w:cs="Times New Roman"/>
          <w:sz w:val="24"/>
          <w:szCs w:val="24"/>
        </w:rPr>
      </w:pPr>
    </w:p>
    <w:p w:rsidR="00F80A99" w:rsidRPr="00F80A99" w:rsidRDefault="00F80A99" w:rsidP="00F80A99">
      <w:pPr>
        <w:autoSpaceDE w:val="0"/>
        <w:autoSpaceDN w:val="0"/>
        <w:adjustRightInd w:val="0"/>
        <w:spacing w:after="0" w:line="240" w:lineRule="auto"/>
        <w:ind w:left="720"/>
        <w:rPr>
          <w:rFonts w:ascii="Verdana" w:eastAsia="Calibri" w:hAnsi="Verdana" w:cs="Times New Roman"/>
          <w:sz w:val="24"/>
          <w:szCs w:val="24"/>
        </w:rPr>
      </w:pPr>
      <w:r w:rsidRPr="00F80A99">
        <w:rPr>
          <w:rFonts w:ascii="Verdana" w:eastAsia="Calibri" w:hAnsi="Verdana" w:cs="Times New Roman"/>
          <w:sz w:val="24"/>
          <w:szCs w:val="24"/>
        </w:rPr>
        <w:t>If the property is undergoing rehabilitation, you should seek a REAC inspection deferment.  While “Modernization Work in Progress” is a justifiable reason for a database adjustment, it is a more efficient use of the process to wait for the rehabilitation work to be completed prior to the inspection.</w:t>
      </w:r>
    </w:p>
    <w:p w:rsidR="00F80A99" w:rsidRPr="00F80A99" w:rsidRDefault="00F80A99" w:rsidP="00F80A99">
      <w:pPr>
        <w:autoSpaceDE w:val="0"/>
        <w:autoSpaceDN w:val="0"/>
        <w:adjustRightInd w:val="0"/>
        <w:spacing w:after="0" w:line="240" w:lineRule="auto"/>
        <w:ind w:left="1440"/>
        <w:rPr>
          <w:rFonts w:ascii="Verdana" w:eastAsia="Calibri" w:hAnsi="Verdana" w:cs="Times New Roman"/>
          <w:sz w:val="24"/>
          <w:szCs w:val="24"/>
        </w:rPr>
      </w:pPr>
    </w:p>
    <w:p w:rsidR="00F80A99" w:rsidRPr="00F80A99" w:rsidRDefault="00F80A99" w:rsidP="00F80A99">
      <w:pPr>
        <w:autoSpaceDE w:val="0"/>
        <w:autoSpaceDN w:val="0"/>
        <w:adjustRightInd w:val="0"/>
        <w:spacing w:after="0" w:line="240" w:lineRule="auto"/>
        <w:ind w:firstLine="720"/>
        <w:rPr>
          <w:rFonts w:ascii="Verdana" w:eastAsia="Calibri" w:hAnsi="Verdana" w:cs="Times New Roman"/>
          <w:sz w:val="24"/>
          <w:szCs w:val="24"/>
        </w:rPr>
      </w:pPr>
      <w:r w:rsidRPr="00F80A99">
        <w:rPr>
          <w:rFonts w:ascii="Verdana" w:eastAsia="Calibri" w:hAnsi="Verdana" w:cs="Times New Roman"/>
          <w:sz w:val="24"/>
          <w:szCs w:val="24"/>
        </w:rPr>
        <w:t xml:space="preserve">A REAC database adjustment request: </w:t>
      </w:r>
    </w:p>
    <w:p w:rsidR="00F80A99" w:rsidRPr="00F80A99" w:rsidRDefault="00F80A99" w:rsidP="00F80A99">
      <w:pPr>
        <w:autoSpaceDE w:val="0"/>
        <w:autoSpaceDN w:val="0"/>
        <w:adjustRightInd w:val="0"/>
        <w:spacing w:after="0" w:line="240" w:lineRule="auto"/>
        <w:ind w:left="720"/>
        <w:rPr>
          <w:rFonts w:ascii="Verdana" w:eastAsia="Calibri" w:hAnsi="Verdana" w:cs="Times New Roman"/>
          <w:color w:val="FF0000"/>
          <w:sz w:val="24"/>
          <w:szCs w:val="24"/>
        </w:rPr>
      </w:pPr>
    </w:p>
    <w:p w:rsidR="00F80A99" w:rsidRPr="00F80A99" w:rsidRDefault="00F80A99" w:rsidP="00F80A99">
      <w:pPr>
        <w:numPr>
          <w:ilvl w:val="1"/>
          <w:numId w:val="3"/>
        </w:numPr>
        <w:autoSpaceDE w:val="0"/>
        <w:autoSpaceDN w:val="0"/>
        <w:adjustRightInd w:val="0"/>
        <w:spacing w:after="0" w:line="240" w:lineRule="auto"/>
        <w:ind w:left="1080"/>
        <w:contextualSpacing/>
        <w:rPr>
          <w:rFonts w:ascii="Verdana" w:eastAsia="Calibri" w:hAnsi="Verdana" w:cs="Times New Roman"/>
          <w:sz w:val="24"/>
          <w:szCs w:val="24"/>
        </w:rPr>
      </w:pPr>
      <w:r w:rsidRPr="00F80A99">
        <w:rPr>
          <w:rFonts w:ascii="Verdana" w:eastAsia="Calibri" w:hAnsi="Verdana" w:cs="Times New Roman"/>
          <w:sz w:val="24"/>
          <w:szCs w:val="24"/>
          <w:u w:val="single"/>
        </w:rPr>
        <w:t>Must</w:t>
      </w:r>
      <w:r w:rsidRPr="00F80A99">
        <w:rPr>
          <w:rFonts w:ascii="Verdana" w:eastAsia="Calibri" w:hAnsi="Verdana" w:cs="Times New Roman"/>
          <w:sz w:val="24"/>
          <w:szCs w:val="24"/>
        </w:rPr>
        <w:t xml:space="preserve"> be submitted to REAC within </w:t>
      </w:r>
      <w:r w:rsidRPr="00F80A99">
        <w:rPr>
          <w:rFonts w:ascii="Verdana" w:eastAsia="Calibri" w:hAnsi="Verdana" w:cs="Times New Roman"/>
          <w:b/>
          <w:sz w:val="24"/>
          <w:szCs w:val="24"/>
        </w:rPr>
        <w:t>45 days</w:t>
      </w:r>
      <w:r w:rsidRPr="00F80A99">
        <w:rPr>
          <w:rFonts w:ascii="Verdana" w:eastAsia="Calibri" w:hAnsi="Verdana" w:cs="Times New Roman"/>
          <w:sz w:val="24"/>
          <w:szCs w:val="24"/>
        </w:rPr>
        <w:t xml:space="preserve"> of the release of the report.</w:t>
      </w:r>
    </w:p>
    <w:p w:rsidR="00F80A99" w:rsidRPr="00F80A99" w:rsidRDefault="00F80A99" w:rsidP="00F80A99">
      <w:pPr>
        <w:numPr>
          <w:ilvl w:val="0"/>
          <w:numId w:val="3"/>
        </w:numPr>
        <w:autoSpaceDE w:val="0"/>
        <w:autoSpaceDN w:val="0"/>
        <w:adjustRightInd w:val="0"/>
        <w:spacing w:after="0" w:line="240" w:lineRule="auto"/>
        <w:ind w:left="1080"/>
        <w:contextualSpacing/>
        <w:rPr>
          <w:rFonts w:ascii="Verdana" w:eastAsia="Calibri" w:hAnsi="Verdana" w:cs="Times New Roman"/>
          <w:sz w:val="24"/>
          <w:szCs w:val="24"/>
        </w:rPr>
      </w:pPr>
      <w:r w:rsidRPr="00F80A99">
        <w:rPr>
          <w:rFonts w:ascii="Verdana" w:eastAsia="Calibri" w:hAnsi="Verdana" w:cs="Times New Roman"/>
          <w:sz w:val="24"/>
          <w:szCs w:val="24"/>
          <w:u w:val="single"/>
        </w:rPr>
        <w:t>Must</w:t>
      </w:r>
      <w:r w:rsidRPr="00F80A99">
        <w:rPr>
          <w:rFonts w:ascii="Verdana" w:eastAsia="Calibri" w:hAnsi="Verdana" w:cs="Times New Roman"/>
          <w:sz w:val="24"/>
          <w:szCs w:val="24"/>
        </w:rPr>
        <w:t xml:space="preserve"> include supporting 3</w:t>
      </w:r>
      <w:r w:rsidRPr="00F80A99">
        <w:rPr>
          <w:rFonts w:ascii="Verdana" w:eastAsia="Calibri" w:hAnsi="Verdana" w:cs="Times New Roman"/>
          <w:sz w:val="24"/>
          <w:szCs w:val="24"/>
          <w:vertAlign w:val="superscript"/>
        </w:rPr>
        <w:t>rd</w:t>
      </w:r>
      <w:r w:rsidRPr="00F80A99">
        <w:rPr>
          <w:rFonts w:ascii="Verdana" w:eastAsia="Calibri" w:hAnsi="Verdana" w:cs="Times New Roman"/>
          <w:sz w:val="24"/>
          <w:szCs w:val="24"/>
        </w:rPr>
        <w:t xml:space="preserve"> party documentation; such as, local codes, letters from Fire Marshals, license requirements, legal descriptions, etc.</w:t>
      </w:r>
    </w:p>
    <w:p w:rsidR="00F80A99" w:rsidRPr="00F80A99" w:rsidRDefault="00F80A99" w:rsidP="00F80A99">
      <w:pPr>
        <w:autoSpaceDE w:val="0"/>
        <w:autoSpaceDN w:val="0"/>
        <w:adjustRightInd w:val="0"/>
        <w:spacing w:after="0" w:line="240" w:lineRule="auto"/>
        <w:rPr>
          <w:rFonts w:ascii="Verdana" w:eastAsia="Calibri" w:hAnsi="Verdana" w:cs="Times New Roman"/>
          <w:sz w:val="24"/>
          <w:szCs w:val="24"/>
        </w:rPr>
      </w:pPr>
    </w:p>
    <w:p w:rsidR="00F80A99" w:rsidRPr="00F80A99" w:rsidRDefault="00F80A99" w:rsidP="00F80A99">
      <w:pPr>
        <w:autoSpaceDE w:val="0"/>
        <w:autoSpaceDN w:val="0"/>
        <w:adjustRightInd w:val="0"/>
        <w:spacing w:after="0" w:line="240" w:lineRule="auto"/>
        <w:ind w:left="720"/>
        <w:rPr>
          <w:rFonts w:ascii="Verdana" w:eastAsia="Calibri" w:hAnsi="Verdana" w:cs="Times New Roman"/>
          <w:sz w:val="24"/>
          <w:szCs w:val="24"/>
        </w:rPr>
      </w:pPr>
      <w:r w:rsidRPr="00F80A99">
        <w:rPr>
          <w:rFonts w:ascii="Verdana" w:eastAsia="Calibri" w:hAnsi="Verdana" w:cs="Times New Roman"/>
          <w:sz w:val="24"/>
          <w:szCs w:val="24"/>
        </w:rPr>
        <w:t>We recommend notifying your assigned AE when the database adjustment request has been sent.  AEs only need an electronic copy.</w:t>
      </w:r>
    </w:p>
    <w:p w:rsidR="00F80A99" w:rsidRPr="00F80A99" w:rsidRDefault="00F80A99" w:rsidP="00F80A99">
      <w:pPr>
        <w:autoSpaceDE w:val="0"/>
        <w:autoSpaceDN w:val="0"/>
        <w:adjustRightInd w:val="0"/>
        <w:spacing w:after="0" w:line="240" w:lineRule="auto"/>
        <w:rPr>
          <w:rFonts w:ascii="Verdana" w:eastAsia="Calibri" w:hAnsi="Verdana" w:cs="Times New Roman"/>
          <w:sz w:val="24"/>
          <w:szCs w:val="24"/>
        </w:rPr>
      </w:pPr>
    </w:p>
    <w:p w:rsidR="00F80A99" w:rsidRPr="00F80A99" w:rsidRDefault="00F80A99" w:rsidP="00F80A99">
      <w:pPr>
        <w:numPr>
          <w:ilvl w:val="0"/>
          <w:numId w:val="2"/>
        </w:numPr>
        <w:autoSpaceDE w:val="0"/>
        <w:autoSpaceDN w:val="0"/>
        <w:adjustRightInd w:val="0"/>
        <w:spacing w:after="0" w:line="240" w:lineRule="auto"/>
        <w:contextualSpacing/>
        <w:rPr>
          <w:rFonts w:ascii="Verdana" w:eastAsia="Calibri" w:hAnsi="Verdana" w:cs="Times New Roman"/>
          <w:sz w:val="24"/>
          <w:szCs w:val="24"/>
        </w:rPr>
      </w:pPr>
      <w:r w:rsidRPr="00F80A99">
        <w:rPr>
          <w:rFonts w:ascii="Verdana" w:eastAsia="Calibri" w:hAnsi="Verdana" w:cs="Times New Roman"/>
          <w:b/>
          <w:sz w:val="24"/>
          <w:szCs w:val="24"/>
        </w:rPr>
        <w:t>Pre-database Adjustment</w:t>
      </w:r>
      <w:r w:rsidRPr="00F80A99">
        <w:rPr>
          <w:rFonts w:ascii="Verdana" w:eastAsia="Calibri" w:hAnsi="Verdana" w:cs="Times New Roman"/>
          <w:sz w:val="24"/>
          <w:szCs w:val="24"/>
        </w:rPr>
        <w:t xml:space="preserve"> – A previously approved database adjustment that is stored in the REAC database.  This will delete the deficiency from future inspection reports.  When submitting your original database adjustment, request that it also be treated as a pre-database adjustment.</w:t>
      </w:r>
    </w:p>
    <w:p w:rsidR="00F80A99" w:rsidRPr="00F80A99" w:rsidRDefault="00F80A99" w:rsidP="00F80A99">
      <w:pPr>
        <w:autoSpaceDE w:val="0"/>
        <w:autoSpaceDN w:val="0"/>
        <w:adjustRightInd w:val="0"/>
        <w:spacing w:after="0" w:line="240" w:lineRule="auto"/>
        <w:ind w:left="1080"/>
        <w:rPr>
          <w:rFonts w:ascii="Verdana" w:eastAsia="Calibri" w:hAnsi="Verdana" w:cs="Times New Roman"/>
          <w:sz w:val="24"/>
          <w:szCs w:val="24"/>
        </w:rPr>
      </w:pPr>
    </w:p>
    <w:p w:rsidR="00F80A99" w:rsidRPr="00F80A99" w:rsidRDefault="00F80A99" w:rsidP="00F80A99">
      <w:pPr>
        <w:numPr>
          <w:ilvl w:val="0"/>
          <w:numId w:val="2"/>
        </w:numPr>
        <w:autoSpaceDE w:val="0"/>
        <w:autoSpaceDN w:val="0"/>
        <w:adjustRightInd w:val="0"/>
        <w:spacing w:after="0" w:line="240" w:lineRule="auto"/>
        <w:contextualSpacing/>
        <w:rPr>
          <w:rFonts w:ascii="Verdana" w:eastAsia="Calibri" w:hAnsi="Verdana" w:cs="Times New Roman"/>
          <w:sz w:val="24"/>
          <w:szCs w:val="24"/>
        </w:rPr>
      </w:pPr>
      <w:r w:rsidRPr="00F80A99">
        <w:rPr>
          <w:rFonts w:ascii="Verdana" w:eastAsia="Calibri" w:hAnsi="Verdana" w:cs="Times New Roman"/>
          <w:b/>
          <w:sz w:val="24"/>
          <w:szCs w:val="24"/>
        </w:rPr>
        <w:t>Technical Review –</w:t>
      </w:r>
      <w:r w:rsidRPr="00F80A99">
        <w:rPr>
          <w:rFonts w:ascii="Verdana" w:eastAsia="Calibri" w:hAnsi="Verdana" w:cs="Times New Roman"/>
          <w:sz w:val="24"/>
          <w:szCs w:val="24"/>
        </w:rPr>
        <w:t xml:space="preserve">  Objectively verifiable and material error.</w:t>
      </w:r>
    </w:p>
    <w:p w:rsidR="00F80A99" w:rsidRPr="00F80A99" w:rsidRDefault="00F80A99" w:rsidP="00F80A99">
      <w:pPr>
        <w:autoSpaceDE w:val="0"/>
        <w:autoSpaceDN w:val="0"/>
        <w:adjustRightInd w:val="0"/>
        <w:spacing w:after="0" w:line="240" w:lineRule="auto"/>
        <w:rPr>
          <w:rFonts w:ascii="Verdana" w:eastAsia="Calibri" w:hAnsi="Verdana" w:cs="Times New Roman"/>
          <w:sz w:val="24"/>
          <w:szCs w:val="24"/>
        </w:rPr>
      </w:pPr>
    </w:p>
    <w:p w:rsidR="00F80A99" w:rsidRPr="00F80A99" w:rsidRDefault="00F80A99" w:rsidP="00F80A99">
      <w:pPr>
        <w:autoSpaceDE w:val="0"/>
        <w:autoSpaceDN w:val="0"/>
        <w:adjustRightInd w:val="0"/>
        <w:spacing w:after="0" w:line="240" w:lineRule="auto"/>
        <w:ind w:left="720"/>
        <w:rPr>
          <w:rFonts w:ascii="Verdana" w:eastAsia="Calibri" w:hAnsi="Verdana" w:cs="Times New Roman"/>
          <w:sz w:val="24"/>
          <w:szCs w:val="24"/>
        </w:rPr>
      </w:pPr>
      <w:r w:rsidRPr="00F80A99">
        <w:rPr>
          <w:rFonts w:ascii="Verdana" w:eastAsia="Calibri" w:hAnsi="Verdana" w:cs="Times New Roman"/>
          <w:sz w:val="24"/>
          <w:szCs w:val="24"/>
        </w:rPr>
        <w:t xml:space="preserve">Technical Reviews </w:t>
      </w:r>
      <w:r w:rsidRPr="00F80A99">
        <w:rPr>
          <w:rFonts w:ascii="Verdana" w:eastAsia="Calibri" w:hAnsi="Verdana" w:cs="Times New Roman"/>
          <w:sz w:val="24"/>
          <w:szCs w:val="24"/>
          <w:u w:val="single"/>
        </w:rPr>
        <w:t>must</w:t>
      </w:r>
      <w:r w:rsidRPr="00F80A99">
        <w:rPr>
          <w:rFonts w:ascii="Verdana" w:eastAsia="Calibri" w:hAnsi="Verdana" w:cs="Times New Roman"/>
          <w:sz w:val="24"/>
          <w:szCs w:val="24"/>
        </w:rPr>
        <w:t xml:space="preserve"> be submitted to REAC within </w:t>
      </w:r>
      <w:r w:rsidRPr="00F80A99">
        <w:rPr>
          <w:rFonts w:ascii="Verdana" w:eastAsia="Calibri" w:hAnsi="Verdana" w:cs="Times New Roman"/>
          <w:b/>
          <w:sz w:val="24"/>
          <w:szCs w:val="24"/>
        </w:rPr>
        <w:t>30 days</w:t>
      </w:r>
      <w:r w:rsidRPr="00F80A99">
        <w:rPr>
          <w:rFonts w:ascii="Verdana" w:eastAsia="Calibri" w:hAnsi="Verdana" w:cs="Times New Roman"/>
          <w:sz w:val="24"/>
          <w:szCs w:val="24"/>
        </w:rPr>
        <w:t xml:space="preserve"> of the release of the report.  Examples:</w:t>
      </w:r>
    </w:p>
    <w:p w:rsidR="00F80A99" w:rsidRPr="00F80A99" w:rsidRDefault="00F80A99" w:rsidP="00F80A99">
      <w:pPr>
        <w:autoSpaceDE w:val="0"/>
        <w:autoSpaceDN w:val="0"/>
        <w:adjustRightInd w:val="0"/>
        <w:spacing w:after="0" w:line="240" w:lineRule="auto"/>
        <w:rPr>
          <w:rFonts w:ascii="Verdana" w:eastAsia="Calibri" w:hAnsi="Verdana" w:cs="Times New Roman"/>
          <w:sz w:val="24"/>
          <w:szCs w:val="24"/>
        </w:rPr>
      </w:pPr>
    </w:p>
    <w:p w:rsidR="00F80A99" w:rsidRPr="00F80A99" w:rsidRDefault="00F80A99" w:rsidP="00F80A99">
      <w:pPr>
        <w:numPr>
          <w:ilvl w:val="0"/>
          <w:numId w:val="7"/>
        </w:numPr>
        <w:overflowPunct w:val="0"/>
        <w:autoSpaceDE w:val="0"/>
        <w:autoSpaceDN w:val="0"/>
        <w:spacing w:after="0" w:line="240" w:lineRule="auto"/>
        <w:rPr>
          <w:rFonts w:ascii="Verdana" w:eastAsia="Calibri" w:hAnsi="Verdana" w:cs="Calibri"/>
          <w:sz w:val="24"/>
          <w:szCs w:val="24"/>
        </w:rPr>
      </w:pPr>
      <w:r w:rsidRPr="00F80A99">
        <w:rPr>
          <w:rFonts w:ascii="Verdana" w:eastAsia="Calibri" w:hAnsi="Verdana" w:cs="Calibri"/>
          <w:sz w:val="24"/>
          <w:szCs w:val="24"/>
        </w:rPr>
        <w:t>Building Data Errors -The inspection includes the wrong building or a building that is not owned by the property.</w:t>
      </w:r>
    </w:p>
    <w:p w:rsidR="00F80A99" w:rsidRPr="00F80A99" w:rsidRDefault="00F80A99" w:rsidP="00F80A99">
      <w:pPr>
        <w:numPr>
          <w:ilvl w:val="0"/>
          <w:numId w:val="7"/>
        </w:numPr>
        <w:overflowPunct w:val="0"/>
        <w:autoSpaceDE w:val="0"/>
        <w:autoSpaceDN w:val="0"/>
        <w:spacing w:after="0" w:line="240" w:lineRule="auto"/>
        <w:rPr>
          <w:rFonts w:ascii="Verdana" w:eastAsia="Calibri" w:hAnsi="Verdana" w:cs="Calibri"/>
          <w:sz w:val="24"/>
          <w:szCs w:val="24"/>
        </w:rPr>
      </w:pPr>
      <w:r w:rsidRPr="00F80A99">
        <w:rPr>
          <w:rFonts w:ascii="Verdana" w:eastAsia="Calibri" w:hAnsi="Verdana" w:cs="Calibri"/>
          <w:sz w:val="24"/>
          <w:szCs w:val="24"/>
        </w:rPr>
        <w:lastRenderedPageBreak/>
        <w:t>Unit Count Errors -The total number of units considered in scoring is incorrect as reported at the time of the inspection.</w:t>
      </w:r>
    </w:p>
    <w:p w:rsidR="00F80A99" w:rsidRPr="00F80A99" w:rsidRDefault="00F80A99" w:rsidP="00F80A99">
      <w:pPr>
        <w:numPr>
          <w:ilvl w:val="0"/>
          <w:numId w:val="7"/>
        </w:numPr>
        <w:overflowPunct w:val="0"/>
        <w:autoSpaceDE w:val="0"/>
        <w:autoSpaceDN w:val="0"/>
        <w:spacing w:after="0" w:line="240" w:lineRule="auto"/>
        <w:rPr>
          <w:rFonts w:ascii="Verdana" w:eastAsia="Calibri" w:hAnsi="Verdana" w:cs="Calibri"/>
          <w:sz w:val="24"/>
          <w:szCs w:val="24"/>
        </w:rPr>
      </w:pPr>
      <w:r w:rsidRPr="00F80A99">
        <w:rPr>
          <w:rFonts w:ascii="Verdana" w:eastAsia="Calibri" w:hAnsi="Verdana" w:cs="Calibri"/>
          <w:sz w:val="24"/>
          <w:szCs w:val="24"/>
        </w:rPr>
        <w:t>Non-Existent Deficiency Errors -The inspection cites a deficiency that did not exist at the time of the inspection.</w:t>
      </w:r>
    </w:p>
    <w:p w:rsidR="00F80A99" w:rsidRPr="00F80A99" w:rsidRDefault="00F80A99" w:rsidP="00F80A99">
      <w:pPr>
        <w:spacing w:after="0" w:line="240" w:lineRule="auto"/>
        <w:rPr>
          <w:rFonts w:ascii="Verdana" w:eastAsia="Calibri" w:hAnsi="Verdana" w:cs="Calibri"/>
          <w:sz w:val="24"/>
          <w:szCs w:val="24"/>
        </w:rPr>
      </w:pPr>
    </w:p>
    <w:p w:rsidR="00F80A99" w:rsidRPr="00F80A99" w:rsidRDefault="00F80A99" w:rsidP="00F80A99">
      <w:pPr>
        <w:spacing w:after="0" w:line="240" w:lineRule="auto"/>
        <w:outlineLvl w:val="1"/>
        <w:rPr>
          <w:rFonts w:ascii="Verdana" w:eastAsia="Calibri" w:hAnsi="Verdana" w:cs="Times New Roman"/>
          <w:b/>
          <w:bCs/>
          <w:sz w:val="24"/>
          <w:szCs w:val="24"/>
          <w:u w:val="single"/>
        </w:rPr>
      </w:pPr>
      <w:bookmarkStart w:id="11" w:name="_Toc511141914"/>
      <w:bookmarkStart w:id="12" w:name="_Toc511809859"/>
      <w:r w:rsidRPr="00F80A99">
        <w:rPr>
          <w:rFonts w:ascii="Verdana" w:eastAsia="Calibri" w:hAnsi="Verdana" w:cs="Times New Roman"/>
          <w:b/>
          <w:bCs/>
          <w:sz w:val="24"/>
          <w:szCs w:val="24"/>
          <w:u w:val="single"/>
        </w:rPr>
        <w:t>REAC Information on HUD.gov</w:t>
      </w:r>
      <w:bookmarkEnd w:id="11"/>
      <w:bookmarkEnd w:id="12"/>
    </w:p>
    <w:p w:rsidR="00F80A99" w:rsidRPr="00F80A99" w:rsidRDefault="00F80A99" w:rsidP="00F80A99">
      <w:pPr>
        <w:spacing w:after="0" w:line="240" w:lineRule="auto"/>
        <w:rPr>
          <w:rFonts w:ascii="Verdana" w:eastAsia="Calibri" w:hAnsi="Verdana" w:cs="Times New Roman"/>
          <w:sz w:val="24"/>
          <w:szCs w:val="24"/>
        </w:rPr>
      </w:pPr>
    </w:p>
    <w:p w:rsidR="00F80A99" w:rsidRPr="00F80A99" w:rsidRDefault="00F80A99" w:rsidP="00F80A99">
      <w:pPr>
        <w:spacing w:after="0" w:line="240" w:lineRule="auto"/>
        <w:rPr>
          <w:rFonts w:ascii="Verdana" w:eastAsia="Calibri" w:hAnsi="Verdana" w:cs="Times New Roman"/>
          <w:sz w:val="24"/>
          <w:szCs w:val="24"/>
        </w:rPr>
      </w:pPr>
      <w:r w:rsidRPr="00F80A99">
        <w:rPr>
          <w:rFonts w:ascii="Verdana" w:eastAsia="Calibri" w:hAnsi="Verdana" w:cs="Times New Roman"/>
          <w:sz w:val="24"/>
          <w:szCs w:val="24"/>
        </w:rPr>
        <w:t>Please refer to the web sites listed below for additional REAC guidance:</w:t>
      </w:r>
    </w:p>
    <w:p w:rsidR="00F80A99" w:rsidRPr="00F80A99" w:rsidRDefault="00F80A99" w:rsidP="00F80A99">
      <w:pPr>
        <w:spacing w:after="0" w:line="240" w:lineRule="auto"/>
        <w:rPr>
          <w:rFonts w:ascii="Verdana" w:eastAsia="Calibri" w:hAnsi="Verdana" w:cs="Times New Roman"/>
          <w:sz w:val="24"/>
          <w:szCs w:val="24"/>
        </w:rPr>
      </w:pPr>
    </w:p>
    <w:tbl>
      <w:tblPr>
        <w:tblStyle w:val="TableGrid"/>
        <w:tblW w:w="9445" w:type="dxa"/>
        <w:tblLayout w:type="fixed"/>
        <w:tblLook w:val="04A0" w:firstRow="1" w:lastRow="0" w:firstColumn="1" w:lastColumn="0" w:noHBand="0" w:noVBand="1"/>
      </w:tblPr>
      <w:tblGrid>
        <w:gridCol w:w="2535"/>
        <w:gridCol w:w="6910"/>
      </w:tblGrid>
      <w:tr w:rsidR="00F80A99" w:rsidRPr="00F80A99" w:rsidTr="001335E2">
        <w:trPr>
          <w:trHeight w:val="768"/>
        </w:trPr>
        <w:tc>
          <w:tcPr>
            <w:tcW w:w="2535" w:type="dxa"/>
          </w:tcPr>
          <w:p w:rsidR="00F80A99" w:rsidRPr="00F80A99" w:rsidRDefault="00F80A99" w:rsidP="00F80A99">
            <w:pPr>
              <w:rPr>
                <w:rFonts w:ascii="Verdana" w:hAnsi="Verdana"/>
                <w:sz w:val="24"/>
                <w:szCs w:val="24"/>
              </w:rPr>
            </w:pPr>
            <w:r w:rsidRPr="00F80A99">
              <w:rPr>
                <w:rFonts w:ascii="Verdana" w:hAnsi="Verdana"/>
                <w:sz w:val="24"/>
                <w:szCs w:val="24"/>
              </w:rPr>
              <w:br w:type="page"/>
              <w:t>Preparing for a REAC Inspection</w:t>
            </w:r>
          </w:p>
        </w:tc>
        <w:tc>
          <w:tcPr>
            <w:tcW w:w="6910" w:type="dxa"/>
          </w:tcPr>
          <w:p w:rsidR="00F80A99" w:rsidRPr="00F80A99" w:rsidRDefault="00F80A99" w:rsidP="00F80A99">
            <w:pPr>
              <w:rPr>
                <w:rFonts w:ascii="Verdana" w:hAnsi="Verdana"/>
                <w:sz w:val="24"/>
                <w:szCs w:val="24"/>
              </w:rPr>
            </w:pPr>
            <w:hyperlink r:id="rId7" w:history="1">
              <w:r w:rsidRPr="00F80A99">
                <w:rPr>
                  <w:rFonts w:ascii="Verdana" w:hAnsi="Verdana"/>
                  <w:color w:val="0000FF"/>
                  <w:sz w:val="24"/>
                  <w:szCs w:val="24"/>
                  <w:u w:val="single"/>
                </w:rPr>
                <w:t>http://portal.hud.gov/hudportal/documents/huddoc?id=Prep4REACInspecR2Oct2016.pdf</w:t>
              </w:r>
            </w:hyperlink>
          </w:p>
          <w:p w:rsidR="00F80A99" w:rsidRPr="00F80A99" w:rsidRDefault="00F80A99" w:rsidP="00F80A99">
            <w:pPr>
              <w:rPr>
                <w:rFonts w:ascii="Verdana" w:hAnsi="Verdana"/>
                <w:sz w:val="24"/>
                <w:szCs w:val="24"/>
              </w:rPr>
            </w:pPr>
          </w:p>
        </w:tc>
      </w:tr>
      <w:tr w:rsidR="00F80A99" w:rsidRPr="00F80A99" w:rsidTr="001335E2">
        <w:trPr>
          <w:trHeight w:val="516"/>
        </w:trPr>
        <w:tc>
          <w:tcPr>
            <w:tcW w:w="2535" w:type="dxa"/>
          </w:tcPr>
          <w:p w:rsidR="00F80A99" w:rsidRPr="00F80A99" w:rsidRDefault="00F80A99" w:rsidP="00F80A99">
            <w:pPr>
              <w:rPr>
                <w:rFonts w:ascii="Verdana" w:hAnsi="Verdana"/>
                <w:sz w:val="24"/>
                <w:szCs w:val="24"/>
              </w:rPr>
            </w:pPr>
            <w:r w:rsidRPr="00F80A99">
              <w:rPr>
                <w:rFonts w:ascii="Verdana" w:hAnsi="Verdana"/>
                <w:sz w:val="24"/>
                <w:szCs w:val="24"/>
              </w:rPr>
              <w:t>Top 20 Deficiencies</w:t>
            </w:r>
          </w:p>
        </w:tc>
        <w:tc>
          <w:tcPr>
            <w:tcW w:w="6910" w:type="dxa"/>
          </w:tcPr>
          <w:p w:rsidR="00F80A99" w:rsidRPr="00F80A99" w:rsidRDefault="00F80A99" w:rsidP="00F80A99">
            <w:pPr>
              <w:rPr>
                <w:rFonts w:ascii="Verdana" w:hAnsi="Verdana"/>
                <w:sz w:val="24"/>
                <w:szCs w:val="24"/>
              </w:rPr>
            </w:pPr>
            <w:hyperlink r:id="rId8" w:history="1">
              <w:r w:rsidRPr="00F80A99">
                <w:rPr>
                  <w:rFonts w:ascii="Verdana" w:hAnsi="Verdana"/>
                  <w:color w:val="0000FF"/>
                  <w:sz w:val="24"/>
                  <w:szCs w:val="24"/>
                  <w:u w:val="single"/>
                </w:rPr>
                <w:t>https://apps.hud.gov/offices/reac/products/pass/top20.pdf</w:t>
              </w:r>
            </w:hyperlink>
          </w:p>
          <w:p w:rsidR="00F80A99" w:rsidRPr="00F80A99" w:rsidRDefault="00F80A99" w:rsidP="00F80A99">
            <w:pPr>
              <w:rPr>
                <w:rFonts w:ascii="Verdana" w:hAnsi="Verdana"/>
                <w:sz w:val="24"/>
                <w:szCs w:val="24"/>
              </w:rPr>
            </w:pPr>
          </w:p>
        </w:tc>
      </w:tr>
      <w:tr w:rsidR="00F80A99" w:rsidRPr="00F80A99" w:rsidTr="001335E2">
        <w:trPr>
          <w:trHeight w:val="1020"/>
        </w:trPr>
        <w:tc>
          <w:tcPr>
            <w:tcW w:w="2535" w:type="dxa"/>
          </w:tcPr>
          <w:p w:rsidR="00F80A99" w:rsidRPr="00F80A99" w:rsidRDefault="00F80A99" w:rsidP="00F80A99">
            <w:pPr>
              <w:rPr>
                <w:rFonts w:ascii="Verdana" w:hAnsi="Verdana"/>
                <w:sz w:val="24"/>
                <w:szCs w:val="24"/>
              </w:rPr>
            </w:pPr>
            <w:r w:rsidRPr="00F80A99">
              <w:rPr>
                <w:rFonts w:ascii="Verdana" w:hAnsi="Verdana"/>
                <w:sz w:val="24"/>
                <w:szCs w:val="24"/>
              </w:rPr>
              <w:t>YouTube Videos:  Topics include: Technical Review, Scoring, and Inspection Review</w:t>
            </w:r>
          </w:p>
        </w:tc>
        <w:tc>
          <w:tcPr>
            <w:tcW w:w="6910" w:type="dxa"/>
          </w:tcPr>
          <w:p w:rsidR="00F80A99" w:rsidRPr="00F80A99" w:rsidRDefault="00F80A99" w:rsidP="00F80A99">
            <w:pPr>
              <w:rPr>
                <w:rFonts w:ascii="Verdana" w:hAnsi="Verdana"/>
                <w:sz w:val="24"/>
                <w:szCs w:val="24"/>
              </w:rPr>
            </w:pPr>
            <w:hyperlink r:id="rId9" w:anchor="1" w:history="1">
              <w:r w:rsidRPr="00F80A99">
                <w:rPr>
                  <w:rFonts w:ascii="Verdana" w:hAnsi="Verdana"/>
                  <w:color w:val="0000FF"/>
                  <w:sz w:val="24"/>
                  <w:szCs w:val="24"/>
                  <w:u w:val="single"/>
                </w:rPr>
                <w:t>https://www.hud.gov/program_offices/public_indian_housing/reac/training/learningtools#1</w:t>
              </w:r>
            </w:hyperlink>
          </w:p>
          <w:p w:rsidR="00F80A99" w:rsidRPr="00F80A99" w:rsidRDefault="00F80A99" w:rsidP="00F80A99">
            <w:pPr>
              <w:rPr>
                <w:rFonts w:ascii="Verdana" w:hAnsi="Verdana"/>
                <w:sz w:val="24"/>
                <w:szCs w:val="24"/>
              </w:rPr>
            </w:pPr>
          </w:p>
        </w:tc>
      </w:tr>
      <w:tr w:rsidR="00F80A99" w:rsidRPr="00F80A99" w:rsidTr="001335E2">
        <w:trPr>
          <w:trHeight w:val="768"/>
        </w:trPr>
        <w:tc>
          <w:tcPr>
            <w:tcW w:w="2535" w:type="dxa"/>
          </w:tcPr>
          <w:p w:rsidR="00F80A99" w:rsidRPr="00F80A99" w:rsidRDefault="00F80A99" w:rsidP="00F80A99">
            <w:pPr>
              <w:rPr>
                <w:rFonts w:ascii="Verdana" w:hAnsi="Verdana"/>
                <w:sz w:val="24"/>
                <w:szCs w:val="24"/>
              </w:rPr>
            </w:pPr>
            <w:r w:rsidRPr="00F80A99">
              <w:rPr>
                <w:rFonts w:ascii="Verdana" w:hAnsi="Verdana"/>
                <w:sz w:val="24"/>
                <w:szCs w:val="24"/>
              </w:rPr>
              <w:t>Technical Reviews and Database Adjustment Guidelines</w:t>
            </w:r>
          </w:p>
        </w:tc>
        <w:tc>
          <w:tcPr>
            <w:tcW w:w="6910" w:type="dxa"/>
          </w:tcPr>
          <w:p w:rsidR="00F80A99" w:rsidRPr="00F80A99" w:rsidRDefault="00F80A99" w:rsidP="00F80A99">
            <w:pPr>
              <w:rPr>
                <w:rFonts w:ascii="Verdana" w:hAnsi="Verdana"/>
                <w:sz w:val="24"/>
                <w:szCs w:val="24"/>
              </w:rPr>
            </w:pPr>
            <w:hyperlink r:id="rId10" w:history="1">
              <w:r w:rsidRPr="00F80A99">
                <w:rPr>
                  <w:rFonts w:ascii="Verdana" w:hAnsi="Verdana"/>
                  <w:color w:val="0000FF"/>
                  <w:sz w:val="24"/>
                  <w:szCs w:val="24"/>
                  <w:u w:val="single"/>
                </w:rPr>
                <w:t>https://apps.hud.gov/offices/reac/products/pass/PDFs/guidelines-adj.pdf</w:t>
              </w:r>
            </w:hyperlink>
          </w:p>
          <w:p w:rsidR="00F80A99" w:rsidRPr="00F80A99" w:rsidRDefault="00F80A99" w:rsidP="00F80A99">
            <w:pPr>
              <w:rPr>
                <w:rFonts w:ascii="Verdana" w:hAnsi="Verdana"/>
                <w:sz w:val="24"/>
                <w:szCs w:val="24"/>
              </w:rPr>
            </w:pPr>
          </w:p>
        </w:tc>
      </w:tr>
      <w:tr w:rsidR="00F80A99" w:rsidRPr="00F80A99" w:rsidTr="001335E2">
        <w:trPr>
          <w:trHeight w:val="768"/>
        </w:trPr>
        <w:tc>
          <w:tcPr>
            <w:tcW w:w="2535" w:type="dxa"/>
          </w:tcPr>
          <w:p w:rsidR="00F80A99" w:rsidRPr="00F80A99" w:rsidRDefault="00F80A99" w:rsidP="00F80A99">
            <w:pPr>
              <w:rPr>
                <w:rFonts w:ascii="Verdana" w:hAnsi="Verdana"/>
                <w:sz w:val="24"/>
                <w:szCs w:val="24"/>
              </w:rPr>
            </w:pPr>
            <w:r w:rsidRPr="00F80A99">
              <w:rPr>
                <w:rFonts w:ascii="Verdana" w:hAnsi="Verdana"/>
                <w:sz w:val="24"/>
                <w:szCs w:val="24"/>
              </w:rPr>
              <w:t>Certification of Exigent Health and Safety (EH&amp;S) Issues *</w:t>
            </w:r>
          </w:p>
        </w:tc>
        <w:tc>
          <w:tcPr>
            <w:tcW w:w="6910" w:type="dxa"/>
          </w:tcPr>
          <w:p w:rsidR="00F80A99" w:rsidRPr="00F80A99" w:rsidRDefault="00F80A99" w:rsidP="00F80A99">
            <w:pPr>
              <w:rPr>
                <w:rFonts w:ascii="Verdana" w:hAnsi="Verdana"/>
                <w:sz w:val="24"/>
                <w:szCs w:val="24"/>
              </w:rPr>
            </w:pPr>
            <w:hyperlink r:id="rId11" w:history="1">
              <w:r w:rsidRPr="00F80A99">
                <w:rPr>
                  <w:rFonts w:ascii="Verdana" w:hAnsi="Verdana"/>
                  <w:color w:val="0000FF"/>
                  <w:sz w:val="24"/>
                  <w:szCs w:val="24"/>
                  <w:u w:val="single"/>
                </w:rPr>
                <w:t>https://www.hud.gov/sites/documents/93332_orcf.doc</w:t>
              </w:r>
            </w:hyperlink>
          </w:p>
          <w:p w:rsidR="00F80A99" w:rsidRPr="00F80A99" w:rsidRDefault="00F80A99" w:rsidP="00F80A99">
            <w:pPr>
              <w:rPr>
                <w:rFonts w:ascii="Verdana" w:hAnsi="Verdana"/>
                <w:sz w:val="24"/>
                <w:szCs w:val="24"/>
              </w:rPr>
            </w:pPr>
          </w:p>
        </w:tc>
      </w:tr>
      <w:tr w:rsidR="00F80A99" w:rsidRPr="00F80A99" w:rsidTr="001335E2">
        <w:trPr>
          <w:trHeight w:val="503"/>
        </w:trPr>
        <w:tc>
          <w:tcPr>
            <w:tcW w:w="2535" w:type="dxa"/>
          </w:tcPr>
          <w:p w:rsidR="00F80A99" w:rsidRPr="00F80A99" w:rsidRDefault="00F80A99" w:rsidP="00F80A99">
            <w:pPr>
              <w:rPr>
                <w:rFonts w:ascii="Verdana" w:hAnsi="Verdana"/>
                <w:sz w:val="24"/>
                <w:szCs w:val="24"/>
              </w:rPr>
            </w:pPr>
            <w:r w:rsidRPr="00F80A99">
              <w:rPr>
                <w:rFonts w:ascii="Verdana" w:hAnsi="Verdana"/>
                <w:sz w:val="24"/>
                <w:szCs w:val="24"/>
              </w:rPr>
              <w:t>Certification of Physical Condition Compliance*</w:t>
            </w:r>
          </w:p>
        </w:tc>
        <w:tc>
          <w:tcPr>
            <w:tcW w:w="6910" w:type="dxa"/>
          </w:tcPr>
          <w:p w:rsidR="00F80A99" w:rsidRPr="00F80A99" w:rsidRDefault="00F80A99" w:rsidP="00F80A99">
            <w:pPr>
              <w:rPr>
                <w:rFonts w:ascii="Verdana" w:hAnsi="Verdana"/>
                <w:sz w:val="24"/>
                <w:szCs w:val="24"/>
              </w:rPr>
            </w:pPr>
            <w:hyperlink r:id="rId12" w:history="1">
              <w:r w:rsidRPr="00F80A99">
                <w:rPr>
                  <w:rFonts w:ascii="Verdana" w:hAnsi="Verdana"/>
                  <w:color w:val="0000FF"/>
                  <w:sz w:val="24"/>
                  <w:szCs w:val="24"/>
                  <w:u w:val="single"/>
                </w:rPr>
                <w:t>https://www.hud.gov/sites/documents/93333_orcf.doc</w:t>
              </w:r>
            </w:hyperlink>
          </w:p>
          <w:p w:rsidR="00F80A99" w:rsidRPr="00F80A99" w:rsidRDefault="00F80A99" w:rsidP="00F80A99">
            <w:pPr>
              <w:rPr>
                <w:rFonts w:ascii="Verdana" w:hAnsi="Verdana"/>
                <w:sz w:val="24"/>
                <w:szCs w:val="24"/>
              </w:rPr>
            </w:pPr>
          </w:p>
        </w:tc>
      </w:tr>
    </w:tbl>
    <w:p w:rsidR="00F80A99" w:rsidRPr="00F80A99" w:rsidRDefault="00F80A99" w:rsidP="00F80A99">
      <w:pPr>
        <w:spacing w:after="0" w:line="240" w:lineRule="auto"/>
        <w:rPr>
          <w:rFonts w:ascii="Verdana" w:eastAsia="Calibri" w:hAnsi="Verdana" w:cs="Times New Roman"/>
          <w:sz w:val="24"/>
          <w:szCs w:val="24"/>
        </w:rPr>
      </w:pPr>
    </w:p>
    <w:p w:rsidR="00F80A99" w:rsidRPr="00F80A99" w:rsidRDefault="00F80A99" w:rsidP="00F80A99">
      <w:pPr>
        <w:spacing w:after="0" w:line="240" w:lineRule="auto"/>
        <w:rPr>
          <w:rFonts w:ascii="Verdana" w:eastAsia="Calibri" w:hAnsi="Verdana" w:cs="Times New Roman"/>
          <w:sz w:val="24"/>
          <w:szCs w:val="24"/>
        </w:rPr>
      </w:pPr>
      <w:r w:rsidRPr="00F80A99">
        <w:rPr>
          <w:rFonts w:ascii="Verdana" w:eastAsia="Calibri" w:hAnsi="Verdana" w:cs="Times New Roman"/>
          <w:sz w:val="24"/>
          <w:szCs w:val="24"/>
        </w:rPr>
        <w:t xml:space="preserve">*Please note: These are two different forms and certify to different areas of completion.  </w:t>
      </w:r>
    </w:p>
    <w:p w:rsidR="00F80A99" w:rsidRPr="00F80A99" w:rsidRDefault="00F80A99" w:rsidP="00F80A99">
      <w:pPr>
        <w:spacing w:after="0" w:line="240" w:lineRule="auto"/>
        <w:rPr>
          <w:rFonts w:ascii="Verdana" w:eastAsia="Calibri" w:hAnsi="Verdana" w:cs="Times New Roman"/>
          <w:sz w:val="24"/>
          <w:szCs w:val="24"/>
        </w:rPr>
      </w:pPr>
    </w:p>
    <w:p w:rsidR="00F80A99" w:rsidRPr="00F80A99" w:rsidRDefault="00F80A99" w:rsidP="00F80A99">
      <w:pPr>
        <w:numPr>
          <w:ilvl w:val="0"/>
          <w:numId w:val="5"/>
        </w:numPr>
        <w:spacing w:after="0" w:line="240" w:lineRule="auto"/>
        <w:contextualSpacing/>
        <w:rPr>
          <w:rFonts w:ascii="Verdana" w:eastAsia="Calibri" w:hAnsi="Verdana" w:cs="Times New Roman"/>
          <w:sz w:val="24"/>
          <w:szCs w:val="24"/>
        </w:rPr>
      </w:pPr>
      <w:r w:rsidRPr="00F80A99">
        <w:rPr>
          <w:rFonts w:ascii="Verdana" w:eastAsia="Calibri" w:hAnsi="Verdana" w:cs="Times New Roman"/>
          <w:sz w:val="24"/>
          <w:szCs w:val="24"/>
        </w:rPr>
        <w:t>EH&amp;S Certification is for the items noted in the ticket that the inspector leaves at the property.  These repairs must be remedied within 72 hours.</w:t>
      </w:r>
    </w:p>
    <w:p w:rsidR="00F80A99" w:rsidRPr="00F80A99" w:rsidRDefault="00F80A99" w:rsidP="00F80A99">
      <w:pPr>
        <w:spacing w:after="0" w:line="240" w:lineRule="auto"/>
        <w:rPr>
          <w:rFonts w:ascii="Verdana" w:eastAsia="Calibri" w:hAnsi="Verdana" w:cs="Times New Roman"/>
          <w:sz w:val="24"/>
          <w:szCs w:val="24"/>
        </w:rPr>
      </w:pPr>
    </w:p>
    <w:p w:rsidR="00F80A99" w:rsidRPr="00F80A99" w:rsidRDefault="00F80A99" w:rsidP="00F80A99">
      <w:pPr>
        <w:numPr>
          <w:ilvl w:val="0"/>
          <w:numId w:val="5"/>
        </w:numPr>
        <w:spacing w:after="0" w:line="240" w:lineRule="auto"/>
        <w:contextualSpacing/>
        <w:rPr>
          <w:rFonts w:ascii="Verdana" w:eastAsia="Calibri" w:hAnsi="Verdana" w:cs="Times New Roman"/>
          <w:sz w:val="24"/>
          <w:szCs w:val="24"/>
        </w:rPr>
      </w:pPr>
      <w:r w:rsidRPr="00F80A99">
        <w:rPr>
          <w:rFonts w:ascii="Verdana" w:eastAsia="Calibri" w:hAnsi="Verdana" w:cs="Times New Roman"/>
          <w:sz w:val="24"/>
          <w:szCs w:val="24"/>
        </w:rPr>
        <w:t xml:space="preserve">Certification of Physical Condition is the certification that is completed when a property receives a </w:t>
      </w:r>
      <w:r w:rsidRPr="00F80A99">
        <w:rPr>
          <w:rFonts w:ascii="Verdana" w:eastAsia="Calibri" w:hAnsi="Verdana" w:cs="Times New Roman"/>
          <w:b/>
          <w:sz w:val="24"/>
          <w:szCs w:val="24"/>
        </w:rPr>
        <w:t>REAC score of 59 and below</w:t>
      </w:r>
      <w:r w:rsidRPr="00F80A99">
        <w:rPr>
          <w:rFonts w:ascii="Verdana" w:eastAsia="Calibri" w:hAnsi="Verdana" w:cs="Times New Roman"/>
          <w:sz w:val="24"/>
          <w:szCs w:val="24"/>
        </w:rPr>
        <w:t xml:space="preserve">.  This certification is completed and returned to the Account Executive when the property maintenance staff has conducted a 100% review of the property and all items have been addressed.  This includes any items </w:t>
      </w:r>
      <w:r w:rsidRPr="00F80A99">
        <w:rPr>
          <w:rFonts w:ascii="Verdana" w:eastAsia="Calibri" w:hAnsi="Verdana" w:cs="Times New Roman"/>
          <w:sz w:val="24"/>
          <w:szCs w:val="24"/>
        </w:rPr>
        <w:lastRenderedPageBreak/>
        <w:t>noted on the REAC Inspection and any items discovered during the 100% inspection conducted by staff.  Once the AE receives this certification; they will order a follow up inspection.</w:t>
      </w:r>
    </w:p>
    <w:p w:rsidR="00F80A99" w:rsidRPr="00F80A99" w:rsidRDefault="00F80A99" w:rsidP="00F80A99">
      <w:pPr>
        <w:spacing w:after="0" w:line="240" w:lineRule="auto"/>
        <w:ind w:left="720"/>
        <w:contextualSpacing/>
        <w:rPr>
          <w:rFonts w:ascii="Verdana" w:eastAsia="Calibri" w:hAnsi="Verdana" w:cs="Times New Roman"/>
          <w:sz w:val="24"/>
          <w:szCs w:val="24"/>
        </w:rPr>
      </w:pPr>
    </w:p>
    <w:p w:rsidR="00F80A99" w:rsidRPr="00F80A99" w:rsidRDefault="00F80A99" w:rsidP="00F80A99">
      <w:pPr>
        <w:spacing w:after="0" w:line="240" w:lineRule="auto"/>
        <w:rPr>
          <w:rFonts w:ascii="Verdana" w:eastAsia="MS Mincho" w:hAnsi="Verdana" w:cs="Times New Roman"/>
          <w:i/>
          <w:sz w:val="24"/>
          <w:szCs w:val="24"/>
        </w:rPr>
      </w:pPr>
      <w:r w:rsidRPr="00F80A99">
        <w:rPr>
          <w:rFonts w:ascii="Verdana" w:eastAsia="MS Mincho" w:hAnsi="Verdana" w:cs="Times New Roman"/>
          <w:b/>
          <w:i/>
          <w:sz w:val="24"/>
          <w:szCs w:val="24"/>
        </w:rPr>
        <w:t>Keywords:</w:t>
      </w:r>
      <w:r w:rsidRPr="00F80A99">
        <w:rPr>
          <w:rFonts w:ascii="Verdana" w:eastAsia="MS Mincho" w:hAnsi="Verdana" w:cs="Times New Roman"/>
          <w:i/>
          <w:sz w:val="24"/>
          <w:szCs w:val="24"/>
        </w:rPr>
        <w:tab/>
        <w:t>REAC, Inspections</w:t>
      </w:r>
    </w:p>
    <w:p w:rsidR="00F80A99" w:rsidRPr="00F80A99" w:rsidRDefault="00F80A99" w:rsidP="00F80A99">
      <w:pPr>
        <w:spacing w:after="0" w:line="240" w:lineRule="auto"/>
        <w:rPr>
          <w:rFonts w:ascii="Verdana" w:eastAsia="MS Mincho" w:hAnsi="Verdana" w:cs="Times New Roman"/>
          <w:b/>
          <w:sz w:val="24"/>
          <w:szCs w:val="24"/>
        </w:rPr>
      </w:pPr>
    </w:p>
    <w:p w:rsidR="00F80A99" w:rsidRPr="00F80A99" w:rsidRDefault="00F80A99" w:rsidP="00F80A99">
      <w:pPr>
        <w:spacing w:after="0" w:line="240" w:lineRule="auto"/>
        <w:rPr>
          <w:rFonts w:ascii="Verdana" w:eastAsia="Calibri" w:hAnsi="Verdana" w:cs="Times New Roman"/>
          <w:color w:val="0000FF"/>
          <w:sz w:val="24"/>
          <w:szCs w:val="24"/>
          <w:u w:val="single"/>
        </w:rPr>
      </w:pPr>
      <w:hyperlink w:anchor="_top" w:history="1">
        <w:r w:rsidRPr="00F80A99">
          <w:rPr>
            <w:rFonts w:ascii="Verdana" w:eastAsia="Calibri" w:hAnsi="Verdana" w:cs="Times New Roman"/>
            <w:color w:val="0000FF"/>
            <w:sz w:val="24"/>
            <w:szCs w:val="24"/>
            <w:u w:val="single"/>
          </w:rPr>
          <w:t>Back to top</w:t>
        </w:r>
      </w:hyperlink>
    </w:p>
    <w:p w:rsidR="00F80A99" w:rsidRPr="00F80A99" w:rsidRDefault="00F80A99" w:rsidP="00F80A99">
      <w:pPr>
        <w:spacing w:after="0" w:line="240" w:lineRule="auto"/>
        <w:rPr>
          <w:rFonts w:ascii="Verdana" w:eastAsia="Calibri" w:hAnsi="Verdana" w:cs="Times New Roman"/>
          <w:b/>
          <w:sz w:val="24"/>
          <w:szCs w:val="24"/>
        </w:rPr>
      </w:pPr>
    </w:p>
    <w:p w:rsidR="00F80A99" w:rsidRPr="00F80A99" w:rsidRDefault="00F80A99" w:rsidP="00F80A99">
      <w:pPr>
        <w:spacing w:after="0" w:line="240" w:lineRule="auto"/>
        <w:outlineLvl w:val="0"/>
        <w:rPr>
          <w:rFonts w:ascii="Verdana" w:eastAsia="Calibri" w:hAnsi="Verdana" w:cs="Times New Roman"/>
          <w:b/>
          <w:bCs/>
          <w:caps/>
          <w:sz w:val="28"/>
          <w:szCs w:val="32"/>
          <w:u w:val="single"/>
        </w:rPr>
      </w:pPr>
      <w:bookmarkStart w:id="13" w:name="_Toc333920723"/>
      <w:bookmarkStart w:id="14" w:name="_Toc511809860"/>
      <w:r w:rsidRPr="00F80A99">
        <w:rPr>
          <w:rFonts w:ascii="Verdana" w:eastAsia="Calibri" w:hAnsi="Verdana" w:cs="Times New Roman"/>
          <w:b/>
          <w:bCs/>
          <w:caps/>
          <w:sz w:val="28"/>
          <w:szCs w:val="32"/>
          <w:u w:val="single"/>
        </w:rPr>
        <w:t>Document Links Included In This Blast</w:t>
      </w:r>
      <w:bookmarkEnd w:id="13"/>
      <w:bookmarkEnd w:id="14"/>
    </w:p>
    <w:p w:rsidR="00F80A99" w:rsidRPr="00F80A99" w:rsidRDefault="00F80A99" w:rsidP="00F80A99">
      <w:pPr>
        <w:spacing w:after="0" w:line="240" w:lineRule="auto"/>
        <w:rPr>
          <w:rFonts w:ascii="Verdana" w:eastAsia="Calibri" w:hAnsi="Verdana" w:cs="Times New Roman"/>
          <w:color w:val="000000"/>
          <w:sz w:val="24"/>
        </w:rPr>
      </w:pPr>
    </w:p>
    <w:p w:rsidR="00F80A99" w:rsidRPr="00F80A99" w:rsidRDefault="00F80A99" w:rsidP="00F80A99">
      <w:pPr>
        <w:numPr>
          <w:ilvl w:val="0"/>
          <w:numId w:val="1"/>
        </w:numPr>
        <w:spacing w:after="0" w:line="240" w:lineRule="auto"/>
        <w:rPr>
          <w:rFonts w:ascii="Verdana" w:eastAsia="Calibri" w:hAnsi="Verdana" w:cs="Times New Roman"/>
          <w:color w:val="000000"/>
          <w:sz w:val="24"/>
          <w:szCs w:val="24"/>
        </w:rPr>
      </w:pPr>
      <w:hyperlink r:id="rId13" w:history="1">
        <w:r w:rsidRPr="00F80A99">
          <w:rPr>
            <w:rFonts w:ascii="Verdana" w:eastAsia="Calibri" w:hAnsi="Verdana" w:cs="Times New Roman"/>
            <w:bCs/>
            <w:color w:val="0000FF"/>
            <w:sz w:val="24"/>
            <w:szCs w:val="24"/>
            <w:u w:val="single"/>
          </w:rPr>
          <w:t>Account Executive Facility Assignments - Contact Listing</w:t>
        </w:r>
      </w:hyperlink>
      <w:r w:rsidRPr="00F80A99">
        <w:rPr>
          <w:rFonts w:ascii="Verdana" w:eastAsia="Calibri" w:hAnsi="Verdana" w:cs="Times New Roman"/>
          <w:sz w:val="24"/>
          <w:szCs w:val="24"/>
        </w:rPr>
        <w:t xml:space="preserve"> </w:t>
      </w:r>
    </w:p>
    <w:p w:rsidR="00F80A99" w:rsidRPr="00F80A99" w:rsidRDefault="00F80A99" w:rsidP="00F80A99">
      <w:pPr>
        <w:spacing w:after="0" w:line="240" w:lineRule="auto"/>
        <w:rPr>
          <w:rFonts w:ascii="Verdana" w:eastAsia="Calibri" w:hAnsi="Verdana" w:cs="Times New Roman"/>
          <w:color w:val="000000"/>
          <w:sz w:val="24"/>
        </w:rPr>
      </w:pPr>
    </w:p>
    <w:p w:rsidR="00F80A99" w:rsidRPr="00F80A99" w:rsidRDefault="00F80A99" w:rsidP="00F80A99">
      <w:pPr>
        <w:spacing w:after="0" w:line="240" w:lineRule="auto"/>
        <w:rPr>
          <w:rFonts w:ascii="Verdana" w:eastAsia="Calibri" w:hAnsi="Verdana" w:cs="Times New Roman"/>
          <w:b/>
          <w:bCs/>
          <w:sz w:val="24"/>
        </w:rPr>
      </w:pPr>
      <w:hyperlink w:anchor="_top" w:history="1">
        <w:r w:rsidRPr="00F80A99">
          <w:rPr>
            <w:rFonts w:ascii="Verdana" w:eastAsia="Calibri" w:hAnsi="Verdana" w:cs="Times New Roman"/>
            <w:color w:val="0000FF"/>
            <w:sz w:val="24"/>
            <w:u w:val="single"/>
          </w:rPr>
          <w:t>Back to top</w:t>
        </w:r>
      </w:hyperlink>
    </w:p>
    <w:p w:rsidR="00F80A99" w:rsidRPr="00F80A99" w:rsidRDefault="00F80A99" w:rsidP="00F80A99">
      <w:pPr>
        <w:spacing w:after="0" w:line="240" w:lineRule="auto"/>
        <w:rPr>
          <w:rFonts w:ascii="Verdana" w:eastAsia="Calibri" w:hAnsi="Verdana" w:cs="Times New Roman"/>
          <w:sz w:val="24"/>
        </w:rPr>
      </w:pPr>
    </w:p>
    <w:p w:rsidR="00F80A99" w:rsidRPr="00F80A99" w:rsidRDefault="00F80A99" w:rsidP="00F80A99">
      <w:pPr>
        <w:spacing w:after="0" w:line="240" w:lineRule="auto"/>
        <w:jc w:val="center"/>
        <w:rPr>
          <w:rFonts w:ascii="Verdana" w:eastAsia="Calibri" w:hAnsi="Verdana" w:cs="Times New Roman"/>
          <w:color w:val="000000"/>
        </w:rPr>
      </w:pPr>
      <w:r w:rsidRPr="00F80A99">
        <w:rPr>
          <w:rFonts w:ascii="Verdana" w:eastAsia="Calibri" w:hAnsi="Verdana" w:cs="Times New Roman"/>
          <w:b/>
          <w:noProof/>
          <w:color w:val="1F497D"/>
        </w:rPr>
        <w:drawing>
          <wp:inline distT="0" distB="0" distL="0" distR="0" wp14:anchorId="74B0CE91" wp14:editId="3DF187F6">
            <wp:extent cx="5727700" cy="94615"/>
            <wp:effectExtent l="0" t="0" r="6350" b="635"/>
            <wp:docPr id="3" name="Picture 3"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00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27700" cy="94615"/>
                    </a:xfrm>
                    <a:prstGeom prst="rect">
                      <a:avLst/>
                    </a:prstGeom>
                    <a:noFill/>
                    <a:ln>
                      <a:noFill/>
                    </a:ln>
                  </pic:spPr>
                </pic:pic>
              </a:graphicData>
            </a:graphic>
          </wp:inline>
        </w:drawing>
      </w:r>
    </w:p>
    <w:p w:rsidR="00125502" w:rsidRPr="00125502" w:rsidRDefault="00125502" w:rsidP="00125502">
      <w:pPr>
        <w:spacing w:before="100" w:beforeAutospacing="1" w:after="100" w:afterAutospacing="1" w:line="240" w:lineRule="auto"/>
        <w:rPr>
          <w:rFonts w:ascii="Verdana" w:eastAsia="Calibri" w:hAnsi="Verdana" w:cs="Times New Roman"/>
          <w:sz w:val="24"/>
          <w:szCs w:val="24"/>
        </w:rPr>
      </w:pPr>
      <w:r w:rsidRPr="00125502">
        <w:rPr>
          <w:rFonts w:ascii="Verdana" w:eastAsia="Calibri" w:hAnsi="Verdana" w:cs="Times New Roman"/>
          <w:sz w:val="24"/>
          <w:szCs w:val="24"/>
        </w:rPr>
        <w:t xml:space="preserve">Past Lean 232 Updates are </w:t>
      </w:r>
      <w:hyperlink r:id="rId14" w:history="1">
        <w:r w:rsidRPr="00125502">
          <w:rPr>
            <w:rFonts w:ascii="Verdana" w:eastAsia="Calibri" w:hAnsi="Verdana" w:cs="Times New Roman"/>
            <w:color w:val="0000FF"/>
            <w:sz w:val="24"/>
            <w:szCs w:val="24"/>
            <w:u w:val="single"/>
          </w:rPr>
          <w:t>available online</w:t>
        </w:r>
      </w:hyperlink>
      <w:r w:rsidRPr="00125502">
        <w:rPr>
          <w:rFonts w:ascii="Verdana" w:eastAsia="Calibri" w:hAnsi="Verdana" w:cs="Times New Roman"/>
          <w:sz w:val="24"/>
          <w:szCs w:val="24"/>
        </w:rPr>
        <w:t>.</w:t>
      </w:r>
    </w:p>
    <w:p w:rsidR="00125502" w:rsidRPr="00125502" w:rsidRDefault="00125502" w:rsidP="00125502">
      <w:pPr>
        <w:spacing w:before="100" w:beforeAutospacing="1" w:after="100" w:afterAutospacing="1" w:line="240" w:lineRule="auto"/>
        <w:rPr>
          <w:rFonts w:ascii="Verdana" w:eastAsia="Calibri" w:hAnsi="Verdana" w:cs="Times New Roman"/>
          <w:sz w:val="24"/>
          <w:szCs w:val="24"/>
        </w:rPr>
      </w:pPr>
      <w:r w:rsidRPr="00125502">
        <w:rPr>
          <w:rFonts w:ascii="Verdana" w:eastAsia="Calibri" w:hAnsi="Verdana" w:cs="Times New Roman"/>
          <w:sz w:val="24"/>
          <w:szCs w:val="24"/>
        </w:rPr>
        <w:t xml:space="preserve">Have questions about the Lean 232 Program? Please contact </w:t>
      </w:r>
      <w:hyperlink r:id="rId15" w:history="1">
        <w:r w:rsidRPr="00125502">
          <w:rPr>
            <w:rFonts w:ascii="Verdana" w:eastAsia="Calibri" w:hAnsi="Verdana" w:cs="Times New Roman"/>
            <w:color w:val="0000FF"/>
            <w:sz w:val="24"/>
            <w:szCs w:val="24"/>
            <w:u w:val="single"/>
          </w:rPr>
          <w:t>LeanThinking@hud.gov</w:t>
        </w:r>
      </w:hyperlink>
      <w:r w:rsidRPr="00125502">
        <w:rPr>
          <w:rFonts w:ascii="Verdana" w:eastAsia="Calibri" w:hAnsi="Verdana" w:cs="Times New Roman"/>
          <w:sz w:val="24"/>
          <w:szCs w:val="24"/>
        </w:rPr>
        <w:t>.</w:t>
      </w:r>
    </w:p>
    <w:p w:rsidR="00125502" w:rsidRPr="00125502" w:rsidRDefault="00125502" w:rsidP="00125502">
      <w:pPr>
        <w:spacing w:before="100" w:beforeAutospacing="1" w:after="100" w:afterAutospacing="1" w:line="240" w:lineRule="auto"/>
        <w:rPr>
          <w:rFonts w:ascii="Verdana" w:eastAsia="Calibri" w:hAnsi="Verdana" w:cs="Times New Roman"/>
          <w:sz w:val="24"/>
          <w:szCs w:val="24"/>
        </w:rPr>
      </w:pPr>
      <w:r w:rsidRPr="00125502">
        <w:rPr>
          <w:rFonts w:ascii="Verdana" w:eastAsia="Calibri" w:hAnsi="Verdana" w:cs="Times New Roman"/>
          <w:sz w:val="24"/>
          <w:szCs w:val="24"/>
        </w:rPr>
        <w:t xml:space="preserve">For more information on the Lean 232 Program, check out: </w:t>
      </w:r>
      <w:hyperlink r:id="rId16" w:history="1">
        <w:r w:rsidRPr="00125502">
          <w:rPr>
            <w:rFonts w:ascii="Verdana" w:eastAsia="Calibri" w:hAnsi="Verdana" w:cs="Times New Roman"/>
            <w:color w:val="0000FF"/>
            <w:sz w:val="24"/>
            <w:szCs w:val="24"/>
            <w:u w:val="single"/>
          </w:rPr>
          <w:t>http://www.hud.gov/healthcare</w:t>
        </w:r>
      </w:hyperlink>
      <w:r w:rsidRPr="00125502">
        <w:rPr>
          <w:rFonts w:ascii="Verdana" w:eastAsia="Calibri" w:hAnsi="Verdana" w:cs="Times New Roman"/>
          <w:sz w:val="24"/>
          <w:szCs w:val="24"/>
        </w:rPr>
        <w:t>.</w:t>
      </w:r>
    </w:p>
    <w:p w:rsidR="00125502" w:rsidRPr="00125502" w:rsidRDefault="00125502" w:rsidP="00125502">
      <w:pPr>
        <w:spacing w:before="100" w:beforeAutospacing="1" w:after="100" w:afterAutospacing="1" w:line="240" w:lineRule="auto"/>
        <w:rPr>
          <w:rFonts w:ascii="Verdana" w:eastAsia="Calibri" w:hAnsi="Verdana" w:cs="Times New Roman"/>
          <w:sz w:val="24"/>
          <w:szCs w:val="24"/>
        </w:rPr>
      </w:pPr>
      <w:r w:rsidRPr="00125502">
        <w:rPr>
          <w:rFonts w:ascii="Verdana" w:eastAsia="Calibri" w:hAnsi="Verdana" w:cs="Times New Roman"/>
          <w:sz w:val="24"/>
          <w:szCs w:val="24"/>
        </w:rPr>
        <w:t xml:space="preserve">Have your loan servicing colleagues joined our email list? The Email Blasts contain information relevant to them as well. You might suggest they </w:t>
      </w:r>
      <w:hyperlink r:id="rId17" w:history="1">
        <w:r w:rsidRPr="00125502">
          <w:rPr>
            <w:rFonts w:ascii="Verdana" w:eastAsia="Calibri" w:hAnsi="Verdana" w:cs="Times New Roman"/>
            <w:color w:val="0000FF"/>
            <w:sz w:val="24"/>
            <w:szCs w:val="24"/>
            <w:u w:val="single"/>
          </w:rPr>
          <w:t>Join here</w:t>
        </w:r>
      </w:hyperlink>
      <w:r w:rsidRPr="00125502">
        <w:rPr>
          <w:rFonts w:ascii="Verdana" w:eastAsia="Calibri" w:hAnsi="Verdana" w:cs="Times New Roman"/>
          <w:sz w:val="24"/>
          <w:szCs w:val="24"/>
        </w:rPr>
        <w:t>.</w:t>
      </w:r>
    </w:p>
    <w:p w:rsidR="00125502" w:rsidRPr="00125502" w:rsidRDefault="00125502" w:rsidP="00125502">
      <w:pPr>
        <w:spacing w:before="100" w:beforeAutospacing="1" w:after="100" w:afterAutospacing="1" w:line="240" w:lineRule="auto"/>
        <w:rPr>
          <w:rFonts w:ascii="Verdana" w:eastAsia="Calibri" w:hAnsi="Verdana" w:cs="Times New Roman"/>
          <w:sz w:val="24"/>
          <w:szCs w:val="24"/>
        </w:rPr>
      </w:pPr>
      <w:r w:rsidRPr="00125502">
        <w:rPr>
          <w:rFonts w:ascii="Verdana" w:eastAsia="Calibri" w:hAnsi="Verdana" w:cs="Times New Roman"/>
          <w:sz w:val="24"/>
          <w:szCs w:val="24"/>
        </w:rPr>
        <w:t xml:space="preserve">We hope that you will want to continue receiving information from HUD. We safeguard our lists and do not rent, sell, or permit the use of our lists by others, at any time, for any reason. If you wish to be taken off this mail list, please </w:t>
      </w:r>
      <w:hyperlink r:id="rId18" w:history="1">
        <w:r w:rsidRPr="00125502">
          <w:rPr>
            <w:rFonts w:ascii="Verdana" w:eastAsia="Calibri" w:hAnsi="Verdana" w:cs="Times New Roman"/>
            <w:color w:val="0000FF"/>
            <w:sz w:val="24"/>
            <w:szCs w:val="24"/>
            <w:u w:val="single"/>
          </w:rPr>
          <w:t>go here</w:t>
        </w:r>
      </w:hyperlink>
      <w:r w:rsidRPr="00125502">
        <w:rPr>
          <w:rFonts w:ascii="Verdana" w:eastAsia="Calibri" w:hAnsi="Verdana" w:cs="Times New Roman"/>
          <w:sz w:val="24"/>
          <w:szCs w:val="24"/>
        </w:rPr>
        <w:t>.</w:t>
      </w:r>
    </w:p>
    <w:p w:rsidR="00202254" w:rsidRDefault="00202254">
      <w:bookmarkStart w:id="15" w:name="_GoBack"/>
      <w:bookmarkEnd w:id="15"/>
    </w:p>
    <w:sectPr w:rsidR="0020225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E4C94"/>
    <w:multiLevelType w:val="hybridMultilevel"/>
    <w:tmpl w:val="03B0C1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196F00"/>
    <w:multiLevelType w:val="hybridMultilevel"/>
    <w:tmpl w:val="373C61C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AA61976"/>
    <w:multiLevelType w:val="hybridMultilevel"/>
    <w:tmpl w:val="E166B6E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3">
      <w:start w:val="1"/>
      <w:numFmt w:val="bullet"/>
      <w:lvlText w:val="o"/>
      <w:lvlJc w:val="left"/>
      <w:pPr>
        <w:ind w:left="1800" w:hanging="360"/>
      </w:pPr>
      <w:rPr>
        <w:rFonts w:ascii="Courier New" w:hAnsi="Courier New" w:cs="Courier New"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D817022"/>
    <w:multiLevelType w:val="hybridMultilevel"/>
    <w:tmpl w:val="2662CE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F4A7237"/>
    <w:multiLevelType w:val="hybridMultilevel"/>
    <w:tmpl w:val="0344A8A8"/>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1A35E83"/>
    <w:multiLevelType w:val="hybridMultilevel"/>
    <w:tmpl w:val="49FCCE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0B8063E"/>
    <w:multiLevelType w:val="hybridMultilevel"/>
    <w:tmpl w:val="731090F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
  </w:num>
  <w:num w:numId="2">
    <w:abstractNumId w:val="6"/>
  </w:num>
  <w:num w:numId="3">
    <w:abstractNumId w:val="4"/>
  </w:num>
  <w:num w:numId="4">
    <w:abstractNumId w:val="5"/>
  </w:num>
  <w:num w:numId="5">
    <w:abstractNumId w:val="0"/>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0A99"/>
    <w:rsid w:val="00125502"/>
    <w:rsid w:val="00202254"/>
    <w:rsid w:val="00F80A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23CC55-2FC7-4D54-BDCF-28D920B45D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80A99"/>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pps.hud.gov/offices/reac/products/pass/top20.pdf" TargetMode="External"/><Relationship Id="rId13" Type="http://schemas.openxmlformats.org/officeDocument/2006/relationships/hyperlink" Target="http://portal.hud.gov/hudportal/HUD?src=/federal_housing_administration/healthcare_facilities/residential_care/loan_servicing" TargetMode="External"/><Relationship Id="rId18" Type="http://schemas.openxmlformats.org/officeDocument/2006/relationships/hyperlink" Target="http://portal.hud.gov/hudportal/HUD?src=/subscribe/signup&amp;listname=Lean%20232%20Updates&amp;list=LEAN-232-UPDATES-L" TargetMode="External"/><Relationship Id="rId3" Type="http://schemas.openxmlformats.org/officeDocument/2006/relationships/settings" Target="settings.xml"/><Relationship Id="rId7" Type="http://schemas.openxmlformats.org/officeDocument/2006/relationships/hyperlink" Target="http://portal.hud.gov/hudportal/documents/huddoc?id=Prep4REACInspecR2Oct2016.pdf" TargetMode="External"/><Relationship Id="rId12" Type="http://schemas.openxmlformats.org/officeDocument/2006/relationships/hyperlink" Target="https://www.hud.gov/sites/documents/93333_orcf.doc" TargetMode="External"/><Relationship Id="rId17" Type="http://schemas.openxmlformats.org/officeDocument/2006/relationships/hyperlink" Target="http://portal.hud.gov/hudportal/HUD?src=/subscribe/signup&amp;listname=Lean%20232%20Updates&amp;list=LEAN-232-UPDATES-L" TargetMode="External"/><Relationship Id="rId2" Type="http://schemas.openxmlformats.org/officeDocument/2006/relationships/styles" Target="styles.xml"/><Relationship Id="rId16" Type="http://schemas.openxmlformats.org/officeDocument/2006/relationships/hyperlink" Target="http://www.hud.gov/healthcare"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hud.gov/sites/dfiles/Housing/documents/HUD232PortAEAssigFeb2018.xlsx" TargetMode="External"/><Relationship Id="rId11" Type="http://schemas.openxmlformats.org/officeDocument/2006/relationships/hyperlink" Target="https://www.hud.gov/sites/documents/93332_orcf.doc" TargetMode="External"/><Relationship Id="rId5" Type="http://schemas.openxmlformats.org/officeDocument/2006/relationships/image" Target="media/image1.png"/><Relationship Id="rId15" Type="http://schemas.openxmlformats.org/officeDocument/2006/relationships/hyperlink" Target="mailto:LeanThinking@hud.gov" TargetMode="External"/><Relationship Id="rId10" Type="http://schemas.openxmlformats.org/officeDocument/2006/relationships/hyperlink" Target="https://apps.hud.gov/offices/reac/products/pass/PDFs/guidelines-adj.pdf"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hud.gov/program_offices/public_indian_housing/reac/training/learningtools" TargetMode="External"/><Relationship Id="rId14" Type="http://schemas.openxmlformats.org/officeDocument/2006/relationships/hyperlink" Target="http://portal.hud.gov/hudportal/HUD?src=/federal_housing_administration/healthcare_facilities/residential_care/mail_blast_inde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1813</Words>
  <Characters>10338</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Yeow, Emmanuel</dc:creator>
  <cp:keywords/>
  <dc:description/>
  <cp:lastModifiedBy>Yeow, Emmanuel</cp:lastModifiedBy>
  <cp:revision>2</cp:revision>
  <dcterms:created xsi:type="dcterms:W3CDTF">2018-05-01T11:35:00Z</dcterms:created>
  <dcterms:modified xsi:type="dcterms:W3CDTF">2018-05-01T11:37:00Z</dcterms:modified>
</cp:coreProperties>
</file>