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E865" w14:textId="77777777" w:rsidR="00DE3B9D" w:rsidRPr="009E2CD2" w:rsidRDefault="00DE3B9D" w:rsidP="00DE3B9D">
      <w:pPr>
        <w:pStyle w:val="TableText"/>
        <w:jc w:val="center"/>
        <w:rPr>
          <w:b/>
        </w:rPr>
      </w:pPr>
      <w:bookmarkStart w:id="0" w:name="_Hlk161838533"/>
    </w:p>
    <w:p w14:paraId="21E439F8" w14:textId="77777777" w:rsidR="00DE3B9D" w:rsidRPr="008D6AF8" w:rsidRDefault="00DE3B9D" w:rsidP="00DE3B9D">
      <w:pPr>
        <w:rPr>
          <w:rFonts w:ascii="Arial" w:hAnsi="Arial" w:cs="Arial"/>
          <w:sz w:val="40"/>
          <w:szCs w:val="40"/>
        </w:rPr>
      </w:pPr>
      <w:r>
        <w:rPr>
          <w:noProof/>
        </w:rPr>
        <w:drawing>
          <wp:anchor distT="0" distB="0" distL="114300" distR="114300" simplePos="0" relativeHeight="251659264" behindDoc="0" locked="0" layoutInCell="1" allowOverlap="1" wp14:anchorId="24917A39" wp14:editId="7C0A980C">
            <wp:simplePos x="0" y="0"/>
            <wp:positionH relativeFrom="margin">
              <wp:posOffset>60960</wp:posOffset>
            </wp:positionH>
            <wp:positionV relativeFrom="paragraph">
              <wp:posOffset>179070</wp:posOffset>
            </wp:positionV>
            <wp:extent cx="1949450" cy="1835785"/>
            <wp:effectExtent l="0" t="0" r="0" b="0"/>
            <wp:wrapSquare wrapText="bothSides"/>
            <wp:docPr id="10"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9450" cy="183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09950" w14:textId="77777777" w:rsidR="00DE3B9D" w:rsidRPr="00946B14" w:rsidRDefault="00DE3B9D" w:rsidP="00DE3B9D">
      <w:pPr>
        <w:ind w:left="-187"/>
        <w:jc w:val="center"/>
        <w:rPr>
          <w:rFonts w:ascii="Arial" w:hAnsi="Arial" w:cs="Arial"/>
          <w:bCs/>
          <w:noProof/>
          <w:sz w:val="36"/>
          <w:szCs w:val="36"/>
        </w:rPr>
      </w:pPr>
      <w:r w:rsidRPr="00946B14">
        <w:rPr>
          <w:rFonts w:ascii="Arial" w:hAnsi="Arial" w:cs="Arial"/>
          <w:bCs/>
          <w:noProof/>
          <w:sz w:val="36"/>
          <w:szCs w:val="36"/>
        </w:rPr>
        <w:t xml:space="preserve">United States Department of Housing and Urban Development </w:t>
      </w:r>
    </w:p>
    <w:p w14:paraId="05567113" w14:textId="77777777" w:rsidR="00DE3B9D" w:rsidRPr="008D6AF8" w:rsidRDefault="00DE3B9D" w:rsidP="00DE3B9D">
      <w:pPr>
        <w:rPr>
          <w:szCs w:val="24"/>
        </w:rPr>
      </w:pPr>
    </w:p>
    <w:p w14:paraId="603CA5AA" w14:textId="77777777" w:rsidR="00DE3B9D" w:rsidRPr="008D6AF8" w:rsidRDefault="00DE3B9D" w:rsidP="00DE3B9D">
      <w:pPr>
        <w:jc w:val="both"/>
        <w:rPr>
          <w:szCs w:val="24"/>
        </w:rPr>
      </w:pPr>
    </w:p>
    <w:p w14:paraId="11AC5AB4" w14:textId="77777777" w:rsidR="00DE3B9D" w:rsidRDefault="00DE3B9D" w:rsidP="00DE3B9D">
      <w:pPr>
        <w:rPr>
          <w:szCs w:val="24"/>
        </w:rPr>
      </w:pPr>
    </w:p>
    <w:p w14:paraId="1C206D1B" w14:textId="77777777" w:rsidR="00DE3B9D" w:rsidRPr="008D6AF8" w:rsidRDefault="00DE3B9D" w:rsidP="00DE3B9D">
      <w:pPr>
        <w:rPr>
          <w:szCs w:val="24"/>
        </w:rPr>
      </w:pPr>
    </w:p>
    <w:p w14:paraId="230663C0" w14:textId="77777777" w:rsidR="00DE3B9D" w:rsidRPr="008D6AF8" w:rsidRDefault="00DE3B9D" w:rsidP="00DE3B9D">
      <w:pPr>
        <w:rPr>
          <w:szCs w:val="24"/>
        </w:rPr>
      </w:pPr>
    </w:p>
    <w:p w14:paraId="472D8668" w14:textId="77777777" w:rsidR="00DE3B9D" w:rsidRDefault="00DE3B9D" w:rsidP="00DE3B9D">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Conversion Mortgage Business Service Provider (HECM BSP) </w:t>
      </w:r>
    </w:p>
    <w:p w14:paraId="388A0C76" w14:textId="77777777" w:rsidR="00DE3B9D" w:rsidRDefault="00DE3B9D" w:rsidP="00DE3B9D"/>
    <w:p w14:paraId="230CEC0D" w14:textId="77777777" w:rsidR="00DE3B9D" w:rsidRDefault="00DE3B9D" w:rsidP="00DE3B9D"/>
    <w:p w14:paraId="5880CF01" w14:textId="785E2E05" w:rsidR="00DE3B9D" w:rsidRPr="00A266AE" w:rsidRDefault="00DE3B9D" w:rsidP="00DE3B9D">
      <w:pPr>
        <w:jc w:val="center"/>
        <w:rPr>
          <w:rFonts w:ascii="Arial" w:hAnsi="Arial" w:cs="Arial"/>
          <w:b/>
          <w:sz w:val="48"/>
          <w:szCs w:val="48"/>
        </w:rPr>
      </w:pPr>
      <w:r>
        <w:rPr>
          <w:rFonts w:ascii="Arial" w:hAnsi="Arial" w:cs="Arial"/>
          <w:b/>
          <w:sz w:val="48"/>
          <w:szCs w:val="48"/>
        </w:rPr>
        <w:t xml:space="preserve">Process Document for Monthly MIP (MMIP) Approval </w:t>
      </w:r>
    </w:p>
    <w:p w14:paraId="60924BA1" w14:textId="77777777" w:rsidR="00DE3B9D" w:rsidRDefault="00DE3B9D" w:rsidP="00DE3B9D">
      <w:pPr>
        <w:pStyle w:val="Titlepage"/>
        <w:rPr>
          <w:sz w:val="28"/>
          <w:szCs w:val="28"/>
        </w:rPr>
      </w:pPr>
    </w:p>
    <w:p w14:paraId="676C3966" w14:textId="77777777" w:rsidR="00DE3B9D" w:rsidRDefault="00DE3B9D" w:rsidP="00DE3B9D">
      <w:pPr>
        <w:pStyle w:val="Titlepage"/>
        <w:rPr>
          <w:sz w:val="28"/>
          <w:szCs w:val="28"/>
        </w:rPr>
      </w:pPr>
    </w:p>
    <w:p w14:paraId="3DE2FD0F" w14:textId="77777777" w:rsidR="00DE3B9D" w:rsidRDefault="00DE3B9D" w:rsidP="00DE3B9D">
      <w:pPr>
        <w:pStyle w:val="Titlepage"/>
        <w:jc w:val="center"/>
        <w:rPr>
          <w:rFonts w:ascii="Arial" w:hAnsi="Arial" w:cs="Arial"/>
          <w:sz w:val="32"/>
          <w:szCs w:val="32"/>
        </w:rPr>
      </w:pPr>
      <w:r>
        <w:rPr>
          <w:rFonts w:ascii="Arial" w:hAnsi="Arial" w:cs="Arial"/>
          <w:sz w:val="32"/>
          <w:szCs w:val="32"/>
        </w:rPr>
        <w:t>HERMIT Release 7.60</w:t>
      </w:r>
    </w:p>
    <w:p w14:paraId="4812FDB8" w14:textId="77777777" w:rsidR="00DE3B9D" w:rsidRDefault="00DE3B9D" w:rsidP="00DE3B9D">
      <w:pPr>
        <w:pStyle w:val="Titlepage"/>
        <w:jc w:val="center"/>
        <w:rPr>
          <w:rFonts w:ascii="Arial" w:hAnsi="Arial" w:cs="Arial"/>
          <w:sz w:val="32"/>
          <w:szCs w:val="32"/>
        </w:rPr>
      </w:pPr>
    </w:p>
    <w:p w14:paraId="1B9C4A72" w14:textId="2F84F726" w:rsidR="00DE3B9D" w:rsidRDefault="00DE3B9D" w:rsidP="00DE3B9D">
      <w:pPr>
        <w:pStyle w:val="Titlepage"/>
        <w:jc w:val="center"/>
        <w:rPr>
          <w:rFonts w:ascii="Arial" w:hAnsi="Arial" w:cs="Arial"/>
          <w:sz w:val="32"/>
          <w:szCs w:val="32"/>
        </w:rPr>
      </w:pPr>
      <w:r>
        <w:rPr>
          <w:rFonts w:ascii="Arial" w:hAnsi="Arial" w:cs="Arial"/>
          <w:sz w:val="32"/>
          <w:szCs w:val="32"/>
        </w:rPr>
        <w:t xml:space="preserve">Document </w:t>
      </w:r>
      <w:r w:rsidRPr="00946B14">
        <w:rPr>
          <w:rFonts w:ascii="Arial" w:hAnsi="Arial" w:cs="Arial"/>
          <w:sz w:val="32"/>
          <w:szCs w:val="32"/>
        </w:rPr>
        <w:t xml:space="preserve">Version </w:t>
      </w:r>
      <w:r>
        <w:rPr>
          <w:rFonts w:ascii="Arial" w:hAnsi="Arial" w:cs="Arial"/>
          <w:sz w:val="32"/>
          <w:szCs w:val="32"/>
        </w:rPr>
        <w:t>1</w:t>
      </w:r>
      <w:r w:rsidRPr="00946B14">
        <w:rPr>
          <w:rFonts w:ascii="Arial" w:hAnsi="Arial" w:cs="Arial"/>
          <w:sz w:val="32"/>
          <w:szCs w:val="32"/>
        </w:rPr>
        <w:t>.</w:t>
      </w:r>
      <w:r>
        <w:rPr>
          <w:rFonts w:ascii="Arial" w:hAnsi="Arial" w:cs="Arial"/>
          <w:sz w:val="32"/>
          <w:szCs w:val="32"/>
        </w:rPr>
        <w:t>0</w:t>
      </w:r>
    </w:p>
    <w:p w14:paraId="55E0BFA5" w14:textId="77777777" w:rsidR="00DE3B9D" w:rsidRPr="00946B14" w:rsidRDefault="00DE3B9D" w:rsidP="00DE3B9D">
      <w:pPr>
        <w:pStyle w:val="Titlepage"/>
        <w:jc w:val="center"/>
        <w:rPr>
          <w:rFonts w:ascii="Arial" w:hAnsi="Arial" w:cs="Arial"/>
          <w:sz w:val="32"/>
          <w:szCs w:val="32"/>
        </w:rPr>
      </w:pPr>
    </w:p>
    <w:p w14:paraId="2A24FAAE" w14:textId="44C008AB" w:rsidR="00DE3B9D" w:rsidRPr="00946B14" w:rsidRDefault="00DE3B9D" w:rsidP="00DE3B9D">
      <w:pPr>
        <w:pStyle w:val="Titlepage"/>
        <w:jc w:val="center"/>
        <w:rPr>
          <w:rFonts w:ascii="Arial" w:hAnsi="Arial" w:cs="Arial"/>
          <w:sz w:val="32"/>
          <w:szCs w:val="32"/>
        </w:rPr>
      </w:pPr>
      <w:r>
        <w:rPr>
          <w:rFonts w:ascii="Arial" w:hAnsi="Arial" w:cs="Arial"/>
          <w:sz w:val="32"/>
          <w:szCs w:val="32"/>
        </w:rPr>
        <w:t>Marc</w:t>
      </w:r>
      <w:r>
        <w:rPr>
          <w:rFonts w:ascii="Arial" w:hAnsi="Arial" w:cs="Arial"/>
          <w:sz w:val="32"/>
          <w:szCs w:val="32"/>
        </w:rPr>
        <w:t xml:space="preserve">h </w:t>
      </w:r>
      <w:r>
        <w:rPr>
          <w:rFonts w:ascii="Arial" w:hAnsi="Arial" w:cs="Arial"/>
          <w:sz w:val="32"/>
          <w:szCs w:val="32"/>
        </w:rPr>
        <w:t>23, 2024</w:t>
      </w:r>
    </w:p>
    <w:p w14:paraId="6B51D58F" w14:textId="77777777" w:rsidR="00DE3B9D" w:rsidRPr="004A309B" w:rsidRDefault="00DE3B9D" w:rsidP="00DE3B9D">
      <w:pPr>
        <w:pStyle w:val="NormalWeb"/>
        <w:spacing w:after="120" w:afterAutospacing="0"/>
        <w:rPr>
          <w:rFonts w:ascii="Cambria" w:hAnsi="Cambria"/>
          <w:sz w:val="22"/>
          <w:szCs w:val="22"/>
        </w:rPr>
      </w:pPr>
      <w:r>
        <w:rPr>
          <w:rFonts w:ascii="Calibri" w:hAnsi="Calibri"/>
          <w:b/>
          <w:sz w:val="28"/>
          <w:szCs w:val="28"/>
        </w:rPr>
        <w:br w:type="page"/>
      </w:r>
      <w:bookmarkStart w:id="1" w:name="_Hlk161838580"/>
      <w:bookmarkEnd w:id="0"/>
      <w:r w:rsidRPr="004A309B">
        <w:rPr>
          <w:rFonts w:ascii="Cambria" w:hAnsi="Cambria"/>
          <w:sz w:val="22"/>
          <w:szCs w:val="22"/>
        </w:rPr>
        <w:lastRenderedPageBreak/>
        <w:t xml:space="preserve">At HUD’s request in Release 7.6 on March 23, 2024, HERMIT implemented a system enhancement for Monthly MIP (MMIP) batches to be grouped at the Servicer </w:t>
      </w:r>
      <w:r>
        <w:rPr>
          <w:rFonts w:ascii="Cambria" w:hAnsi="Cambria"/>
          <w:sz w:val="22"/>
          <w:szCs w:val="22"/>
        </w:rPr>
        <w:t>/</w:t>
      </w:r>
      <w:r w:rsidRPr="004A309B">
        <w:rPr>
          <w:rFonts w:ascii="Cambria" w:hAnsi="Cambria"/>
          <w:sz w:val="22"/>
          <w:szCs w:val="22"/>
        </w:rPr>
        <w:t xml:space="preserve"> Investor level, and to require MMIP batches to be Approved by the Servicer before MMIP is collected via </w:t>
      </w:r>
      <w:r>
        <w:rPr>
          <w:rFonts w:ascii="Cambria" w:hAnsi="Cambria"/>
          <w:sz w:val="22"/>
          <w:szCs w:val="22"/>
        </w:rPr>
        <w:t>Treasury</w:t>
      </w:r>
      <w:r w:rsidRPr="004A309B">
        <w:rPr>
          <w:rFonts w:ascii="Cambria" w:hAnsi="Cambria"/>
          <w:sz w:val="22"/>
          <w:szCs w:val="22"/>
        </w:rPr>
        <w:t xml:space="preserve">. The grouping of MMIP batches by Servicer </w:t>
      </w:r>
      <w:r>
        <w:rPr>
          <w:rFonts w:ascii="Cambria" w:hAnsi="Cambria"/>
          <w:sz w:val="22"/>
          <w:szCs w:val="22"/>
        </w:rPr>
        <w:t>/</w:t>
      </w:r>
      <w:r w:rsidRPr="004A309B">
        <w:rPr>
          <w:rFonts w:ascii="Cambria" w:hAnsi="Cambria"/>
          <w:sz w:val="22"/>
          <w:szCs w:val="22"/>
        </w:rPr>
        <w:t xml:space="preserve"> Investor replaces the previous grouping of one MMIP batch per day per Servicer. The Approval of MMIP replaces the previous process of automatically attempting to collect any MMIP without the Servicer taking action to initiate the collection. These changes affect all MMIP on the loan including large batches generated after month end accruals are posted to the loan, and Daily MIP activity due to Payoffs, MIP adjustments, or other changes to loan data that affect a loan’s MIP accruals. </w:t>
      </w:r>
      <w:r>
        <w:rPr>
          <w:rFonts w:ascii="Cambria" w:hAnsi="Cambria"/>
          <w:sz w:val="22"/>
          <w:szCs w:val="22"/>
        </w:rPr>
        <w:t>As a result of these changes, multiple batches under the same Servicer could be created and therefore MIP approvals could be required every day.</w:t>
      </w:r>
    </w:p>
    <w:p w14:paraId="3D7AC45D" w14:textId="77777777" w:rsidR="00DE3B9D" w:rsidRPr="004A309B" w:rsidRDefault="00DE3B9D" w:rsidP="00DE3B9D">
      <w:pPr>
        <w:pStyle w:val="NormalWeb"/>
        <w:spacing w:after="120" w:afterAutospacing="0"/>
        <w:rPr>
          <w:rFonts w:ascii="Cambria" w:hAnsi="Cambria"/>
          <w:sz w:val="22"/>
          <w:szCs w:val="22"/>
        </w:rPr>
      </w:pPr>
      <w:r w:rsidRPr="004A309B">
        <w:rPr>
          <w:rFonts w:ascii="Cambria" w:hAnsi="Cambria"/>
          <w:sz w:val="22"/>
          <w:szCs w:val="22"/>
        </w:rPr>
        <w:t xml:space="preserve">Late fees and Penalty Interest </w:t>
      </w:r>
      <w:r>
        <w:rPr>
          <w:rFonts w:ascii="Cambria" w:hAnsi="Cambria"/>
          <w:sz w:val="22"/>
          <w:szCs w:val="22"/>
        </w:rPr>
        <w:t>will be charged</w:t>
      </w:r>
      <w:r w:rsidRPr="004A309B">
        <w:rPr>
          <w:rFonts w:ascii="Cambria" w:hAnsi="Cambria"/>
          <w:sz w:val="22"/>
          <w:szCs w:val="22"/>
        </w:rPr>
        <w:t xml:space="preserve"> on each batch when Approval of MIP is completed after the HUD established deadlines.</w:t>
      </w:r>
      <w:r>
        <w:rPr>
          <w:rFonts w:ascii="Cambria" w:hAnsi="Cambria"/>
          <w:sz w:val="22"/>
          <w:szCs w:val="22"/>
        </w:rPr>
        <w:t xml:space="preserve"> There is no change to the established deadlines and calculations. </w:t>
      </w:r>
    </w:p>
    <w:p w14:paraId="29CBEF8A" w14:textId="77777777" w:rsidR="00DE3B9D" w:rsidRPr="004A309B" w:rsidRDefault="00DE3B9D" w:rsidP="00DE3B9D">
      <w:pPr>
        <w:pStyle w:val="NormalWeb"/>
        <w:spacing w:after="120" w:afterAutospacing="0"/>
        <w:rPr>
          <w:rFonts w:ascii="Cambria" w:hAnsi="Cambria"/>
          <w:sz w:val="22"/>
          <w:szCs w:val="22"/>
        </w:rPr>
      </w:pPr>
      <w:r w:rsidRPr="004A309B">
        <w:rPr>
          <w:rFonts w:ascii="Cambria" w:hAnsi="Cambria"/>
          <w:sz w:val="22"/>
          <w:szCs w:val="22"/>
        </w:rPr>
        <w:t>The processes outlined in this document do not impact Initial MIP collection.</w:t>
      </w:r>
    </w:p>
    <w:p w14:paraId="0FB14D1D" w14:textId="77777777" w:rsidR="00DE3B9D" w:rsidRDefault="00DE3B9D" w:rsidP="00DE3B9D">
      <w:pPr>
        <w:pStyle w:val="BodyText"/>
      </w:pPr>
    </w:p>
    <w:p w14:paraId="1FE80C0E" w14:textId="77777777" w:rsidR="00DE3B9D" w:rsidRDefault="00DE3B9D" w:rsidP="00DE3B9D">
      <w:pPr>
        <w:spacing w:after="160" w:line="259" w:lineRule="auto"/>
        <w:rPr>
          <w:rFonts w:ascii="Cambria" w:hAnsi="Cambria"/>
          <w:bCs/>
          <w:lang w:bidi="en-US"/>
        </w:rPr>
      </w:pPr>
      <w:r>
        <w:br w:type="page"/>
      </w:r>
    </w:p>
    <w:p w14:paraId="2423499B" w14:textId="77777777" w:rsidR="00DE3B9D" w:rsidRPr="00B47F8F" w:rsidRDefault="00DE3B9D" w:rsidP="00DE3B9D">
      <w:pPr>
        <w:pStyle w:val="BodyText"/>
        <w:rPr>
          <w:b/>
          <w:bCs w:val="0"/>
          <w:color w:val="4C94D8" w:themeColor="text2" w:themeTint="80"/>
        </w:rPr>
      </w:pPr>
      <w:r>
        <w:rPr>
          <w:b/>
          <w:bCs w:val="0"/>
          <w:color w:val="4C94D8" w:themeColor="text2" w:themeTint="80"/>
        </w:rPr>
        <w:lastRenderedPageBreak/>
        <w:t xml:space="preserve">MIP </w:t>
      </w:r>
      <w:r w:rsidRPr="00B47F8F">
        <w:rPr>
          <w:b/>
          <w:bCs w:val="0"/>
          <w:color w:val="4C94D8" w:themeColor="text2" w:themeTint="80"/>
        </w:rPr>
        <w:t xml:space="preserve">Batches by Investor: </w:t>
      </w:r>
    </w:p>
    <w:p w14:paraId="78CB94F3" w14:textId="77777777" w:rsidR="00DE3B9D" w:rsidRDefault="00DE3B9D" w:rsidP="00DE3B9D">
      <w:pPr>
        <w:pStyle w:val="BodyText"/>
      </w:pPr>
      <w:r>
        <w:t>The Monthly MIP Batches created after Release 7.6 are grouped by Servicer &gt; Investor and each batch must be approved by the Servicer on the Accounting &gt; Transmittals page in HERMIT. (See approving MIP Batches section). The batch will continue to be sent to Treasury on a regular basis after the MIP has been approved. The Servicer will be able to search by and sort by Investor Name under the Transmittal Search Results for batches created after Release 7.6. Batches prior to Release 7.6 will not have an Investor assigned to them in the Investor Name column.</w:t>
      </w:r>
    </w:p>
    <w:p w14:paraId="351E1FB8" w14:textId="77777777" w:rsidR="00DE3B9D" w:rsidRDefault="00DE3B9D" w:rsidP="00DE3B9D">
      <w:pPr>
        <w:pStyle w:val="BodyText"/>
      </w:pPr>
      <w:r w:rsidRPr="00846F76">
        <w:t>The</w:t>
      </w:r>
      <w:r>
        <w:t xml:space="preserve">re is no change to the current Investor transfer process. If an Investor is changed during the month through the HERMIT user interface or the B2G process where the change is immediate the Monthly MIP Accrual will be associated with the Investor the loan was changed to. If the Investor is changed through the B2G process and is scheduled for the next month the </w:t>
      </w:r>
      <w:r w:rsidRPr="00846F76">
        <w:t xml:space="preserve">Monthly MIP will be </w:t>
      </w:r>
      <w:r>
        <w:t>associated with</w:t>
      </w:r>
      <w:r w:rsidRPr="00846F76">
        <w:t xml:space="preserve"> the Investor</w:t>
      </w:r>
      <w:r>
        <w:t xml:space="preserve"> of record at the end of the month. </w:t>
      </w:r>
      <w:r w:rsidRPr="00846F76">
        <w:t xml:space="preserve">   </w:t>
      </w:r>
    </w:p>
    <w:p w14:paraId="5FB3AFFB" w14:textId="77777777" w:rsidR="00DE3B9D" w:rsidRDefault="00DE3B9D" w:rsidP="00DE3B9D">
      <w:pPr>
        <w:pStyle w:val="BodyText"/>
      </w:pPr>
      <w:r>
        <w:rPr>
          <w:noProof/>
          <w14:ligatures w14:val="standardContextual"/>
        </w:rPr>
        <w:drawing>
          <wp:inline distT="0" distB="0" distL="0" distR="0" wp14:anchorId="6C5EBDAB" wp14:editId="099F437C">
            <wp:extent cx="5943600" cy="2550795"/>
            <wp:effectExtent l="19050" t="19050" r="19050" b="20955"/>
            <wp:docPr id="681929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2998" name="Picture 1" descr="A screenshot of a computer&#10;&#10;Description automatically generated"/>
                    <pic:cNvPicPr/>
                  </pic:nvPicPr>
                  <pic:blipFill>
                    <a:blip r:embed="rId8"/>
                    <a:stretch>
                      <a:fillRect/>
                    </a:stretch>
                  </pic:blipFill>
                  <pic:spPr>
                    <a:xfrm>
                      <a:off x="0" y="0"/>
                      <a:ext cx="5943600" cy="2550795"/>
                    </a:xfrm>
                    <a:prstGeom prst="rect">
                      <a:avLst/>
                    </a:prstGeom>
                    <a:ln w="19050">
                      <a:solidFill>
                        <a:srgbClr val="0070C0"/>
                      </a:solidFill>
                    </a:ln>
                  </pic:spPr>
                </pic:pic>
              </a:graphicData>
            </a:graphic>
          </wp:inline>
        </w:drawing>
      </w:r>
    </w:p>
    <w:p w14:paraId="0B731DBB" w14:textId="77777777" w:rsidR="00DE3B9D" w:rsidRDefault="00DE3B9D" w:rsidP="00DE3B9D">
      <w:pPr>
        <w:pStyle w:val="BodyText"/>
      </w:pPr>
    </w:p>
    <w:p w14:paraId="5A4857D6" w14:textId="77777777" w:rsidR="00DE3B9D" w:rsidRPr="00B47F8F" w:rsidRDefault="00DE3B9D" w:rsidP="00DE3B9D">
      <w:pPr>
        <w:pStyle w:val="BodyText"/>
        <w:rPr>
          <w:b/>
          <w:bCs w:val="0"/>
          <w:color w:val="4C94D8" w:themeColor="text2" w:themeTint="80"/>
        </w:rPr>
      </w:pPr>
      <w:r w:rsidRPr="00B47F8F">
        <w:rPr>
          <w:b/>
          <w:bCs w:val="0"/>
          <w:color w:val="4C94D8" w:themeColor="text2" w:themeTint="80"/>
        </w:rPr>
        <w:t xml:space="preserve">Approving MIP Batches: </w:t>
      </w:r>
    </w:p>
    <w:p w14:paraId="245EA2D5" w14:textId="3022B146" w:rsidR="00DE3B9D" w:rsidRPr="006C7316" w:rsidRDefault="00DE3B9D" w:rsidP="00DE3B9D">
      <w:pPr>
        <w:pStyle w:val="BodyText"/>
      </w:pPr>
      <w:r w:rsidRPr="006C7316">
        <w:t>Th</w:t>
      </w:r>
      <w:r>
        <w:t xml:space="preserve">e Approve MIP link is displayed on the Accounting &gt; Transmittal screen on the left menu in HERMIT. </w:t>
      </w:r>
      <w:r w:rsidRPr="006C7316">
        <w:t>This screen displays the</w:t>
      </w:r>
      <w:r>
        <w:t xml:space="preserve"> MIP Batches </w:t>
      </w:r>
      <w:r w:rsidRPr="006C7316">
        <w:t xml:space="preserve">that need </w:t>
      </w:r>
      <w:r>
        <w:t>Approval f</w:t>
      </w:r>
      <w:r w:rsidRPr="006C7316">
        <w:t xml:space="preserve">rom </w:t>
      </w:r>
      <w:r>
        <w:t>a servicer</w:t>
      </w:r>
      <w:r w:rsidRPr="006C7316">
        <w:t xml:space="preserve">. </w:t>
      </w:r>
      <w:r>
        <w:t xml:space="preserve">Each Investor’s Batch must be approved by the Servicer. </w:t>
      </w:r>
      <w:r w:rsidRPr="006C7316">
        <w:t>Upon</w:t>
      </w:r>
      <w:r>
        <w:t xml:space="preserve"> Approval</w:t>
      </w:r>
      <w:r w:rsidRPr="006C7316">
        <w:t xml:space="preserve">, the </w:t>
      </w:r>
      <w:r>
        <w:t xml:space="preserve">Approve MIP link </w:t>
      </w:r>
      <w:r w:rsidRPr="006C7316">
        <w:t>will no longer be displayed on the screen.</w:t>
      </w:r>
      <w:r>
        <w:t xml:space="preserve"> Monthly MIP Batches will need to be Approved once generated in the Servicing Module. Daily MIP batches will need to be approved as needed based on a Servicer’s loan activity. There is no bulk approval capability. MMIP batches </w:t>
      </w:r>
      <w:r w:rsidRPr="009B20F1">
        <w:rPr>
          <w:b/>
          <w:bCs w:val="0"/>
          <w:u w:val="single"/>
        </w:rPr>
        <w:t>cannot</w:t>
      </w:r>
      <w:r w:rsidRPr="009B20F1">
        <w:rPr>
          <w:b/>
          <w:bCs w:val="0"/>
          <w:u w:val="single"/>
        </w:rPr>
        <w:t xml:space="preserve"> be removed</w:t>
      </w:r>
      <w:r>
        <w:t xml:space="preserve"> from an Investors batch once it is batched up on the Accounting Transmittal screen. Servicers will need to ensure the loans in their portfolio are assigned to the correct Investor prior to the transaction being created. </w:t>
      </w:r>
    </w:p>
    <w:p w14:paraId="5D99830B" w14:textId="77777777" w:rsidR="00DE3B9D" w:rsidRDefault="00DE3B9D" w:rsidP="00DE3B9D">
      <w:pPr>
        <w:rPr>
          <w:rFonts w:ascii="Cambria" w:hAnsi="Cambria"/>
          <w:color w:val="000000"/>
        </w:rPr>
      </w:pPr>
    </w:p>
    <w:p w14:paraId="654529A4" w14:textId="77777777" w:rsidR="00DE3B9D" w:rsidRPr="006C7316" w:rsidRDefault="00DE3B9D" w:rsidP="00DE3B9D">
      <w:pPr>
        <w:rPr>
          <w:rFonts w:ascii="Cambria" w:hAnsi="Cambria"/>
          <w:color w:val="000000"/>
        </w:rPr>
      </w:pPr>
      <w:r>
        <w:rPr>
          <w:rFonts w:ascii="Cambria" w:hAnsi="Cambria"/>
          <w:color w:val="000000"/>
        </w:rPr>
        <w:t>T</w:t>
      </w:r>
      <w:r w:rsidRPr="006C7316">
        <w:rPr>
          <w:rFonts w:ascii="Cambria" w:hAnsi="Cambria"/>
          <w:color w:val="000000"/>
        </w:rPr>
        <w:t>o</w:t>
      </w:r>
      <w:r>
        <w:rPr>
          <w:rFonts w:ascii="Cambria" w:hAnsi="Cambria"/>
          <w:color w:val="000000"/>
        </w:rPr>
        <w:t xml:space="preserve"> Approve a MIP Batch</w:t>
      </w:r>
      <w:r w:rsidRPr="006C7316">
        <w:rPr>
          <w:rFonts w:ascii="Cambria" w:hAnsi="Cambria"/>
          <w:color w:val="000000"/>
        </w:rPr>
        <w:t>:</w:t>
      </w:r>
    </w:p>
    <w:p w14:paraId="295B60F4" w14:textId="77777777" w:rsidR="00DE3B9D" w:rsidRPr="00D345B1" w:rsidRDefault="00DE3B9D" w:rsidP="00DE3B9D">
      <w:pPr>
        <w:pStyle w:val="OrderedList"/>
        <w:numPr>
          <w:ilvl w:val="0"/>
          <w:numId w:val="1"/>
        </w:numPr>
        <w:jc w:val="both"/>
      </w:pPr>
      <w:r>
        <w:t xml:space="preserve">Enter the search criteria and click </w:t>
      </w:r>
      <w:r w:rsidRPr="00A75512">
        <w:rPr>
          <w:b/>
        </w:rPr>
        <w:t>Search</w:t>
      </w:r>
      <w:r>
        <w:t xml:space="preserve"> o</w:t>
      </w:r>
      <w:r w:rsidRPr="001E19CE">
        <w:t>n the</w:t>
      </w:r>
      <w:r w:rsidRPr="00A75512">
        <w:rPr>
          <w:b/>
        </w:rPr>
        <w:t xml:space="preserve"> </w:t>
      </w:r>
      <w:r>
        <w:rPr>
          <w:b/>
        </w:rPr>
        <w:t xml:space="preserve">Transmittals </w:t>
      </w:r>
      <w:r w:rsidRPr="002E4B00">
        <w:t>screen to display the</w:t>
      </w:r>
      <w:r>
        <w:t xml:space="preserve"> Approve MIP link(s)</w:t>
      </w:r>
      <w:r w:rsidRPr="002E4B00">
        <w:t>.</w:t>
      </w:r>
    </w:p>
    <w:p w14:paraId="31A34B74" w14:textId="77777777" w:rsidR="00DE3B9D" w:rsidRDefault="00DE3B9D" w:rsidP="00DE3B9D">
      <w:pPr>
        <w:pStyle w:val="OrderedList"/>
        <w:numPr>
          <w:ilvl w:val="0"/>
          <w:numId w:val="1"/>
        </w:numPr>
        <w:jc w:val="both"/>
      </w:pPr>
      <w:r>
        <w:t>The search results matching the search criteria are displayed</w:t>
      </w:r>
      <w:r w:rsidRPr="007C3399">
        <w:t xml:space="preserve"> </w:t>
      </w:r>
      <w:r w:rsidRPr="00832AFF">
        <w:t xml:space="preserve">in the </w:t>
      </w:r>
      <w:r w:rsidRPr="004B7C7D">
        <w:rPr>
          <w:b/>
        </w:rPr>
        <w:t>Search Results</w:t>
      </w:r>
      <w:r w:rsidRPr="00832AFF">
        <w:t xml:space="preserve"> section</w:t>
      </w:r>
      <w:r>
        <w:t xml:space="preserve">. </w:t>
      </w:r>
    </w:p>
    <w:p w14:paraId="609280AC" w14:textId="77777777" w:rsidR="00DE3B9D" w:rsidRPr="009A5A86" w:rsidRDefault="00DE3B9D" w:rsidP="00DE3B9D">
      <w:pPr>
        <w:pStyle w:val="OrderedList"/>
        <w:ind w:left="1350"/>
        <w:jc w:val="both"/>
        <w:rPr>
          <w:sz w:val="20"/>
          <w:szCs w:val="20"/>
        </w:rPr>
      </w:pPr>
      <w:r w:rsidRPr="009A5A86">
        <w:rPr>
          <w:sz w:val="20"/>
          <w:szCs w:val="20"/>
        </w:rPr>
        <w:t xml:space="preserve">Available search criteria are: </w:t>
      </w:r>
    </w:p>
    <w:p w14:paraId="6F5F3706" w14:textId="77777777" w:rsidR="00DE3B9D" w:rsidRPr="009A5A86" w:rsidRDefault="00DE3B9D" w:rsidP="00DE3B9D">
      <w:pPr>
        <w:pStyle w:val="OrderedList"/>
        <w:numPr>
          <w:ilvl w:val="0"/>
          <w:numId w:val="2"/>
        </w:numPr>
        <w:jc w:val="both"/>
        <w:rPr>
          <w:sz w:val="20"/>
          <w:szCs w:val="20"/>
        </w:rPr>
      </w:pPr>
      <w:r w:rsidRPr="009A5A86">
        <w:rPr>
          <w:sz w:val="20"/>
          <w:szCs w:val="20"/>
        </w:rPr>
        <w:lastRenderedPageBreak/>
        <w:t xml:space="preserve">Loan Skey </w:t>
      </w:r>
    </w:p>
    <w:p w14:paraId="32CEDAA4" w14:textId="77777777" w:rsidR="00DE3B9D" w:rsidRPr="009A5A86" w:rsidRDefault="00DE3B9D" w:rsidP="00DE3B9D">
      <w:pPr>
        <w:pStyle w:val="OrderedList"/>
        <w:numPr>
          <w:ilvl w:val="0"/>
          <w:numId w:val="2"/>
        </w:numPr>
        <w:jc w:val="both"/>
        <w:rPr>
          <w:sz w:val="20"/>
          <w:szCs w:val="20"/>
        </w:rPr>
      </w:pPr>
      <w:r w:rsidRPr="009A5A86">
        <w:rPr>
          <w:sz w:val="20"/>
          <w:szCs w:val="20"/>
        </w:rPr>
        <w:t xml:space="preserve">FHA Case # </w:t>
      </w:r>
    </w:p>
    <w:p w14:paraId="44A689FD" w14:textId="77777777" w:rsidR="00DE3B9D" w:rsidRPr="009A5A86" w:rsidRDefault="00DE3B9D" w:rsidP="00DE3B9D">
      <w:pPr>
        <w:pStyle w:val="OrderedList"/>
        <w:numPr>
          <w:ilvl w:val="0"/>
          <w:numId w:val="2"/>
        </w:numPr>
        <w:jc w:val="both"/>
        <w:rPr>
          <w:sz w:val="20"/>
          <w:szCs w:val="20"/>
        </w:rPr>
      </w:pPr>
      <w:r w:rsidRPr="009A5A86">
        <w:rPr>
          <w:sz w:val="20"/>
          <w:szCs w:val="20"/>
        </w:rPr>
        <w:t xml:space="preserve">Servicer Name </w:t>
      </w:r>
    </w:p>
    <w:p w14:paraId="44088288" w14:textId="77777777" w:rsidR="00DE3B9D" w:rsidRPr="009A5A86" w:rsidRDefault="00DE3B9D" w:rsidP="00DE3B9D">
      <w:pPr>
        <w:pStyle w:val="OrderedList"/>
        <w:numPr>
          <w:ilvl w:val="0"/>
          <w:numId w:val="2"/>
        </w:numPr>
        <w:jc w:val="both"/>
        <w:rPr>
          <w:sz w:val="20"/>
          <w:szCs w:val="20"/>
        </w:rPr>
      </w:pPr>
      <w:r w:rsidRPr="009A5A86">
        <w:rPr>
          <w:sz w:val="20"/>
          <w:szCs w:val="20"/>
        </w:rPr>
        <w:t xml:space="preserve">Batch # </w:t>
      </w:r>
    </w:p>
    <w:p w14:paraId="15846A29" w14:textId="77777777" w:rsidR="00DE3B9D" w:rsidRPr="009A5A86" w:rsidRDefault="00DE3B9D" w:rsidP="00DE3B9D">
      <w:pPr>
        <w:pStyle w:val="OrderedList"/>
        <w:numPr>
          <w:ilvl w:val="0"/>
          <w:numId w:val="2"/>
        </w:numPr>
        <w:jc w:val="both"/>
        <w:rPr>
          <w:sz w:val="20"/>
          <w:szCs w:val="20"/>
        </w:rPr>
      </w:pPr>
      <w:r w:rsidRPr="009A5A86">
        <w:rPr>
          <w:sz w:val="20"/>
          <w:szCs w:val="20"/>
        </w:rPr>
        <w:t xml:space="preserve">Created Date </w:t>
      </w:r>
    </w:p>
    <w:p w14:paraId="13E956B4" w14:textId="77777777" w:rsidR="00DE3B9D" w:rsidRPr="009A5A86" w:rsidRDefault="00DE3B9D" w:rsidP="00DE3B9D">
      <w:pPr>
        <w:pStyle w:val="OrderedList"/>
        <w:numPr>
          <w:ilvl w:val="0"/>
          <w:numId w:val="2"/>
        </w:numPr>
        <w:jc w:val="both"/>
        <w:rPr>
          <w:sz w:val="20"/>
          <w:szCs w:val="20"/>
        </w:rPr>
      </w:pPr>
      <w:r w:rsidRPr="009A5A86">
        <w:rPr>
          <w:sz w:val="20"/>
          <w:szCs w:val="20"/>
        </w:rPr>
        <w:t xml:space="preserve">Investor Name </w:t>
      </w:r>
      <w:r>
        <w:rPr>
          <w:sz w:val="20"/>
          <w:szCs w:val="20"/>
        </w:rPr>
        <w:t>(User can filter by Investor Name to see the batches for a given Investor after Release 7.6)</w:t>
      </w:r>
    </w:p>
    <w:p w14:paraId="79AFE684" w14:textId="77777777" w:rsidR="00DE3B9D" w:rsidRPr="009A5A86" w:rsidRDefault="00DE3B9D" w:rsidP="00DE3B9D">
      <w:pPr>
        <w:pStyle w:val="OrderedList"/>
        <w:numPr>
          <w:ilvl w:val="0"/>
          <w:numId w:val="2"/>
        </w:numPr>
        <w:jc w:val="both"/>
        <w:rPr>
          <w:sz w:val="20"/>
          <w:szCs w:val="20"/>
        </w:rPr>
      </w:pPr>
      <w:r w:rsidRPr="009A5A86">
        <w:rPr>
          <w:sz w:val="20"/>
          <w:szCs w:val="20"/>
        </w:rPr>
        <w:t xml:space="preserve">Batch Type </w:t>
      </w:r>
    </w:p>
    <w:p w14:paraId="6C2B5FD2" w14:textId="77777777" w:rsidR="00DE3B9D" w:rsidRPr="009A5A86" w:rsidRDefault="00DE3B9D" w:rsidP="00DE3B9D">
      <w:pPr>
        <w:pStyle w:val="OrderedList"/>
        <w:numPr>
          <w:ilvl w:val="0"/>
          <w:numId w:val="2"/>
        </w:numPr>
        <w:jc w:val="both"/>
        <w:rPr>
          <w:sz w:val="20"/>
          <w:szCs w:val="20"/>
        </w:rPr>
      </w:pPr>
      <w:r w:rsidRPr="009A5A86">
        <w:rPr>
          <w:sz w:val="20"/>
          <w:szCs w:val="20"/>
        </w:rPr>
        <w:t xml:space="preserve">Batch Status Category </w:t>
      </w:r>
      <w:r>
        <w:rPr>
          <w:sz w:val="20"/>
          <w:szCs w:val="20"/>
        </w:rPr>
        <w:t xml:space="preserve">(User can filter by Ready for Approval to display Batches with Approve MIP link) </w:t>
      </w:r>
    </w:p>
    <w:p w14:paraId="5707DD85" w14:textId="77777777" w:rsidR="00DE3B9D" w:rsidRDefault="00DE3B9D" w:rsidP="00DE3B9D">
      <w:pPr>
        <w:pStyle w:val="OrderedList"/>
        <w:numPr>
          <w:ilvl w:val="0"/>
          <w:numId w:val="2"/>
        </w:numPr>
        <w:jc w:val="both"/>
        <w:rPr>
          <w:sz w:val="20"/>
          <w:szCs w:val="20"/>
        </w:rPr>
      </w:pPr>
      <w:r w:rsidRPr="009A5A86">
        <w:rPr>
          <w:sz w:val="20"/>
          <w:szCs w:val="20"/>
        </w:rPr>
        <w:t xml:space="preserve">Check/ACH # </w:t>
      </w:r>
    </w:p>
    <w:p w14:paraId="63CA1640" w14:textId="77777777" w:rsidR="00DE3B9D" w:rsidRPr="001B4424" w:rsidRDefault="00DE3B9D" w:rsidP="00DE3B9D">
      <w:pPr>
        <w:pStyle w:val="OrderedList"/>
        <w:ind w:left="630"/>
        <w:jc w:val="center"/>
        <w:rPr>
          <w:sz w:val="20"/>
          <w:szCs w:val="20"/>
        </w:rPr>
      </w:pPr>
      <w:r>
        <w:rPr>
          <w:noProof/>
          <w14:ligatures w14:val="standardContextual"/>
        </w:rPr>
        <w:drawing>
          <wp:inline distT="0" distB="0" distL="0" distR="0" wp14:anchorId="3DEC90FD" wp14:editId="37830271">
            <wp:extent cx="5336377" cy="1795896"/>
            <wp:effectExtent l="19050" t="19050" r="17145" b="13970"/>
            <wp:docPr id="155627332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73325" name="Picture 1" descr="A screenshot of a computer screen&#10;&#10;Description automatically generated"/>
                    <pic:cNvPicPr/>
                  </pic:nvPicPr>
                  <pic:blipFill>
                    <a:blip r:embed="rId9"/>
                    <a:stretch>
                      <a:fillRect/>
                    </a:stretch>
                  </pic:blipFill>
                  <pic:spPr>
                    <a:xfrm>
                      <a:off x="0" y="0"/>
                      <a:ext cx="5349359" cy="1800265"/>
                    </a:xfrm>
                    <a:prstGeom prst="rect">
                      <a:avLst/>
                    </a:prstGeom>
                    <a:ln w="19050">
                      <a:solidFill>
                        <a:srgbClr val="0070C0"/>
                      </a:solidFill>
                    </a:ln>
                  </pic:spPr>
                </pic:pic>
              </a:graphicData>
            </a:graphic>
          </wp:inline>
        </w:drawing>
      </w:r>
    </w:p>
    <w:p w14:paraId="5AC47468" w14:textId="77777777" w:rsidR="00DE3B9D" w:rsidRDefault="00DE3B9D" w:rsidP="00DE3B9D">
      <w:pPr>
        <w:pStyle w:val="OrderedList"/>
        <w:numPr>
          <w:ilvl w:val="0"/>
          <w:numId w:val="1"/>
        </w:numPr>
        <w:jc w:val="both"/>
      </w:pPr>
      <w:r>
        <w:t>Click Approve MIP link on the record in the search results</w:t>
      </w:r>
      <w:r w:rsidRPr="006C7316">
        <w:t>.</w:t>
      </w:r>
      <w:r>
        <w:t xml:space="preserve"> The </w:t>
      </w:r>
      <w:r>
        <w:rPr>
          <w:b/>
        </w:rPr>
        <w:t xml:space="preserve">Approve MIP </w:t>
      </w:r>
      <w:r w:rsidRPr="006C7316">
        <w:t>window</w:t>
      </w:r>
      <w:r w:rsidRPr="00D345B1">
        <w:t xml:space="preserve"> is displayed. </w:t>
      </w:r>
      <w:r>
        <w:t xml:space="preserve"> (The Approve MIP window will display Penalty Interest and Late Charge when the servicer approves the MIP late if applicable) </w:t>
      </w:r>
    </w:p>
    <w:p w14:paraId="3DB2ADD8" w14:textId="77777777" w:rsidR="00DE3B9D" w:rsidRDefault="00DE3B9D" w:rsidP="00DE3B9D">
      <w:pPr>
        <w:pStyle w:val="OrderedList"/>
        <w:numPr>
          <w:ilvl w:val="0"/>
          <w:numId w:val="1"/>
        </w:numPr>
        <w:jc w:val="both"/>
      </w:pPr>
      <w:r>
        <w:t xml:space="preserve">Click </w:t>
      </w:r>
      <w:r>
        <w:rPr>
          <w:b/>
        </w:rPr>
        <w:t xml:space="preserve">Submit </w:t>
      </w:r>
      <w:r>
        <w:t>o</w:t>
      </w:r>
      <w:r w:rsidRPr="006C7316">
        <w:t xml:space="preserve">n the </w:t>
      </w:r>
      <w:r>
        <w:rPr>
          <w:b/>
        </w:rPr>
        <w:t xml:space="preserve">Approve MIP </w:t>
      </w:r>
      <w:r w:rsidRPr="006C7316">
        <w:t xml:space="preserve">window. </w:t>
      </w:r>
      <w:r>
        <w:t xml:space="preserve">To exit without approving click </w:t>
      </w:r>
      <w:r w:rsidRPr="004B7C7D">
        <w:t>Cancel</w:t>
      </w:r>
      <w:r w:rsidRPr="006C7316">
        <w:t>.</w:t>
      </w:r>
      <w:r>
        <w:t xml:space="preserve"> </w:t>
      </w:r>
    </w:p>
    <w:p w14:paraId="0AC41F2C" w14:textId="77777777" w:rsidR="00DE3B9D" w:rsidRDefault="00DE3B9D" w:rsidP="00DE3B9D">
      <w:pPr>
        <w:pStyle w:val="OrderedList"/>
        <w:numPr>
          <w:ilvl w:val="0"/>
          <w:numId w:val="1"/>
        </w:numPr>
        <w:jc w:val="both"/>
      </w:pPr>
      <w:r>
        <w:t xml:space="preserve">Click </w:t>
      </w:r>
      <w:r w:rsidRPr="00E27E81">
        <w:rPr>
          <w:b/>
          <w:bCs/>
        </w:rPr>
        <w:t>OK</w:t>
      </w:r>
      <w:r>
        <w:t xml:space="preserve"> on the pop-up message “Are you sure you want to approve this batch” to approve the batch. To exit without approving click Cancel.  </w:t>
      </w:r>
    </w:p>
    <w:p w14:paraId="20EC9D73" w14:textId="77777777" w:rsidR="00DE3B9D" w:rsidRDefault="00DE3B9D" w:rsidP="00DE3B9D">
      <w:pPr>
        <w:pStyle w:val="OrderedList"/>
        <w:numPr>
          <w:ilvl w:val="0"/>
          <w:numId w:val="1"/>
        </w:numPr>
        <w:jc w:val="both"/>
      </w:pPr>
      <w:r w:rsidRPr="006C7316">
        <w:t xml:space="preserve">Once approved, the </w:t>
      </w:r>
      <w:r>
        <w:t xml:space="preserve">MIP Batch </w:t>
      </w:r>
      <w:r w:rsidRPr="006C7316">
        <w:t xml:space="preserve">is released to the Accounting Module for payment collection. The </w:t>
      </w:r>
      <w:r>
        <w:t xml:space="preserve">updated batch status will be displayed in the </w:t>
      </w:r>
      <w:r w:rsidRPr="004B7C7D">
        <w:rPr>
          <w:b/>
        </w:rPr>
        <w:t>Transmittals</w:t>
      </w:r>
      <w:r>
        <w:rPr>
          <w:b/>
        </w:rPr>
        <w:t xml:space="preserve"> Search Results. </w:t>
      </w:r>
      <w:r w:rsidRPr="006C7316">
        <w:t xml:space="preserve"> </w:t>
      </w:r>
    </w:p>
    <w:p w14:paraId="3060FCAD" w14:textId="77777777" w:rsidR="00DE3B9D" w:rsidRDefault="00DE3B9D" w:rsidP="00DE3B9D">
      <w:pPr>
        <w:pStyle w:val="BodyText"/>
        <w:jc w:val="center"/>
      </w:pPr>
      <w:r>
        <w:rPr>
          <w:noProof/>
          <w14:ligatures w14:val="standardContextual"/>
        </w:rPr>
        <w:lastRenderedPageBreak/>
        <w:drawing>
          <wp:inline distT="0" distB="0" distL="0" distR="0" wp14:anchorId="38017C4C" wp14:editId="2C0A41E2">
            <wp:extent cx="5097780" cy="2231913"/>
            <wp:effectExtent l="19050" t="19050" r="26670" b="16510"/>
            <wp:docPr id="20321009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00918" name="Picture 1" descr="A screenshot of a computer&#10;&#10;Description automatically generated"/>
                    <pic:cNvPicPr/>
                  </pic:nvPicPr>
                  <pic:blipFill>
                    <a:blip r:embed="rId10"/>
                    <a:stretch>
                      <a:fillRect/>
                    </a:stretch>
                  </pic:blipFill>
                  <pic:spPr>
                    <a:xfrm>
                      <a:off x="0" y="0"/>
                      <a:ext cx="5121716" cy="2242392"/>
                    </a:xfrm>
                    <a:prstGeom prst="rect">
                      <a:avLst/>
                    </a:prstGeom>
                    <a:ln w="19050">
                      <a:solidFill>
                        <a:srgbClr val="0070C0"/>
                      </a:solidFill>
                    </a:ln>
                  </pic:spPr>
                </pic:pic>
              </a:graphicData>
            </a:graphic>
          </wp:inline>
        </w:drawing>
      </w:r>
    </w:p>
    <w:p w14:paraId="13CA3FA8" w14:textId="77777777" w:rsidR="00DE3B9D" w:rsidRDefault="00DE3B9D" w:rsidP="00DE3B9D"/>
    <w:p w14:paraId="50F8DC75" w14:textId="77777777" w:rsidR="00DE3B9D" w:rsidRDefault="00DE3B9D" w:rsidP="00DE3B9D">
      <w:pPr>
        <w:pStyle w:val="OrderedList"/>
        <w:numPr>
          <w:ilvl w:val="0"/>
          <w:numId w:val="1"/>
        </w:numPr>
        <w:jc w:val="both"/>
      </w:pPr>
      <w:r>
        <w:t xml:space="preserve">Repeat previous steps for each Batch available for approval (with Approve MIP link). </w:t>
      </w:r>
    </w:p>
    <w:p w14:paraId="762E58D4" w14:textId="77777777" w:rsidR="00DE3B9D" w:rsidRDefault="00DE3B9D" w:rsidP="00DE3B9D">
      <w:pPr>
        <w:pStyle w:val="OrderedList"/>
        <w:jc w:val="both"/>
      </w:pPr>
    </w:p>
    <w:p w14:paraId="6B12C588" w14:textId="77777777" w:rsidR="00DE3B9D" w:rsidRDefault="00DE3B9D" w:rsidP="00DE3B9D">
      <w:pPr>
        <w:pStyle w:val="OrderedList"/>
        <w:jc w:val="both"/>
        <w:rPr>
          <w:b/>
          <w:bCs/>
          <w:color w:val="00B0F0"/>
        </w:rPr>
      </w:pPr>
    </w:p>
    <w:p w14:paraId="4A30F0CF" w14:textId="77777777" w:rsidR="00DE3B9D" w:rsidRDefault="00DE3B9D" w:rsidP="00DE3B9D">
      <w:pPr>
        <w:pStyle w:val="OrderedList"/>
        <w:jc w:val="both"/>
        <w:rPr>
          <w:rFonts w:cs="Arial"/>
        </w:rPr>
      </w:pPr>
      <w:r w:rsidRPr="00E96CC4">
        <w:rPr>
          <w:rFonts w:cs="Arial"/>
        </w:rPr>
        <w:t>Once the Servicer has approved the MIP Batch</w:t>
      </w:r>
      <w:r>
        <w:rPr>
          <w:rFonts w:cs="Arial"/>
        </w:rPr>
        <w:t xml:space="preserve"> a note will be added to the MIP Batch record.</w:t>
      </w:r>
      <w:r w:rsidRPr="00E96CC4">
        <w:rPr>
          <w:rFonts w:cs="Arial"/>
        </w:rPr>
        <w:t xml:space="preserve"> </w:t>
      </w:r>
      <w:r>
        <w:rPr>
          <w:rFonts w:cs="Arial"/>
        </w:rPr>
        <w:t>T</w:t>
      </w:r>
      <w:r w:rsidRPr="00E96CC4">
        <w:rPr>
          <w:rFonts w:cs="Arial"/>
        </w:rPr>
        <w:t xml:space="preserve">he </w:t>
      </w:r>
      <w:r>
        <w:rPr>
          <w:rFonts w:cs="Arial"/>
        </w:rPr>
        <w:t>N</w:t>
      </w:r>
      <w:r w:rsidRPr="00E96CC4">
        <w:rPr>
          <w:rFonts w:cs="Arial"/>
        </w:rPr>
        <w:t xml:space="preserve">ote </w:t>
      </w:r>
      <w:r>
        <w:rPr>
          <w:rFonts w:cs="Arial"/>
        </w:rPr>
        <w:t xml:space="preserve">will read: </w:t>
      </w:r>
      <w:r w:rsidRPr="00E96CC4">
        <w:rPr>
          <w:rFonts w:cs="Arial"/>
        </w:rPr>
        <w:t>“The Monthly MIP was Approved by User ID on MM/DD/YYYY in the amount of $</w:t>
      </w:r>
      <w:proofErr w:type="spellStart"/>
      <w:proofErr w:type="gramStart"/>
      <w:r w:rsidRPr="00E96CC4">
        <w:rPr>
          <w:rFonts w:cs="Arial"/>
        </w:rPr>
        <w:t>xxxxxx.xx</w:t>
      </w:r>
      <w:proofErr w:type="spellEnd"/>
      <w:proofErr w:type="gramEnd"/>
      <w:r w:rsidRPr="00E96CC4">
        <w:rPr>
          <w:rFonts w:cs="Arial"/>
        </w:rPr>
        <w:t xml:space="preserve"> for the Investor (Investor Name)</w:t>
      </w:r>
      <w:r>
        <w:rPr>
          <w:rFonts w:cs="Arial"/>
        </w:rPr>
        <w:t>.</w:t>
      </w:r>
      <w:r w:rsidRPr="00E96CC4">
        <w:rPr>
          <w:rFonts w:cs="Arial"/>
        </w:rPr>
        <w:t>”</w:t>
      </w:r>
      <w:r>
        <w:rPr>
          <w:rFonts w:cs="Arial"/>
        </w:rPr>
        <w:t xml:space="preserve"> The Servicer can view this note by clicking on the approved MIP Batch record under the Transmittal search results. Once the Batch Details window pops up click Batch Note on the left menu to see the added Batch Note. </w:t>
      </w:r>
    </w:p>
    <w:p w14:paraId="52931F86" w14:textId="77777777" w:rsidR="00DE3B9D" w:rsidRPr="00E96CC4" w:rsidRDefault="00DE3B9D" w:rsidP="00DE3B9D">
      <w:pPr>
        <w:pStyle w:val="OrderedList"/>
        <w:jc w:val="both"/>
        <w:rPr>
          <w:b/>
          <w:bCs/>
          <w:color w:val="00B0F0"/>
        </w:rPr>
      </w:pPr>
      <w:r>
        <w:rPr>
          <w:noProof/>
          <w14:ligatures w14:val="standardContextual"/>
        </w:rPr>
        <w:drawing>
          <wp:inline distT="0" distB="0" distL="0" distR="0" wp14:anchorId="208E3F83" wp14:editId="0C275837">
            <wp:extent cx="7621" cy="7621"/>
            <wp:effectExtent l="0" t="0" r="0" b="0"/>
            <wp:docPr id="872485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85604" name=""/>
                    <pic:cNvPicPr/>
                  </pic:nvPicPr>
                  <pic:blipFill>
                    <a:blip r:embed="rId11"/>
                    <a:stretch>
                      <a:fillRect/>
                    </a:stretch>
                  </pic:blipFill>
                  <pic:spPr>
                    <a:xfrm>
                      <a:off x="0" y="0"/>
                      <a:ext cx="7621" cy="7621"/>
                    </a:xfrm>
                    <a:prstGeom prst="rect">
                      <a:avLst/>
                    </a:prstGeom>
                  </pic:spPr>
                </pic:pic>
              </a:graphicData>
            </a:graphic>
          </wp:inline>
        </w:drawing>
      </w:r>
    </w:p>
    <w:bookmarkEnd w:id="1"/>
    <w:p w14:paraId="47466535" w14:textId="712D27DA" w:rsidR="007A7570" w:rsidRDefault="007A7570" w:rsidP="00DE3B9D"/>
    <w:sectPr w:rsidR="007A7570" w:rsidSect="00DE3B9D">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CA3E" w14:textId="77777777" w:rsidR="00DE3B9D" w:rsidRDefault="00DE3B9D" w:rsidP="00DE3B9D">
      <w:pPr>
        <w:spacing w:before="0" w:after="0"/>
      </w:pPr>
      <w:r>
        <w:separator/>
      </w:r>
    </w:p>
  </w:endnote>
  <w:endnote w:type="continuationSeparator" w:id="0">
    <w:p w14:paraId="6EDD1968" w14:textId="77777777" w:rsidR="00DE3B9D" w:rsidRDefault="00DE3B9D" w:rsidP="00DE3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041625"/>
      <w:docPartObj>
        <w:docPartGallery w:val="Page Numbers (Bottom of Page)"/>
        <w:docPartUnique/>
      </w:docPartObj>
    </w:sdtPr>
    <w:sdtEndPr>
      <w:rPr>
        <w:noProof/>
      </w:rPr>
    </w:sdtEndPr>
    <w:sdtContent>
      <w:p w14:paraId="17E89CCC" w14:textId="3B69ECFB" w:rsidR="00DE3B9D" w:rsidRDefault="00DE3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C61B7" w14:textId="77777777" w:rsidR="00DE3B9D" w:rsidRDefault="00DE3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3A57" w14:textId="77777777" w:rsidR="00DE3B9D" w:rsidRDefault="00DE3B9D" w:rsidP="00DE3B9D">
      <w:pPr>
        <w:spacing w:before="0" w:after="0"/>
      </w:pPr>
      <w:r>
        <w:separator/>
      </w:r>
    </w:p>
  </w:footnote>
  <w:footnote w:type="continuationSeparator" w:id="0">
    <w:p w14:paraId="1597D9E7" w14:textId="77777777" w:rsidR="00DE3B9D" w:rsidRDefault="00DE3B9D" w:rsidP="00DE3B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45C"/>
    <w:multiLevelType w:val="hybridMultilevel"/>
    <w:tmpl w:val="DD2A3D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65A70924"/>
    <w:multiLevelType w:val="multilevel"/>
    <w:tmpl w:val="DB248BC2"/>
    <w:lvl w:ilvl="0">
      <w:start w:val="1"/>
      <w:numFmt w:val="decimal"/>
      <w:lvlText w:val="Step %1."/>
      <w:lvlJc w:val="left"/>
      <w:pPr>
        <w:ind w:left="135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1204" w:hanging="360"/>
      </w:pPr>
      <w:rPr>
        <w:rFonts w:ascii="Courier New" w:hAnsi="Courier New" w:cs="Courier New" w:hint="default"/>
      </w:rPr>
    </w:lvl>
    <w:lvl w:ilvl="2">
      <w:start w:val="1"/>
      <w:numFmt w:val="bullet"/>
      <w:lvlText w:val=""/>
      <w:lvlJc w:val="left"/>
      <w:pPr>
        <w:ind w:left="2284" w:hanging="360"/>
      </w:pPr>
      <w:rPr>
        <w:rFonts w:ascii="Wingdings" w:hAnsi="Wingdings" w:hint="default"/>
      </w:rPr>
    </w:lvl>
    <w:lvl w:ilvl="3">
      <w:start w:val="1"/>
      <w:numFmt w:val="bullet"/>
      <w:lvlText w:val=""/>
      <w:lvlJc w:val="left"/>
      <w:pPr>
        <w:ind w:left="3004" w:hanging="360"/>
      </w:pPr>
      <w:rPr>
        <w:rFonts w:ascii="Symbol" w:hAnsi="Symbol" w:hint="default"/>
      </w:rPr>
    </w:lvl>
    <w:lvl w:ilvl="4">
      <w:start w:val="1"/>
      <w:numFmt w:val="bullet"/>
      <w:lvlText w:val="o"/>
      <w:lvlJc w:val="left"/>
      <w:pPr>
        <w:ind w:left="3724" w:hanging="360"/>
      </w:pPr>
      <w:rPr>
        <w:rFonts w:ascii="Courier New" w:hAnsi="Courier New" w:cs="Courier New" w:hint="default"/>
      </w:rPr>
    </w:lvl>
    <w:lvl w:ilvl="5">
      <w:start w:val="1"/>
      <w:numFmt w:val="bullet"/>
      <w:lvlText w:val=""/>
      <w:lvlJc w:val="left"/>
      <w:pPr>
        <w:ind w:left="4444" w:hanging="360"/>
      </w:pPr>
      <w:rPr>
        <w:rFonts w:ascii="Wingdings" w:hAnsi="Wingdings" w:hint="default"/>
      </w:rPr>
    </w:lvl>
    <w:lvl w:ilvl="6">
      <w:start w:val="1"/>
      <w:numFmt w:val="bullet"/>
      <w:lvlText w:val=""/>
      <w:lvlJc w:val="left"/>
      <w:pPr>
        <w:ind w:left="5164" w:hanging="360"/>
      </w:pPr>
      <w:rPr>
        <w:rFonts w:ascii="Symbol" w:hAnsi="Symbol" w:hint="default"/>
      </w:rPr>
    </w:lvl>
    <w:lvl w:ilvl="7">
      <w:start w:val="1"/>
      <w:numFmt w:val="bullet"/>
      <w:lvlText w:val="o"/>
      <w:lvlJc w:val="left"/>
      <w:pPr>
        <w:ind w:left="5884" w:hanging="360"/>
      </w:pPr>
      <w:rPr>
        <w:rFonts w:ascii="Courier New" w:hAnsi="Courier New" w:cs="Courier New" w:hint="default"/>
      </w:rPr>
    </w:lvl>
    <w:lvl w:ilvl="8">
      <w:start w:val="1"/>
      <w:numFmt w:val="bullet"/>
      <w:lvlText w:val=""/>
      <w:lvlJc w:val="left"/>
      <w:pPr>
        <w:ind w:left="6604" w:hanging="360"/>
      </w:pPr>
      <w:rPr>
        <w:rFonts w:ascii="Wingdings" w:hAnsi="Wingdings" w:hint="default"/>
      </w:rPr>
    </w:lvl>
  </w:abstractNum>
  <w:num w:numId="1" w16cid:durableId="1525898075">
    <w:abstractNumId w:val="1"/>
  </w:num>
  <w:num w:numId="2" w16cid:durableId="188567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9D"/>
    <w:rsid w:val="001C7211"/>
    <w:rsid w:val="004C6EF3"/>
    <w:rsid w:val="00560220"/>
    <w:rsid w:val="007A7570"/>
    <w:rsid w:val="009D57C4"/>
    <w:rsid w:val="009E6375"/>
    <w:rsid w:val="00DE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40A6"/>
  <w15:chartTrackingRefBased/>
  <w15:docId w15:val="{2E3BB03B-B5C2-456D-B530-1A40A53E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9D"/>
    <w:pPr>
      <w:overflowPunct w:val="0"/>
      <w:autoSpaceDE w:val="0"/>
      <w:autoSpaceDN w:val="0"/>
      <w:adjustRightInd w:val="0"/>
      <w:spacing w:before="120" w:after="120" w:line="240" w:lineRule="auto"/>
      <w:textAlignment w:val="baseline"/>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DE3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3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3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3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3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3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3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3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3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3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3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3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3B9D"/>
    <w:rPr>
      <w:rFonts w:eastAsiaTheme="majorEastAsia" w:cstheme="majorBidi"/>
      <w:color w:val="272727" w:themeColor="text1" w:themeTint="D8"/>
    </w:rPr>
  </w:style>
  <w:style w:type="paragraph" w:styleId="Title">
    <w:name w:val="Title"/>
    <w:basedOn w:val="Normal"/>
    <w:next w:val="Normal"/>
    <w:link w:val="TitleChar"/>
    <w:uiPriority w:val="10"/>
    <w:qFormat/>
    <w:rsid w:val="00DE3B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3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3B9D"/>
    <w:pPr>
      <w:spacing w:before="160"/>
      <w:jc w:val="center"/>
    </w:pPr>
    <w:rPr>
      <w:i/>
      <w:iCs/>
      <w:color w:val="404040" w:themeColor="text1" w:themeTint="BF"/>
    </w:rPr>
  </w:style>
  <w:style w:type="character" w:customStyle="1" w:styleId="QuoteChar">
    <w:name w:val="Quote Char"/>
    <w:basedOn w:val="DefaultParagraphFont"/>
    <w:link w:val="Quote"/>
    <w:uiPriority w:val="29"/>
    <w:rsid w:val="00DE3B9D"/>
    <w:rPr>
      <w:i/>
      <w:iCs/>
      <w:color w:val="404040" w:themeColor="text1" w:themeTint="BF"/>
    </w:rPr>
  </w:style>
  <w:style w:type="paragraph" w:styleId="ListParagraph">
    <w:name w:val="List Paragraph"/>
    <w:basedOn w:val="Normal"/>
    <w:uiPriority w:val="34"/>
    <w:qFormat/>
    <w:rsid w:val="00DE3B9D"/>
    <w:pPr>
      <w:ind w:left="720"/>
      <w:contextualSpacing/>
    </w:pPr>
  </w:style>
  <w:style w:type="character" w:styleId="IntenseEmphasis">
    <w:name w:val="Intense Emphasis"/>
    <w:basedOn w:val="DefaultParagraphFont"/>
    <w:uiPriority w:val="21"/>
    <w:qFormat/>
    <w:rsid w:val="00DE3B9D"/>
    <w:rPr>
      <w:i/>
      <w:iCs/>
      <w:color w:val="0F4761" w:themeColor="accent1" w:themeShade="BF"/>
    </w:rPr>
  </w:style>
  <w:style w:type="paragraph" w:styleId="IntenseQuote">
    <w:name w:val="Intense Quote"/>
    <w:basedOn w:val="Normal"/>
    <w:next w:val="Normal"/>
    <w:link w:val="IntenseQuoteChar"/>
    <w:uiPriority w:val="30"/>
    <w:qFormat/>
    <w:rsid w:val="00DE3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B9D"/>
    <w:rPr>
      <w:i/>
      <w:iCs/>
      <w:color w:val="0F4761" w:themeColor="accent1" w:themeShade="BF"/>
    </w:rPr>
  </w:style>
  <w:style w:type="character" w:styleId="IntenseReference">
    <w:name w:val="Intense Reference"/>
    <w:basedOn w:val="DefaultParagraphFont"/>
    <w:uiPriority w:val="32"/>
    <w:qFormat/>
    <w:rsid w:val="00DE3B9D"/>
    <w:rPr>
      <w:b/>
      <w:bCs/>
      <w:smallCaps/>
      <w:color w:val="0F4761" w:themeColor="accent1" w:themeShade="BF"/>
      <w:spacing w:val="5"/>
    </w:rPr>
  </w:style>
  <w:style w:type="paragraph" w:customStyle="1" w:styleId="TableText">
    <w:name w:val="Table Text"/>
    <w:basedOn w:val="Normal"/>
    <w:link w:val="TableTextChar"/>
    <w:uiPriority w:val="99"/>
    <w:qFormat/>
    <w:rsid w:val="00DE3B9D"/>
    <w:pPr>
      <w:overflowPunct/>
      <w:autoSpaceDE/>
      <w:autoSpaceDN/>
      <w:adjustRightInd/>
      <w:spacing w:before="60" w:after="60"/>
      <w:textAlignment w:val="auto"/>
    </w:pPr>
    <w:rPr>
      <w:rFonts w:ascii="Arial" w:hAnsi="Arial"/>
      <w:sz w:val="20"/>
      <w:lang w:val="x-none" w:eastAsia="x-none"/>
    </w:rPr>
  </w:style>
  <w:style w:type="character" w:customStyle="1" w:styleId="TableTextChar">
    <w:name w:val="Table Text Char"/>
    <w:link w:val="TableText"/>
    <w:uiPriority w:val="99"/>
    <w:rsid w:val="00DE3B9D"/>
    <w:rPr>
      <w:rFonts w:ascii="Arial" w:eastAsia="Times New Roman" w:hAnsi="Arial" w:cs="Times New Roman"/>
      <w:kern w:val="0"/>
      <w:sz w:val="20"/>
      <w:szCs w:val="20"/>
      <w:lang w:val="x-none" w:eastAsia="x-none"/>
      <w14:ligatures w14:val="none"/>
    </w:rPr>
  </w:style>
  <w:style w:type="paragraph" w:customStyle="1" w:styleId="Titlepage">
    <w:name w:val="Title page"/>
    <w:basedOn w:val="Normal"/>
    <w:link w:val="TitlepageChar"/>
    <w:qFormat/>
    <w:rsid w:val="00DE3B9D"/>
    <w:pPr>
      <w:overflowPunct/>
      <w:autoSpaceDE/>
      <w:autoSpaceDN/>
      <w:adjustRightInd/>
      <w:spacing w:before="0" w:after="0"/>
      <w:ind w:left="-180"/>
      <w:jc w:val="right"/>
      <w:textAlignment w:val="auto"/>
    </w:pPr>
    <w:rPr>
      <w:rFonts w:ascii="Calibri" w:hAnsi="Calibri" w:cs="Calibri"/>
      <w:b/>
      <w:sz w:val="48"/>
      <w:szCs w:val="48"/>
    </w:rPr>
  </w:style>
  <w:style w:type="character" w:customStyle="1" w:styleId="TitlepageChar">
    <w:name w:val="Title page Char"/>
    <w:link w:val="Titlepage"/>
    <w:rsid w:val="00DE3B9D"/>
    <w:rPr>
      <w:rFonts w:ascii="Calibri" w:eastAsia="Times New Roman" w:hAnsi="Calibri" w:cs="Calibri"/>
      <w:b/>
      <w:kern w:val="0"/>
      <w:sz w:val="48"/>
      <w:szCs w:val="48"/>
      <w14:ligatures w14:val="none"/>
    </w:rPr>
  </w:style>
  <w:style w:type="paragraph" w:styleId="BodyText">
    <w:name w:val="Body Text"/>
    <w:link w:val="BodyTextChar"/>
    <w:qFormat/>
    <w:rsid w:val="00DE3B9D"/>
    <w:pPr>
      <w:spacing w:before="120" w:after="0" w:line="240" w:lineRule="auto"/>
      <w:jc w:val="both"/>
    </w:pPr>
    <w:rPr>
      <w:rFonts w:ascii="Cambria" w:eastAsia="Times New Roman" w:hAnsi="Cambria" w:cs="Times New Roman"/>
      <w:bCs/>
      <w:kern w:val="0"/>
      <w:lang w:bidi="en-US"/>
      <w14:ligatures w14:val="none"/>
    </w:rPr>
  </w:style>
  <w:style w:type="character" w:customStyle="1" w:styleId="BodyTextChar">
    <w:name w:val="Body Text Char"/>
    <w:basedOn w:val="DefaultParagraphFont"/>
    <w:link w:val="BodyText"/>
    <w:rsid w:val="00DE3B9D"/>
    <w:rPr>
      <w:rFonts w:ascii="Cambria" w:eastAsia="Times New Roman" w:hAnsi="Cambria" w:cs="Times New Roman"/>
      <w:bCs/>
      <w:kern w:val="0"/>
      <w:lang w:bidi="en-US"/>
      <w14:ligatures w14:val="none"/>
    </w:rPr>
  </w:style>
  <w:style w:type="paragraph" w:customStyle="1" w:styleId="OrderedList">
    <w:name w:val="Ordered List"/>
    <w:link w:val="OrderedListChar"/>
    <w:qFormat/>
    <w:rsid w:val="00DE3B9D"/>
    <w:pPr>
      <w:spacing w:before="120" w:after="0" w:line="240" w:lineRule="auto"/>
    </w:pPr>
    <w:rPr>
      <w:rFonts w:ascii="Cambria" w:eastAsia="Times New Roman" w:hAnsi="Cambria" w:cs="Times New Roman"/>
      <w:kern w:val="0"/>
      <w:lang w:bidi="en-US"/>
      <w14:scene3d>
        <w14:camera w14:prst="orthographicFront"/>
        <w14:lightRig w14:rig="threePt" w14:dir="t">
          <w14:rot w14:lat="0" w14:lon="0" w14:rev="0"/>
        </w14:lightRig>
      </w14:scene3d>
      <w14:ligatures w14:val="none"/>
    </w:rPr>
  </w:style>
  <w:style w:type="character" w:customStyle="1" w:styleId="OrderedListChar">
    <w:name w:val="Ordered List Char"/>
    <w:basedOn w:val="BodyTextChar"/>
    <w:link w:val="OrderedList"/>
    <w:rsid w:val="00DE3B9D"/>
    <w:rPr>
      <w:rFonts w:ascii="Cambria" w:eastAsia="Times New Roman" w:hAnsi="Cambria" w:cs="Times New Roman"/>
      <w:bCs w:val="0"/>
      <w:kern w:val="0"/>
      <w:lang w:bidi="en-US"/>
      <w14:scene3d>
        <w14:camera w14:prst="orthographicFront"/>
        <w14:lightRig w14:rig="threePt" w14:dir="t">
          <w14:rot w14:lat="0" w14:lon="0" w14:rev="0"/>
        </w14:lightRig>
      </w14:scene3d>
      <w14:ligatures w14:val="none"/>
    </w:rPr>
  </w:style>
  <w:style w:type="paragraph" w:styleId="NormalWeb">
    <w:name w:val="Normal (Web)"/>
    <w:basedOn w:val="Normal"/>
    <w:uiPriority w:val="99"/>
    <w:semiHidden/>
    <w:unhideWhenUsed/>
    <w:rsid w:val="00DE3B9D"/>
    <w:pPr>
      <w:overflowPunct/>
      <w:autoSpaceDE/>
      <w:autoSpaceDN/>
      <w:adjustRightInd/>
      <w:spacing w:before="100" w:beforeAutospacing="1" w:after="100" w:afterAutospacing="1"/>
      <w:textAlignment w:val="auto"/>
    </w:pPr>
    <w:rPr>
      <w:szCs w:val="24"/>
    </w:rPr>
  </w:style>
  <w:style w:type="paragraph" w:styleId="Header">
    <w:name w:val="header"/>
    <w:basedOn w:val="Normal"/>
    <w:link w:val="HeaderChar"/>
    <w:uiPriority w:val="99"/>
    <w:unhideWhenUsed/>
    <w:rsid w:val="00DE3B9D"/>
    <w:pPr>
      <w:tabs>
        <w:tab w:val="center" w:pos="4680"/>
        <w:tab w:val="right" w:pos="9360"/>
      </w:tabs>
      <w:spacing w:before="0" w:after="0"/>
    </w:pPr>
  </w:style>
  <w:style w:type="character" w:customStyle="1" w:styleId="HeaderChar">
    <w:name w:val="Header Char"/>
    <w:basedOn w:val="DefaultParagraphFont"/>
    <w:link w:val="Header"/>
    <w:uiPriority w:val="99"/>
    <w:rsid w:val="00DE3B9D"/>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DE3B9D"/>
    <w:pPr>
      <w:tabs>
        <w:tab w:val="center" w:pos="4680"/>
        <w:tab w:val="right" w:pos="9360"/>
      </w:tabs>
      <w:spacing w:before="0" w:after="0"/>
    </w:pPr>
  </w:style>
  <w:style w:type="character" w:customStyle="1" w:styleId="FooterChar">
    <w:name w:val="Footer Char"/>
    <w:basedOn w:val="DefaultParagraphFont"/>
    <w:link w:val="Footer"/>
    <w:uiPriority w:val="99"/>
    <w:rsid w:val="00DE3B9D"/>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Nichols</dc:creator>
  <cp:keywords/>
  <dc:description/>
  <cp:lastModifiedBy>Brittany Nichols</cp:lastModifiedBy>
  <cp:revision>1</cp:revision>
  <dcterms:created xsi:type="dcterms:W3CDTF">2024-03-20T18:48:00Z</dcterms:created>
  <dcterms:modified xsi:type="dcterms:W3CDTF">2024-03-20T19:01:00Z</dcterms:modified>
</cp:coreProperties>
</file>