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9686" w14:textId="77777777" w:rsidR="00E23A5D" w:rsidRPr="0065550E" w:rsidRDefault="00E23A5D" w:rsidP="00E23A5D">
      <w:pPr>
        <w:pStyle w:val="TableText"/>
        <w:jc w:val="center"/>
        <w:rPr>
          <w:rFonts w:asciiTheme="minorHAnsi" w:hAnsiTheme="minorHAnsi" w:cstheme="minorHAnsi"/>
          <w:b/>
        </w:rPr>
      </w:pPr>
    </w:p>
    <w:p w14:paraId="7C5856F0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640C213B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4063D1F0" w14:textId="77777777" w:rsidR="00E23A5D" w:rsidRPr="0065550E" w:rsidRDefault="00E23A5D" w:rsidP="00E23A5D">
      <w:pPr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</w:p>
    <w:p w14:paraId="5079C78B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AE8F3CA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5550E">
        <w:rPr>
          <w:rFonts w:asciiTheme="minorHAnsi" w:hAnsiTheme="minorHAnsi" w:cstheme="minorHAnsi"/>
          <w:b/>
          <w:sz w:val="40"/>
          <w:szCs w:val="40"/>
        </w:rPr>
        <w:t xml:space="preserve">Home Equity Reverse Mortgage Information Technology </w:t>
      </w:r>
    </w:p>
    <w:p w14:paraId="05DD737D" w14:textId="77777777" w:rsidR="00E23A5D" w:rsidRPr="0065550E" w:rsidRDefault="00E23A5D" w:rsidP="00E23A5D">
      <w:pPr>
        <w:jc w:val="center"/>
        <w:rPr>
          <w:rFonts w:asciiTheme="minorHAnsi" w:hAnsiTheme="minorHAnsi" w:cstheme="minorHAnsi"/>
        </w:rPr>
      </w:pPr>
      <w:r w:rsidRPr="0065550E">
        <w:rPr>
          <w:rFonts w:asciiTheme="minorHAnsi" w:hAnsiTheme="minorHAnsi" w:cstheme="minorHAnsi"/>
          <w:b/>
          <w:sz w:val="40"/>
          <w:szCs w:val="40"/>
        </w:rPr>
        <w:t>(HERMIT)</w:t>
      </w:r>
    </w:p>
    <w:p w14:paraId="1BA4337E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05581B47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01B369B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F0A9A8B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4D7B636" w14:textId="37ED63EE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5550E">
        <w:rPr>
          <w:rFonts w:asciiTheme="minorHAnsi" w:hAnsiTheme="minorHAnsi" w:cstheme="minorHAnsi"/>
          <w:b/>
          <w:sz w:val="40"/>
          <w:szCs w:val="40"/>
        </w:rPr>
        <w:t>HERMIT System Changes – Release 6.8</w:t>
      </w:r>
      <w:r w:rsidR="00363D34">
        <w:rPr>
          <w:rFonts w:asciiTheme="minorHAnsi" w:hAnsiTheme="minorHAnsi" w:cstheme="minorHAnsi"/>
          <w:b/>
          <w:sz w:val="40"/>
          <w:szCs w:val="40"/>
        </w:rPr>
        <w:t>2</w:t>
      </w:r>
    </w:p>
    <w:p w14:paraId="42762F27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AFBB678" w14:textId="6C79C2D2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5550E">
        <w:rPr>
          <w:rFonts w:asciiTheme="minorHAnsi" w:hAnsiTheme="minorHAnsi" w:cstheme="minorHAnsi"/>
          <w:b/>
          <w:sz w:val="32"/>
          <w:szCs w:val="32"/>
        </w:rPr>
        <w:t xml:space="preserve">Release Date: </w:t>
      </w:r>
      <w:r w:rsidR="00363D34">
        <w:rPr>
          <w:rFonts w:asciiTheme="minorHAnsi" w:hAnsiTheme="minorHAnsi" w:cstheme="minorHAnsi"/>
          <w:b/>
          <w:sz w:val="32"/>
          <w:szCs w:val="32"/>
        </w:rPr>
        <w:t>10/0</w:t>
      </w:r>
      <w:r w:rsidR="00352B2F">
        <w:rPr>
          <w:rFonts w:asciiTheme="minorHAnsi" w:hAnsiTheme="minorHAnsi" w:cstheme="minorHAnsi"/>
          <w:b/>
          <w:sz w:val="32"/>
          <w:szCs w:val="32"/>
        </w:rPr>
        <w:t>4</w:t>
      </w:r>
      <w:r w:rsidR="00363D34">
        <w:rPr>
          <w:rFonts w:asciiTheme="minorHAnsi" w:hAnsiTheme="minorHAnsi" w:cstheme="minorHAnsi"/>
          <w:b/>
          <w:sz w:val="32"/>
          <w:szCs w:val="32"/>
        </w:rPr>
        <w:t>/22</w:t>
      </w:r>
    </w:p>
    <w:p w14:paraId="3594087D" w14:textId="369B744B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5550E">
        <w:rPr>
          <w:rFonts w:asciiTheme="minorHAnsi" w:hAnsiTheme="minorHAnsi" w:cstheme="minorHAnsi"/>
          <w:b/>
          <w:sz w:val="32"/>
          <w:szCs w:val="32"/>
        </w:rPr>
        <w:t xml:space="preserve">Document Date: </w:t>
      </w:r>
      <w:r w:rsidR="001B53EF">
        <w:rPr>
          <w:rFonts w:asciiTheme="minorHAnsi" w:hAnsiTheme="minorHAnsi" w:cstheme="minorHAnsi"/>
          <w:b/>
          <w:sz w:val="32"/>
          <w:szCs w:val="32"/>
        </w:rPr>
        <w:t>10/04/22</w:t>
      </w:r>
    </w:p>
    <w:p w14:paraId="0B1676A9" w14:textId="77777777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  <w:r w:rsidRPr="0065550E">
        <w:rPr>
          <w:rFonts w:asciiTheme="minorHAnsi" w:hAnsiTheme="minorHAnsi" w:cstheme="minorHAnsi"/>
          <w:sz w:val="32"/>
          <w:szCs w:val="32"/>
        </w:rPr>
        <w:tab/>
      </w:r>
    </w:p>
    <w:p w14:paraId="77D2DD4D" w14:textId="77777777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</w:p>
    <w:p w14:paraId="6F80BDBE" w14:textId="77777777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</w:p>
    <w:p w14:paraId="38FC1C15" w14:textId="7AA0FDCA" w:rsidR="00E23A5D" w:rsidRPr="0065550E" w:rsidRDefault="00363D34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October</w:t>
      </w:r>
      <w:r w:rsidR="00E23A5D">
        <w:rPr>
          <w:rFonts w:asciiTheme="minorHAnsi" w:hAnsiTheme="minorHAnsi" w:cstheme="minorHAnsi"/>
          <w:sz w:val="32"/>
          <w:szCs w:val="32"/>
        </w:rPr>
        <w:t xml:space="preserve"> </w:t>
      </w:r>
      <w:r w:rsidR="00E23A5D" w:rsidRPr="0065550E">
        <w:rPr>
          <w:rFonts w:asciiTheme="minorHAnsi" w:hAnsiTheme="minorHAnsi" w:cstheme="minorHAnsi"/>
          <w:sz w:val="32"/>
          <w:szCs w:val="32"/>
        </w:rPr>
        <w:t>2022</w:t>
      </w:r>
    </w:p>
    <w:p w14:paraId="3ACE276C" w14:textId="77777777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</w:p>
    <w:p w14:paraId="11CB3341" w14:textId="77777777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</w:p>
    <w:p w14:paraId="3B79EFFF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4FF8E9FE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1B35A5BE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74243626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2C3E3EA0" w14:textId="77777777" w:rsidR="00E23A5D" w:rsidRPr="0065550E" w:rsidRDefault="00E23A5D" w:rsidP="00E23A5D">
      <w:pPr>
        <w:spacing w:before="0" w:after="0"/>
        <w:rPr>
          <w:rFonts w:asciiTheme="minorHAnsi" w:eastAsia="Times New Roman" w:hAnsiTheme="minorHAnsi" w:cstheme="minorHAnsi"/>
          <w:sz w:val="20"/>
          <w:szCs w:val="20"/>
        </w:rPr>
      </w:pPr>
      <w:r w:rsidRPr="0065550E"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6AF54C7A" w14:textId="77777777" w:rsidR="00E23A5D" w:rsidRPr="0065550E" w:rsidRDefault="00E23A5D" w:rsidP="00E23A5D">
      <w:pPr>
        <w:jc w:val="center"/>
        <w:rPr>
          <w:rFonts w:asciiTheme="minorHAnsi" w:eastAsia="Times New Roman" w:hAnsiTheme="minorHAnsi" w:cstheme="minorHAnsi"/>
          <w:sz w:val="20"/>
          <w:szCs w:val="20"/>
        </w:rPr>
        <w:sectPr w:rsidR="00E23A5D" w:rsidRPr="0065550E" w:rsidSect="00326A8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titlePg/>
          <w:docGrid w:linePitch="360"/>
        </w:sectPr>
      </w:pPr>
    </w:p>
    <w:p w14:paraId="5F83C1AE" w14:textId="77777777" w:rsidR="00E23A5D" w:rsidRPr="0065550E" w:rsidRDefault="00E23A5D" w:rsidP="00E23A5D">
      <w:pPr>
        <w:spacing w:before="0" w:after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5550E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INTRODUCTION</w:t>
      </w:r>
    </w:p>
    <w:p w14:paraId="5CAA16A3" w14:textId="474ED0E0" w:rsidR="00E23A5D" w:rsidRPr="0065550E" w:rsidRDefault="00E23A5D" w:rsidP="00E23A5D">
      <w:pPr>
        <w:rPr>
          <w:rFonts w:asciiTheme="minorHAnsi" w:hAnsiTheme="minorHAnsi" w:cstheme="minorHAnsi"/>
        </w:rPr>
      </w:pPr>
      <w:r w:rsidRPr="0065550E">
        <w:rPr>
          <w:rFonts w:asciiTheme="minorHAnsi" w:hAnsiTheme="minorHAnsi" w:cstheme="minorHAnsi"/>
        </w:rPr>
        <w:t>The Home Equity Reverse Mortgage Information Technology (HERMIT) software release version 6.8</w:t>
      </w:r>
      <w:r w:rsidR="00363D34">
        <w:rPr>
          <w:rFonts w:asciiTheme="minorHAnsi" w:hAnsiTheme="minorHAnsi" w:cstheme="minorHAnsi"/>
        </w:rPr>
        <w:t>2</w:t>
      </w:r>
      <w:r w:rsidRPr="0065550E">
        <w:rPr>
          <w:rFonts w:asciiTheme="minorHAnsi" w:hAnsiTheme="minorHAnsi" w:cstheme="minorHAnsi"/>
        </w:rPr>
        <w:t xml:space="preserve"> consists of the following system changes: </w:t>
      </w:r>
    </w:p>
    <w:sdt>
      <w:sdtPr>
        <w:rPr>
          <w:rFonts w:asciiTheme="minorHAnsi" w:eastAsia="Calibri" w:hAnsiTheme="minorHAnsi" w:cstheme="minorHAnsi"/>
          <w:bCs w:val="0"/>
          <w:i w:val="0"/>
          <w:sz w:val="22"/>
          <w:szCs w:val="22"/>
          <w:lang w:eastAsia="en-US"/>
        </w:rPr>
        <w:id w:val="-156155726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043350AC" w14:textId="77777777" w:rsidR="00E23A5D" w:rsidRPr="0065550E" w:rsidRDefault="00E23A5D" w:rsidP="00E23A5D">
          <w:pPr>
            <w:pStyle w:val="TOCHeading"/>
            <w:jc w:val="center"/>
            <w:rPr>
              <w:rFonts w:asciiTheme="minorHAnsi" w:hAnsiTheme="minorHAnsi" w:cstheme="minorHAnsi"/>
              <w:u w:val="single"/>
            </w:rPr>
          </w:pPr>
          <w:r w:rsidRPr="0065550E">
            <w:rPr>
              <w:rFonts w:asciiTheme="minorHAnsi" w:hAnsiTheme="minorHAnsi" w:cstheme="minorHAnsi"/>
              <w:u w:val="single"/>
            </w:rPr>
            <w:t>Table of Contents</w:t>
          </w:r>
        </w:p>
        <w:p w14:paraId="46C4B336" w14:textId="44880381" w:rsidR="004163FA" w:rsidRDefault="00E23A5D">
          <w:pPr>
            <w:pStyle w:val="TOC2"/>
            <w:rPr>
              <w:rFonts w:asciiTheme="minorHAnsi" w:eastAsiaTheme="minorEastAsia" w:hAnsiTheme="minorHAnsi" w:cstheme="minorBidi"/>
            </w:rPr>
          </w:pPr>
          <w:r w:rsidRPr="0065550E">
            <w:rPr>
              <w:rFonts w:asciiTheme="minorHAnsi" w:hAnsiTheme="minorHAnsi"/>
            </w:rPr>
            <w:fldChar w:fldCharType="begin"/>
          </w:r>
          <w:r w:rsidRPr="0065550E">
            <w:rPr>
              <w:rFonts w:asciiTheme="minorHAnsi" w:hAnsiTheme="minorHAnsi"/>
            </w:rPr>
            <w:instrText xml:space="preserve"> TOC \o "1-2" \h \z \u </w:instrText>
          </w:r>
          <w:r w:rsidRPr="0065550E">
            <w:rPr>
              <w:rFonts w:asciiTheme="minorHAnsi" w:hAnsiTheme="minorHAnsi"/>
            </w:rPr>
            <w:fldChar w:fldCharType="separate"/>
          </w:r>
          <w:hyperlink w:anchor="_Toc127873578" w:history="1">
            <w:r w:rsidR="004163FA" w:rsidRPr="007B54D9">
              <w:rPr>
                <w:rStyle w:val="Hyperlink"/>
                <w:rFonts w:cstheme="minorHAnsi"/>
              </w:rPr>
              <w:t>1.</w:t>
            </w:r>
            <w:r w:rsidR="004163FA">
              <w:rPr>
                <w:rFonts w:asciiTheme="minorHAnsi" w:eastAsiaTheme="minorEastAsia" w:hAnsiTheme="minorHAnsi" w:cstheme="minorBidi"/>
              </w:rPr>
              <w:tab/>
            </w:r>
            <w:r w:rsidR="004163FA" w:rsidRPr="007B54D9">
              <w:rPr>
                <w:rStyle w:val="Hyperlink"/>
                <w:rFonts w:cstheme="minorHAnsi"/>
              </w:rPr>
              <w:t>Claims - Claim Type 23 FHA Case # Assigned Date Before 09/19/17, Note Interest paid on Itemized Eligible Expenses up to Block 10 Deed Recorded Date / Post-Death Title Transfer</w:t>
            </w:r>
            <w:r w:rsidR="004163FA">
              <w:rPr>
                <w:webHidden/>
              </w:rPr>
              <w:tab/>
            </w:r>
            <w:r w:rsidR="004163FA">
              <w:rPr>
                <w:webHidden/>
              </w:rPr>
              <w:fldChar w:fldCharType="begin"/>
            </w:r>
            <w:r w:rsidR="004163FA">
              <w:rPr>
                <w:webHidden/>
              </w:rPr>
              <w:instrText xml:space="preserve"> PAGEREF _Toc127873578 \h </w:instrText>
            </w:r>
            <w:r w:rsidR="004163FA">
              <w:rPr>
                <w:webHidden/>
              </w:rPr>
            </w:r>
            <w:r w:rsidR="004163FA">
              <w:rPr>
                <w:webHidden/>
              </w:rPr>
              <w:fldChar w:fldCharType="separate"/>
            </w:r>
            <w:r w:rsidR="004163FA">
              <w:rPr>
                <w:webHidden/>
              </w:rPr>
              <w:t>3</w:t>
            </w:r>
            <w:r w:rsidR="004163FA">
              <w:rPr>
                <w:webHidden/>
              </w:rPr>
              <w:fldChar w:fldCharType="end"/>
            </w:r>
          </w:hyperlink>
        </w:p>
        <w:p w14:paraId="06CADBD8" w14:textId="031BF23E" w:rsidR="00E23A5D" w:rsidRPr="0065550E" w:rsidRDefault="00E23A5D" w:rsidP="00E23A5D">
          <w:pPr>
            <w:rPr>
              <w:rFonts w:asciiTheme="minorHAnsi" w:hAnsiTheme="minorHAnsi" w:cstheme="minorHAnsi"/>
            </w:rPr>
          </w:pPr>
          <w:r w:rsidRPr="0065550E">
            <w:rPr>
              <w:rFonts w:asciiTheme="minorHAnsi" w:hAnsiTheme="minorHAnsi" w:cstheme="minorHAnsi"/>
              <w:b/>
              <w:caps/>
            </w:rPr>
            <w:fldChar w:fldCharType="end"/>
          </w:r>
        </w:p>
      </w:sdtContent>
    </w:sdt>
    <w:p w14:paraId="2F609D46" w14:textId="77777777" w:rsidR="00E23A5D" w:rsidRPr="0065550E" w:rsidRDefault="00E23A5D" w:rsidP="00E23A5D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65550E">
        <w:rPr>
          <w:rFonts w:asciiTheme="minorHAnsi" w:hAnsiTheme="minorHAnsi" w:cstheme="minorHAnsi"/>
          <w:sz w:val="24"/>
          <w:szCs w:val="24"/>
        </w:rPr>
        <w:t xml:space="preserve">If you have any questions regarding the functionality of the software release, please contact the HERMIT Help Desk at 561-899-2610 or at </w:t>
      </w:r>
      <w:hyperlink r:id="rId9" w:history="1">
        <w:r w:rsidRPr="0065550E">
          <w:rPr>
            <w:rStyle w:val="Hyperlink"/>
            <w:rFonts w:asciiTheme="minorHAnsi" w:hAnsiTheme="minorHAnsi" w:cstheme="minorHAnsi"/>
            <w:sz w:val="24"/>
            <w:szCs w:val="24"/>
          </w:rPr>
          <w:t>servicingsupport@hermitsp.com</w:t>
        </w:r>
      </w:hyperlink>
      <w:r w:rsidRPr="0065550E">
        <w:rPr>
          <w:rFonts w:asciiTheme="minorHAnsi" w:hAnsiTheme="minorHAnsi" w:cstheme="minorHAnsi"/>
          <w:sz w:val="24"/>
          <w:szCs w:val="24"/>
        </w:rPr>
        <w:t xml:space="preserve">. If you have any policy related questions, please send an email to HUD at </w:t>
      </w:r>
      <w:hyperlink r:id="rId10" w:history="1">
        <w:r w:rsidRPr="0065550E">
          <w:rPr>
            <w:rStyle w:val="Hyperlink"/>
            <w:rFonts w:asciiTheme="minorHAnsi" w:hAnsiTheme="minorHAnsi" w:cstheme="minorHAnsi"/>
            <w:sz w:val="24"/>
            <w:szCs w:val="24"/>
          </w:rPr>
          <w:t>answers@hud.gov</w:t>
        </w:r>
      </w:hyperlink>
      <w:r w:rsidRPr="0065550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D726CB" w14:textId="266BF3BE" w:rsidR="00C11027" w:rsidRDefault="00C11027" w:rsidP="00C11027">
      <w:pPr>
        <w:spacing w:before="0"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31779985"/>
    </w:p>
    <w:p w14:paraId="167281BD" w14:textId="77777777" w:rsidR="00C11027" w:rsidRPr="00C11027" w:rsidRDefault="00C11027" w:rsidP="00C11027">
      <w:pPr>
        <w:spacing w:before="0"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2A2A06" w14:textId="77777777" w:rsidR="006D3D8C" w:rsidRDefault="006D3D8C">
      <w:pPr>
        <w:spacing w:before="0" w:after="16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br w:type="page"/>
      </w:r>
    </w:p>
    <w:p w14:paraId="0E69DDF5" w14:textId="27275646" w:rsidR="00C11027" w:rsidRPr="007B6F2B" w:rsidRDefault="00363D34" w:rsidP="00C11027">
      <w:pPr>
        <w:pStyle w:val="Heading2"/>
        <w:numPr>
          <w:ilvl w:val="0"/>
          <w:numId w:val="11"/>
        </w:numPr>
        <w:rPr>
          <w:rFonts w:asciiTheme="minorHAnsi" w:hAnsiTheme="minorHAnsi" w:cstheme="minorHAnsi"/>
        </w:rPr>
      </w:pPr>
      <w:bookmarkStart w:id="1" w:name="_Toc127873578"/>
      <w:r>
        <w:rPr>
          <w:rFonts w:asciiTheme="minorHAnsi" w:hAnsiTheme="minorHAnsi" w:cstheme="minorHAnsi"/>
        </w:rPr>
        <w:lastRenderedPageBreak/>
        <w:t>Claims - Claim Type 23 FHA Case # Assigned Date Before 09/19/17</w:t>
      </w:r>
      <w:r w:rsidR="00352B2F">
        <w:rPr>
          <w:rFonts w:asciiTheme="minorHAnsi" w:hAnsiTheme="minorHAnsi" w:cstheme="minorHAnsi"/>
        </w:rPr>
        <w:t>, Note Interest paid on Itemized Eligible Expenses up to Block 10 Deed Recorded Date / Post-Death Title Transfer</w:t>
      </w:r>
      <w:bookmarkEnd w:id="1"/>
    </w:p>
    <w:p w14:paraId="1D06DD1B" w14:textId="521E6D5C" w:rsidR="00BF6BFF" w:rsidRPr="00CE188B" w:rsidRDefault="00CE188B" w:rsidP="00CE188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CE188B">
        <w:rPr>
          <w:rFonts w:asciiTheme="minorHAnsi" w:hAnsiTheme="minorHAnsi" w:cstheme="minorHAnsi"/>
          <w:b/>
          <w:bCs/>
          <w:sz w:val="20"/>
          <w:szCs w:val="20"/>
        </w:rPr>
        <w:t>Logic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363D34" w:rsidRPr="00CE188B">
        <w:rPr>
          <w:rFonts w:asciiTheme="minorHAnsi" w:hAnsiTheme="minorHAnsi" w:cstheme="minorHAnsi"/>
          <w:sz w:val="20"/>
          <w:szCs w:val="20"/>
        </w:rPr>
        <w:t xml:space="preserve">Claim Type 23 with FHA Case # Assigned Date </w:t>
      </w:r>
      <w:r w:rsidR="003031D0">
        <w:rPr>
          <w:rFonts w:asciiTheme="minorHAnsi" w:hAnsiTheme="minorHAnsi" w:cstheme="minorHAnsi"/>
          <w:sz w:val="20"/>
          <w:szCs w:val="20"/>
        </w:rPr>
        <w:t>B</w:t>
      </w:r>
      <w:r w:rsidR="00363D34" w:rsidRPr="00CE188B">
        <w:rPr>
          <w:rFonts w:asciiTheme="minorHAnsi" w:hAnsiTheme="minorHAnsi" w:cstheme="minorHAnsi"/>
          <w:sz w:val="20"/>
          <w:szCs w:val="20"/>
        </w:rPr>
        <w:t xml:space="preserve">efore 09/19/17 </w:t>
      </w:r>
      <w:r w:rsidRPr="00CE188B">
        <w:rPr>
          <w:rFonts w:asciiTheme="minorHAnsi" w:hAnsiTheme="minorHAnsi" w:cstheme="minorHAnsi"/>
          <w:sz w:val="20"/>
          <w:szCs w:val="20"/>
        </w:rPr>
        <w:t xml:space="preserve">logic </w:t>
      </w:r>
      <w:r w:rsidR="00363D34" w:rsidRPr="00CE188B">
        <w:rPr>
          <w:rFonts w:asciiTheme="minorHAnsi" w:hAnsiTheme="minorHAnsi" w:cstheme="minorHAnsi"/>
          <w:sz w:val="20"/>
          <w:szCs w:val="20"/>
        </w:rPr>
        <w:t xml:space="preserve">has been updated to calculate and pay Note Interest Rate for itemized eligible expenses </w:t>
      </w:r>
      <w:r w:rsidRPr="00CE188B">
        <w:rPr>
          <w:rFonts w:asciiTheme="minorHAnsi" w:hAnsiTheme="minorHAnsi" w:cstheme="minorHAnsi"/>
          <w:sz w:val="20"/>
          <w:szCs w:val="20"/>
        </w:rPr>
        <w:t>through</w:t>
      </w:r>
      <w:r w:rsidR="00363D34" w:rsidRPr="00CE188B">
        <w:rPr>
          <w:rFonts w:asciiTheme="minorHAnsi" w:hAnsiTheme="minorHAnsi" w:cstheme="minorHAnsi"/>
          <w:sz w:val="20"/>
          <w:szCs w:val="20"/>
        </w:rPr>
        <w:t xml:space="preserve"> Block 10 Deed Recorded Date / Post-Death Title Transfer.  </w:t>
      </w:r>
      <w:r w:rsidR="00BF6BFF" w:rsidRPr="00CE188B">
        <w:rPr>
          <w:rFonts w:asciiTheme="minorHAnsi" w:hAnsiTheme="minorHAnsi" w:cstheme="minorHAnsi"/>
          <w:sz w:val="20"/>
          <w:szCs w:val="20"/>
        </w:rPr>
        <w:t xml:space="preserve">Claim Type 23 with FHA Case # Assigned Date On or After 09/19/17 remains unchanged with Note Interest paid to Block 8 Due Date then DBI paid after Block 8 Due Date and subject to Curtailment. </w:t>
      </w:r>
    </w:p>
    <w:p w14:paraId="3485F9FC" w14:textId="33DF3356" w:rsidR="00363D34" w:rsidRDefault="00BF6BFF" w:rsidP="00CE188B">
      <w:pPr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 affected loans, t</w:t>
      </w:r>
      <w:r w:rsidR="00363D34">
        <w:rPr>
          <w:rFonts w:asciiTheme="minorHAnsi" w:hAnsiTheme="minorHAnsi" w:cstheme="minorHAnsi"/>
          <w:sz w:val="20"/>
          <w:szCs w:val="20"/>
        </w:rPr>
        <w:t xml:space="preserve">his enhancement results in </w:t>
      </w:r>
      <w:r w:rsidR="00CE188B">
        <w:rPr>
          <w:rFonts w:asciiTheme="minorHAnsi" w:hAnsiTheme="minorHAnsi" w:cstheme="minorHAnsi"/>
          <w:sz w:val="20"/>
          <w:szCs w:val="20"/>
        </w:rPr>
        <w:t xml:space="preserve">aligning Interest on the UPB / Block 17 and itemized eligible expenses populated on the claim form to only use Note Interest through Block 10. </w:t>
      </w:r>
      <w:r>
        <w:rPr>
          <w:rFonts w:asciiTheme="minorHAnsi" w:hAnsiTheme="minorHAnsi" w:cstheme="minorHAnsi"/>
          <w:sz w:val="20"/>
          <w:szCs w:val="20"/>
        </w:rPr>
        <w:t xml:space="preserve">Note Interest will be paid through Block 10 date regardless of the loan’s Curtailment Date.  </w:t>
      </w:r>
      <w:r w:rsidR="00363D34">
        <w:rPr>
          <w:rFonts w:asciiTheme="minorHAnsi" w:hAnsiTheme="minorHAnsi" w:cstheme="minorHAnsi"/>
          <w:sz w:val="20"/>
          <w:szCs w:val="20"/>
        </w:rPr>
        <w:t xml:space="preserve">Debenture Interest will </w:t>
      </w:r>
      <w:r>
        <w:rPr>
          <w:rFonts w:asciiTheme="minorHAnsi" w:hAnsiTheme="minorHAnsi" w:cstheme="minorHAnsi"/>
          <w:sz w:val="20"/>
          <w:szCs w:val="20"/>
        </w:rPr>
        <w:t xml:space="preserve">begin being paid the day after Block 10 and </w:t>
      </w:r>
      <w:r w:rsidR="00363D34">
        <w:rPr>
          <w:rFonts w:asciiTheme="minorHAnsi" w:hAnsiTheme="minorHAnsi" w:cstheme="minorHAnsi"/>
          <w:sz w:val="20"/>
          <w:szCs w:val="20"/>
        </w:rPr>
        <w:t xml:space="preserve">is subject to </w:t>
      </w:r>
      <w:r>
        <w:rPr>
          <w:rFonts w:asciiTheme="minorHAnsi" w:hAnsiTheme="minorHAnsi" w:cstheme="minorHAnsi"/>
          <w:sz w:val="20"/>
          <w:szCs w:val="20"/>
        </w:rPr>
        <w:t xml:space="preserve">existing curtailment rules. </w:t>
      </w:r>
    </w:p>
    <w:p w14:paraId="7956E9F5" w14:textId="2C31CD87" w:rsidR="00BF6BFF" w:rsidRDefault="00BF6BFF" w:rsidP="00CE188B">
      <w:pPr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following table illustrates what type of Interest is used on CT23. Blue highlight indicates a change from previous logic.</w:t>
      </w:r>
    </w:p>
    <w:tbl>
      <w:tblPr>
        <w:tblW w:w="9507" w:type="dxa"/>
        <w:tblLayout w:type="fixed"/>
        <w:tblLook w:val="04A0" w:firstRow="1" w:lastRow="0" w:firstColumn="1" w:lastColumn="0" w:noHBand="0" w:noVBand="1"/>
      </w:tblPr>
      <w:tblGrid>
        <w:gridCol w:w="1430"/>
        <w:gridCol w:w="1376"/>
        <w:gridCol w:w="1203"/>
        <w:gridCol w:w="1276"/>
        <w:gridCol w:w="1333"/>
        <w:gridCol w:w="1615"/>
        <w:gridCol w:w="1027"/>
        <w:gridCol w:w="247"/>
      </w:tblGrid>
      <w:tr w:rsidR="00BF6BFF" w:rsidRPr="006B6D4D" w14:paraId="3AD1AEFF" w14:textId="77777777" w:rsidTr="00CE188B">
        <w:trPr>
          <w:gridAfter w:val="1"/>
          <w:wAfter w:w="247" w:type="dxa"/>
          <w:trHeight w:val="509"/>
          <w:tblHeader/>
        </w:trPr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9DE1DB8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  <w:t>Claim Type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9270125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  <w:t>FHA Case # Assigned Date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973EF8C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  <w:t>Interest on Expenses: Block 8 through Block 10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FB9AF0A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  <w:t>Interest on Expenses: After Block 10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17D0307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  <w:t>CT24 Recalc</w:t>
            </w:r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3E9E8B5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  <w:t>Curtailment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F910DF8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  <w:t>Block 17 Cutoff Date</w:t>
            </w:r>
          </w:p>
        </w:tc>
      </w:tr>
      <w:tr w:rsidR="00BF6BFF" w:rsidRPr="006B6D4D" w14:paraId="220C7305" w14:textId="77777777" w:rsidTr="00CE188B">
        <w:trPr>
          <w:trHeight w:val="300"/>
        </w:trPr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3468E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667DC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73C30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CC5AB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E80EDC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ECA51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F44857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03F3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</w:pPr>
          </w:p>
        </w:tc>
      </w:tr>
      <w:tr w:rsidR="00BF6BFF" w:rsidRPr="006B6D4D" w14:paraId="72FE0D2C" w14:textId="77777777" w:rsidTr="00CE188B">
        <w:trPr>
          <w:trHeight w:val="300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55651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CT23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D308D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Before 9/19/2017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FFFF"/>
            <w:vAlign w:val="center"/>
            <w:hideMark/>
          </w:tcPr>
          <w:p w14:paraId="6A4022E6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Note Interest Rate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7B6EF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Debenture Interest Rate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81BF73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n/a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FFFF"/>
            <w:vAlign w:val="center"/>
            <w:hideMark/>
          </w:tcPr>
          <w:p w14:paraId="5A9A6356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  <w:t>Note Interest Portion never curtailed.</w:t>
            </w: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br/>
              <w:t>DBI interest is subject to curtailment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1BBCC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Block 10</w:t>
            </w:r>
          </w:p>
        </w:tc>
        <w:tc>
          <w:tcPr>
            <w:tcW w:w="247" w:type="dxa"/>
            <w:vAlign w:val="center"/>
            <w:hideMark/>
          </w:tcPr>
          <w:p w14:paraId="41EE6DFB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2BFE5911" w14:textId="77777777" w:rsidTr="00CE188B">
        <w:trPr>
          <w:trHeight w:val="300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C4CC5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9D7BD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1D593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B441E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0F2F7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5ACD3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3CBE1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247" w:type="dxa"/>
            <w:vAlign w:val="center"/>
            <w:hideMark/>
          </w:tcPr>
          <w:p w14:paraId="65D15D8A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6B53487F" w14:textId="77777777" w:rsidTr="00CE188B">
        <w:trPr>
          <w:trHeight w:val="300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BA429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5A191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On or After 9/19/17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374D6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Debenture Interest Rate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6016C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Debenture Interest Rate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91513F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n/a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69C86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DBI interest is subject to curtailment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FBB30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Block 8 (Interest Block 8 minus 1 day)</w:t>
            </w:r>
          </w:p>
        </w:tc>
        <w:tc>
          <w:tcPr>
            <w:tcW w:w="247" w:type="dxa"/>
            <w:vAlign w:val="center"/>
            <w:hideMark/>
          </w:tcPr>
          <w:p w14:paraId="708CF9AD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19192322" w14:textId="77777777" w:rsidTr="00CE188B">
        <w:trPr>
          <w:trHeight w:val="300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12AA4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DD52F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D9FA6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290EC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EA40B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83302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9949D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247" w:type="dxa"/>
            <w:vAlign w:val="center"/>
            <w:hideMark/>
          </w:tcPr>
          <w:p w14:paraId="6F473069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3C6F4C96" w14:textId="77777777" w:rsidTr="00CE188B">
        <w:trPr>
          <w:trHeight w:val="300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593E8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CT24 after CT23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83333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Before 9/19/2017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FFFF"/>
            <w:vAlign w:val="center"/>
            <w:hideMark/>
          </w:tcPr>
          <w:p w14:paraId="1F1797CA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Note Interest Rate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6ED8F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Debenture Interest Rate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FFFF"/>
            <w:vAlign w:val="center"/>
            <w:hideMark/>
          </w:tcPr>
          <w:p w14:paraId="5B74643C" w14:textId="047FACB4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 xml:space="preserve">Note Interest </w:t>
            </w:r>
            <w:r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through</w:t>
            </w: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 xml:space="preserve"> Block 10, then DBI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FFFF"/>
            <w:vAlign w:val="center"/>
            <w:hideMark/>
          </w:tcPr>
          <w:p w14:paraId="1B36311C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</w:rPr>
              <w:t>Note Interest Portion never curtailed.</w:t>
            </w: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br/>
              <w:t>DBI interest is subject to curtailment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06B473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n/a</w:t>
            </w:r>
          </w:p>
        </w:tc>
        <w:tc>
          <w:tcPr>
            <w:tcW w:w="247" w:type="dxa"/>
            <w:vAlign w:val="center"/>
            <w:hideMark/>
          </w:tcPr>
          <w:p w14:paraId="614558DF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5536B863" w14:textId="77777777" w:rsidTr="00CE188B">
        <w:trPr>
          <w:trHeight w:val="300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9EDB6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12315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15E2A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6452E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8C85B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B3250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5E615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247" w:type="dxa"/>
            <w:vAlign w:val="center"/>
            <w:hideMark/>
          </w:tcPr>
          <w:p w14:paraId="6AF85DE3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5D64DD12" w14:textId="77777777" w:rsidTr="00CE188B">
        <w:trPr>
          <w:trHeight w:val="300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C8F99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DAE0F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On or After 9/19/17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F67B5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Debenture Interest Rate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A8E40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Debenture Interest Rate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0250F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DBI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A9B4C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DBI interest is subject to curtailment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C48D33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n/a</w:t>
            </w:r>
          </w:p>
        </w:tc>
        <w:tc>
          <w:tcPr>
            <w:tcW w:w="247" w:type="dxa"/>
            <w:vAlign w:val="center"/>
            <w:hideMark/>
          </w:tcPr>
          <w:p w14:paraId="5169A828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5B0DCA51" w14:textId="77777777" w:rsidTr="00CE188B">
        <w:trPr>
          <w:trHeight w:val="300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1F3E1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5A746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0BC8E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E9D28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FCDE4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A6CD0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D17E5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247" w:type="dxa"/>
            <w:vAlign w:val="center"/>
            <w:hideMark/>
          </w:tcPr>
          <w:p w14:paraId="23AA65BD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3286F2F8" w14:textId="77777777" w:rsidTr="00CE188B">
        <w:trPr>
          <w:trHeight w:val="410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76A48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CT21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5125E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Before 9/19/2017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D45BC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Debenture Interest Rate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91C74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Debenture Interest Rate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E58234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n/a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0ECAB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DBI interest is subject to curtailment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258E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Block 8 (Interest Block 29 minus 1 day)</w:t>
            </w:r>
          </w:p>
        </w:tc>
        <w:tc>
          <w:tcPr>
            <w:tcW w:w="247" w:type="dxa"/>
            <w:vAlign w:val="center"/>
            <w:hideMark/>
          </w:tcPr>
          <w:p w14:paraId="16616C5D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5669E6EE" w14:textId="77777777" w:rsidTr="00CE188B">
        <w:trPr>
          <w:trHeight w:val="410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3DCFF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218B9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On or After 9/19/17</w:t>
            </w: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1CB71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6966D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5AE6A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0D1AE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8CA64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247" w:type="dxa"/>
            <w:vAlign w:val="center"/>
            <w:hideMark/>
          </w:tcPr>
          <w:p w14:paraId="3A79316D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68A95C02" w14:textId="77777777" w:rsidTr="00CE188B">
        <w:trPr>
          <w:trHeight w:val="410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D2B7A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CT24 after CT21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9BA31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Before 9/19/2017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B033C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Debenture Interest Rate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7E68C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Debenture Interest Rate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442DB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DBI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595AA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DBI interest is subject to curtailment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7B66E3" w14:textId="77777777" w:rsidR="00BF6BFF" w:rsidRPr="006B6D4D" w:rsidRDefault="00BF6BFF" w:rsidP="00E7525E">
            <w:pPr>
              <w:spacing w:after="0"/>
              <w:jc w:val="center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n/a</w:t>
            </w:r>
          </w:p>
        </w:tc>
        <w:tc>
          <w:tcPr>
            <w:tcW w:w="247" w:type="dxa"/>
            <w:vAlign w:val="center"/>
            <w:hideMark/>
          </w:tcPr>
          <w:p w14:paraId="3726DAEC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F6BFF" w:rsidRPr="006B6D4D" w14:paraId="29C58B43" w14:textId="77777777" w:rsidTr="00CE188B">
        <w:trPr>
          <w:trHeight w:val="410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B57B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E1A15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  <w:r w:rsidRPr="006B6D4D">
              <w:rPr>
                <w:rFonts w:ascii="Arial" w:eastAsia="Times New Roman" w:hAnsi="Arial" w:cs="Arial"/>
                <w:color w:val="242424"/>
                <w:sz w:val="16"/>
                <w:szCs w:val="16"/>
              </w:rPr>
              <w:t>On or After 9/19/17</w:t>
            </w: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55EEC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75808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8EBA6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4F061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6B877" w14:textId="77777777" w:rsidR="00BF6BFF" w:rsidRPr="006B6D4D" w:rsidRDefault="00BF6BFF" w:rsidP="00E7525E">
            <w:pPr>
              <w:spacing w:after="0"/>
              <w:rPr>
                <w:rFonts w:ascii="Arial" w:eastAsia="Times New Roman" w:hAnsi="Arial" w:cs="Arial"/>
                <w:color w:val="242424"/>
                <w:sz w:val="16"/>
                <w:szCs w:val="16"/>
              </w:rPr>
            </w:pPr>
          </w:p>
        </w:tc>
        <w:tc>
          <w:tcPr>
            <w:tcW w:w="247" w:type="dxa"/>
            <w:vAlign w:val="center"/>
            <w:hideMark/>
          </w:tcPr>
          <w:p w14:paraId="77AFAE7B" w14:textId="77777777" w:rsidR="00BF6BFF" w:rsidRPr="006B6D4D" w:rsidRDefault="00BF6BFF" w:rsidP="00E7525E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D281A79" w14:textId="7C98D769" w:rsidR="00363D34" w:rsidRDefault="00363D34" w:rsidP="00363D34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8099271" w14:textId="3A69AEF9" w:rsidR="00BF6BFF" w:rsidRPr="00CE188B" w:rsidRDefault="00CE188B" w:rsidP="00CE188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CE188B">
        <w:rPr>
          <w:rFonts w:asciiTheme="minorHAnsi" w:hAnsiTheme="minorHAnsi" w:cstheme="minorHAnsi"/>
          <w:b/>
          <w:bCs/>
          <w:sz w:val="20"/>
          <w:szCs w:val="20"/>
        </w:rPr>
        <w:lastRenderedPageBreak/>
        <w:t>Message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BF6BFF" w:rsidRPr="00CE188B">
        <w:rPr>
          <w:rFonts w:asciiTheme="minorHAnsi" w:hAnsiTheme="minorHAnsi" w:cstheme="minorHAnsi"/>
          <w:sz w:val="20"/>
          <w:szCs w:val="20"/>
        </w:rPr>
        <w:t xml:space="preserve">If the claim was calculated with Note Interest on itemized eligible expenses, then the following message will be displayed in </w:t>
      </w:r>
      <w:r w:rsidR="00BF6BFF" w:rsidRPr="00CE188B">
        <w:rPr>
          <w:rFonts w:asciiTheme="minorHAnsi" w:hAnsiTheme="minorHAnsi" w:cstheme="minorHAnsi"/>
          <w:b/>
          <w:bCs/>
          <w:sz w:val="20"/>
          <w:szCs w:val="20"/>
        </w:rPr>
        <w:t>Part</w:t>
      </w:r>
      <w:r w:rsidR="00BF6BFF" w:rsidRPr="00CE188B">
        <w:rPr>
          <w:rFonts w:asciiTheme="minorHAnsi" w:hAnsiTheme="minorHAnsi" w:cstheme="minorHAnsi"/>
          <w:sz w:val="20"/>
          <w:szCs w:val="20"/>
        </w:rPr>
        <w:t xml:space="preserve"> </w:t>
      </w:r>
      <w:r w:rsidR="00BF6BFF" w:rsidRPr="00CE188B">
        <w:rPr>
          <w:rFonts w:asciiTheme="minorHAnsi" w:hAnsiTheme="minorHAnsi" w:cstheme="minorHAnsi"/>
          <w:b/>
          <w:bCs/>
          <w:sz w:val="20"/>
          <w:szCs w:val="20"/>
        </w:rPr>
        <w:t>C: Support Document</w:t>
      </w:r>
      <w:r w:rsidR="00BF6BFF" w:rsidRPr="00CE188B">
        <w:rPr>
          <w:rFonts w:asciiTheme="minorHAnsi" w:hAnsiTheme="minorHAnsi" w:cstheme="minorHAnsi"/>
          <w:sz w:val="20"/>
          <w:szCs w:val="20"/>
        </w:rPr>
        <w:t xml:space="preserve">, under “HUD Comments if Any”.  </w:t>
      </w:r>
    </w:p>
    <w:p w14:paraId="5BC19D5F" w14:textId="1A249412" w:rsidR="00BF6BFF" w:rsidRPr="00CE188B" w:rsidRDefault="00BF6BFF" w:rsidP="00CE188B">
      <w:pPr>
        <w:ind w:left="1080"/>
        <w:rPr>
          <w:rFonts w:asciiTheme="minorHAnsi" w:hAnsiTheme="minorHAnsi" w:cstheme="minorHAnsi"/>
          <w:i/>
          <w:iCs/>
          <w:sz w:val="20"/>
          <w:szCs w:val="20"/>
        </w:rPr>
      </w:pPr>
      <w:r w:rsidRPr="00CE188B">
        <w:rPr>
          <w:rFonts w:asciiTheme="minorHAnsi" w:hAnsiTheme="minorHAnsi" w:cstheme="minorHAnsi"/>
          <w:i/>
          <w:iCs/>
          <w:sz w:val="20"/>
          <w:szCs w:val="20"/>
        </w:rPr>
        <w:t>Please note: Debenture Interest column on Part B, C, and D of the claim form</w:t>
      </w:r>
      <w:r w:rsidR="00D8748D">
        <w:rPr>
          <w:rFonts w:asciiTheme="minorHAnsi" w:hAnsiTheme="minorHAnsi" w:cstheme="minorHAnsi"/>
          <w:i/>
          <w:iCs/>
          <w:sz w:val="20"/>
          <w:szCs w:val="20"/>
        </w:rPr>
        <w:t xml:space="preserve"> may include </w:t>
      </w:r>
      <w:r w:rsidRPr="00CE188B">
        <w:rPr>
          <w:rFonts w:asciiTheme="minorHAnsi" w:hAnsiTheme="minorHAnsi" w:cstheme="minorHAnsi"/>
          <w:i/>
          <w:iCs/>
          <w:sz w:val="20"/>
          <w:szCs w:val="20"/>
        </w:rPr>
        <w:t>a combination of Note Interest through Block 10 and Debenture Interest after Block 10, if applicable.</w:t>
      </w:r>
    </w:p>
    <w:p w14:paraId="058A5588" w14:textId="37C2A52B" w:rsidR="00BF6BFF" w:rsidRDefault="00CE188B" w:rsidP="00CE188B">
      <w:pPr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This</w:t>
      </w:r>
      <w:r w:rsidR="00BF6BF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is a </w:t>
      </w:r>
      <w:r w:rsidR="00BF6BFF">
        <w:rPr>
          <w:rFonts w:asciiTheme="minorHAnsi" w:hAnsiTheme="minorHAnsi" w:cstheme="minorHAnsi"/>
          <w:sz w:val="20"/>
          <w:szCs w:val="20"/>
        </w:rPr>
        <w:t xml:space="preserve">different message box than where the Curtailment Message is currently displayed. Curtailment Message will continue to be displayed in field </w:t>
      </w:r>
      <w:r w:rsidR="00BF6BFF" w:rsidRPr="00CE188B">
        <w:rPr>
          <w:rFonts w:asciiTheme="minorHAnsi" w:hAnsiTheme="minorHAnsi" w:cstheme="minorHAnsi"/>
          <w:sz w:val="20"/>
          <w:szCs w:val="20"/>
        </w:rPr>
        <w:t>Part A: General Information</w:t>
      </w:r>
      <w:r w:rsidR="00BF6BFF">
        <w:rPr>
          <w:rFonts w:asciiTheme="minorHAnsi" w:hAnsiTheme="minorHAnsi" w:cstheme="minorHAnsi"/>
          <w:sz w:val="20"/>
          <w:szCs w:val="20"/>
        </w:rPr>
        <w:t xml:space="preserve">, under “HUD Comments if Any”. </w:t>
      </w:r>
    </w:p>
    <w:p w14:paraId="29025323" w14:textId="77777777" w:rsidR="00CE188B" w:rsidRDefault="00CE188B" w:rsidP="00363D34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454EC64E" w14:textId="75751439" w:rsidR="00BF6BFF" w:rsidRPr="00CE188B" w:rsidRDefault="002F436F" w:rsidP="00CE188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CT24 Supplemental Claims &amp; CT24 Subsequent Supplemental Claims:</w:t>
      </w:r>
      <w:r w:rsidR="00CE188B" w:rsidRPr="00CE188B">
        <w:rPr>
          <w:rFonts w:asciiTheme="minorHAnsi" w:hAnsiTheme="minorHAnsi" w:cstheme="minorHAnsi"/>
          <w:sz w:val="20"/>
          <w:szCs w:val="20"/>
        </w:rPr>
        <w:t xml:space="preserve"> </w:t>
      </w:r>
      <w:r w:rsidRPr="002F436F">
        <w:rPr>
          <w:rFonts w:asciiTheme="minorHAnsi" w:hAnsiTheme="minorHAnsi" w:cstheme="minorHAnsi"/>
          <w:sz w:val="20"/>
          <w:szCs w:val="20"/>
        </w:rPr>
        <w:t xml:space="preserve">Interest </w:t>
      </w:r>
      <w:r>
        <w:rPr>
          <w:rFonts w:asciiTheme="minorHAnsi" w:hAnsiTheme="minorHAnsi" w:cstheme="minorHAnsi"/>
          <w:sz w:val="20"/>
          <w:szCs w:val="20"/>
        </w:rPr>
        <w:t>for expenses on</w:t>
      </w:r>
      <w:r w:rsidRPr="002F436F">
        <w:rPr>
          <w:rFonts w:asciiTheme="minorHAnsi" w:hAnsiTheme="minorHAnsi" w:cstheme="minorHAnsi"/>
          <w:sz w:val="20"/>
          <w:szCs w:val="20"/>
        </w:rPr>
        <w:t xml:space="preserve"> CT24 </w:t>
      </w:r>
      <w:r>
        <w:rPr>
          <w:rFonts w:asciiTheme="minorHAnsi" w:hAnsiTheme="minorHAnsi" w:cstheme="minorHAnsi"/>
          <w:sz w:val="20"/>
          <w:szCs w:val="20"/>
        </w:rPr>
        <w:t xml:space="preserve">Supplemental claims </w:t>
      </w:r>
      <w:r w:rsidRPr="002F436F">
        <w:rPr>
          <w:rFonts w:asciiTheme="minorHAnsi" w:hAnsiTheme="minorHAnsi" w:cstheme="minorHAnsi"/>
          <w:sz w:val="20"/>
          <w:szCs w:val="20"/>
        </w:rPr>
        <w:t xml:space="preserve">filed after CT23 </w:t>
      </w:r>
      <w:r>
        <w:rPr>
          <w:rFonts w:asciiTheme="minorHAnsi" w:hAnsiTheme="minorHAnsi" w:cstheme="minorHAnsi"/>
          <w:sz w:val="20"/>
          <w:szCs w:val="20"/>
        </w:rPr>
        <w:t>will be</w:t>
      </w:r>
      <w:r w:rsidRPr="002F436F">
        <w:rPr>
          <w:rFonts w:asciiTheme="minorHAnsi" w:hAnsiTheme="minorHAnsi" w:cstheme="minorHAnsi"/>
          <w:sz w:val="20"/>
          <w:szCs w:val="20"/>
        </w:rPr>
        <w:t xml:space="preserve"> based on the method of Interest Calculation used on the Parent CT23:</w:t>
      </w:r>
    </w:p>
    <w:p w14:paraId="53E071D3" w14:textId="26FA6481" w:rsidR="00BF6BFF" w:rsidRPr="002F436F" w:rsidRDefault="00BF6BFF" w:rsidP="002F43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F436F">
        <w:rPr>
          <w:rFonts w:asciiTheme="minorHAnsi" w:hAnsiTheme="minorHAnsi" w:cstheme="minorHAnsi"/>
          <w:sz w:val="20"/>
          <w:szCs w:val="20"/>
        </w:rPr>
        <w:t xml:space="preserve">If Parent CT23 was paid using only DBI (legacy logic) the Supplemental CT24 </w:t>
      </w:r>
      <w:r w:rsidR="002F436F">
        <w:rPr>
          <w:rFonts w:asciiTheme="minorHAnsi" w:hAnsiTheme="minorHAnsi" w:cstheme="minorHAnsi"/>
          <w:sz w:val="20"/>
          <w:szCs w:val="20"/>
        </w:rPr>
        <w:t>and Subsequent CT24 will</w:t>
      </w:r>
      <w:r w:rsidRPr="002F436F">
        <w:rPr>
          <w:rFonts w:asciiTheme="minorHAnsi" w:hAnsiTheme="minorHAnsi" w:cstheme="minorHAnsi"/>
          <w:sz w:val="20"/>
          <w:szCs w:val="20"/>
        </w:rPr>
        <w:t xml:space="preserve"> </w:t>
      </w:r>
      <w:r w:rsidRPr="00BA4512">
        <w:rPr>
          <w:rFonts w:asciiTheme="minorHAnsi" w:hAnsiTheme="minorHAnsi" w:cstheme="minorHAnsi"/>
          <w:strike/>
          <w:sz w:val="20"/>
          <w:szCs w:val="20"/>
        </w:rPr>
        <w:t xml:space="preserve">only </w:t>
      </w:r>
      <w:r w:rsidRPr="002F436F">
        <w:rPr>
          <w:rFonts w:asciiTheme="minorHAnsi" w:hAnsiTheme="minorHAnsi" w:cstheme="minorHAnsi"/>
          <w:sz w:val="20"/>
          <w:szCs w:val="20"/>
        </w:rPr>
        <w:t xml:space="preserve">be paid at DBI (for both itemized expenses and CT24 </w:t>
      </w:r>
      <w:r w:rsidR="002F436F">
        <w:rPr>
          <w:rFonts w:asciiTheme="minorHAnsi" w:hAnsiTheme="minorHAnsi" w:cstheme="minorHAnsi"/>
          <w:sz w:val="20"/>
          <w:szCs w:val="20"/>
        </w:rPr>
        <w:t>Disposition Information “</w:t>
      </w:r>
      <w:r w:rsidRPr="002F436F">
        <w:rPr>
          <w:rFonts w:asciiTheme="minorHAnsi" w:hAnsiTheme="minorHAnsi" w:cstheme="minorHAnsi"/>
          <w:sz w:val="20"/>
          <w:szCs w:val="20"/>
        </w:rPr>
        <w:t>Recalc</w:t>
      </w:r>
      <w:r w:rsidR="002F436F">
        <w:rPr>
          <w:rFonts w:asciiTheme="minorHAnsi" w:hAnsiTheme="minorHAnsi" w:cstheme="minorHAnsi"/>
          <w:sz w:val="20"/>
          <w:szCs w:val="20"/>
        </w:rPr>
        <w:t>ulation” functionality</w:t>
      </w:r>
      <w:r w:rsidRPr="002F436F">
        <w:rPr>
          <w:rFonts w:asciiTheme="minorHAnsi" w:hAnsiTheme="minorHAnsi" w:cstheme="minorHAnsi"/>
          <w:sz w:val="20"/>
          <w:szCs w:val="20"/>
        </w:rPr>
        <w:t>) and curtailed as usual.</w:t>
      </w:r>
    </w:p>
    <w:p w14:paraId="647B7CA6" w14:textId="0464B82E" w:rsidR="00BF6BFF" w:rsidRPr="002F436F" w:rsidRDefault="00BF6BFF" w:rsidP="002F43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F436F">
        <w:rPr>
          <w:rFonts w:asciiTheme="minorHAnsi" w:hAnsiTheme="minorHAnsi" w:cstheme="minorHAnsi"/>
          <w:sz w:val="20"/>
          <w:szCs w:val="20"/>
        </w:rPr>
        <w:t xml:space="preserve">If Parent CT23 was paid using new logic (as stated </w:t>
      </w:r>
      <w:r w:rsidR="002F436F">
        <w:rPr>
          <w:rFonts w:asciiTheme="minorHAnsi" w:hAnsiTheme="minorHAnsi" w:cstheme="minorHAnsi"/>
          <w:sz w:val="20"/>
          <w:szCs w:val="20"/>
        </w:rPr>
        <w:t>above</w:t>
      </w:r>
      <w:r w:rsidRPr="002F436F">
        <w:rPr>
          <w:rFonts w:asciiTheme="minorHAnsi" w:hAnsiTheme="minorHAnsi" w:cstheme="minorHAnsi"/>
          <w:sz w:val="20"/>
          <w:szCs w:val="20"/>
        </w:rPr>
        <w:t xml:space="preserve">), the Supplemental CT24 </w:t>
      </w:r>
      <w:r w:rsidR="002F436F">
        <w:rPr>
          <w:rFonts w:asciiTheme="minorHAnsi" w:hAnsiTheme="minorHAnsi" w:cstheme="minorHAnsi"/>
          <w:sz w:val="20"/>
          <w:szCs w:val="20"/>
        </w:rPr>
        <w:t xml:space="preserve">and Subsequent CT24 will </w:t>
      </w:r>
      <w:r w:rsidRPr="002F436F">
        <w:rPr>
          <w:rFonts w:asciiTheme="minorHAnsi" w:hAnsiTheme="minorHAnsi" w:cstheme="minorHAnsi"/>
          <w:sz w:val="20"/>
          <w:szCs w:val="20"/>
        </w:rPr>
        <w:t xml:space="preserve">be paid </w:t>
      </w:r>
      <w:r w:rsidR="002F436F">
        <w:rPr>
          <w:rFonts w:asciiTheme="minorHAnsi" w:hAnsiTheme="minorHAnsi" w:cstheme="minorHAnsi"/>
          <w:sz w:val="20"/>
          <w:szCs w:val="20"/>
        </w:rPr>
        <w:t>with</w:t>
      </w:r>
      <w:r w:rsidRPr="002F436F">
        <w:rPr>
          <w:rFonts w:asciiTheme="minorHAnsi" w:hAnsiTheme="minorHAnsi" w:cstheme="minorHAnsi"/>
          <w:sz w:val="20"/>
          <w:szCs w:val="20"/>
        </w:rPr>
        <w:t xml:space="preserve"> Note Interest </w:t>
      </w:r>
      <w:r w:rsidR="002F436F">
        <w:rPr>
          <w:rFonts w:asciiTheme="minorHAnsi" w:hAnsiTheme="minorHAnsi" w:cstheme="minorHAnsi"/>
          <w:sz w:val="20"/>
          <w:szCs w:val="20"/>
        </w:rPr>
        <w:t xml:space="preserve">through Block 10, then DBI from Block 10 plus one day through earlier of Settlement Date or Curtailment Date. </w:t>
      </w:r>
      <w:r w:rsidRPr="002F436F">
        <w:rPr>
          <w:rFonts w:asciiTheme="minorHAnsi" w:hAnsiTheme="minorHAnsi" w:cstheme="minorHAnsi"/>
          <w:sz w:val="20"/>
          <w:szCs w:val="20"/>
        </w:rPr>
        <w:t xml:space="preserve"> </w:t>
      </w:r>
      <w:r w:rsidR="002F436F">
        <w:rPr>
          <w:rFonts w:asciiTheme="minorHAnsi" w:hAnsiTheme="minorHAnsi" w:cstheme="minorHAnsi"/>
          <w:sz w:val="20"/>
          <w:szCs w:val="20"/>
        </w:rPr>
        <w:t xml:space="preserve">Reminder: </w:t>
      </w:r>
      <w:r w:rsidRPr="002F436F">
        <w:rPr>
          <w:rFonts w:asciiTheme="minorHAnsi" w:hAnsiTheme="minorHAnsi" w:cstheme="minorHAnsi"/>
          <w:sz w:val="20"/>
          <w:szCs w:val="20"/>
        </w:rPr>
        <w:t>curtailment only applies to DBI portion of interest.</w:t>
      </w:r>
    </w:p>
    <w:p w14:paraId="4281300E" w14:textId="77777777" w:rsidR="00BF6BFF" w:rsidRDefault="00BF6BFF" w:rsidP="00363D34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57B3CC4" w14:textId="77777777" w:rsidR="00BF6BFF" w:rsidRPr="006A5C8E" w:rsidRDefault="00BF6BFF" w:rsidP="00363D34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02B8C2D4" w14:textId="77777777" w:rsidR="00C11027" w:rsidRDefault="00C11027" w:rsidP="00C11027">
      <w:pPr>
        <w:rPr>
          <w:rFonts w:ascii="Arial" w:hAnsi="Arial" w:cs="Arial"/>
        </w:rPr>
      </w:pPr>
    </w:p>
    <w:bookmarkEnd w:id="0"/>
    <w:p w14:paraId="29D2C79F" w14:textId="77777777" w:rsidR="008A2D9A" w:rsidRPr="0078072C" w:rsidRDefault="008A2D9A" w:rsidP="00A80BBD"/>
    <w:sectPr w:rsidR="008A2D9A" w:rsidRPr="0078072C" w:rsidSect="006D3D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3EC9" w14:textId="77777777" w:rsidR="00B70B78" w:rsidRDefault="00B70B78" w:rsidP="008C41D3">
      <w:pPr>
        <w:spacing w:before="0" w:after="0"/>
      </w:pPr>
      <w:r>
        <w:separator/>
      </w:r>
    </w:p>
  </w:endnote>
  <w:endnote w:type="continuationSeparator" w:id="0">
    <w:p w14:paraId="10F71A59" w14:textId="77777777" w:rsidR="00B70B78" w:rsidRDefault="00B70B78" w:rsidP="008C41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AEA2" w14:textId="56C4AC34" w:rsidR="008C41D3" w:rsidRDefault="008C41D3">
    <w:pPr>
      <w:pStyle w:val="Footer"/>
    </w:pPr>
  </w:p>
  <w:p w14:paraId="2F109EAC" w14:textId="77777777" w:rsidR="008C41D3" w:rsidRPr="0064246A" w:rsidRDefault="008C41D3" w:rsidP="008C41D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  <w:sz w:val="2"/>
        <w:szCs w:val="2"/>
      </w:rPr>
    </w:pPr>
  </w:p>
  <w:p w14:paraId="2BA3F53E" w14:textId="77777777" w:rsidR="008C41D3" w:rsidRPr="00255ABA" w:rsidRDefault="008C41D3" w:rsidP="008C41D3">
    <w:pPr>
      <w:ind w:left="7920"/>
      <w:jc w:val="both"/>
      <w:rPr>
        <w:i/>
        <w:iCs/>
      </w:rPr>
    </w:pPr>
    <w:r>
      <w:rPr>
        <w:rFonts w:ascii="Cambria" w:eastAsia="Times New Roman" w:hAnsi="Cambria"/>
      </w:rPr>
      <w:t>Pa</w:t>
    </w:r>
    <w:r w:rsidRPr="00115E4D">
      <w:rPr>
        <w:rFonts w:ascii="Cambria" w:eastAsia="Times New Roman" w:hAnsi="Cambria"/>
      </w:rPr>
      <w:t xml:space="preserve">ge </w:t>
    </w:r>
    <w:r w:rsidRPr="00115E4D">
      <w:rPr>
        <w:rFonts w:ascii="Calibri" w:eastAsia="Times New Roman" w:hAnsi="Calibri"/>
      </w:rPr>
      <w:fldChar w:fldCharType="begin"/>
    </w:r>
    <w:r>
      <w:instrText xml:space="preserve"> PAGE   \* MERGEFORMAT </w:instrText>
    </w:r>
    <w:r w:rsidRPr="00115E4D">
      <w:rPr>
        <w:rFonts w:ascii="Calibri" w:eastAsia="Times New Roman" w:hAnsi="Calibri"/>
      </w:rPr>
      <w:fldChar w:fldCharType="separate"/>
    </w:r>
    <w:r>
      <w:rPr>
        <w:rFonts w:ascii="Calibri" w:eastAsia="Times New Roman" w:hAnsi="Calibri"/>
      </w:rPr>
      <w:t>12</w:t>
    </w:r>
    <w:r w:rsidRPr="00115E4D">
      <w:rPr>
        <w:rFonts w:ascii="Cambria" w:eastAsia="Times New Roman" w:hAnsi="Cambria"/>
        <w:noProof/>
      </w:rPr>
      <w:fldChar w:fldCharType="end"/>
    </w:r>
  </w:p>
  <w:p w14:paraId="4586A34B" w14:textId="77777777" w:rsidR="006F3D06" w:rsidRPr="00A013D7" w:rsidRDefault="001B53EF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5CBC" w14:textId="77777777" w:rsidR="00B70B78" w:rsidRDefault="00B70B78" w:rsidP="008C41D3">
      <w:pPr>
        <w:spacing w:before="0" w:after="0"/>
      </w:pPr>
      <w:r>
        <w:separator/>
      </w:r>
    </w:p>
  </w:footnote>
  <w:footnote w:type="continuationSeparator" w:id="0">
    <w:p w14:paraId="5E15974C" w14:textId="77777777" w:rsidR="00B70B78" w:rsidRDefault="00B70B78" w:rsidP="008C41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2186" w14:textId="67237F2F" w:rsidR="008C41D3" w:rsidRDefault="008C41D3" w:rsidP="008C41D3">
    <w:pPr>
      <w:pStyle w:val="Header"/>
      <w:pBdr>
        <w:bottom w:val="thickThinSmallGap" w:sz="24" w:space="0" w:color="622423"/>
      </w:pBdr>
      <w:jc w:val="center"/>
    </w:pPr>
    <w:r>
      <w:rPr>
        <w:rFonts w:ascii="Cambria" w:eastAsia="Times New Roman" w:hAnsi="Cambria"/>
        <w:sz w:val="32"/>
        <w:szCs w:val="32"/>
      </w:rPr>
      <w:t>HERMIT SYSTEM CHANGES – RELEASE 6.8</w:t>
    </w:r>
    <w:r w:rsidR="00363D34">
      <w:rPr>
        <w:rFonts w:ascii="Cambria" w:eastAsia="Times New Roman" w:hAnsi="Cambria"/>
        <w:sz w:val="32"/>
        <w:szCs w:val="32"/>
      </w:rPr>
      <w:t>2</w:t>
    </w:r>
  </w:p>
  <w:p w14:paraId="5F360DBB" w14:textId="6B691AEF" w:rsidR="008C41D3" w:rsidRPr="008C41D3" w:rsidRDefault="008C41D3" w:rsidP="008C41D3">
    <w:pPr>
      <w:jc w:val="both"/>
      <w:rPr>
        <w:i/>
        <w:iCs/>
      </w:rPr>
    </w:pPr>
  </w:p>
  <w:p w14:paraId="2C6B1FF3" w14:textId="77777777" w:rsidR="008C41D3" w:rsidRDefault="008C4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33B"/>
    <w:multiLevelType w:val="hybridMultilevel"/>
    <w:tmpl w:val="9CA00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602D2"/>
    <w:multiLevelType w:val="hybridMultilevel"/>
    <w:tmpl w:val="C652C6B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D9E64A4"/>
    <w:multiLevelType w:val="hybridMultilevel"/>
    <w:tmpl w:val="6FF2251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0504C1B"/>
    <w:multiLevelType w:val="hybridMultilevel"/>
    <w:tmpl w:val="C6AE8E30"/>
    <w:lvl w:ilvl="0" w:tplc="ED7AFC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97B1F1C"/>
    <w:multiLevelType w:val="hybridMultilevel"/>
    <w:tmpl w:val="F6360B70"/>
    <w:lvl w:ilvl="0" w:tplc="D2B4D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3B91"/>
    <w:multiLevelType w:val="hybridMultilevel"/>
    <w:tmpl w:val="1D3A84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5F49"/>
    <w:multiLevelType w:val="hybridMultilevel"/>
    <w:tmpl w:val="B20AC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490EA8"/>
    <w:multiLevelType w:val="hybridMultilevel"/>
    <w:tmpl w:val="F00A56C4"/>
    <w:lvl w:ilvl="0" w:tplc="FD5A0FC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68B0CBF"/>
    <w:multiLevelType w:val="hybridMultilevel"/>
    <w:tmpl w:val="3BC68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73223"/>
    <w:multiLevelType w:val="hybridMultilevel"/>
    <w:tmpl w:val="2D3C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91637"/>
    <w:multiLevelType w:val="hybridMultilevel"/>
    <w:tmpl w:val="D68E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3787D"/>
    <w:multiLevelType w:val="hybridMultilevel"/>
    <w:tmpl w:val="01A21450"/>
    <w:lvl w:ilvl="0" w:tplc="DD70C2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A63F4"/>
    <w:multiLevelType w:val="hybridMultilevel"/>
    <w:tmpl w:val="2744C80E"/>
    <w:lvl w:ilvl="0" w:tplc="ED7AF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338C1"/>
    <w:multiLevelType w:val="hybridMultilevel"/>
    <w:tmpl w:val="CABE92A2"/>
    <w:lvl w:ilvl="0" w:tplc="2A24F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C02BA"/>
    <w:multiLevelType w:val="hybridMultilevel"/>
    <w:tmpl w:val="BBCE4292"/>
    <w:lvl w:ilvl="0" w:tplc="ED7AF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E4B33"/>
    <w:multiLevelType w:val="hybridMultilevel"/>
    <w:tmpl w:val="44DAD9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6098806">
    <w:abstractNumId w:val="4"/>
  </w:num>
  <w:num w:numId="2" w16cid:durableId="558176067">
    <w:abstractNumId w:val="5"/>
  </w:num>
  <w:num w:numId="3" w16cid:durableId="487475063">
    <w:abstractNumId w:val="11"/>
  </w:num>
  <w:num w:numId="4" w16cid:durableId="1908030622">
    <w:abstractNumId w:val="1"/>
  </w:num>
  <w:num w:numId="5" w16cid:durableId="781153065">
    <w:abstractNumId w:val="2"/>
  </w:num>
  <w:num w:numId="6" w16cid:durableId="1595085804">
    <w:abstractNumId w:val="6"/>
  </w:num>
  <w:num w:numId="7" w16cid:durableId="239802214">
    <w:abstractNumId w:val="8"/>
  </w:num>
  <w:num w:numId="8" w16cid:durableId="936248986">
    <w:abstractNumId w:val="7"/>
  </w:num>
  <w:num w:numId="9" w16cid:durableId="1320622784">
    <w:abstractNumId w:val="12"/>
  </w:num>
  <w:num w:numId="10" w16cid:durableId="114835657">
    <w:abstractNumId w:val="3"/>
  </w:num>
  <w:num w:numId="11" w16cid:durableId="807018650">
    <w:abstractNumId w:val="14"/>
  </w:num>
  <w:num w:numId="12" w16cid:durableId="342783018">
    <w:abstractNumId w:val="9"/>
  </w:num>
  <w:num w:numId="13" w16cid:durableId="679937409">
    <w:abstractNumId w:val="10"/>
  </w:num>
  <w:num w:numId="14" w16cid:durableId="100492581">
    <w:abstractNumId w:val="15"/>
  </w:num>
  <w:num w:numId="15" w16cid:durableId="382141456">
    <w:abstractNumId w:val="13"/>
  </w:num>
  <w:num w:numId="16" w16cid:durableId="108129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5D"/>
    <w:rsid w:val="000F0085"/>
    <w:rsid w:val="001B53EF"/>
    <w:rsid w:val="001C7211"/>
    <w:rsid w:val="002F436F"/>
    <w:rsid w:val="003031D0"/>
    <w:rsid w:val="00326A8A"/>
    <w:rsid w:val="00352B2F"/>
    <w:rsid w:val="00363D34"/>
    <w:rsid w:val="003A4AB0"/>
    <w:rsid w:val="004163FA"/>
    <w:rsid w:val="00494143"/>
    <w:rsid w:val="004C6EF3"/>
    <w:rsid w:val="005D00C2"/>
    <w:rsid w:val="00621CD0"/>
    <w:rsid w:val="0069195E"/>
    <w:rsid w:val="006A5C8E"/>
    <w:rsid w:val="006D3D8C"/>
    <w:rsid w:val="00701BDF"/>
    <w:rsid w:val="00741093"/>
    <w:rsid w:val="0078072C"/>
    <w:rsid w:val="007B6F2B"/>
    <w:rsid w:val="007C2FB8"/>
    <w:rsid w:val="00890D76"/>
    <w:rsid w:val="008A2D9A"/>
    <w:rsid w:val="008C41D3"/>
    <w:rsid w:val="00A0326A"/>
    <w:rsid w:val="00A6693E"/>
    <w:rsid w:val="00A80BBD"/>
    <w:rsid w:val="00B70B78"/>
    <w:rsid w:val="00BA4512"/>
    <w:rsid w:val="00BF6BFF"/>
    <w:rsid w:val="00C11027"/>
    <w:rsid w:val="00CE188B"/>
    <w:rsid w:val="00D177F8"/>
    <w:rsid w:val="00D8748D"/>
    <w:rsid w:val="00DF2A6A"/>
    <w:rsid w:val="00E23A5D"/>
    <w:rsid w:val="00F22733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38DD2"/>
  <w15:chartTrackingRefBased/>
  <w15:docId w15:val="{9D4B21A5-C0A4-4482-9A74-1A60754D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5D"/>
    <w:pPr>
      <w:spacing w:before="120" w:after="12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aliases w:val="Main Section Heading,H1"/>
    <w:next w:val="Normal"/>
    <w:link w:val="Heading1Char"/>
    <w:qFormat/>
    <w:rsid w:val="00E23A5D"/>
    <w:pPr>
      <w:keepNext/>
      <w:keepLines/>
      <w:tabs>
        <w:tab w:val="left" w:pos="576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bCs/>
      <w:caps/>
      <w:sz w:val="26"/>
      <w:szCs w:val="28"/>
    </w:rPr>
  </w:style>
  <w:style w:type="paragraph" w:styleId="Heading2">
    <w:name w:val="heading 2"/>
    <w:next w:val="Normal"/>
    <w:link w:val="Heading2Char"/>
    <w:unhideWhenUsed/>
    <w:qFormat/>
    <w:rsid w:val="00E23A5D"/>
    <w:pPr>
      <w:keepNext/>
      <w:keepLines/>
      <w:spacing w:before="240" w:after="12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A5D"/>
    <w:pPr>
      <w:keepNext/>
      <w:keepLines/>
      <w:spacing w:before="200" w:after="0"/>
      <w:outlineLvl w:val="2"/>
    </w:pPr>
    <w:rPr>
      <w:rFonts w:ascii="Arial" w:eastAsia="Times New Roman" w:hAnsi="Arial"/>
      <w:b/>
      <w:bCs/>
      <w:i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B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Section Heading Char,H1 Char"/>
    <w:basedOn w:val="DefaultParagraphFont"/>
    <w:link w:val="Heading1"/>
    <w:rsid w:val="00E23A5D"/>
    <w:rPr>
      <w:rFonts w:ascii="Arial" w:eastAsia="Times New Roman" w:hAnsi="Arial" w:cs="Times New Roman"/>
      <w:b/>
      <w:bCs/>
      <w:caps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E23A5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3A5D"/>
    <w:rPr>
      <w:rFonts w:ascii="Arial" w:eastAsia="Times New Roman" w:hAnsi="Arial" w:cs="Times New Roman"/>
      <w:b/>
      <w:bCs/>
      <w:i/>
      <w:sz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23A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A5D"/>
    <w:rPr>
      <w:rFonts w:ascii="Times New Roman" w:eastAsia="Calibri" w:hAnsi="Times New Roman" w:cs="Times New Roman"/>
    </w:rPr>
  </w:style>
  <w:style w:type="paragraph" w:styleId="TOCHeading">
    <w:name w:val="TOC Heading"/>
    <w:next w:val="Normal"/>
    <w:uiPriority w:val="39"/>
    <w:unhideWhenUsed/>
    <w:qFormat/>
    <w:rsid w:val="00E23A5D"/>
    <w:pPr>
      <w:spacing w:before="480" w:after="0" w:line="276" w:lineRule="auto"/>
    </w:pPr>
    <w:rPr>
      <w:rFonts w:ascii="Arial" w:eastAsia="Times New Roman" w:hAnsi="Arial" w:cs="Times New Roman"/>
      <w:bCs/>
      <w:i/>
      <w:sz w:val="32"/>
      <w:szCs w:val="28"/>
      <w:lang w:eastAsia="ja-JP"/>
    </w:r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Points,List Paragraph2,MAIN CONTENT,Normal numbered"/>
    <w:basedOn w:val="Normal"/>
    <w:link w:val="ListParagraphChar"/>
    <w:uiPriority w:val="34"/>
    <w:qFormat/>
    <w:rsid w:val="00E23A5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E23A5D"/>
    <w:pPr>
      <w:tabs>
        <w:tab w:val="left" w:pos="440"/>
        <w:tab w:val="right" w:leader="dot" w:pos="9350"/>
      </w:tabs>
      <w:spacing w:before="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9195E"/>
    <w:pPr>
      <w:tabs>
        <w:tab w:val="left" w:pos="880"/>
        <w:tab w:val="right" w:leader="dot" w:pos="9350"/>
      </w:tabs>
      <w:ind w:left="216"/>
    </w:pPr>
    <w:rPr>
      <w:rFonts w:ascii="Arial" w:hAnsi="Arial"/>
      <w:noProof/>
    </w:rPr>
  </w:style>
  <w:style w:type="character" w:styleId="Hyperlink">
    <w:name w:val="Hyperlink"/>
    <w:uiPriority w:val="99"/>
    <w:unhideWhenUsed/>
    <w:rsid w:val="00E23A5D"/>
    <w:rPr>
      <w:color w:val="0000FF"/>
      <w:u w:val="single"/>
    </w:rPr>
  </w:style>
  <w:style w:type="paragraph" w:customStyle="1" w:styleId="TableText">
    <w:name w:val="Table Text"/>
    <w:basedOn w:val="Normal"/>
    <w:link w:val="TableTextChar"/>
    <w:qFormat/>
    <w:rsid w:val="00E23A5D"/>
    <w:pPr>
      <w:spacing w:before="60" w:after="60"/>
    </w:pPr>
    <w:rPr>
      <w:sz w:val="20"/>
    </w:rPr>
  </w:style>
  <w:style w:type="paragraph" w:customStyle="1" w:styleId="ColumnHeading">
    <w:name w:val="Column Heading"/>
    <w:qFormat/>
    <w:rsid w:val="00E23A5D"/>
    <w:pPr>
      <w:spacing w:after="0" w:line="240" w:lineRule="auto"/>
      <w:jc w:val="center"/>
    </w:pPr>
    <w:rPr>
      <w:rFonts w:ascii="Arial" w:eastAsia="Calibri" w:hAnsi="Arial" w:cs="Times New Roman"/>
      <w:b/>
    </w:rPr>
  </w:style>
  <w:style w:type="character" w:customStyle="1" w:styleId="TableTextChar">
    <w:name w:val="Table Text Char"/>
    <w:link w:val="TableText"/>
    <w:rsid w:val="00E23A5D"/>
    <w:rPr>
      <w:rFonts w:ascii="Times New Roman" w:eastAsia="Calibri" w:hAnsi="Times New Roman" w:cs="Times New Roman"/>
      <w:sz w:val="20"/>
    </w:r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Points Char"/>
    <w:basedOn w:val="DefaultParagraphFont"/>
    <w:link w:val="ListParagraph"/>
    <w:uiPriority w:val="34"/>
    <w:rsid w:val="00E23A5D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4941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1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41D3"/>
    <w:rPr>
      <w:rFonts w:ascii="Times New Roman" w:eastAsia="Calibri" w:hAnsi="Times New Roman" w:cs="Times New Roman"/>
    </w:rPr>
  </w:style>
  <w:style w:type="paragraph" w:styleId="Revision">
    <w:name w:val="Revision"/>
    <w:hidden/>
    <w:uiPriority w:val="99"/>
    <w:semiHidden/>
    <w:rsid w:val="007C2FB8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B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87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48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48D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swers@hu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hecm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Nichols</dc:creator>
  <cp:keywords/>
  <dc:description/>
  <cp:lastModifiedBy>Karen Jellum</cp:lastModifiedBy>
  <cp:revision>4</cp:revision>
  <dcterms:created xsi:type="dcterms:W3CDTF">2023-02-21T20:05:00Z</dcterms:created>
  <dcterms:modified xsi:type="dcterms:W3CDTF">2023-02-21T20:08:00Z</dcterms:modified>
</cp:coreProperties>
</file>