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  <w:gridCol w:w="1218"/>
        <w:gridCol w:w="1170"/>
        <w:gridCol w:w="1080"/>
      </w:tblGrid>
      <w:tr w:rsidR="0093502C" w:rsidRPr="0093502C" w14:paraId="4A88C261" w14:textId="77777777" w:rsidTr="0055166E">
        <w:trPr>
          <w:trHeight w:val="690"/>
        </w:trPr>
        <w:tc>
          <w:tcPr>
            <w:tcW w:w="10800" w:type="dxa"/>
            <w:gridSpan w:val="4"/>
            <w:shd w:val="clear" w:color="auto" w:fill="auto"/>
            <w:vAlign w:val="center"/>
            <w:hideMark/>
          </w:tcPr>
          <w:p w14:paraId="1D511469" w14:textId="6555643F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D17"/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Section 221(d)(4)/220 New Const. or Sub. Rehab. LIHTC Pilot Eligibility Checklist</w:t>
            </w:r>
            <w:bookmarkEnd w:id="0"/>
            <w:r w:rsidR="005C5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93502C" w:rsidRPr="0093502C" w14:paraId="4296742D" w14:textId="77777777" w:rsidTr="0055166E">
        <w:trPr>
          <w:trHeight w:val="470"/>
        </w:trPr>
        <w:tc>
          <w:tcPr>
            <w:tcW w:w="10800" w:type="dxa"/>
            <w:gridSpan w:val="4"/>
            <w:shd w:val="clear" w:color="auto" w:fill="auto"/>
            <w:vAlign w:val="center"/>
            <w:hideMark/>
          </w:tcPr>
          <w:p w14:paraId="7B95F2F4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NAME, LOCATION</w:t>
            </w:r>
          </w:p>
        </w:tc>
      </w:tr>
      <w:tr w:rsidR="0093502C" w:rsidRPr="0093502C" w14:paraId="3F5F67F1" w14:textId="77777777" w:rsidTr="0055166E">
        <w:trPr>
          <w:trHeight w:val="615"/>
        </w:trPr>
        <w:tc>
          <w:tcPr>
            <w:tcW w:w="10800" w:type="dxa"/>
            <w:gridSpan w:val="4"/>
            <w:shd w:val="clear" w:color="auto" w:fill="auto"/>
            <w:noWrap/>
            <w:vAlign w:val="center"/>
            <w:hideMark/>
          </w:tcPr>
          <w:p w14:paraId="20F3ADCD" w14:textId="6FD5AA08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sz w:val="44"/>
                <w:szCs w:val="44"/>
              </w:rPr>
            </w:pPr>
            <w:r w:rsidRPr="0093502C">
              <w:rPr>
                <w:rFonts w:ascii="Times New Roman" w:eastAsia="Times New Roman" w:hAnsi="Times New Roman" w:cs="Times New Roman"/>
                <w:color w:val="ED7D31"/>
                <w:sz w:val="44"/>
                <w:szCs w:val="44"/>
              </w:rPr>
              <w:t>Standard Approval</w:t>
            </w:r>
            <w:r w:rsidR="00395267">
              <w:rPr>
                <w:rFonts w:ascii="Times New Roman" w:eastAsia="Times New Roman" w:hAnsi="Times New Roman" w:cs="Times New Roman"/>
                <w:color w:val="ED7D31"/>
                <w:sz w:val="44"/>
                <w:szCs w:val="44"/>
              </w:rPr>
              <w:t xml:space="preserve"> Process</w:t>
            </w:r>
          </w:p>
        </w:tc>
      </w:tr>
      <w:tr w:rsidR="0093502C" w:rsidRPr="0093502C" w14:paraId="21E74B48" w14:textId="77777777" w:rsidTr="0055166E">
        <w:trPr>
          <w:trHeight w:val="310"/>
        </w:trPr>
        <w:tc>
          <w:tcPr>
            <w:tcW w:w="7332" w:type="dxa"/>
            <w:shd w:val="clear" w:color="auto" w:fill="auto"/>
            <w:vAlign w:val="center"/>
            <w:hideMark/>
          </w:tcPr>
          <w:p w14:paraId="4A23538E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4849419B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D66BB0A" w14:textId="51571283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223F68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93502C" w:rsidRPr="0093502C" w14:paraId="711C995F" w14:textId="77777777" w:rsidTr="00994EF4">
        <w:trPr>
          <w:trHeight w:val="1556"/>
        </w:trPr>
        <w:tc>
          <w:tcPr>
            <w:tcW w:w="7332" w:type="dxa"/>
            <w:shd w:val="clear" w:color="auto" w:fill="auto"/>
            <w:vAlign w:val="center"/>
            <w:hideMark/>
          </w:tcPr>
          <w:p w14:paraId="3CF782C0" w14:textId="5D9F6292" w:rsidR="0035484F" w:rsidRDefault="0035484F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="0093502C" w:rsidRPr="0035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 or 9% LIHTC Sub. Rehab. re</w:t>
            </w:r>
            <w:r w:rsidR="00F8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3502C" w:rsidRPr="0035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syndication (without Sec. 8) with  </w:t>
            </w:r>
          </w:p>
          <w:p w14:paraId="24509CD8" w14:textId="77777777" w:rsidR="0035484F" w:rsidRDefault="0093502C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35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 </w:t>
            </w:r>
            <w:r w:rsidRPr="0035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90%+ units restricted for LIHTC Occupancy &amp;    </w:t>
            </w:r>
          </w:p>
          <w:p w14:paraId="45522BA1" w14:textId="77777777" w:rsidR="00395267" w:rsidRDefault="0093502C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35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ii. </w:t>
            </w:r>
            <w:r w:rsidR="003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Achievable </w:t>
            </w:r>
            <w:r w:rsidRPr="0035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LIHTC unit rents at least 10% below comparable </w:t>
            </w:r>
          </w:p>
          <w:p w14:paraId="3CB6285D" w14:textId="735E4C6D" w:rsidR="00D9343B" w:rsidRDefault="00395267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93502C" w:rsidRPr="0035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market rents for each unit type &amp; </w:t>
            </w:r>
          </w:p>
          <w:p w14:paraId="413FBC1C" w14:textId="2878C1EA" w:rsidR="0093502C" w:rsidRPr="0035484F" w:rsidRDefault="00D9343B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iii. </w:t>
            </w:r>
            <w:r w:rsidR="0093502C" w:rsidRPr="0035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LTC 75%</w:t>
            </w:r>
            <w:r w:rsidR="003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less.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4520456E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2145CD7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623A4958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502C" w:rsidRPr="0093502C" w14:paraId="75725906" w14:textId="77777777" w:rsidTr="00994EF4">
        <w:trPr>
          <w:trHeight w:val="1160"/>
        </w:trPr>
        <w:tc>
          <w:tcPr>
            <w:tcW w:w="7332" w:type="dxa"/>
            <w:shd w:val="clear" w:color="auto" w:fill="auto"/>
            <w:vAlign w:val="center"/>
            <w:hideMark/>
          </w:tcPr>
          <w:p w14:paraId="0620D1EB" w14:textId="77777777" w:rsidR="005E0EF1" w:rsidRDefault="005E0EF1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Underwritten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ffective Gross Income is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greater than 110% of that </w:t>
            </w:r>
          </w:p>
          <w:p w14:paraId="06D86F5E" w14:textId="77777777" w:rsidR="005E0EF1" w:rsidRDefault="005E0EF1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achieved in last full calendar year prior to application and Expenses </w:t>
            </w:r>
          </w:p>
          <w:p w14:paraId="7134D1A3" w14:textId="64EC8FB4" w:rsidR="0093502C" w:rsidRPr="0093502C" w:rsidRDefault="005E0EF1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are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lower than 90% of prior year's operating expenses.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125B4B6F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369A67B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1724AFA0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502C" w:rsidRPr="0093502C" w14:paraId="34780F13" w14:textId="77777777" w:rsidTr="0055166E">
        <w:trPr>
          <w:trHeight w:val="550"/>
        </w:trPr>
        <w:tc>
          <w:tcPr>
            <w:tcW w:w="7332" w:type="dxa"/>
            <w:shd w:val="clear" w:color="auto" w:fill="auto"/>
            <w:vAlign w:val="center"/>
            <w:hideMark/>
          </w:tcPr>
          <w:p w14:paraId="3ECE3B75" w14:textId="0BCC7059" w:rsidR="0093502C" w:rsidRPr="0093502C" w:rsidRDefault="005E0EF1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Direct </w:t>
            </w:r>
            <w:proofErr w:type="gramStart"/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gramEnd"/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Firm Application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08CBD026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DFCF0B7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3BAB44B8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502C" w:rsidRPr="0093502C" w14:paraId="353223C9" w14:textId="77777777" w:rsidTr="0055166E">
        <w:trPr>
          <w:trHeight w:val="580"/>
        </w:trPr>
        <w:tc>
          <w:tcPr>
            <w:tcW w:w="7332" w:type="dxa"/>
            <w:shd w:val="clear" w:color="auto" w:fill="auto"/>
            <w:vAlign w:val="center"/>
            <w:hideMark/>
          </w:tcPr>
          <w:p w14:paraId="7CE729A2" w14:textId="34FD299E" w:rsidR="0093502C" w:rsidRPr="0093502C" w:rsidRDefault="005E0EF1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Requested loan amount </w:t>
            </w:r>
            <w:r w:rsid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not exceed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$25 million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4B3534F8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33DF784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0B4D729A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502C" w:rsidRPr="0093502C" w14:paraId="03D37505" w14:textId="77777777" w:rsidTr="00994EF4">
        <w:trPr>
          <w:trHeight w:val="809"/>
        </w:trPr>
        <w:tc>
          <w:tcPr>
            <w:tcW w:w="7332" w:type="dxa"/>
            <w:shd w:val="clear" w:color="auto" w:fill="auto"/>
            <w:vAlign w:val="center"/>
            <w:hideMark/>
          </w:tcPr>
          <w:p w14:paraId="7F19A778" w14:textId="77777777" w:rsidR="00395267" w:rsidRDefault="005E0EF1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Borrower Team Members have acceptable experience with </w:t>
            </w:r>
          </w:p>
          <w:p w14:paraId="5F93A571" w14:textId="0CE5C986" w:rsidR="0093502C" w:rsidRPr="0093502C" w:rsidRDefault="00395267" w:rsidP="0039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Multifamily Housing,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LIHTC </w:t>
            </w:r>
            <w:r w:rsidR="005E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FHA.  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3E3ECE92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A878DCF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0D57FEB7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502C" w:rsidRPr="0093502C" w14:paraId="00C1CD05" w14:textId="77777777" w:rsidTr="0055166E">
        <w:trPr>
          <w:trHeight w:val="819"/>
        </w:trPr>
        <w:tc>
          <w:tcPr>
            <w:tcW w:w="7332" w:type="dxa"/>
            <w:shd w:val="clear" w:color="auto" w:fill="auto"/>
            <w:vAlign w:val="center"/>
            <w:hideMark/>
          </w:tcPr>
          <w:p w14:paraId="701FBE48" w14:textId="779F95FC" w:rsidR="0059462A" w:rsidRDefault="005E0EF1" w:rsidP="00BD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2530 findings or flag</w:t>
            </w:r>
            <w:r w:rsidR="0093502C" w:rsidRPr="005E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BD2864" w:rsidRPr="005E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62A" w:rsidRPr="005E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that </w:t>
            </w:r>
            <w:r w:rsidR="00BD2864" w:rsidRPr="005E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</w:t>
            </w:r>
            <w:r w:rsidR="00BD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been identified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will be resolved </w:t>
            </w:r>
          </w:p>
          <w:p w14:paraId="623CFFAE" w14:textId="2ADEFB36" w:rsidR="0093502C" w:rsidRPr="0093502C" w:rsidRDefault="0059462A" w:rsidP="0059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 to submission of an application</w:t>
            </w:r>
            <w:r w:rsidR="005E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59299F42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CCF9A25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5937E3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02C" w:rsidRPr="0093502C" w14:paraId="075504E2" w14:textId="77777777" w:rsidTr="00994EF4">
        <w:trPr>
          <w:trHeight w:val="593"/>
        </w:trPr>
        <w:tc>
          <w:tcPr>
            <w:tcW w:w="7332" w:type="dxa"/>
            <w:shd w:val="clear" w:color="auto" w:fill="auto"/>
            <w:vAlign w:val="center"/>
            <w:hideMark/>
          </w:tcPr>
          <w:p w14:paraId="2DD1EE77" w14:textId="1D0E8B34" w:rsidR="0093502C" w:rsidRPr="0093502C" w:rsidRDefault="00A04129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E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3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Relocation of any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Tenant </w:t>
            </w:r>
            <w:r w:rsidR="005C5183" w:rsidRPr="0059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less than</w:t>
            </w:r>
            <w:r w:rsidR="0059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months</w:t>
            </w:r>
            <w:r w:rsidR="005E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69B60D64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82C9E15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B93C8F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02C" w:rsidRPr="0093502C" w14:paraId="17759CA2" w14:textId="77777777" w:rsidTr="00994EF4">
        <w:trPr>
          <w:trHeight w:val="1349"/>
        </w:trPr>
        <w:tc>
          <w:tcPr>
            <w:tcW w:w="7332" w:type="dxa"/>
            <w:shd w:val="clear" w:color="auto" w:fill="auto"/>
            <w:vAlign w:val="center"/>
            <w:hideMark/>
          </w:tcPr>
          <w:p w14:paraId="4EF66646" w14:textId="6179EE7E" w:rsidR="005E0EF1" w:rsidRDefault="00A04129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E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Firm Application will include written evidence of a Final </w:t>
            </w:r>
            <w:r w:rsidR="005E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0DF444C7" w14:textId="4079676B" w:rsidR="005E0EF1" w:rsidRDefault="005E0EF1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Allocation </w:t>
            </w:r>
            <w:r w:rsidR="0093502C" w:rsidRPr="00935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Reservation Letter for       </w:t>
            </w:r>
          </w:p>
          <w:p w14:paraId="4B998B5C" w14:textId="117DF1B6" w:rsidR="005E0EF1" w:rsidRDefault="005E0EF1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9% tax credits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OR</w:t>
            </w:r>
          </w:p>
          <w:p w14:paraId="63A8F7CA" w14:textId="40D8FB6B" w:rsidR="0093502C" w:rsidRPr="0093502C" w:rsidRDefault="005E0EF1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4% tax credits and/or of private activity bond cap 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6436E83B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9781632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7EF8522E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EF1" w:rsidRPr="0093502C" w14:paraId="28886E96" w14:textId="77777777" w:rsidTr="00994EF4">
        <w:trPr>
          <w:trHeight w:val="530"/>
        </w:trPr>
        <w:tc>
          <w:tcPr>
            <w:tcW w:w="10800" w:type="dxa"/>
            <w:gridSpan w:val="4"/>
            <w:shd w:val="clear" w:color="auto" w:fill="auto"/>
            <w:vAlign w:val="center"/>
            <w:hideMark/>
          </w:tcPr>
          <w:p w14:paraId="1AD99727" w14:textId="41F8F673" w:rsidR="005E0EF1" w:rsidRPr="0093502C" w:rsidRDefault="005E0EF1" w:rsidP="005E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award type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0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.A or </w:t>
            </w:r>
            <w:r w:rsidR="00A0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.B above)</w:t>
            </w:r>
          </w:p>
        </w:tc>
      </w:tr>
      <w:tr w:rsidR="0093502C" w:rsidRPr="0093502C" w14:paraId="3281DBD8" w14:textId="77777777" w:rsidTr="00994EF4">
        <w:trPr>
          <w:trHeight w:val="710"/>
        </w:trPr>
        <w:tc>
          <w:tcPr>
            <w:tcW w:w="7332" w:type="dxa"/>
            <w:shd w:val="clear" w:color="auto" w:fill="auto"/>
            <w:vAlign w:val="center"/>
            <w:hideMark/>
          </w:tcPr>
          <w:p w14:paraId="35A91D6E" w14:textId="11CB549D" w:rsidR="00167D2B" w:rsidRDefault="00A04129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67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Letter of Intent from the Investor or Syndicator will be provided in</w:t>
            </w:r>
          </w:p>
          <w:p w14:paraId="15074BE8" w14:textId="4EC37A5B" w:rsidR="0093502C" w:rsidRPr="0093502C" w:rsidRDefault="00167D2B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Firm Application.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53F7CDD6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4A05A50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76B5AB84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502C" w:rsidRPr="0093502C" w14:paraId="163EDE2B" w14:textId="77777777" w:rsidTr="0055166E">
        <w:trPr>
          <w:trHeight w:val="900"/>
        </w:trPr>
        <w:tc>
          <w:tcPr>
            <w:tcW w:w="7332" w:type="dxa"/>
            <w:shd w:val="clear" w:color="auto" w:fill="auto"/>
            <w:vAlign w:val="center"/>
            <w:hideMark/>
          </w:tcPr>
          <w:p w14:paraId="0B8CEEDB" w14:textId="1C5A3910" w:rsidR="00167D2B" w:rsidRDefault="00167D2B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Firm Commitments</w:t>
            </w:r>
            <w:r w:rsidR="00D0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if any,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subordinate financing</w:t>
            </w:r>
            <w:r w:rsidR="0089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will be </w:t>
            </w:r>
          </w:p>
          <w:p w14:paraId="3ADBAEBB" w14:textId="2C3A3728" w:rsidR="0093502C" w:rsidRPr="0093502C" w:rsidRDefault="00167D2B" w:rsidP="003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93502C"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provided in the Firm Application.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18CB1DCB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342B0C4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8415A2" w14:textId="77777777" w:rsidR="0093502C" w:rsidRPr="0093502C" w:rsidRDefault="0093502C" w:rsidP="0093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D2B" w:rsidRPr="0093502C" w14:paraId="1129C301" w14:textId="77777777" w:rsidTr="00306B29">
        <w:trPr>
          <w:trHeight w:val="450"/>
        </w:trPr>
        <w:tc>
          <w:tcPr>
            <w:tcW w:w="10800" w:type="dxa"/>
            <w:gridSpan w:val="4"/>
            <w:shd w:val="clear" w:color="auto" w:fill="auto"/>
            <w:vAlign w:val="center"/>
            <w:hideMark/>
          </w:tcPr>
          <w:p w14:paraId="4AB15C2B" w14:textId="55A623EC" w:rsidR="00167D2B" w:rsidRPr="0093502C" w:rsidRDefault="00167D2B" w:rsidP="0016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subordinate financing source(s)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0A2AA7A0" w14:textId="73E31882" w:rsidR="0093502C" w:rsidRDefault="0093502C" w:rsidP="002D1223"/>
    <w:p w14:paraId="0BDE82E2" w14:textId="77777777" w:rsidR="00994EF4" w:rsidRDefault="00994EF4" w:rsidP="0055166E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14:paraId="7BC5CCFA" w14:textId="77777777" w:rsidR="00994EF4" w:rsidRDefault="00994EF4" w:rsidP="0055166E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14:paraId="610500CF" w14:textId="77777777" w:rsidR="00994EF4" w:rsidRDefault="00994EF4" w:rsidP="0055166E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14:paraId="14974EA7" w14:textId="77777777" w:rsidR="00A04129" w:rsidRDefault="00A04129" w:rsidP="0055166E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14:paraId="29B6D909" w14:textId="4C4BD781" w:rsidR="0055166E" w:rsidRPr="0055166E" w:rsidRDefault="0055166E" w:rsidP="0055166E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55166E">
        <w:rPr>
          <w:rFonts w:ascii="Times New Roman" w:hAnsi="Times New Roman" w:cs="Times New Roman"/>
          <w:b/>
        </w:rPr>
        <w:t>Ineligible Projects</w:t>
      </w:r>
    </w:p>
    <w:p w14:paraId="66B109E8" w14:textId="77777777" w:rsidR="0055166E" w:rsidRPr="0055166E" w:rsidRDefault="0055166E" w:rsidP="0055166E">
      <w:pPr>
        <w:tabs>
          <w:tab w:val="left" w:pos="450"/>
        </w:tabs>
        <w:overflowPunct w:val="0"/>
        <w:textAlignment w:val="baseline"/>
        <w:rPr>
          <w:rFonts w:ascii="Times New Roman" w:hAnsi="Times New Roman" w:cs="Times New Roman"/>
          <w:b/>
        </w:rPr>
      </w:pPr>
    </w:p>
    <w:p w14:paraId="30D5E8BE" w14:textId="597FB090" w:rsidR="0055166E" w:rsidRPr="005E55C4" w:rsidRDefault="0055166E" w:rsidP="0055166E">
      <w:pPr>
        <w:widowControl w:val="0"/>
        <w:numPr>
          <w:ilvl w:val="0"/>
          <w:numId w:val="2"/>
        </w:numPr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5166E">
        <w:rPr>
          <w:rFonts w:ascii="Times New Roman" w:eastAsia="Times New Roman" w:hAnsi="Times New Roman" w:cs="Times New Roman"/>
        </w:rPr>
        <w:t xml:space="preserve">4% LIHTC, new construction </w:t>
      </w:r>
      <w:r w:rsidRPr="005E55C4">
        <w:rPr>
          <w:rFonts w:ascii="Times New Roman" w:eastAsia="Times New Roman" w:hAnsi="Times New Roman" w:cs="Times New Roman"/>
        </w:rPr>
        <w:t>projects</w:t>
      </w:r>
      <w:r w:rsidR="0059462A" w:rsidRPr="005E55C4">
        <w:rPr>
          <w:rFonts w:ascii="Times New Roman" w:eastAsia="Times New Roman" w:hAnsi="Times New Roman" w:cs="Times New Roman"/>
        </w:rPr>
        <w:t xml:space="preserve"> (may be </w:t>
      </w:r>
      <w:r w:rsidR="00FF0CFA" w:rsidRPr="005E55C4">
        <w:rPr>
          <w:rFonts w:ascii="Times New Roman" w:eastAsia="Times New Roman" w:hAnsi="Times New Roman" w:cs="Times New Roman"/>
        </w:rPr>
        <w:t>eligible</w:t>
      </w:r>
      <w:r w:rsidR="0059462A" w:rsidRPr="005E55C4">
        <w:rPr>
          <w:rFonts w:ascii="Times New Roman" w:eastAsia="Times New Roman" w:hAnsi="Times New Roman" w:cs="Times New Roman"/>
        </w:rPr>
        <w:t xml:space="preserve"> under the Expedited track)</w:t>
      </w:r>
      <w:r w:rsidRPr="005E55C4">
        <w:rPr>
          <w:rFonts w:ascii="Times New Roman" w:eastAsia="Times New Roman" w:hAnsi="Times New Roman" w:cs="Times New Roman"/>
        </w:rPr>
        <w:t>;</w:t>
      </w:r>
    </w:p>
    <w:p w14:paraId="194E843D" w14:textId="64357BA0" w:rsidR="0055166E" w:rsidRPr="0055166E" w:rsidRDefault="0055166E" w:rsidP="0055166E">
      <w:pPr>
        <w:widowControl w:val="0"/>
        <w:numPr>
          <w:ilvl w:val="0"/>
          <w:numId w:val="2"/>
        </w:numPr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5166E">
        <w:rPr>
          <w:rFonts w:ascii="Times New Roman" w:eastAsia="Times New Roman" w:hAnsi="Times New Roman" w:cs="Times New Roman"/>
        </w:rPr>
        <w:t>Rental Assistance Demonstration (RAD) projects</w:t>
      </w:r>
      <w:r w:rsidR="00A04129">
        <w:rPr>
          <w:rFonts w:ascii="Times New Roman" w:eastAsia="Times New Roman" w:hAnsi="Times New Roman" w:cs="Times New Roman"/>
        </w:rPr>
        <w:t xml:space="preserve"> (exceptions will be made on a case-by-case basis)</w:t>
      </w:r>
      <w:r w:rsidRPr="0055166E">
        <w:rPr>
          <w:rFonts w:ascii="Times New Roman" w:eastAsia="Times New Roman" w:hAnsi="Times New Roman" w:cs="Times New Roman"/>
        </w:rPr>
        <w:t>;</w:t>
      </w:r>
    </w:p>
    <w:p w14:paraId="7433C903" w14:textId="77777777" w:rsidR="0055166E" w:rsidRPr="0055166E" w:rsidRDefault="0055166E" w:rsidP="0055166E">
      <w:pPr>
        <w:widowControl w:val="0"/>
        <w:numPr>
          <w:ilvl w:val="0"/>
          <w:numId w:val="2"/>
        </w:numPr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5166E">
        <w:rPr>
          <w:rFonts w:ascii="Times New Roman" w:eastAsia="Times New Roman" w:hAnsi="Times New Roman" w:cs="Times New Roman"/>
        </w:rPr>
        <w:t>Projects involving Historic Tax Credits or New Mar</w:t>
      </w:r>
      <w:bookmarkStart w:id="1" w:name="_GoBack"/>
      <w:bookmarkEnd w:id="1"/>
      <w:r w:rsidRPr="0055166E">
        <w:rPr>
          <w:rFonts w:ascii="Times New Roman" w:eastAsia="Times New Roman" w:hAnsi="Times New Roman" w:cs="Times New Roman"/>
        </w:rPr>
        <w:t>kets Tax Credits;</w:t>
      </w:r>
    </w:p>
    <w:p w14:paraId="01B3626B" w14:textId="77777777" w:rsidR="0055166E" w:rsidRPr="0055166E" w:rsidRDefault="0055166E" w:rsidP="0055166E">
      <w:pPr>
        <w:widowControl w:val="0"/>
        <w:numPr>
          <w:ilvl w:val="0"/>
          <w:numId w:val="2"/>
        </w:numPr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5166E">
        <w:rPr>
          <w:rFonts w:ascii="Times New Roman" w:hAnsi="Times New Roman" w:cs="Times New Roman"/>
        </w:rPr>
        <w:t>Projects involving adaptive re-use of non-residential structures;</w:t>
      </w:r>
    </w:p>
    <w:p w14:paraId="59D34CC1" w14:textId="77777777" w:rsidR="0055166E" w:rsidRPr="0055166E" w:rsidRDefault="0055166E" w:rsidP="0055166E">
      <w:pPr>
        <w:widowControl w:val="0"/>
        <w:numPr>
          <w:ilvl w:val="0"/>
          <w:numId w:val="2"/>
        </w:numPr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5166E">
        <w:rPr>
          <w:rFonts w:ascii="Times New Roman" w:hAnsi="Times New Roman" w:cs="Times New Roman"/>
        </w:rPr>
        <w:t>Projects involving significant demolition with new construction or rehabilitation;</w:t>
      </w:r>
    </w:p>
    <w:p w14:paraId="1A347690" w14:textId="77777777" w:rsidR="0055166E" w:rsidRPr="0055166E" w:rsidRDefault="0055166E" w:rsidP="0055166E">
      <w:pPr>
        <w:widowControl w:val="0"/>
        <w:numPr>
          <w:ilvl w:val="0"/>
          <w:numId w:val="2"/>
        </w:numPr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5166E">
        <w:rPr>
          <w:rFonts w:ascii="Times New Roman" w:hAnsi="Times New Roman" w:cs="Times New Roman"/>
        </w:rPr>
        <w:t>Projects involving gut rehabilitation;</w:t>
      </w:r>
    </w:p>
    <w:p w14:paraId="69B532C0" w14:textId="77777777" w:rsidR="0055166E" w:rsidRPr="0055166E" w:rsidRDefault="0055166E" w:rsidP="0055166E">
      <w:pPr>
        <w:widowControl w:val="0"/>
        <w:numPr>
          <w:ilvl w:val="0"/>
          <w:numId w:val="2"/>
        </w:numPr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</w:rPr>
      </w:pPr>
      <w:r w:rsidRPr="0055166E">
        <w:rPr>
          <w:rFonts w:ascii="Times New Roman" w:hAnsi="Times New Roman" w:cs="Times New Roman"/>
        </w:rPr>
        <w:t>Projects involving inexperienced Development Team Members, including Property Managers.</w:t>
      </w:r>
    </w:p>
    <w:p w14:paraId="6768D1AE" w14:textId="77777777" w:rsidR="0055166E" w:rsidRPr="0055166E" w:rsidRDefault="0055166E" w:rsidP="0055166E">
      <w:pPr>
        <w:widowControl w:val="0"/>
        <w:numPr>
          <w:ilvl w:val="0"/>
          <w:numId w:val="2"/>
        </w:numPr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</w:rPr>
      </w:pPr>
      <w:r w:rsidRPr="0055166E">
        <w:rPr>
          <w:rFonts w:ascii="Times New Roman" w:hAnsi="Times New Roman" w:cs="Times New Roman"/>
        </w:rPr>
        <w:t xml:space="preserve">Projects of 200 or more units are not eligible for Expedited Approval </w:t>
      </w:r>
      <w:proofErr w:type="gramStart"/>
      <w:r w:rsidRPr="0055166E">
        <w:rPr>
          <w:rFonts w:ascii="Times New Roman" w:hAnsi="Times New Roman" w:cs="Times New Roman"/>
        </w:rPr>
        <w:t>Processing, but</w:t>
      </w:r>
      <w:proofErr w:type="gramEnd"/>
      <w:r w:rsidRPr="0055166E">
        <w:rPr>
          <w:rFonts w:ascii="Times New Roman" w:hAnsi="Times New Roman" w:cs="Times New Roman"/>
        </w:rPr>
        <w:t xml:space="preserve"> may be submitted under the Standard Pilot Approval Processing track.</w:t>
      </w:r>
    </w:p>
    <w:p w14:paraId="3B40E990" w14:textId="77777777" w:rsidR="0055166E" w:rsidRPr="0055166E" w:rsidRDefault="0055166E" w:rsidP="0055166E">
      <w:pPr>
        <w:numPr>
          <w:ilvl w:val="0"/>
          <w:numId w:val="2"/>
        </w:numPr>
        <w:tabs>
          <w:tab w:val="left" w:pos="450"/>
        </w:tabs>
        <w:overflowPunct w:val="0"/>
        <w:contextualSpacing/>
        <w:textAlignment w:val="baseline"/>
        <w:rPr>
          <w:rFonts w:ascii="Times New Roman" w:eastAsia="Times New Roman" w:hAnsi="Times New Roman" w:cs="Times New Roman"/>
        </w:rPr>
      </w:pPr>
      <w:r w:rsidRPr="0055166E">
        <w:rPr>
          <w:rFonts w:ascii="Times New Roman" w:hAnsi="Times New Roman" w:cs="Times New Roman"/>
          <w:iCs/>
        </w:rPr>
        <w:t xml:space="preserve">Projects involving environmental risk factors that will require extensive analysis and consideration by HUD are not eligible for Expedited Approval </w:t>
      </w:r>
      <w:proofErr w:type="gramStart"/>
      <w:r w:rsidRPr="0055166E">
        <w:rPr>
          <w:rFonts w:ascii="Times New Roman" w:hAnsi="Times New Roman" w:cs="Times New Roman"/>
          <w:iCs/>
        </w:rPr>
        <w:t>Processing, but</w:t>
      </w:r>
      <w:proofErr w:type="gramEnd"/>
      <w:r w:rsidRPr="0055166E">
        <w:rPr>
          <w:rFonts w:ascii="Times New Roman" w:hAnsi="Times New Roman" w:cs="Times New Roman"/>
          <w:iCs/>
        </w:rPr>
        <w:t xml:space="preserve"> may be submitted under the Standard Pilot Approval Processing track.  Such risk factors include, but are not limited to:</w:t>
      </w:r>
    </w:p>
    <w:p w14:paraId="444CFBA0" w14:textId="1DAD8D3C" w:rsidR="0055166E" w:rsidRPr="0055166E" w:rsidRDefault="0055166E" w:rsidP="005516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</w:rPr>
      </w:pPr>
      <w:r w:rsidRPr="0055166E">
        <w:rPr>
          <w:rFonts w:ascii="Times New Roman" w:eastAsiaTheme="minorEastAsia" w:hAnsi="Times New Roman" w:cs="Times New Roman"/>
          <w:iCs/>
        </w:rPr>
        <w:t>Noise measurement above 65 dB</w:t>
      </w:r>
      <w:r w:rsidR="00A04129">
        <w:rPr>
          <w:rFonts w:ascii="Times New Roman" w:eastAsiaTheme="minorEastAsia" w:hAnsi="Times New Roman" w:cs="Times New Roman"/>
          <w:iCs/>
        </w:rPr>
        <w:t xml:space="preserve"> (projects involving substantial rehabilitation will be considered under the Expedited Approval Processing track on a case-by-case basis)</w:t>
      </w:r>
      <w:r w:rsidRPr="0055166E">
        <w:rPr>
          <w:rFonts w:ascii="Times New Roman" w:eastAsiaTheme="minorEastAsia" w:hAnsi="Times New Roman" w:cs="Times New Roman"/>
          <w:iCs/>
        </w:rPr>
        <w:t xml:space="preserve">, </w:t>
      </w:r>
    </w:p>
    <w:p w14:paraId="585DF972" w14:textId="77777777" w:rsidR="0055166E" w:rsidRPr="0055166E" w:rsidRDefault="0055166E" w:rsidP="005516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</w:rPr>
      </w:pPr>
      <w:r w:rsidRPr="0055166E">
        <w:rPr>
          <w:rFonts w:ascii="Times New Roman" w:eastAsiaTheme="minorEastAsia" w:hAnsi="Times New Roman" w:cs="Times New Roman"/>
          <w:iCs/>
        </w:rPr>
        <w:t>Historic properties,</w:t>
      </w:r>
    </w:p>
    <w:p w14:paraId="28377FD4" w14:textId="77777777" w:rsidR="0055166E" w:rsidRPr="0055166E" w:rsidRDefault="0055166E" w:rsidP="005516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</w:rPr>
      </w:pPr>
      <w:r w:rsidRPr="0055166E">
        <w:rPr>
          <w:rFonts w:ascii="Times New Roman" w:eastAsiaTheme="minorEastAsia" w:hAnsi="Times New Roman" w:cs="Times New Roman"/>
          <w:iCs/>
        </w:rPr>
        <w:t>Contamination that will require construction period site remediation to</w:t>
      </w:r>
    </w:p>
    <w:p w14:paraId="742FB3B1" w14:textId="77777777" w:rsidR="0055166E" w:rsidRPr="0055166E" w:rsidRDefault="0055166E" w:rsidP="0055166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EastAsia" w:hAnsi="Times New Roman" w:cs="Times New Roman"/>
          <w:iCs/>
        </w:rPr>
      </w:pPr>
      <w:r w:rsidRPr="0055166E">
        <w:rPr>
          <w:rFonts w:ascii="Times New Roman" w:eastAsiaTheme="minorEastAsia" w:hAnsi="Times New Roman" w:cs="Times New Roman"/>
          <w:iCs/>
        </w:rPr>
        <w:t>achieve regulatory closure through an NFR/NFA beyond the typical risks referenced at V.E of this notice,</w:t>
      </w:r>
    </w:p>
    <w:p w14:paraId="650D78AC" w14:textId="77777777" w:rsidR="0055166E" w:rsidRPr="0055166E" w:rsidRDefault="0055166E" w:rsidP="005516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</w:rPr>
      </w:pPr>
      <w:r w:rsidRPr="0055166E">
        <w:rPr>
          <w:rFonts w:ascii="Times New Roman" w:eastAsiaTheme="minorEastAsia" w:hAnsi="Times New Roman" w:cs="Times New Roman"/>
          <w:iCs/>
        </w:rPr>
        <w:t>Project sites containing a floodplain or wetland that do not meet an exception at 24 CFR section 55.12(b) or (c),</w:t>
      </w:r>
    </w:p>
    <w:p w14:paraId="50DB4390" w14:textId="77777777" w:rsidR="0055166E" w:rsidRPr="0055166E" w:rsidRDefault="0055166E" w:rsidP="005516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</w:rPr>
      </w:pPr>
      <w:r w:rsidRPr="0055166E">
        <w:rPr>
          <w:rFonts w:ascii="Times New Roman" w:eastAsiaTheme="minorEastAsia" w:hAnsi="Times New Roman" w:cs="Times New Roman"/>
          <w:iCs/>
        </w:rPr>
        <w:t xml:space="preserve">Acceptable separation distance (ASD) risks from adjacent Above Ground Storage Tanks (ASTs) subject to HUD’s regulation at 24 CFR Part 51 Subpart C, and </w:t>
      </w:r>
    </w:p>
    <w:p w14:paraId="06BBC66E" w14:textId="77777777" w:rsidR="0055166E" w:rsidRPr="0055166E" w:rsidRDefault="0055166E" w:rsidP="005516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</w:rPr>
      </w:pPr>
      <w:r w:rsidRPr="0055166E">
        <w:rPr>
          <w:rFonts w:ascii="Times New Roman" w:eastAsiaTheme="minorEastAsia" w:hAnsi="Times New Roman" w:cs="Times New Roman"/>
          <w:iCs/>
        </w:rPr>
        <w:t>Acceptable separation distance risks from high pressure pipelines transferring flammable and combustible liquids and gases as referenced in MAP 9.5.P.I.</w:t>
      </w:r>
    </w:p>
    <w:p w14:paraId="6A30287D" w14:textId="77777777" w:rsidR="0055166E" w:rsidRDefault="0055166E" w:rsidP="002D1223"/>
    <w:sectPr w:rsidR="0055166E" w:rsidSect="00946591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557B4" w14:textId="77777777" w:rsidR="00F21545" w:rsidRDefault="00F21545" w:rsidP="00994EF4">
      <w:pPr>
        <w:spacing w:after="0" w:line="240" w:lineRule="auto"/>
      </w:pPr>
      <w:r>
        <w:separator/>
      </w:r>
    </w:p>
  </w:endnote>
  <w:endnote w:type="continuationSeparator" w:id="0">
    <w:p w14:paraId="4B443451" w14:textId="77777777" w:rsidR="00F21545" w:rsidRDefault="00F21545" w:rsidP="0099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EEC77" w14:textId="353BB929" w:rsidR="005C5183" w:rsidRDefault="00994EF4">
    <w:pPr>
      <w:pStyle w:val="Footer"/>
    </w:pPr>
    <w:r>
      <w:t>*</w:t>
    </w:r>
    <w:r w:rsidR="005C5183">
      <w:t>Include this completed checklist in the Concept Meeting package and Firm Application.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9AD06" w14:textId="77777777" w:rsidR="00F21545" w:rsidRDefault="00F21545" w:rsidP="00994EF4">
      <w:pPr>
        <w:spacing w:after="0" w:line="240" w:lineRule="auto"/>
      </w:pPr>
      <w:r>
        <w:separator/>
      </w:r>
    </w:p>
  </w:footnote>
  <w:footnote w:type="continuationSeparator" w:id="0">
    <w:p w14:paraId="39E3550C" w14:textId="77777777" w:rsidR="00F21545" w:rsidRDefault="00F21545" w:rsidP="0099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1B2"/>
    <w:multiLevelType w:val="hybridMultilevel"/>
    <w:tmpl w:val="E4E25196"/>
    <w:lvl w:ilvl="0" w:tplc="538EDE44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1" w:tplc="724EB0D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596A3E"/>
    <w:multiLevelType w:val="hybridMultilevel"/>
    <w:tmpl w:val="3C3E8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A7"/>
    <w:multiLevelType w:val="hybridMultilevel"/>
    <w:tmpl w:val="3112DEE4"/>
    <w:lvl w:ilvl="0" w:tplc="51F240C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DDF2BC5"/>
    <w:multiLevelType w:val="hybridMultilevel"/>
    <w:tmpl w:val="6122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2C"/>
    <w:rsid w:val="00077474"/>
    <w:rsid w:val="00167D2B"/>
    <w:rsid w:val="001D06FA"/>
    <w:rsid w:val="001D3EF2"/>
    <w:rsid w:val="002D1223"/>
    <w:rsid w:val="002D5767"/>
    <w:rsid w:val="002F3C84"/>
    <w:rsid w:val="0035484F"/>
    <w:rsid w:val="00395267"/>
    <w:rsid w:val="003E6C07"/>
    <w:rsid w:val="00450670"/>
    <w:rsid w:val="004C254C"/>
    <w:rsid w:val="0055166E"/>
    <w:rsid w:val="00582FC2"/>
    <w:rsid w:val="0059462A"/>
    <w:rsid w:val="005C5183"/>
    <w:rsid w:val="005E0EF1"/>
    <w:rsid w:val="005E55C4"/>
    <w:rsid w:val="00687468"/>
    <w:rsid w:val="007D1D6F"/>
    <w:rsid w:val="008903F5"/>
    <w:rsid w:val="0093502C"/>
    <w:rsid w:val="009351C4"/>
    <w:rsid w:val="00946591"/>
    <w:rsid w:val="00976F57"/>
    <w:rsid w:val="00994EF4"/>
    <w:rsid w:val="00997E52"/>
    <w:rsid w:val="00A04129"/>
    <w:rsid w:val="00A300C1"/>
    <w:rsid w:val="00A4602D"/>
    <w:rsid w:val="00BD2864"/>
    <w:rsid w:val="00D0407F"/>
    <w:rsid w:val="00D9343B"/>
    <w:rsid w:val="00F21545"/>
    <w:rsid w:val="00F81085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4021"/>
  <w15:chartTrackingRefBased/>
  <w15:docId w15:val="{B0DE42CF-3247-46FC-A212-CE22D7E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EF4"/>
  </w:style>
  <w:style w:type="paragraph" w:styleId="Footer">
    <w:name w:val="footer"/>
    <w:basedOn w:val="Normal"/>
    <w:link w:val="FooterChar"/>
    <w:uiPriority w:val="99"/>
    <w:unhideWhenUsed/>
    <w:rsid w:val="0099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Arteaga, Elizabeth H</dc:creator>
  <cp:keywords/>
  <dc:description/>
  <cp:lastModifiedBy>Arteaga, Elizabeth H</cp:lastModifiedBy>
  <cp:revision>2</cp:revision>
  <cp:lastPrinted>2018-09-20T19:44:00Z</cp:lastPrinted>
  <dcterms:created xsi:type="dcterms:W3CDTF">2019-09-17T17:26:00Z</dcterms:created>
  <dcterms:modified xsi:type="dcterms:W3CDTF">2019-09-17T17:26:00Z</dcterms:modified>
</cp:coreProperties>
</file>