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3A7" w:rsidRPr="00F763A7" w:rsidRDefault="00F763A7" w:rsidP="00F763A7">
      <w:pPr>
        <w:spacing w:after="0" w:line="240" w:lineRule="auto"/>
        <w:jc w:val="center"/>
        <w:rPr>
          <w:rFonts w:ascii="Verdana" w:eastAsia="Calibri" w:hAnsi="Verdana" w:cs="Calibri"/>
          <w:b/>
          <w:bCs/>
          <w:sz w:val="32"/>
          <w:szCs w:val="32"/>
          <w:u w:val="single"/>
        </w:rPr>
      </w:pPr>
      <w:bookmarkStart w:id="0" w:name="_top"/>
      <w:bookmarkEnd w:id="0"/>
      <w:r w:rsidRPr="00F763A7">
        <w:rPr>
          <w:rFonts w:ascii="Verdana" w:eastAsia="Calibri" w:hAnsi="Verdana" w:cs="Calibri"/>
          <w:b/>
          <w:bCs/>
          <w:sz w:val="32"/>
          <w:szCs w:val="32"/>
          <w:u w:val="single"/>
        </w:rPr>
        <w:t>HUD’s Lean 232 Program</w:t>
      </w:r>
    </w:p>
    <w:p w:rsidR="00F763A7" w:rsidRPr="00F763A7" w:rsidRDefault="00F763A7" w:rsidP="00F763A7">
      <w:pPr>
        <w:spacing w:after="0" w:line="240" w:lineRule="auto"/>
        <w:jc w:val="center"/>
        <w:rPr>
          <w:rFonts w:ascii="Verdana" w:eastAsia="Calibri" w:hAnsi="Verdana" w:cs="Calibri"/>
          <w:b/>
          <w:bCs/>
          <w:sz w:val="32"/>
          <w:szCs w:val="32"/>
        </w:rPr>
      </w:pPr>
      <w:r w:rsidRPr="00F763A7">
        <w:rPr>
          <w:rFonts w:ascii="Verdana" w:eastAsia="Calibri" w:hAnsi="Verdana" w:cs="Calibri"/>
          <w:b/>
          <w:bCs/>
          <w:sz w:val="32"/>
          <w:szCs w:val="32"/>
        </w:rPr>
        <w:t>Office of Residential Care Facilities (ORCF)</w:t>
      </w:r>
    </w:p>
    <w:p w:rsidR="00F763A7" w:rsidRPr="00F763A7" w:rsidRDefault="00F763A7" w:rsidP="00F763A7">
      <w:pPr>
        <w:spacing w:after="0" w:line="240" w:lineRule="auto"/>
        <w:jc w:val="center"/>
        <w:rPr>
          <w:rFonts w:ascii="Verdana" w:eastAsia="Calibri" w:hAnsi="Verdana" w:cs="Calibri"/>
          <w:b/>
          <w:bCs/>
          <w:sz w:val="32"/>
          <w:szCs w:val="32"/>
          <w:u w:val="single"/>
        </w:rPr>
      </w:pPr>
      <w:r w:rsidRPr="00F763A7">
        <w:rPr>
          <w:rFonts w:ascii="Verdana" w:eastAsia="Calibri" w:hAnsi="Verdana" w:cs="Calibri"/>
          <w:b/>
          <w:bCs/>
          <w:sz w:val="32"/>
          <w:szCs w:val="32"/>
          <w:u w:val="single"/>
        </w:rPr>
        <w:t>Update as of September 28, 2017</w:t>
      </w:r>
    </w:p>
    <w:p w:rsidR="00F763A7" w:rsidRPr="00F763A7" w:rsidRDefault="00F763A7" w:rsidP="00F763A7">
      <w:pPr>
        <w:spacing w:after="0" w:line="240" w:lineRule="auto"/>
        <w:jc w:val="center"/>
        <w:rPr>
          <w:rFonts w:ascii="Times New Roman" w:eastAsia="Calibri" w:hAnsi="Times New Roman" w:cs="Times New Roman"/>
        </w:rPr>
      </w:pPr>
      <w:r w:rsidRPr="00F763A7">
        <w:rPr>
          <w:rFonts w:ascii="Verdana" w:eastAsia="Calibri" w:hAnsi="Verdana" w:cs="Calibri"/>
          <w:noProof/>
          <w:color w:val="1F497D"/>
        </w:rPr>
        <w:drawing>
          <wp:inline distT="0" distB="0" distL="0" distR="0" wp14:anchorId="68D95E49" wp14:editId="59CF3D3B">
            <wp:extent cx="5705475" cy="95250"/>
            <wp:effectExtent l="0" t="0" r="9525" b="0"/>
            <wp:docPr id="7"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rsidR="00F763A7" w:rsidRPr="00F763A7" w:rsidRDefault="00F763A7" w:rsidP="00F763A7">
      <w:pPr>
        <w:spacing w:after="0" w:line="240" w:lineRule="auto"/>
        <w:rPr>
          <w:rFonts w:ascii="Verdana" w:eastAsia="Calibri" w:hAnsi="Verdana" w:cs="Calibri"/>
          <w:sz w:val="24"/>
          <w:szCs w:val="24"/>
        </w:rPr>
      </w:pPr>
    </w:p>
    <w:p w:rsidR="00F763A7" w:rsidRPr="00F763A7" w:rsidRDefault="00F763A7" w:rsidP="00F763A7">
      <w:pPr>
        <w:spacing w:after="0" w:line="240" w:lineRule="auto"/>
        <w:rPr>
          <w:rFonts w:ascii="Verdana" w:eastAsia="Calibri" w:hAnsi="Verdana" w:cs="Calibri"/>
          <w:sz w:val="24"/>
          <w:szCs w:val="24"/>
        </w:rPr>
      </w:pPr>
    </w:p>
    <w:p w:rsidR="00F763A7" w:rsidRPr="00F763A7" w:rsidRDefault="00F763A7" w:rsidP="00F763A7">
      <w:pPr>
        <w:spacing w:after="0" w:line="240" w:lineRule="auto"/>
        <w:rPr>
          <w:rFonts w:ascii="Verdana" w:eastAsia="Calibri" w:hAnsi="Verdana" w:cs="Calibri"/>
          <w:i/>
          <w:iCs/>
          <w:sz w:val="32"/>
          <w:szCs w:val="32"/>
          <w:u w:val="single"/>
        </w:rPr>
      </w:pPr>
      <w:r w:rsidRPr="00F763A7">
        <w:rPr>
          <w:rFonts w:ascii="Verdana" w:eastAsia="Calibri" w:hAnsi="Verdana" w:cs="Calibri"/>
          <w:i/>
          <w:iCs/>
          <w:sz w:val="32"/>
          <w:szCs w:val="32"/>
          <w:u w:val="single"/>
        </w:rPr>
        <w:t>September 28, 2017 Contents</w:t>
      </w:r>
    </w:p>
    <w:p w:rsidR="00F763A7" w:rsidRPr="00F763A7" w:rsidRDefault="00F763A7" w:rsidP="00F763A7">
      <w:pPr>
        <w:spacing w:after="0" w:line="240" w:lineRule="auto"/>
        <w:rPr>
          <w:rFonts w:ascii="Verdana" w:eastAsia="Calibri" w:hAnsi="Verdana" w:cs="Calibri"/>
          <w:b/>
          <w:bCs/>
          <w:i/>
          <w:iCs/>
          <w:sz w:val="32"/>
          <w:szCs w:val="32"/>
          <w:u w:val="single"/>
        </w:rPr>
      </w:pPr>
    </w:p>
    <w:p w:rsidR="00F763A7" w:rsidRPr="00F763A7" w:rsidRDefault="00F763A7" w:rsidP="00F763A7">
      <w:pPr>
        <w:spacing w:after="0" w:line="240" w:lineRule="auto"/>
        <w:ind w:left="270" w:hanging="270"/>
        <w:rPr>
          <w:rFonts w:ascii="Calibri" w:eastAsia="Calibri" w:hAnsi="Calibri" w:cs="Calibri"/>
        </w:rPr>
      </w:pPr>
      <w:hyperlink w:anchor="_Toc494289405" w:history="1">
        <w:r w:rsidRPr="00F763A7">
          <w:rPr>
            <w:rFonts w:ascii="Verdana" w:eastAsia="Calibri" w:hAnsi="Verdana" w:cs="Calibri"/>
            <w:color w:val="0000FF"/>
            <w:sz w:val="24"/>
            <w:szCs w:val="24"/>
            <w:u w:val="single"/>
          </w:rPr>
          <w:t>Installing Emergency Generators in Existing Section 232 Projects</w:t>
        </w:r>
      </w:hyperlink>
    </w:p>
    <w:p w:rsidR="00F763A7" w:rsidRPr="00F763A7" w:rsidRDefault="00F763A7" w:rsidP="00F763A7">
      <w:pPr>
        <w:spacing w:after="0" w:line="240" w:lineRule="auto"/>
        <w:ind w:left="270" w:hanging="270"/>
        <w:rPr>
          <w:rFonts w:ascii="Calibri" w:eastAsia="Calibri" w:hAnsi="Calibri" w:cs="Calibri"/>
        </w:rPr>
      </w:pPr>
      <w:hyperlink w:anchor="_Toc494289406" w:history="1">
        <w:r w:rsidRPr="00F763A7">
          <w:rPr>
            <w:rFonts w:ascii="Verdana" w:eastAsia="Calibri" w:hAnsi="Verdana" w:cs="Calibri"/>
            <w:color w:val="0000FF"/>
            <w:sz w:val="24"/>
            <w:szCs w:val="24"/>
            <w:u w:val="single"/>
          </w:rPr>
          <w:t xml:space="preserve">Document Links Included </w:t>
        </w:r>
        <w:proofErr w:type="gramStart"/>
        <w:r w:rsidRPr="00F763A7">
          <w:rPr>
            <w:rFonts w:ascii="Verdana" w:eastAsia="Calibri" w:hAnsi="Verdana" w:cs="Calibri"/>
            <w:color w:val="0000FF"/>
            <w:sz w:val="24"/>
            <w:szCs w:val="24"/>
            <w:u w:val="single"/>
          </w:rPr>
          <w:t>In</w:t>
        </w:r>
        <w:proofErr w:type="gramEnd"/>
        <w:r w:rsidRPr="00F763A7">
          <w:rPr>
            <w:rFonts w:ascii="Verdana" w:eastAsia="Calibri" w:hAnsi="Verdana" w:cs="Calibri"/>
            <w:color w:val="0000FF"/>
            <w:sz w:val="24"/>
            <w:szCs w:val="24"/>
            <w:u w:val="single"/>
          </w:rPr>
          <w:t xml:space="preserve"> This Blast</w:t>
        </w:r>
      </w:hyperlink>
    </w:p>
    <w:p w:rsidR="00F763A7" w:rsidRPr="00F763A7" w:rsidRDefault="00F763A7" w:rsidP="00F763A7">
      <w:pPr>
        <w:spacing w:after="0" w:line="240" w:lineRule="auto"/>
        <w:rPr>
          <w:rFonts w:ascii="Verdana" w:eastAsia="Calibri" w:hAnsi="Verdana" w:cs="Calibri"/>
          <w:sz w:val="24"/>
          <w:szCs w:val="24"/>
        </w:rPr>
      </w:pPr>
    </w:p>
    <w:p w:rsidR="00F763A7" w:rsidRPr="00F763A7" w:rsidRDefault="00F763A7" w:rsidP="00F763A7">
      <w:pPr>
        <w:spacing w:after="0" w:line="240" w:lineRule="auto"/>
        <w:jc w:val="center"/>
        <w:rPr>
          <w:rFonts w:ascii="Verdana" w:eastAsia="Calibri" w:hAnsi="Verdana" w:cs="Calibri"/>
          <w:sz w:val="24"/>
          <w:szCs w:val="24"/>
        </w:rPr>
      </w:pPr>
      <w:r w:rsidRPr="00F763A7">
        <w:rPr>
          <w:rFonts w:ascii="Verdana" w:eastAsia="Calibri" w:hAnsi="Verdana" w:cs="Calibri"/>
          <w:noProof/>
          <w:color w:val="1F497D"/>
        </w:rPr>
        <w:drawing>
          <wp:inline distT="0" distB="0" distL="0" distR="0" wp14:anchorId="760302F0" wp14:editId="1F663A04">
            <wp:extent cx="5705475" cy="95250"/>
            <wp:effectExtent l="0" t="0" r="9525" b="0"/>
            <wp:docPr id="8"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rsidR="00F763A7" w:rsidRPr="00F763A7" w:rsidRDefault="00F763A7" w:rsidP="00F763A7">
      <w:pPr>
        <w:spacing w:after="0" w:line="240" w:lineRule="auto"/>
        <w:rPr>
          <w:rFonts w:ascii="Verdana" w:eastAsia="Calibri" w:hAnsi="Verdana" w:cs="Calibri"/>
          <w:color w:val="000000"/>
          <w:sz w:val="24"/>
          <w:szCs w:val="24"/>
        </w:rPr>
      </w:pPr>
      <w:bookmarkStart w:id="1" w:name="_Toc380585836"/>
      <w:bookmarkEnd w:id="1"/>
    </w:p>
    <w:p w:rsidR="00F763A7" w:rsidRPr="00F763A7" w:rsidRDefault="00F763A7" w:rsidP="00F763A7">
      <w:pPr>
        <w:spacing w:after="120" w:line="240" w:lineRule="auto"/>
        <w:rPr>
          <w:rFonts w:ascii="Verdana" w:eastAsia="Calibri" w:hAnsi="Verdana" w:cs="Calibri"/>
          <w:b/>
          <w:bCs/>
          <w:caps/>
          <w:sz w:val="28"/>
          <w:szCs w:val="28"/>
          <w:u w:val="single"/>
        </w:rPr>
      </w:pPr>
      <w:bookmarkStart w:id="2" w:name="_Toc494289405"/>
      <w:r w:rsidRPr="00F763A7">
        <w:rPr>
          <w:rFonts w:ascii="Verdana" w:eastAsia="Calibri" w:hAnsi="Verdana" w:cs="Calibri"/>
          <w:b/>
          <w:bCs/>
          <w:caps/>
          <w:sz w:val="28"/>
          <w:szCs w:val="28"/>
          <w:u w:val="single"/>
        </w:rPr>
        <w:t>Installing Emergency Generators in Existing Section 232 Projects</w:t>
      </w:r>
      <w:bookmarkEnd w:id="2"/>
      <w:r w:rsidRPr="00F763A7">
        <w:rPr>
          <w:rFonts w:ascii="Verdana" w:eastAsia="Calibri" w:hAnsi="Verdana" w:cs="Calibri"/>
          <w:b/>
          <w:bCs/>
          <w:caps/>
          <w:sz w:val="28"/>
          <w:szCs w:val="28"/>
          <w:u w:val="single"/>
        </w:rPr>
        <w:t xml:space="preserve"> </w:t>
      </w:r>
    </w:p>
    <w:p w:rsidR="00F763A7" w:rsidRPr="00F763A7" w:rsidRDefault="00F763A7" w:rsidP="00F763A7">
      <w:pPr>
        <w:spacing w:after="0" w:line="240" w:lineRule="auto"/>
        <w:rPr>
          <w:rFonts w:ascii="Verdana" w:eastAsia="Calibri" w:hAnsi="Verdana" w:cs="Calibri"/>
          <w:sz w:val="24"/>
          <w:szCs w:val="24"/>
        </w:rPr>
      </w:pPr>
      <w:r w:rsidRPr="00F763A7">
        <w:rPr>
          <w:rFonts w:ascii="Verdana" w:eastAsia="Calibri" w:hAnsi="Verdana" w:cs="Calibri"/>
          <w:sz w:val="24"/>
          <w:szCs w:val="24"/>
        </w:rPr>
        <w:t xml:space="preserve">In the wake of Hurricanes Harvey and Irma, the Office of Residential Care Facilities (ORCF) is informing all borrowers and operators of projects with Section 232 Insurance, that generators and related components (e.g. pads on which they sit, fuel storage tanks, and delivery lines) are an eligible reserve for replacement item.  </w:t>
      </w:r>
    </w:p>
    <w:p w:rsidR="00F763A7" w:rsidRPr="00F763A7" w:rsidRDefault="00F763A7" w:rsidP="00F763A7">
      <w:pPr>
        <w:spacing w:after="0" w:line="240" w:lineRule="auto"/>
        <w:rPr>
          <w:rFonts w:ascii="Verdana" w:eastAsia="Calibri" w:hAnsi="Verdana" w:cs="Calibri"/>
          <w:sz w:val="24"/>
          <w:szCs w:val="24"/>
        </w:rPr>
      </w:pPr>
    </w:p>
    <w:p w:rsidR="00F763A7" w:rsidRPr="00F763A7" w:rsidRDefault="00F763A7" w:rsidP="00F763A7">
      <w:pPr>
        <w:spacing w:after="0" w:line="240" w:lineRule="auto"/>
        <w:rPr>
          <w:rFonts w:ascii="Verdana" w:eastAsia="Calibri" w:hAnsi="Verdana" w:cs="Calibri"/>
          <w:sz w:val="24"/>
          <w:szCs w:val="24"/>
        </w:rPr>
      </w:pPr>
      <w:r w:rsidRPr="00F763A7">
        <w:rPr>
          <w:rFonts w:ascii="Verdana" w:eastAsia="Calibri" w:hAnsi="Verdana" w:cs="Calibri"/>
          <w:sz w:val="24"/>
          <w:szCs w:val="24"/>
        </w:rPr>
        <w:t>ORCF anticipates that Section 232 projects in impacted areas may wish to install generators, if they do not already have one.  This may be in response to new requirements, such as in Florida, where the Governor has imposed an emergency rule (</w:t>
      </w:r>
      <w:hyperlink r:id="rId7" w:history="1">
        <w:r w:rsidRPr="00F763A7">
          <w:rPr>
            <w:rFonts w:ascii="Verdana" w:eastAsia="Calibri" w:hAnsi="Verdana" w:cs="Calibri"/>
            <w:color w:val="0000FF"/>
            <w:sz w:val="24"/>
            <w:szCs w:val="24"/>
            <w:u w:val="single"/>
          </w:rPr>
          <w:t>here</w:t>
        </w:r>
      </w:hyperlink>
      <w:r w:rsidRPr="00F763A7">
        <w:rPr>
          <w:rFonts w:ascii="Verdana" w:eastAsia="Calibri" w:hAnsi="Verdana" w:cs="Calibri"/>
          <w:sz w:val="24"/>
          <w:szCs w:val="24"/>
        </w:rPr>
        <w:t xml:space="preserve">) that requires all assisted living facilities and skilled nursing facilities to have generators with enough fuel to sustain operations and comfortable temperatures for at least 96 hours after a power outage. </w:t>
      </w:r>
    </w:p>
    <w:p w:rsidR="00F763A7" w:rsidRPr="00F763A7" w:rsidRDefault="00F763A7" w:rsidP="00F763A7">
      <w:pPr>
        <w:spacing w:after="0" w:line="240" w:lineRule="auto"/>
        <w:rPr>
          <w:rFonts w:ascii="Verdana" w:eastAsia="Calibri" w:hAnsi="Verdana" w:cs="Calibri"/>
          <w:sz w:val="24"/>
          <w:szCs w:val="24"/>
        </w:rPr>
      </w:pPr>
    </w:p>
    <w:p w:rsidR="00F763A7" w:rsidRPr="00F763A7" w:rsidRDefault="00F763A7" w:rsidP="00F763A7">
      <w:pPr>
        <w:spacing w:after="0" w:line="240" w:lineRule="auto"/>
        <w:rPr>
          <w:rFonts w:ascii="Verdana" w:eastAsia="Calibri" w:hAnsi="Verdana" w:cs="Calibri"/>
          <w:sz w:val="24"/>
          <w:szCs w:val="24"/>
        </w:rPr>
      </w:pPr>
      <w:r w:rsidRPr="00F763A7">
        <w:rPr>
          <w:rFonts w:ascii="Verdana" w:eastAsia="Calibri" w:hAnsi="Verdana" w:cs="Calibri"/>
          <w:sz w:val="24"/>
          <w:szCs w:val="24"/>
        </w:rPr>
        <w:t xml:space="preserve">Lenders are encouraged to immediately discuss this issue with owners of the Section 232 insured projects they service that were impacted by power outages, or that will be impacted by this new requirement.  Such discussions should include whether the project currently meets the new requirements, and if not, what the owner’s plan is to address and fund this requirement.  </w:t>
      </w:r>
    </w:p>
    <w:p w:rsidR="00F763A7" w:rsidRPr="00F763A7" w:rsidRDefault="00F763A7" w:rsidP="00F763A7">
      <w:pPr>
        <w:spacing w:after="0" w:line="240" w:lineRule="auto"/>
        <w:rPr>
          <w:rFonts w:ascii="Verdana" w:eastAsia="Calibri" w:hAnsi="Verdana" w:cs="Calibri"/>
          <w:sz w:val="24"/>
          <w:szCs w:val="24"/>
        </w:rPr>
      </w:pPr>
    </w:p>
    <w:p w:rsidR="00F763A7" w:rsidRPr="00F763A7" w:rsidRDefault="00F763A7" w:rsidP="00F763A7">
      <w:pPr>
        <w:spacing w:after="0" w:line="240" w:lineRule="auto"/>
        <w:rPr>
          <w:rFonts w:ascii="Verdana" w:eastAsia="Calibri" w:hAnsi="Verdana" w:cs="Calibri"/>
          <w:sz w:val="24"/>
          <w:szCs w:val="24"/>
        </w:rPr>
      </w:pPr>
      <w:r w:rsidRPr="00F763A7">
        <w:rPr>
          <w:rFonts w:ascii="Verdana" w:eastAsia="Calibri" w:hAnsi="Verdana" w:cs="Calibri"/>
          <w:sz w:val="24"/>
          <w:szCs w:val="24"/>
        </w:rPr>
        <w:t xml:space="preserve">If improvements to the property are needed to comply with this Florida requirement, or to more effectively prepare for future emergencies, and there </w:t>
      </w:r>
      <w:proofErr w:type="gramStart"/>
      <w:r w:rsidRPr="00F763A7">
        <w:rPr>
          <w:rFonts w:ascii="Verdana" w:eastAsia="Calibri" w:hAnsi="Verdana" w:cs="Calibri"/>
          <w:sz w:val="24"/>
          <w:szCs w:val="24"/>
        </w:rPr>
        <w:t>are</w:t>
      </w:r>
      <w:proofErr w:type="gramEnd"/>
      <w:r w:rsidRPr="00F763A7">
        <w:rPr>
          <w:rFonts w:ascii="Verdana" w:eastAsia="Calibri" w:hAnsi="Verdana" w:cs="Calibri"/>
          <w:sz w:val="24"/>
          <w:szCs w:val="24"/>
        </w:rPr>
        <w:t xml:space="preserve"> adequate reserve for replacement (R4R) funds in escrow, HUD will not object to the use of R4R funds in this manner.   For situations where the cost of these improvements would bring the reserve for replacement account below the minimum recommended threshold of $1,000 per unit, servicing lenders should contact their Account Executive.  ORCF staff will also be </w:t>
      </w:r>
      <w:r w:rsidRPr="00F763A7">
        <w:rPr>
          <w:rFonts w:ascii="Verdana" w:eastAsia="Calibri" w:hAnsi="Verdana" w:cs="Calibri"/>
          <w:sz w:val="24"/>
          <w:szCs w:val="24"/>
        </w:rPr>
        <w:lastRenderedPageBreak/>
        <w:t xml:space="preserve">proactively reaching out to servicing lenders to discuss any issues they encounter in their follow-up on this issue.   </w:t>
      </w:r>
    </w:p>
    <w:p w:rsidR="00F763A7" w:rsidRPr="00F763A7" w:rsidRDefault="00F763A7" w:rsidP="00F763A7">
      <w:pPr>
        <w:spacing w:after="0" w:line="240" w:lineRule="auto"/>
        <w:rPr>
          <w:rFonts w:ascii="Verdana" w:eastAsia="Calibri" w:hAnsi="Verdana" w:cs="Calibri"/>
          <w:sz w:val="24"/>
          <w:szCs w:val="24"/>
        </w:rPr>
      </w:pPr>
    </w:p>
    <w:p w:rsidR="00F763A7" w:rsidRPr="00F763A7" w:rsidRDefault="00F763A7" w:rsidP="00F763A7">
      <w:pPr>
        <w:spacing w:after="0" w:line="240" w:lineRule="auto"/>
        <w:rPr>
          <w:rFonts w:ascii="Verdana" w:eastAsia="Calibri" w:hAnsi="Verdana" w:cs="Calibri"/>
          <w:i/>
          <w:iCs/>
          <w:sz w:val="24"/>
          <w:szCs w:val="24"/>
        </w:rPr>
      </w:pPr>
      <w:r w:rsidRPr="00F763A7">
        <w:rPr>
          <w:rFonts w:ascii="Verdana" w:eastAsia="Calibri" w:hAnsi="Verdana" w:cs="Calibri"/>
          <w:b/>
          <w:bCs/>
          <w:i/>
          <w:iCs/>
          <w:sz w:val="24"/>
          <w:szCs w:val="24"/>
        </w:rPr>
        <w:t>Keywords:</w:t>
      </w:r>
      <w:r w:rsidRPr="00F763A7">
        <w:rPr>
          <w:rFonts w:ascii="Verdana" w:eastAsia="Calibri" w:hAnsi="Verdana" w:cs="Calibri"/>
          <w:i/>
          <w:iCs/>
          <w:sz w:val="24"/>
          <w:szCs w:val="24"/>
        </w:rPr>
        <w:t xml:space="preserve"> Generator, Disaster Recovery</w:t>
      </w:r>
    </w:p>
    <w:p w:rsidR="00F763A7" w:rsidRPr="00F763A7" w:rsidRDefault="00F763A7" w:rsidP="00F763A7">
      <w:pPr>
        <w:spacing w:after="0" w:line="240" w:lineRule="auto"/>
        <w:rPr>
          <w:rFonts w:ascii="Verdana" w:eastAsia="Calibri" w:hAnsi="Verdana" w:cs="Calibri"/>
          <w:b/>
          <w:bCs/>
          <w:sz w:val="24"/>
          <w:szCs w:val="24"/>
        </w:rPr>
      </w:pPr>
    </w:p>
    <w:p w:rsidR="00F763A7" w:rsidRPr="00F763A7" w:rsidRDefault="00F763A7" w:rsidP="00F763A7">
      <w:pPr>
        <w:spacing w:after="0" w:line="240" w:lineRule="auto"/>
        <w:rPr>
          <w:rFonts w:ascii="Verdana" w:eastAsia="Calibri" w:hAnsi="Verdana" w:cs="Calibri"/>
          <w:color w:val="0000FF"/>
          <w:sz w:val="24"/>
          <w:szCs w:val="24"/>
          <w:u w:val="single"/>
        </w:rPr>
      </w:pPr>
      <w:hyperlink w:anchor="_top" w:history="1">
        <w:r w:rsidRPr="00F763A7">
          <w:rPr>
            <w:rFonts w:ascii="Verdana" w:eastAsia="Calibri" w:hAnsi="Verdana" w:cs="Calibri"/>
            <w:color w:val="0000FF"/>
            <w:sz w:val="24"/>
            <w:szCs w:val="24"/>
            <w:u w:val="single"/>
          </w:rPr>
          <w:t>Back to top</w:t>
        </w:r>
      </w:hyperlink>
    </w:p>
    <w:p w:rsidR="00F763A7" w:rsidRPr="00F763A7" w:rsidRDefault="00F763A7" w:rsidP="00F763A7">
      <w:pPr>
        <w:spacing w:after="0" w:line="240" w:lineRule="auto"/>
        <w:rPr>
          <w:rFonts w:ascii="Verdana" w:eastAsia="Calibri" w:hAnsi="Verdana" w:cs="Calibri"/>
          <w:color w:val="0000FF"/>
          <w:sz w:val="24"/>
          <w:szCs w:val="24"/>
          <w:u w:val="single"/>
        </w:rPr>
      </w:pPr>
    </w:p>
    <w:p w:rsidR="00F763A7" w:rsidRPr="00F763A7" w:rsidRDefault="00F763A7" w:rsidP="00F763A7">
      <w:pPr>
        <w:spacing w:after="0" w:line="240" w:lineRule="auto"/>
        <w:rPr>
          <w:rFonts w:ascii="Verdana" w:eastAsia="Calibri" w:hAnsi="Verdana" w:cs="Calibri"/>
          <w:b/>
          <w:bCs/>
          <w:caps/>
          <w:sz w:val="28"/>
          <w:szCs w:val="28"/>
          <w:u w:val="single"/>
        </w:rPr>
      </w:pPr>
      <w:bookmarkStart w:id="3" w:name="_Toc494289406"/>
      <w:bookmarkStart w:id="4" w:name="_Toc463595046"/>
      <w:bookmarkStart w:id="5" w:name="_Toc333920723"/>
      <w:r w:rsidRPr="00F763A7">
        <w:rPr>
          <w:rFonts w:ascii="Verdana" w:eastAsia="Calibri" w:hAnsi="Verdana" w:cs="Calibri"/>
          <w:b/>
          <w:bCs/>
          <w:caps/>
          <w:sz w:val="28"/>
          <w:szCs w:val="28"/>
          <w:u w:val="single"/>
        </w:rPr>
        <w:t>Document Links Included In This Blast</w:t>
      </w:r>
      <w:bookmarkEnd w:id="3"/>
      <w:bookmarkEnd w:id="4"/>
      <w:bookmarkEnd w:id="5"/>
    </w:p>
    <w:p w:rsidR="00F763A7" w:rsidRPr="00F763A7" w:rsidRDefault="00F763A7" w:rsidP="00F763A7">
      <w:pPr>
        <w:spacing w:after="0" w:line="240" w:lineRule="auto"/>
        <w:rPr>
          <w:rFonts w:ascii="Verdana" w:eastAsia="Calibri" w:hAnsi="Verdana" w:cs="Calibri"/>
          <w:sz w:val="24"/>
          <w:szCs w:val="24"/>
        </w:rPr>
      </w:pPr>
    </w:p>
    <w:p w:rsidR="00F763A7" w:rsidRPr="00F763A7" w:rsidRDefault="00F763A7" w:rsidP="00F763A7">
      <w:pPr>
        <w:numPr>
          <w:ilvl w:val="0"/>
          <w:numId w:val="1"/>
        </w:numPr>
        <w:spacing w:after="0" w:line="240" w:lineRule="auto"/>
        <w:rPr>
          <w:rFonts w:ascii="Verdana" w:eastAsia="Times New Roman" w:hAnsi="Verdana" w:cs="Calibri"/>
          <w:color w:val="000000"/>
          <w:sz w:val="24"/>
          <w:szCs w:val="24"/>
        </w:rPr>
      </w:pPr>
      <w:hyperlink r:id="rId8" w:history="1">
        <w:r w:rsidRPr="00F763A7">
          <w:rPr>
            <w:rFonts w:ascii="Verdana" w:eastAsia="Times New Roman" w:hAnsi="Verdana" w:cs="Calibri"/>
            <w:color w:val="0000FF"/>
            <w:sz w:val="24"/>
            <w:szCs w:val="24"/>
            <w:u w:val="single"/>
          </w:rPr>
          <w:t>Florida Emergency Action to Force ALF/Nursing Homes to Have Generators</w:t>
        </w:r>
      </w:hyperlink>
    </w:p>
    <w:p w:rsidR="00F763A7" w:rsidRPr="00F763A7" w:rsidRDefault="00F763A7" w:rsidP="00F763A7">
      <w:pPr>
        <w:spacing w:after="0" w:line="240" w:lineRule="auto"/>
        <w:rPr>
          <w:rFonts w:ascii="Verdana" w:eastAsia="Calibri" w:hAnsi="Verdana" w:cs="Calibri"/>
          <w:color w:val="0000FF"/>
          <w:sz w:val="24"/>
          <w:szCs w:val="24"/>
          <w:u w:val="single"/>
        </w:rPr>
      </w:pPr>
    </w:p>
    <w:p w:rsidR="00F763A7" w:rsidRPr="00F763A7" w:rsidRDefault="00F763A7" w:rsidP="00F763A7">
      <w:pPr>
        <w:spacing w:after="0" w:line="240" w:lineRule="auto"/>
        <w:jc w:val="center"/>
        <w:rPr>
          <w:rFonts w:ascii="Verdana" w:eastAsia="Calibri" w:hAnsi="Verdana" w:cs="Calibri"/>
          <w:color w:val="000000"/>
        </w:rPr>
      </w:pPr>
      <w:r w:rsidRPr="00F763A7">
        <w:rPr>
          <w:rFonts w:ascii="Verdana" w:eastAsia="Calibri" w:hAnsi="Verdana" w:cs="Calibri"/>
          <w:b/>
          <w:bCs/>
          <w:noProof/>
          <w:color w:val="1F497D"/>
        </w:rPr>
        <w:drawing>
          <wp:inline distT="0" distB="0" distL="0" distR="0" wp14:anchorId="6C94AB05" wp14:editId="4912D05C">
            <wp:extent cx="5724525" cy="95250"/>
            <wp:effectExtent l="0" t="0" r="9525" b="0"/>
            <wp:docPr id="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24525" cy="95250"/>
                    </a:xfrm>
                    <a:prstGeom prst="rect">
                      <a:avLst/>
                    </a:prstGeom>
                    <a:noFill/>
                    <a:ln>
                      <a:noFill/>
                    </a:ln>
                  </pic:spPr>
                </pic:pic>
              </a:graphicData>
            </a:graphic>
          </wp:inline>
        </w:drawing>
      </w:r>
    </w:p>
    <w:p w:rsidR="00F763A7" w:rsidRPr="00F763A7" w:rsidRDefault="00F763A7" w:rsidP="00F763A7">
      <w:pPr>
        <w:spacing w:after="0" w:line="240" w:lineRule="auto"/>
        <w:rPr>
          <w:rFonts w:ascii="Calibri" w:eastAsia="Calibri" w:hAnsi="Calibri" w:cs="Calibri"/>
        </w:rPr>
      </w:pPr>
    </w:p>
    <w:p w:rsidR="00F763A7" w:rsidRPr="00F763A7" w:rsidRDefault="00F763A7" w:rsidP="00F763A7">
      <w:pPr>
        <w:spacing w:before="100" w:beforeAutospacing="1" w:after="100" w:afterAutospacing="1" w:line="240" w:lineRule="auto"/>
        <w:rPr>
          <w:rFonts w:ascii="Calibri" w:eastAsia="Calibri" w:hAnsi="Calibri" w:cs="Calibri"/>
        </w:rPr>
      </w:pPr>
      <w:r w:rsidRPr="00F763A7">
        <w:rPr>
          <w:rFonts w:ascii="Calibri" w:eastAsia="Calibri" w:hAnsi="Calibri" w:cs="Calibri"/>
        </w:rPr>
        <w:t xml:space="preserve">Past Lean 232 Updates are </w:t>
      </w:r>
      <w:hyperlink r:id="rId9" w:history="1">
        <w:r w:rsidRPr="00F763A7">
          <w:rPr>
            <w:rFonts w:ascii="Calibri" w:eastAsia="Calibri" w:hAnsi="Calibri" w:cs="Calibri"/>
            <w:color w:val="0000FF"/>
            <w:u w:val="single"/>
          </w:rPr>
          <w:t>available online</w:t>
        </w:r>
      </w:hyperlink>
      <w:r w:rsidRPr="00F763A7">
        <w:rPr>
          <w:rFonts w:ascii="Calibri" w:eastAsia="Calibri" w:hAnsi="Calibri" w:cs="Calibri"/>
        </w:rPr>
        <w:t>.</w:t>
      </w:r>
    </w:p>
    <w:p w:rsidR="00F763A7" w:rsidRPr="00F763A7" w:rsidRDefault="00F763A7" w:rsidP="00F763A7">
      <w:pPr>
        <w:spacing w:before="100" w:beforeAutospacing="1" w:after="100" w:afterAutospacing="1" w:line="240" w:lineRule="auto"/>
        <w:rPr>
          <w:rFonts w:ascii="Calibri" w:eastAsia="Calibri" w:hAnsi="Calibri" w:cs="Calibri"/>
        </w:rPr>
      </w:pPr>
      <w:r w:rsidRPr="00F763A7">
        <w:rPr>
          <w:rFonts w:ascii="Calibri" w:eastAsia="Calibri" w:hAnsi="Calibri" w:cs="Calibri"/>
        </w:rPr>
        <w:t xml:space="preserve">Have questions about the Lean 232 Program? Please contact </w:t>
      </w:r>
      <w:hyperlink r:id="rId10" w:history="1">
        <w:r w:rsidRPr="00F763A7">
          <w:rPr>
            <w:rFonts w:ascii="Calibri" w:eastAsia="Calibri" w:hAnsi="Calibri" w:cs="Calibri"/>
            <w:color w:val="0000FF"/>
            <w:u w:val="single"/>
          </w:rPr>
          <w:t>LeanThinking@hud.gov</w:t>
        </w:r>
      </w:hyperlink>
      <w:r w:rsidRPr="00F763A7">
        <w:rPr>
          <w:rFonts w:ascii="Calibri" w:eastAsia="Calibri" w:hAnsi="Calibri" w:cs="Calibri"/>
        </w:rPr>
        <w:t>.</w:t>
      </w:r>
    </w:p>
    <w:p w:rsidR="00F763A7" w:rsidRPr="00F763A7" w:rsidRDefault="00F763A7" w:rsidP="00F763A7">
      <w:pPr>
        <w:spacing w:before="100" w:beforeAutospacing="1" w:after="100" w:afterAutospacing="1" w:line="240" w:lineRule="auto"/>
        <w:rPr>
          <w:rFonts w:ascii="Calibri" w:eastAsia="Calibri" w:hAnsi="Calibri" w:cs="Calibri"/>
        </w:rPr>
      </w:pPr>
      <w:r w:rsidRPr="00F763A7">
        <w:rPr>
          <w:rFonts w:ascii="Calibri" w:eastAsia="Calibri" w:hAnsi="Calibri" w:cs="Calibri"/>
        </w:rPr>
        <w:t xml:space="preserve">For more information on the Lean 232 Program, check out: </w:t>
      </w:r>
      <w:hyperlink r:id="rId11" w:history="1">
        <w:r w:rsidRPr="00F763A7">
          <w:rPr>
            <w:rFonts w:ascii="Calibri" w:eastAsia="Calibri" w:hAnsi="Calibri" w:cs="Calibri"/>
            <w:color w:val="0000FF"/>
            <w:u w:val="single"/>
          </w:rPr>
          <w:t>http://www.hud.gov/healthcare</w:t>
        </w:r>
      </w:hyperlink>
      <w:r w:rsidRPr="00F763A7">
        <w:rPr>
          <w:rFonts w:ascii="Calibri" w:eastAsia="Calibri" w:hAnsi="Calibri" w:cs="Calibri"/>
        </w:rPr>
        <w:t>.</w:t>
      </w:r>
    </w:p>
    <w:p w:rsidR="00F763A7" w:rsidRPr="00F763A7" w:rsidRDefault="00F763A7" w:rsidP="00F763A7">
      <w:pPr>
        <w:spacing w:before="100" w:beforeAutospacing="1" w:after="100" w:afterAutospacing="1" w:line="240" w:lineRule="auto"/>
        <w:rPr>
          <w:rFonts w:ascii="Calibri" w:eastAsia="Calibri" w:hAnsi="Calibri" w:cs="Calibri"/>
        </w:rPr>
      </w:pPr>
      <w:r w:rsidRPr="00F763A7">
        <w:rPr>
          <w:rFonts w:ascii="Calibri" w:eastAsia="Calibri" w:hAnsi="Calibri" w:cs="Calibri"/>
        </w:rPr>
        <w:t xml:space="preserve">Have your loan servicing colleagues joined our email list? The Email Blasts contain information relevant to them as well. You might suggest they </w:t>
      </w:r>
      <w:hyperlink r:id="rId12" w:history="1">
        <w:r w:rsidRPr="00F763A7">
          <w:rPr>
            <w:rFonts w:ascii="Calibri" w:eastAsia="Calibri" w:hAnsi="Calibri" w:cs="Calibri"/>
            <w:color w:val="0000FF"/>
            <w:u w:val="single"/>
          </w:rPr>
          <w:t>Join here</w:t>
        </w:r>
      </w:hyperlink>
      <w:r w:rsidRPr="00F763A7">
        <w:rPr>
          <w:rFonts w:ascii="Calibri" w:eastAsia="Calibri" w:hAnsi="Calibri" w:cs="Calibri"/>
        </w:rPr>
        <w:t>.</w:t>
      </w:r>
    </w:p>
    <w:p w:rsidR="00F763A7" w:rsidRPr="00F763A7" w:rsidRDefault="00F763A7" w:rsidP="00F763A7">
      <w:pPr>
        <w:spacing w:after="0" w:line="240" w:lineRule="auto"/>
        <w:rPr>
          <w:rFonts w:ascii="Calibri" w:eastAsia="Times New Roman" w:hAnsi="Calibri" w:cs="Calibri"/>
        </w:rPr>
      </w:pPr>
    </w:p>
    <w:p w:rsidR="00F763A7" w:rsidRPr="00F763A7" w:rsidRDefault="00F763A7" w:rsidP="00F763A7">
      <w:pPr>
        <w:spacing w:before="100" w:beforeAutospacing="1" w:after="100" w:afterAutospacing="1" w:line="240" w:lineRule="auto"/>
        <w:rPr>
          <w:rFonts w:ascii="Calibri" w:eastAsia="Calibri" w:hAnsi="Calibri" w:cs="Calibri"/>
        </w:rPr>
      </w:pPr>
      <w:r w:rsidRPr="00F763A7">
        <w:rPr>
          <w:rFonts w:ascii="Calibri" w:eastAsia="Calibri" w:hAnsi="Calibri" w:cs="Calibri"/>
        </w:rPr>
        <w:t xml:space="preserve">We hope that you will want to continue receiving information from HUD. </w:t>
      </w:r>
      <w:r w:rsidRPr="00F763A7">
        <w:rPr>
          <w:rFonts w:ascii="Calibri" w:eastAsia="Calibri" w:hAnsi="Calibri" w:cs="Calibri"/>
        </w:rPr>
        <w:br/>
        <w:t xml:space="preserve">We safeguard our lists and do not rent, sell, or permit the use of our lists by others, at any time, for any reason. </w:t>
      </w:r>
      <w:r w:rsidRPr="00F763A7">
        <w:rPr>
          <w:rFonts w:ascii="Calibri" w:eastAsia="Calibri" w:hAnsi="Calibri" w:cs="Calibri"/>
        </w:rPr>
        <w:br/>
      </w:r>
      <w:r w:rsidRPr="00F763A7">
        <w:rPr>
          <w:rFonts w:ascii="Calibri" w:eastAsia="Calibri" w:hAnsi="Calibri" w:cs="Calibri"/>
        </w:rPr>
        <w:br/>
        <w:t xml:space="preserve">Connect with HUD on </w:t>
      </w:r>
      <w:hyperlink r:id="rId13" w:history="1">
        <w:r w:rsidRPr="00F763A7">
          <w:rPr>
            <w:rFonts w:ascii="Calibri" w:eastAsia="Calibri" w:hAnsi="Calibri" w:cs="Calibri"/>
            <w:color w:val="0000FF"/>
            <w:u w:val="single"/>
          </w:rPr>
          <w:t>Social Media</w:t>
        </w:r>
      </w:hyperlink>
      <w:r w:rsidRPr="00F763A7">
        <w:rPr>
          <w:rFonts w:ascii="Calibri" w:eastAsia="Calibri" w:hAnsi="Calibri" w:cs="Calibri"/>
        </w:rPr>
        <w:t xml:space="preserve"> and follow Secretary Carson on </w:t>
      </w:r>
      <w:hyperlink r:id="rId14" w:history="1">
        <w:r w:rsidRPr="00F763A7">
          <w:rPr>
            <w:rFonts w:ascii="Calibri" w:eastAsia="Calibri" w:hAnsi="Calibri" w:cs="Calibri"/>
            <w:color w:val="0000FF"/>
            <w:u w:val="single"/>
          </w:rPr>
          <w:t>Twitter</w:t>
        </w:r>
      </w:hyperlink>
      <w:r w:rsidRPr="00F763A7">
        <w:rPr>
          <w:rFonts w:ascii="Calibri" w:eastAsia="Calibri" w:hAnsi="Calibri" w:cs="Calibri"/>
        </w:rPr>
        <w:t xml:space="preserve"> and </w:t>
      </w:r>
      <w:hyperlink r:id="rId15" w:history="1">
        <w:r w:rsidRPr="00F763A7">
          <w:rPr>
            <w:rFonts w:ascii="Calibri" w:eastAsia="Calibri" w:hAnsi="Calibri" w:cs="Calibri"/>
            <w:color w:val="0000FF"/>
            <w:u w:val="single"/>
          </w:rPr>
          <w:t>Facebook</w:t>
        </w:r>
      </w:hyperlink>
      <w:r w:rsidRPr="00F763A7">
        <w:rPr>
          <w:rFonts w:ascii="Calibri" w:eastAsia="Calibri" w:hAnsi="Calibri" w:cs="Calibri"/>
        </w:rPr>
        <w:t>.</w:t>
      </w:r>
    </w:p>
    <w:p w:rsidR="00F763A7" w:rsidRPr="00F763A7" w:rsidRDefault="00F763A7" w:rsidP="00F763A7">
      <w:pPr>
        <w:spacing w:before="100" w:beforeAutospacing="1" w:after="100" w:afterAutospacing="1" w:line="240" w:lineRule="auto"/>
        <w:rPr>
          <w:rFonts w:ascii="Calibri" w:eastAsia="Calibri" w:hAnsi="Calibri" w:cs="Calibri"/>
        </w:rPr>
      </w:pPr>
      <w:r w:rsidRPr="00F763A7">
        <w:rPr>
          <w:rFonts w:ascii="Calibri" w:eastAsia="Calibri" w:hAnsi="Calibri" w:cs="Calibri"/>
        </w:rPr>
        <w:t xml:space="preserve">If you wish to be taken off this mail list, please </w:t>
      </w:r>
      <w:hyperlink r:id="rId16" w:history="1">
        <w:r w:rsidRPr="00F763A7">
          <w:rPr>
            <w:rFonts w:ascii="Calibri" w:eastAsia="Calibri" w:hAnsi="Calibri" w:cs="Calibri"/>
            <w:color w:val="0000FF"/>
            <w:u w:val="single"/>
          </w:rPr>
          <w:t>go here</w:t>
        </w:r>
      </w:hyperlink>
      <w:r w:rsidRPr="00F763A7">
        <w:rPr>
          <w:rFonts w:ascii="Calibri" w:eastAsia="Calibri" w:hAnsi="Calibri" w:cs="Calibri"/>
        </w:rPr>
        <w:t>.</w:t>
      </w:r>
    </w:p>
    <w:p w:rsidR="001B5508" w:rsidRDefault="00F763A7">
      <w:bookmarkStart w:id="6" w:name="_GoBack"/>
      <w:bookmarkEnd w:id="6"/>
    </w:p>
    <w:sectPr w:rsidR="001B5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A7"/>
    <w:rsid w:val="00062AA0"/>
    <w:rsid w:val="007A25A9"/>
    <w:rsid w:val="009B5008"/>
    <w:rsid w:val="00C3344C"/>
    <w:rsid w:val="00F7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8348F-1E7E-4757-9197-C21751C3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gov.com/2017/09/16/gov-scott-i-am-aggressively-fighting-to-keep-vulnerable-floridians-safe-during-emergencies/" TargetMode="External"/><Relationship Id="rId13" Type="http://schemas.openxmlformats.org/officeDocument/2006/relationships/hyperlink" Target="https://www.hud.gov/program_offices/public_affairs/socialmed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gov.com/2017/09/16/gov-scott-i-am-aggressively-fighting-to-keep-vulnerable-floridians-safe-during-emergencies/" TargetMode="External"/><Relationship Id="rId12" Type="http://schemas.openxmlformats.org/officeDocument/2006/relationships/hyperlink" Target="http://portal.hud.gov/hudportal/HUD?src=/subscribe/signup&amp;listname=Lean%20232%20Updates&amp;list=LEAN-232-UPDATES-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rtal.hud.gov/hudportal/HUD?src=/subscribe/signup&amp;listname=Lean%20232%20Updates&amp;list=LEAN-232-UPDATES-L" TargetMode="External"/><Relationship Id="rId1" Type="http://schemas.openxmlformats.org/officeDocument/2006/relationships/numbering" Target="numbering.xml"/><Relationship Id="rId6" Type="http://schemas.openxmlformats.org/officeDocument/2006/relationships/image" Target="cid:image001.png@01D33830.D4BA6F50" TargetMode="External"/><Relationship Id="rId11" Type="http://schemas.openxmlformats.org/officeDocument/2006/relationships/hyperlink" Target="http://www.hud.gov/healthcare" TargetMode="External"/><Relationship Id="rId5" Type="http://schemas.openxmlformats.org/officeDocument/2006/relationships/image" Target="media/image1.gif"/><Relationship Id="rId15" Type="http://schemas.openxmlformats.org/officeDocument/2006/relationships/hyperlink" Target="https://www.facebook.com/SecretaryCarson" TargetMode="External"/><Relationship Id="rId10" Type="http://schemas.openxmlformats.org/officeDocument/2006/relationships/hyperlink" Target="mailto:LeanThinking@hud.gov" TargetMode="External"/><Relationship Id="rId4" Type="http://schemas.openxmlformats.org/officeDocument/2006/relationships/webSettings" Target="webSettings.xml"/><Relationship Id="rId9" Type="http://schemas.openxmlformats.org/officeDocument/2006/relationships/hyperlink" Target="http://portal.hud.gov/hudportal/HUD?src=/federal_housing_administration/healthcare_facilities/residential_care/mail_blast_index" TargetMode="External"/><Relationship Id="rId14" Type="http://schemas.openxmlformats.org/officeDocument/2006/relationships/hyperlink" Target="https://twitter.com/secretaryca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2017-09-28T12:12:00Z</dcterms:created>
  <dcterms:modified xsi:type="dcterms:W3CDTF">2017-09-28T12:13:00Z</dcterms:modified>
</cp:coreProperties>
</file>