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2ACBB987" w:rsidR="00743DDB" w:rsidRPr="001F5102" w:rsidRDefault="000B6F74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September </w:t>
      </w:r>
      <w:r w:rsidR="004C7957">
        <w:rPr>
          <w:rFonts w:ascii="Arial" w:hAnsi="Arial" w:cs="Arial"/>
          <w:iCs/>
          <w:sz w:val="28"/>
          <w:szCs w:val="28"/>
        </w:rPr>
        <w:t>24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6516EB">
        <w:rPr>
          <w:rFonts w:ascii="Arial" w:hAnsi="Arial" w:cs="Arial"/>
          <w:iCs/>
          <w:sz w:val="28"/>
          <w:szCs w:val="28"/>
        </w:rPr>
        <w:t>1</w:t>
      </w:r>
    </w:p>
    <w:p w14:paraId="6E0E6041" w14:textId="72E5158A" w:rsidR="00E55131" w:rsidRPr="00AB4A29" w:rsidRDefault="00E55131" w:rsidP="00863472">
      <w:pPr>
        <w:pStyle w:val="NoSpacing"/>
        <w:rPr>
          <w:rFonts w:ascii="Arial" w:hAnsi="Arial" w:cs="Arial"/>
          <w:b/>
          <w:i/>
          <w:sz w:val="24"/>
          <w:szCs w:val="24"/>
          <w:u w:val="single"/>
        </w:rPr>
      </w:pPr>
    </w:p>
    <w:p w14:paraId="59783C3A" w14:textId="55801E13" w:rsidR="00AB4A29" w:rsidRPr="00AB4A29" w:rsidRDefault="00AB4A29" w:rsidP="00863472">
      <w:pPr>
        <w:pStyle w:val="NoSpacing"/>
        <w:rPr>
          <w:rFonts w:ascii="Arial" w:hAnsi="Arial" w:cs="Arial"/>
          <w:bCs/>
          <w:iCs/>
          <w:color w:val="000066"/>
          <w:sz w:val="24"/>
          <w:szCs w:val="24"/>
        </w:rPr>
      </w:pPr>
      <w:r w:rsidRPr="00AB4A29">
        <w:rPr>
          <w:rFonts w:ascii="Arial" w:hAnsi="Arial" w:cs="Arial"/>
          <w:bCs/>
          <w:iCs/>
          <w:color w:val="000066"/>
          <w:sz w:val="24"/>
          <w:szCs w:val="24"/>
        </w:rPr>
        <w:t>In this Update</w:t>
      </w:r>
    </w:p>
    <w:p w14:paraId="2F0EB2D1" w14:textId="77777777" w:rsidR="00AB4A29" w:rsidRPr="00AB4A29" w:rsidRDefault="00AB4A29" w:rsidP="00863472">
      <w:pPr>
        <w:pStyle w:val="NoSpacing"/>
        <w:rPr>
          <w:rFonts w:ascii="Arial" w:hAnsi="Arial" w:cs="Arial"/>
          <w:b/>
          <w:i/>
          <w:sz w:val="24"/>
          <w:szCs w:val="24"/>
          <w:u w:val="single"/>
        </w:rPr>
      </w:pPr>
    </w:p>
    <w:p w14:paraId="73B44824" w14:textId="77777777" w:rsidR="00AB4A29" w:rsidRPr="00AB4A29" w:rsidRDefault="00396DB3" w:rsidP="00AB4A29">
      <w:pPr>
        <w:pStyle w:val="TOC1"/>
        <w:numPr>
          <w:ilvl w:val="0"/>
          <w:numId w:val="36"/>
        </w:numPr>
        <w:spacing w:before="120"/>
        <w:rPr>
          <w:rFonts w:ascii="Arial" w:eastAsiaTheme="minorEastAsia" w:hAnsi="Arial" w:cs="Arial"/>
          <w:noProof/>
          <w:color w:val="000066"/>
          <w:sz w:val="22"/>
        </w:rPr>
      </w:pPr>
      <w:r w:rsidRPr="00AB4A29">
        <w:rPr>
          <w:rFonts w:ascii="Arial" w:hAnsi="Arial" w:cs="Arial"/>
          <w:i/>
          <w:color w:val="000066"/>
        </w:rPr>
        <w:fldChar w:fldCharType="begin"/>
      </w:r>
      <w:r w:rsidRPr="00AB4A29">
        <w:rPr>
          <w:rFonts w:ascii="Arial" w:hAnsi="Arial" w:cs="Arial"/>
          <w:i/>
          <w:color w:val="000066"/>
        </w:rPr>
        <w:instrText xml:space="preserve"> TOC \o "1-3" \n \h \z \u </w:instrText>
      </w:r>
      <w:r w:rsidRPr="00AB4A29">
        <w:rPr>
          <w:rFonts w:ascii="Arial" w:hAnsi="Arial" w:cs="Arial"/>
          <w:i/>
          <w:color w:val="000066"/>
        </w:rPr>
        <w:fldChar w:fldCharType="separate"/>
      </w:r>
      <w:hyperlink w:anchor="_Toc83375564" w:history="1">
        <w:r w:rsidR="00AB4A29" w:rsidRPr="00AB4A29">
          <w:rPr>
            <w:rStyle w:val="Hyperlink"/>
            <w:rFonts w:ascii="Arial" w:hAnsi="Arial" w:cs="Arial"/>
            <w:noProof/>
            <w:color w:val="000066"/>
          </w:rPr>
          <w:t>Experience of Principals in Corporate Credit Reviews</w:t>
        </w:r>
      </w:hyperlink>
    </w:p>
    <w:p w14:paraId="664070BB" w14:textId="77777777" w:rsidR="00AB4A29" w:rsidRPr="00AB4A29" w:rsidRDefault="001312F3" w:rsidP="00AB4A29">
      <w:pPr>
        <w:pStyle w:val="TOC1"/>
        <w:numPr>
          <w:ilvl w:val="0"/>
          <w:numId w:val="36"/>
        </w:numPr>
        <w:spacing w:before="120"/>
        <w:rPr>
          <w:rFonts w:ascii="Arial" w:eastAsiaTheme="minorEastAsia" w:hAnsi="Arial" w:cs="Arial"/>
          <w:noProof/>
          <w:color w:val="000066"/>
          <w:sz w:val="22"/>
        </w:rPr>
      </w:pPr>
      <w:hyperlink w:anchor="_Toc83375565" w:history="1">
        <w:r w:rsidR="00AB4A29" w:rsidRPr="00AB4A29">
          <w:rPr>
            <w:rStyle w:val="Hyperlink"/>
            <w:rFonts w:ascii="Arial" w:hAnsi="Arial" w:cs="Arial"/>
            <w:noProof/>
            <w:color w:val="000066"/>
          </w:rPr>
          <w:t>ORCF Webinar Presentation Focusing Primarily on Asset Management Matters - October 21, 2021, 2:00 p.m. EST</w:t>
        </w:r>
      </w:hyperlink>
    </w:p>
    <w:p w14:paraId="6E0E6047" w14:textId="5131A640" w:rsidR="00743DDB" w:rsidRPr="001F5102" w:rsidRDefault="00396DB3" w:rsidP="00AB4A29">
      <w:pPr>
        <w:spacing w:before="120"/>
        <w:rPr>
          <w:rFonts w:ascii="Arial" w:hAnsi="Arial" w:cs="Arial"/>
          <w:iCs/>
        </w:rPr>
      </w:pPr>
      <w:r w:rsidRPr="00AB4A29">
        <w:rPr>
          <w:rFonts w:ascii="Arial" w:hAnsi="Arial" w:cs="Arial"/>
          <w:i/>
          <w:color w:val="000066"/>
        </w:rPr>
        <w:fldChar w:fldCharType="end"/>
      </w:r>
    </w:p>
    <w:p w14:paraId="5A625462" w14:textId="77777777" w:rsidR="000112A7" w:rsidRPr="001F5102" w:rsidRDefault="000112A7" w:rsidP="00863472">
      <w:pPr>
        <w:rPr>
          <w:rFonts w:ascii="Arial" w:hAnsi="Arial" w:cs="Arial"/>
          <w:iCs/>
        </w:rPr>
      </w:pPr>
    </w:p>
    <w:p w14:paraId="69AE139F" w14:textId="0A39B2FB" w:rsidR="00AB4A29" w:rsidRPr="001A4EA8" w:rsidRDefault="00AB4A29" w:rsidP="00AB4A29">
      <w:pPr>
        <w:pStyle w:val="EmailBlast"/>
      </w:pPr>
      <w:bookmarkStart w:id="1" w:name="_Toc380585836"/>
      <w:bookmarkStart w:id="2" w:name="_Toc83375564"/>
      <w:bookmarkEnd w:id="0"/>
      <w:bookmarkEnd w:id="1"/>
      <w:r w:rsidRPr="001A4EA8">
        <w:rPr>
          <w:szCs w:val="24"/>
        </w:rPr>
        <w:t>E</w:t>
      </w:r>
      <w:r>
        <w:rPr>
          <w:szCs w:val="24"/>
        </w:rPr>
        <w:t>xperience of</w:t>
      </w:r>
      <w:r w:rsidRPr="001A4EA8">
        <w:rPr>
          <w:szCs w:val="24"/>
        </w:rPr>
        <w:t xml:space="preserve"> P</w:t>
      </w:r>
      <w:r>
        <w:rPr>
          <w:szCs w:val="24"/>
        </w:rPr>
        <w:t>rincipals in</w:t>
      </w:r>
      <w:r w:rsidRPr="001A4EA8">
        <w:rPr>
          <w:szCs w:val="24"/>
        </w:rPr>
        <w:t xml:space="preserve"> C</w:t>
      </w:r>
      <w:r>
        <w:rPr>
          <w:szCs w:val="24"/>
        </w:rPr>
        <w:t>orporate</w:t>
      </w:r>
      <w:r w:rsidRPr="001A4EA8">
        <w:rPr>
          <w:szCs w:val="24"/>
        </w:rPr>
        <w:t xml:space="preserve"> C</w:t>
      </w:r>
      <w:r>
        <w:rPr>
          <w:szCs w:val="24"/>
        </w:rPr>
        <w:t>redit</w:t>
      </w:r>
      <w:r w:rsidRPr="001A4EA8">
        <w:rPr>
          <w:szCs w:val="24"/>
        </w:rPr>
        <w:t xml:space="preserve"> R</w:t>
      </w:r>
      <w:r>
        <w:rPr>
          <w:szCs w:val="24"/>
        </w:rPr>
        <w:t>eviews</w:t>
      </w:r>
      <w:bookmarkEnd w:id="2"/>
    </w:p>
    <w:p w14:paraId="5633B904" w14:textId="77777777" w:rsidR="00AB4A29" w:rsidRPr="001A4EA8" w:rsidRDefault="00AB4A29" w:rsidP="00AB4A29">
      <w:pPr>
        <w:rPr>
          <w:rFonts w:ascii="Arial" w:hAnsi="Arial" w:cs="Arial"/>
          <w:szCs w:val="24"/>
        </w:rPr>
      </w:pPr>
      <w:r w:rsidRPr="001A4EA8">
        <w:rPr>
          <w:rFonts w:ascii="Arial" w:hAnsi="Arial" w:cs="Arial"/>
          <w:szCs w:val="24"/>
        </w:rPr>
        <w:t>Handbook</w:t>
      </w:r>
      <w:r>
        <w:rPr>
          <w:rFonts w:ascii="Arial" w:hAnsi="Arial" w:cs="Arial"/>
          <w:szCs w:val="24"/>
        </w:rPr>
        <w:t xml:space="preserve"> 4232.1</w:t>
      </w:r>
      <w:r w:rsidRPr="001A4EA8">
        <w:rPr>
          <w:rFonts w:ascii="Arial" w:hAnsi="Arial" w:cs="Arial"/>
          <w:szCs w:val="24"/>
        </w:rPr>
        <w:t>, Section II, Chapter 17 describes the purpose of and requirements for corporate credit reviews</w:t>
      </w:r>
      <w:r>
        <w:rPr>
          <w:rFonts w:ascii="Arial" w:hAnsi="Arial" w:cs="Arial"/>
          <w:szCs w:val="24"/>
        </w:rPr>
        <w:t>. Corporate credit reviews are required when g</w:t>
      </w:r>
      <w:r w:rsidRPr="001A4EA8">
        <w:rPr>
          <w:rFonts w:ascii="Arial" w:hAnsi="Arial" w:cs="Arial"/>
          <w:szCs w:val="24"/>
        </w:rPr>
        <w:t>roups of individual FHA-insured loans above a certain threshold with common borrowers and related or non-related operators effectively concentrate a large amount of credit risk on a single parent entity</w:t>
      </w:r>
      <w:r>
        <w:rPr>
          <w:rFonts w:ascii="Arial" w:hAnsi="Arial" w:cs="Arial"/>
          <w:szCs w:val="24"/>
        </w:rPr>
        <w:t xml:space="preserve"> (Chapter 17.1, 17.3, 17.4)</w:t>
      </w:r>
      <w:r w:rsidRPr="001A4EA8">
        <w:rPr>
          <w:rFonts w:ascii="Arial" w:hAnsi="Arial" w:cs="Arial"/>
          <w:szCs w:val="24"/>
        </w:rPr>
        <w:t>. The purpose of a corporate credit review is to identify and mitigate the potential adverse impact of this risk. A key requirement referenced in the chapter is operation and ownership experience</w:t>
      </w:r>
      <w:r>
        <w:rPr>
          <w:rFonts w:ascii="Arial" w:hAnsi="Arial" w:cs="Arial"/>
          <w:szCs w:val="24"/>
        </w:rPr>
        <w:t xml:space="preserve"> (Chapter 17.7). </w:t>
      </w:r>
      <w:r w:rsidRPr="001A4EA8">
        <w:rPr>
          <w:rFonts w:ascii="Arial" w:hAnsi="Arial" w:cs="Arial"/>
          <w:szCs w:val="24"/>
        </w:rPr>
        <w:t xml:space="preserve">ORCF has performed numerous corporate credit reviews. Below are some </w:t>
      </w:r>
      <w:r w:rsidRPr="00AB4A29">
        <w:rPr>
          <w:rFonts w:ascii="Arial" w:hAnsi="Arial" w:cs="Arial"/>
          <w:szCs w:val="24"/>
        </w:rPr>
        <w:t>examples</w:t>
      </w:r>
      <w:r w:rsidRPr="00F2013A">
        <w:rPr>
          <w:rFonts w:ascii="Arial" w:hAnsi="Arial" w:cs="Arial"/>
          <w:szCs w:val="24"/>
        </w:rPr>
        <w:t xml:space="preserve"> </w:t>
      </w:r>
      <w:r w:rsidRPr="001A4EA8">
        <w:rPr>
          <w:rFonts w:ascii="Arial" w:hAnsi="Arial" w:cs="Arial"/>
          <w:szCs w:val="24"/>
        </w:rPr>
        <w:t xml:space="preserve">of the experience that has been demonstrated in corporate credit reviews that resulted in the issuance of a portfolio acceptance letter. </w:t>
      </w:r>
    </w:p>
    <w:p w14:paraId="194DAAC4" w14:textId="77777777" w:rsidR="00AB4A29" w:rsidRDefault="00AB4A29" w:rsidP="00AB4A29">
      <w:pPr>
        <w:pStyle w:val="ListParagraph"/>
        <w:numPr>
          <w:ilvl w:val="0"/>
          <w:numId w:val="33"/>
        </w:numPr>
        <w:spacing w:before="120" w:after="120"/>
        <w:rPr>
          <w:rFonts w:ascii="Arial" w:hAnsi="Arial" w:cs="Arial"/>
        </w:rPr>
      </w:pPr>
      <w:r w:rsidRPr="001A4EA8">
        <w:rPr>
          <w:rFonts w:ascii="Arial" w:hAnsi="Arial" w:cs="Arial"/>
        </w:rPr>
        <w:t>Principal’s experience owning and/or operating similar-type residential care facilities for a minimum of ten years</w:t>
      </w:r>
    </w:p>
    <w:p w14:paraId="539CF2A6" w14:textId="77777777" w:rsidR="00AB4A29" w:rsidRDefault="00AB4A29" w:rsidP="00AB4A29">
      <w:pPr>
        <w:pStyle w:val="ListParagraph"/>
        <w:numPr>
          <w:ilvl w:val="0"/>
          <w:numId w:val="33"/>
        </w:numPr>
        <w:spacing w:before="120" w:after="120"/>
        <w:rPr>
          <w:rFonts w:ascii="Arial" w:hAnsi="Arial" w:cs="Arial"/>
        </w:rPr>
      </w:pPr>
      <w:r w:rsidRPr="001A4EA8">
        <w:rPr>
          <w:rFonts w:ascii="Arial" w:hAnsi="Arial" w:cs="Arial"/>
        </w:rPr>
        <w:t>Principal’s demonstrated success in both acquisition and disposition of facilities</w:t>
      </w:r>
    </w:p>
    <w:p w14:paraId="4715B527" w14:textId="77777777" w:rsidR="00AB4A29" w:rsidRDefault="00AB4A29" w:rsidP="00AB4A29">
      <w:pPr>
        <w:pStyle w:val="ListParagraph"/>
        <w:numPr>
          <w:ilvl w:val="0"/>
          <w:numId w:val="33"/>
        </w:numPr>
        <w:spacing w:before="120" w:after="120"/>
        <w:rPr>
          <w:rFonts w:ascii="Arial" w:hAnsi="Arial" w:cs="Arial"/>
        </w:rPr>
      </w:pPr>
      <w:r w:rsidRPr="001A4EA8">
        <w:rPr>
          <w:rFonts w:ascii="Arial" w:hAnsi="Arial" w:cs="Arial"/>
        </w:rPr>
        <w:t>Majority of the principal’s portfolio consists of facilities strong financial performance sustained over a period of at least 5 years</w:t>
      </w:r>
    </w:p>
    <w:p w14:paraId="26D373C2" w14:textId="2651075F" w:rsidR="00AB4A29" w:rsidRDefault="00AB4A29" w:rsidP="000B6F74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A4EA8">
        <w:rPr>
          <w:rFonts w:ascii="Arial" w:hAnsi="Arial" w:cs="Arial"/>
        </w:rPr>
        <w:t>Majority of the principal’s portfolio facilities show strong quality of care indicators sustained over a period of at least 5 years</w:t>
      </w:r>
    </w:p>
    <w:p w14:paraId="0D948E53" w14:textId="77777777" w:rsidR="000B6F74" w:rsidRDefault="000B6F74" w:rsidP="000B6F74">
      <w:pPr>
        <w:pStyle w:val="ListParagraph"/>
        <w:rPr>
          <w:rFonts w:ascii="Arial" w:hAnsi="Arial" w:cs="Arial"/>
        </w:rPr>
      </w:pPr>
    </w:p>
    <w:p w14:paraId="190CA41C" w14:textId="77777777" w:rsidR="00AB4A29" w:rsidRPr="00C93185" w:rsidRDefault="00AB4A29" w:rsidP="000B6F74">
      <w:pPr>
        <w:rPr>
          <w:rFonts w:ascii="Arial" w:hAnsi="Arial" w:cs="Arial"/>
          <w:szCs w:val="24"/>
        </w:rPr>
      </w:pPr>
      <w:r w:rsidRPr="00C93185">
        <w:rPr>
          <w:rFonts w:ascii="Arial" w:hAnsi="Arial" w:cs="Arial"/>
        </w:rPr>
        <w:t xml:space="preserve">These are </w:t>
      </w:r>
      <w:r w:rsidRPr="00AB4A29">
        <w:rPr>
          <w:rFonts w:ascii="Arial" w:hAnsi="Arial" w:cs="Arial"/>
        </w:rPr>
        <w:t>examples</w:t>
      </w:r>
      <w:r w:rsidRPr="00F2013A">
        <w:rPr>
          <w:rFonts w:ascii="Arial" w:hAnsi="Arial" w:cs="Arial"/>
        </w:rPr>
        <w:t xml:space="preserve"> </w:t>
      </w:r>
      <w:r w:rsidRPr="00C93185">
        <w:rPr>
          <w:rFonts w:ascii="Arial" w:hAnsi="Arial" w:cs="Arial"/>
        </w:rPr>
        <w:t xml:space="preserve">of experience and are not </w:t>
      </w:r>
      <w:r>
        <w:rPr>
          <w:rFonts w:ascii="Arial" w:hAnsi="Arial" w:cs="Arial"/>
        </w:rPr>
        <w:t>new requirements</w:t>
      </w:r>
      <w:r w:rsidRPr="00C93185">
        <w:rPr>
          <w:rFonts w:ascii="Arial" w:hAnsi="Arial" w:cs="Arial"/>
        </w:rPr>
        <w:t>. </w:t>
      </w:r>
      <w:r>
        <w:rPr>
          <w:rFonts w:ascii="Arial" w:hAnsi="Arial" w:cs="Arial"/>
        </w:rPr>
        <w:t>L</w:t>
      </w:r>
      <w:r w:rsidRPr="00C93185">
        <w:rPr>
          <w:rFonts w:ascii="Arial" w:hAnsi="Arial" w:cs="Arial"/>
        </w:rPr>
        <w:t xml:space="preserve">enders are strongly discouraged from building unrealistic </w:t>
      </w:r>
      <w:r>
        <w:rPr>
          <w:rFonts w:ascii="Arial" w:hAnsi="Arial" w:cs="Arial"/>
        </w:rPr>
        <w:t xml:space="preserve">client </w:t>
      </w:r>
      <w:r w:rsidRPr="00C93185">
        <w:rPr>
          <w:rFonts w:ascii="Arial" w:hAnsi="Arial" w:cs="Arial"/>
        </w:rPr>
        <w:t xml:space="preserve">expectations regarding mid-size and large portfolios of recently acquired assets, and are encouraged to discuss the matter with ORCF before preparing a Corporate Credit Review package. </w:t>
      </w:r>
    </w:p>
    <w:p w14:paraId="307DCDB6" w14:textId="77777777" w:rsidR="00AB4A29" w:rsidRDefault="00AB4A29" w:rsidP="00AB4A29">
      <w:pPr>
        <w:rPr>
          <w:rFonts w:ascii="Arial" w:hAnsi="Arial" w:cs="Arial"/>
        </w:rPr>
      </w:pPr>
    </w:p>
    <w:p w14:paraId="4DC92CAB" w14:textId="082FBE43" w:rsidR="00AB4A29" w:rsidRPr="001F5102" w:rsidRDefault="00AB4A29" w:rsidP="00AB4A29">
      <w:pPr>
        <w:rPr>
          <w:rFonts w:ascii="Arial" w:hAnsi="Arial" w:cs="Arial"/>
          <w:i/>
          <w:iCs/>
          <w:szCs w:val="24"/>
        </w:rPr>
      </w:pPr>
      <w:r w:rsidRPr="001F5102">
        <w:rPr>
          <w:rFonts w:ascii="Arial" w:hAnsi="Arial" w:cs="Arial"/>
          <w:b/>
          <w:bCs/>
          <w:i/>
          <w:iCs/>
          <w:szCs w:val="24"/>
        </w:rPr>
        <w:lastRenderedPageBreak/>
        <w:t>Keywords:</w:t>
      </w:r>
      <w:r w:rsidRPr="001F5102">
        <w:rPr>
          <w:rFonts w:ascii="Arial" w:hAnsi="Arial" w:cs="Arial"/>
          <w:i/>
          <w:iCs/>
          <w:szCs w:val="24"/>
        </w:rPr>
        <w:t xml:space="preserve"> </w:t>
      </w:r>
      <w:r w:rsidR="005F6024">
        <w:rPr>
          <w:rFonts w:ascii="Arial" w:hAnsi="Arial" w:cs="Arial"/>
          <w:i/>
          <w:iCs/>
          <w:szCs w:val="24"/>
        </w:rPr>
        <w:t xml:space="preserve">Portfolios, </w:t>
      </w:r>
      <w:r>
        <w:rPr>
          <w:rFonts w:ascii="Arial" w:hAnsi="Arial" w:cs="Arial"/>
          <w:i/>
          <w:iCs/>
          <w:szCs w:val="24"/>
        </w:rPr>
        <w:t>Corporate Credit Review</w:t>
      </w:r>
    </w:p>
    <w:p w14:paraId="39C36B05" w14:textId="77777777" w:rsidR="00AB4A29" w:rsidRPr="001F5102" w:rsidRDefault="00AB4A29" w:rsidP="00AB4A29">
      <w:pPr>
        <w:rPr>
          <w:rFonts w:ascii="Arial" w:eastAsia="MS Mincho" w:hAnsi="Arial" w:cs="Arial"/>
          <w:b/>
          <w:szCs w:val="24"/>
        </w:rPr>
      </w:pPr>
    </w:p>
    <w:p w14:paraId="18ED82EC" w14:textId="77777777" w:rsidR="00AB4A29" w:rsidRPr="001F5102" w:rsidRDefault="001312F3" w:rsidP="00AB4A29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AB4A29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6AC464FC" w14:textId="77777777" w:rsidR="00AB4A29" w:rsidRDefault="00AB4A29" w:rsidP="00AB4A29">
      <w:pPr>
        <w:rPr>
          <w:rFonts w:ascii="Arial" w:hAnsi="Arial" w:cs="Arial"/>
          <w:b/>
          <w:color w:val="365F91" w:themeColor="accent1" w:themeShade="BF"/>
          <w:szCs w:val="24"/>
        </w:rPr>
      </w:pPr>
    </w:p>
    <w:p w14:paraId="0B62FBCE" w14:textId="16C9CE61" w:rsidR="00AB4A29" w:rsidRPr="00F2013A" w:rsidRDefault="00AB4A29" w:rsidP="00AB4A29">
      <w:pPr>
        <w:pStyle w:val="EmailBlast"/>
      </w:pPr>
      <w:bookmarkStart w:id="3" w:name="_Toc83375565"/>
      <w:r>
        <w:t>ORCF Webinar Presentation Focusing Primarily on Asset Management Matters - October 21, 2021, 2:00 p.m. E</w:t>
      </w:r>
      <w:r w:rsidR="004C7957">
        <w:t>astern Time</w:t>
      </w:r>
      <w:bookmarkEnd w:id="3"/>
    </w:p>
    <w:p w14:paraId="3AD2A968" w14:textId="535A6D70" w:rsidR="00AB4A29" w:rsidRPr="00AB4A29" w:rsidRDefault="00AB4A29" w:rsidP="00AB4A29">
      <w:pPr>
        <w:pStyle w:val="NoSpacing"/>
        <w:rPr>
          <w:rFonts w:ascii="Arial" w:hAnsi="Arial" w:cs="Arial"/>
          <w:sz w:val="24"/>
          <w:szCs w:val="24"/>
        </w:rPr>
      </w:pPr>
      <w:r w:rsidRPr="00AB4A29">
        <w:rPr>
          <w:rFonts w:ascii="Arial" w:hAnsi="Arial" w:cs="Arial"/>
          <w:sz w:val="24"/>
          <w:szCs w:val="24"/>
        </w:rPr>
        <w:t>In a webinar hosted by the American Health Care Association/National Center for Assisted Living (AHCA/NCAL), ORCF will provide a brief overview of the Section 232 program and address some key asset management matters.  The webinar will run from 2:00 p.m. to approximately 3:00 p.m. E</w:t>
      </w:r>
      <w:r w:rsidR="005B1161">
        <w:rPr>
          <w:rFonts w:ascii="Arial" w:hAnsi="Arial" w:cs="Arial"/>
          <w:sz w:val="24"/>
          <w:szCs w:val="24"/>
        </w:rPr>
        <w:t>astern Time</w:t>
      </w:r>
      <w:r w:rsidRPr="00AB4A29">
        <w:rPr>
          <w:rFonts w:ascii="Arial" w:hAnsi="Arial" w:cs="Arial"/>
          <w:sz w:val="24"/>
          <w:szCs w:val="24"/>
        </w:rPr>
        <w:t xml:space="preserve"> on October 21, 2021, and will be open to AHCA/NCAL members and non-members. There is no charge for participation.</w:t>
      </w:r>
    </w:p>
    <w:p w14:paraId="3EB9D6B8" w14:textId="77777777" w:rsidR="00AB4A29" w:rsidRPr="00AB4A29" w:rsidRDefault="00AB4A29" w:rsidP="00AB4A29">
      <w:pPr>
        <w:rPr>
          <w:rFonts w:ascii="Arial" w:hAnsi="Arial" w:cs="Arial"/>
          <w:szCs w:val="24"/>
        </w:rPr>
      </w:pPr>
      <w:r w:rsidRPr="00AB4A29">
        <w:rPr>
          <w:rFonts w:ascii="Arial" w:hAnsi="Arial" w:cs="Arial"/>
          <w:szCs w:val="24"/>
        </w:rPr>
        <w:t> </w:t>
      </w:r>
    </w:p>
    <w:p w14:paraId="150A75A8" w14:textId="04C41EFA" w:rsidR="00AB4A29" w:rsidRPr="00AB4A29" w:rsidRDefault="00AB4A29" w:rsidP="00AB4A29">
      <w:pPr>
        <w:rPr>
          <w:rFonts w:ascii="Arial" w:hAnsi="Arial" w:cs="Arial"/>
          <w:szCs w:val="24"/>
        </w:rPr>
      </w:pPr>
      <w:r w:rsidRPr="00AB4A29">
        <w:rPr>
          <w:rFonts w:ascii="Arial" w:hAnsi="Arial" w:cs="Arial"/>
          <w:szCs w:val="24"/>
        </w:rPr>
        <w:t>Presentation topics will include:</w:t>
      </w:r>
    </w:p>
    <w:p w14:paraId="4D506075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participants’ roles and responsibilities</w:t>
      </w:r>
    </w:p>
    <w:p w14:paraId="1F914BB6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how ORCF works with the Departmental Enforcement Center</w:t>
      </w:r>
    </w:p>
    <w:p w14:paraId="24124B7A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Operator financial statement requirements</w:t>
      </w:r>
    </w:p>
    <w:p w14:paraId="6CE6504C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requirements for a change in Master Lease structure</w:t>
      </w:r>
    </w:p>
    <w:p w14:paraId="5AA370AA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the requirements for a change in type or level of care</w:t>
      </w:r>
    </w:p>
    <w:p w14:paraId="4B2609BE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 xml:space="preserve">Understanding the resumption of REAC inspections </w:t>
      </w:r>
    </w:p>
    <w:p w14:paraId="0D508BA7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Understanding NSPIRE and how it benefits the Borrower/Operator</w:t>
      </w:r>
    </w:p>
    <w:p w14:paraId="660A4009" w14:textId="77777777" w:rsidR="00AB4A29" w:rsidRPr="00AB4A29" w:rsidRDefault="00AB4A29" w:rsidP="00AB4A29">
      <w:pPr>
        <w:pStyle w:val="ListParagraph"/>
        <w:numPr>
          <w:ilvl w:val="0"/>
          <w:numId w:val="34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Current event updates and responses to your questions</w:t>
      </w:r>
    </w:p>
    <w:p w14:paraId="32478637" w14:textId="77777777" w:rsidR="00AB4A29" w:rsidRPr="00AB4A29" w:rsidRDefault="00AB4A29" w:rsidP="00AB4A29">
      <w:pPr>
        <w:rPr>
          <w:rFonts w:ascii="Arial" w:hAnsi="Arial" w:cs="Arial"/>
          <w:szCs w:val="24"/>
        </w:rPr>
      </w:pPr>
    </w:p>
    <w:p w14:paraId="7CF4C9DD" w14:textId="77777777" w:rsidR="00AB4A29" w:rsidRPr="00AB4A29" w:rsidRDefault="00AB4A29" w:rsidP="00AB4A29">
      <w:pPr>
        <w:rPr>
          <w:rFonts w:ascii="Arial" w:eastAsiaTheme="minorHAnsi" w:hAnsi="Arial" w:cs="Arial"/>
          <w:szCs w:val="24"/>
        </w:rPr>
      </w:pPr>
      <w:r w:rsidRPr="00AB4A29">
        <w:rPr>
          <w:rFonts w:ascii="Arial" w:hAnsi="Arial" w:cs="Arial"/>
          <w:szCs w:val="24"/>
        </w:rPr>
        <w:t>Speakers:</w:t>
      </w:r>
    </w:p>
    <w:p w14:paraId="55F113FA" w14:textId="77777777" w:rsidR="00AB4A29" w:rsidRPr="00AB4A29" w:rsidRDefault="00AB4A29" w:rsidP="00AB4A29">
      <w:pPr>
        <w:pStyle w:val="ListParagraph"/>
        <w:numPr>
          <w:ilvl w:val="0"/>
          <w:numId w:val="35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John Hartung, Director, Policy, Risk Analysis and Lender Relations Division, Office of Residential Care Facilities, HUD</w:t>
      </w:r>
    </w:p>
    <w:p w14:paraId="1C983EDB" w14:textId="77777777" w:rsidR="00AB4A29" w:rsidRPr="00AB4A29" w:rsidRDefault="00AB4A29" w:rsidP="00AB4A29">
      <w:pPr>
        <w:pStyle w:val="ListParagraph"/>
        <w:numPr>
          <w:ilvl w:val="0"/>
          <w:numId w:val="35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Philip Head, Director, Asset Management Division, Office of Residential Care Facilities, HUD</w:t>
      </w:r>
    </w:p>
    <w:p w14:paraId="17B013A7" w14:textId="77777777" w:rsidR="00AB4A29" w:rsidRPr="00AB4A29" w:rsidRDefault="00AB4A29" w:rsidP="00AB4A29">
      <w:pPr>
        <w:pStyle w:val="ListParagraph"/>
        <w:numPr>
          <w:ilvl w:val="0"/>
          <w:numId w:val="35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Rita Dockery, Deputy Director, Asset Management Division, Office of Residential Care Facilities, HUD</w:t>
      </w:r>
    </w:p>
    <w:p w14:paraId="58EEBB11" w14:textId="77777777" w:rsidR="00AB4A29" w:rsidRPr="00AB4A29" w:rsidRDefault="00AB4A29" w:rsidP="00AB4A29">
      <w:pPr>
        <w:pStyle w:val="ListParagraph"/>
        <w:numPr>
          <w:ilvl w:val="0"/>
          <w:numId w:val="35"/>
        </w:numPr>
        <w:spacing w:before="120" w:after="120" w:line="252" w:lineRule="auto"/>
        <w:contextualSpacing/>
        <w:rPr>
          <w:rFonts w:ascii="Arial" w:eastAsia="Times New Roman" w:hAnsi="Arial" w:cs="Arial"/>
        </w:rPr>
      </w:pPr>
      <w:r w:rsidRPr="00AB4A29">
        <w:rPr>
          <w:rFonts w:ascii="Arial" w:eastAsia="Times New Roman" w:hAnsi="Arial" w:cs="Arial"/>
        </w:rPr>
        <w:t>Angela Collier Mills, Workload Manager, Asset Management Division, Office of Residential Care Facilities, HUD</w:t>
      </w:r>
    </w:p>
    <w:p w14:paraId="598B6D5E" w14:textId="77777777" w:rsidR="00AB4A29" w:rsidRPr="00AB4A29" w:rsidRDefault="00AB4A29" w:rsidP="00AB4A29">
      <w:pPr>
        <w:pStyle w:val="ListParagraph"/>
        <w:spacing w:before="120" w:after="120" w:line="252" w:lineRule="auto"/>
        <w:contextualSpacing/>
        <w:rPr>
          <w:rFonts w:ascii="Arial" w:eastAsia="Times New Roman" w:hAnsi="Arial" w:cs="Arial"/>
        </w:rPr>
      </w:pPr>
    </w:p>
    <w:p w14:paraId="54EF8218" w14:textId="555483CC" w:rsidR="00AB4A29" w:rsidRPr="00AB4A29" w:rsidRDefault="00AB4A29" w:rsidP="00AB4A29">
      <w:pPr>
        <w:rPr>
          <w:rFonts w:ascii="Arial" w:hAnsi="Arial" w:cs="Arial"/>
          <w:szCs w:val="24"/>
        </w:rPr>
      </w:pPr>
      <w:r w:rsidRPr="00AB4A29">
        <w:rPr>
          <w:rFonts w:ascii="Arial" w:hAnsi="Arial" w:cs="Arial"/>
          <w:b/>
          <w:bCs/>
          <w:szCs w:val="24"/>
        </w:rPr>
        <w:t xml:space="preserve">Event Date:    </w:t>
      </w:r>
      <w:r w:rsidRPr="00AB4A29">
        <w:rPr>
          <w:rFonts w:ascii="Arial" w:hAnsi="Arial" w:cs="Arial"/>
          <w:szCs w:val="24"/>
        </w:rPr>
        <w:t>October 21, 2021, 2:00</w:t>
      </w:r>
      <w:r w:rsidR="000B6F74">
        <w:rPr>
          <w:rFonts w:ascii="Arial" w:hAnsi="Arial" w:cs="Arial"/>
          <w:szCs w:val="24"/>
        </w:rPr>
        <w:t xml:space="preserve"> p.m </w:t>
      </w:r>
      <w:r w:rsidRPr="00AB4A29">
        <w:rPr>
          <w:rFonts w:ascii="Arial" w:hAnsi="Arial" w:cs="Arial"/>
          <w:szCs w:val="24"/>
        </w:rPr>
        <w:t>-3:00 p.m. (E</w:t>
      </w:r>
      <w:r w:rsidR="000B6F74">
        <w:rPr>
          <w:rFonts w:ascii="Arial" w:hAnsi="Arial" w:cs="Arial"/>
          <w:szCs w:val="24"/>
        </w:rPr>
        <w:t xml:space="preserve">astern </w:t>
      </w:r>
      <w:r w:rsidRPr="00AB4A29">
        <w:rPr>
          <w:rFonts w:ascii="Arial" w:hAnsi="Arial" w:cs="Arial"/>
          <w:szCs w:val="24"/>
        </w:rPr>
        <w:t>T</w:t>
      </w:r>
      <w:r w:rsidR="000B6F74">
        <w:rPr>
          <w:rFonts w:ascii="Arial" w:hAnsi="Arial" w:cs="Arial"/>
          <w:szCs w:val="24"/>
        </w:rPr>
        <w:t>ime</w:t>
      </w:r>
      <w:r w:rsidRPr="00AB4A29">
        <w:rPr>
          <w:rFonts w:ascii="Arial" w:hAnsi="Arial" w:cs="Arial"/>
          <w:szCs w:val="24"/>
        </w:rPr>
        <w:t>)</w:t>
      </w:r>
    </w:p>
    <w:p w14:paraId="035EAF7C" w14:textId="77777777" w:rsidR="00AB4A29" w:rsidRPr="00AB4A29" w:rsidRDefault="00AB4A29" w:rsidP="00AB4A29">
      <w:pPr>
        <w:rPr>
          <w:rFonts w:ascii="Arial" w:eastAsiaTheme="minorHAnsi" w:hAnsi="Arial" w:cs="Arial"/>
          <w:szCs w:val="24"/>
        </w:rPr>
      </w:pPr>
    </w:p>
    <w:p w14:paraId="627ED693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b/>
          <w:bCs/>
          <w:color w:val="000000"/>
          <w:szCs w:val="24"/>
        </w:rPr>
        <w:t xml:space="preserve">Registration Link: </w:t>
      </w:r>
      <w:hyperlink r:id="rId12" w:anchor="tab-product_tab_overview" w:history="1">
        <w:r w:rsidRPr="00AB4A29">
          <w:rPr>
            <w:rStyle w:val="Hyperlink"/>
            <w:rFonts w:ascii="Arial" w:hAnsi="Arial" w:cs="Arial"/>
            <w:szCs w:val="24"/>
          </w:rPr>
          <w:t>Here</w:t>
        </w:r>
      </w:hyperlink>
    </w:p>
    <w:p w14:paraId="36FABDE3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>Although membership to AHCA/NCAL is not required to participate in the webinar, you will still need to create an AHCA/NCAL username and password to register for the webinar.</w:t>
      </w:r>
    </w:p>
    <w:p w14:paraId="4C538A4D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> </w:t>
      </w:r>
    </w:p>
    <w:p w14:paraId="3BED87D6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b/>
          <w:bCs/>
          <w:color w:val="000000"/>
          <w:szCs w:val="24"/>
        </w:rPr>
        <w:t>How to Register for AHCA/NCAL webinar:</w:t>
      </w:r>
    </w:p>
    <w:p w14:paraId="2280EABF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lastRenderedPageBreak/>
        <w:t xml:space="preserve">• Webinar participants will need to </w:t>
      </w:r>
      <w:hyperlink r:id="rId13" w:history="1">
        <w:r w:rsidRPr="00AB4A29">
          <w:rPr>
            <w:rStyle w:val="Hyperlink"/>
            <w:rFonts w:ascii="Arial" w:hAnsi="Arial" w:cs="Arial"/>
            <w:szCs w:val="24"/>
          </w:rPr>
          <w:t>login</w:t>
        </w:r>
      </w:hyperlink>
      <w:r w:rsidRPr="00AB4A29">
        <w:rPr>
          <w:rFonts w:ascii="Arial" w:hAnsi="Arial" w:cs="Arial"/>
          <w:color w:val="256CCA"/>
          <w:szCs w:val="24"/>
        </w:rPr>
        <w:t xml:space="preserve"> </w:t>
      </w:r>
      <w:r w:rsidRPr="00AB4A29">
        <w:rPr>
          <w:rFonts w:ascii="Arial" w:hAnsi="Arial" w:cs="Arial"/>
          <w:color w:val="000000"/>
          <w:szCs w:val="24"/>
        </w:rPr>
        <w:t>using their existing ahcancalED username and password first.</w:t>
      </w:r>
    </w:p>
    <w:p w14:paraId="46BA583C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>• Once you are logged in to the website you will be able to register for the webinar by clicking the green register button at the top of the page.</w:t>
      </w:r>
    </w:p>
    <w:p w14:paraId="75D7CE22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 xml:space="preserve">• If you have forgotten your password click </w:t>
      </w:r>
      <w:hyperlink r:id="rId14" w:history="1">
        <w:r w:rsidRPr="00AB4A29">
          <w:rPr>
            <w:rStyle w:val="Hyperlink"/>
            <w:rFonts w:ascii="Arial" w:hAnsi="Arial" w:cs="Arial"/>
            <w:szCs w:val="24"/>
          </w:rPr>
          <w:t>here</w:t>
        </w:r>
      </w:hyperlink>
      <w:r w:rsidRPr="00AB4A29">
        <w:rPr>
          <w:rFonts w:ascii="Arial" w:hAnsi="Arial" w:cs="Arial"/>
          <w:color w:val="000000"/>
          <w:szCs w:val="24"/>
        </w:rPr>
        <w:t>.</w:t>
      </w:r>
    </w:p>
    <w:p w14:paraId="730BF478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> </w:t>
      </w:r>
    </w:p>
    <w:p w14:paraId="2CAEA531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b/>
          <w:bCs/>
          <w:color w:val="000000"/>
          <w:szCs w:val="24"/>
        </w:rPr>
        <w:t>How to Register for an AHCA/NCAL username and password</w:t>
      </w:r>
      <w:r w:rsidRPr="00AB4A29">
        <w:rPr>
          <w:rFonts w:ascii="Arial" w:hAnsi="Arial" w:cs="Arial"/>
          <w:color w:val="000000"/>
          <w:szCs w:val="24"/>
        </w:rPr>
        <w:t>:</w:t>
      </w:r>
    </w:p>
    <w:p w14:paraId="43041D8B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>• To avoid technical problems, use Google Chrome.</w:t>
      </w:r>
    </w:p>
    <w:p w14:paraId="0FEE480C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  <w:r w:rsidRPr="00AB4A29">
        <w:rPr>
          <w:rFonts w:ascii="Arial" w:hAnsi="Arial" w:cs="Arial"/>
          <w:color w:val="000000"/>
          <w:szCs w:val="24"/>
        </w:rPr>
        <w:t xml:space="preserve">• If you are new to the site, you can create an account </w:t>
      </w:r>
      <w:hyperlink r:id="rId15" w:history="1">
        <w:r w:rsidRPr="00AB4A29">
          <w:rPr>
            <w:rStyle w:val="Hyperlink"/>
            <w:rFonts w:ascii="Arial" w:hAnsi="Arial" w:cs="Arial"/>
            <w:szCs w:val="24"/>
          </w:rPr>
          <w:t>here</w:t>
        </w:r>
      </w:hyperlink>
      <w:r w:rsidRPr="00AB4A29">
        <w:rPr>
          <w:rFonts w:ascii="Arial" w:hAnsi="Arial" w:cs="Arial"/>
          <w:color w:val="000000"/>
          <w:szCs w:val="24"/>
        </w:rPr>
        <w:t xml:space="preserve">. After creating an account, you will be able to register for the webinar. If you need further assistance with creating an AHCA/NCAL account, please email </w:t>
      </w:r>
      <w:hyperlink r:id="rId16" w:history="1">
        <w:r w:rsidRPr="00AB4A29">
          <w:rPr>
            <w:rStyle w:val="Hyperlink"/>
            <w:rFonts w:ascii="Arial" w:hAnsi="Arial" w:cs="Arial"/>
            <w:szCs w:val="24"/>
          </w:rPr>
          <w:t>educate@ahca.org</w:t>
        </w:r>
      </w:hyperlink>
    </w:p>
    <w:p w14:paraId="434EB313" w14:textId="77777777" w:rsidR="00AB4A29" w:rsidRPr="00AB4A29" w:rsidRDefault="00AB4A29" w:rsidP="00AB4A29">
      <w:pPr>
        <w:autoSpaceDE w:val="0"/>
        <w:autoSpaceDN w:val="0"/>
        <w:ind w:left="720"/>
        <w:rPr>
          <w:rFonts w:ascii="Arial" w:hAnsi="Arial" w:cs="Arial"/>
          <w:szCs w:val="24"/>
        </w:rPr>
      </w:pPr>
    </w:p>
    <w:p w14:paraId="3D38BB04" w14:textId="77777777" w:rsidR="00AB4A29" w:rsidRPr="00AB4A29" w:rsidRDefault="00AB4A29" w:rsidP="00AB4A29">
      <w:pPr>
        <w:rPr>
          <w:rFonts w:ascii="Arial" w:hAnsi="Arial" w:cs="Arial"/>
          <w:i/>
          <w:iCs/>
          <w:szCs w:val="24"/>
        </w:rPr>
      </w:pPr>
      <w:r w:rsidRPr="00AB4A29">
        <w:rPr>
          <w:rFonts w:ascii="Arial" w:hAnsi="Arial" w:cs="Arial"/>
          <w:b/>
          <w:bCs/>
          <w:i/>
          <w:iCs/>
          <w:szCs w:val="24"/>
        </w:rPr>
        <w:t>Keywords:</w:t>
      </w:r>
      <w:r w:rsidRPr="00AB4A29">
        <w:rPr>
          <w:rFonts w:ascii="Arial" w:hAnsi="Arial" w:cs="Arial"/>
          <w:i/>
          <w:iCs/>
          <w:szCs w:val="24"/>
        </w:rPr>
        <w:t xml:space="preserve"> Asset Management, Webinar</w:t>
      </w:r>
    </w:p>
    <w:p w14:paraId="446B5D7F" w14:textId="77777777" w:rsidR="00AB4A29" w:rsidRPr="001F5102" w:rsidRDefault="00AB4A29" w:rsidP="00AB4A29">
      <w:pPr>
        <w:rPr>
          <w:rFonts w:ascii="Arial" w:eastAsia="MS Mincho" w:hAnsi="Arial" w:cs="Arial"/>
          <w:b/>
          <w:szCs w:val="24"/>
        </w:rPr>
      </w:pPr>
    </w:p>
    <w:p w14:paraId="65EEB131" w14:textId="77777777" w:rsidR="00AB4A29" w:rsidRPr="001F5102" w:rsidRDefault="001312F3" w:rsidP="00AB4A29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AB4A29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B090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4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5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65C1" w14:textId="77777777" w:rsidR="001312F3" w:rsidRDefault="001312F3" w:rsidP="00E724F7">
      <w:r>
        <w:separator/>
      </w:r>
    </w:p>
  </w:endnote>
  <w:endnote w:type="continuationSeparator" w:id="0">
    <w:p w14:paraId="329C83BC" w14:textId="77777777" w:rsidR="001312F3" w:rsidRDefault="001312F3" w:rsidP="00E724F7">
      <w:r>
        <w:continuationSeparator/>
      </w:r>
    </w:p>
  </w:endnote>
  <w:endnote w:type="continuationNotice" w:id="1">
    <w:p w14:paraId="12246B2E" w14:textId="77777777" w:rsidR="001312F3" w:rsidRDefault="00131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69C2" w14:textId="77777777" w:rsidR="001312F3" w:rsidRDefault="001312F3" w:rsidP="00E724F7">
      <w:r>
        <w:separator/>
      </w:r>
    </w:p>
  </w:footnote>
  <w:footnote w:type="continuationSeparator" w:id="0">
    <w:p w14:paraId="65A0790F" w14:textId="77777777" w:rsidR="001312F3" w:rsidRDefault="001312F3" w:rsidP="00E724F7">
      <w:r>
        <w:continuationSeparator/>
      </w:r>
    </w:p>
  </w:footnote>
  <w:footnote w:type="continuationNotice" w:id="1">
    <w:p w14:paraId="3C4FB402" w14:textId="77777777" w:rsidR="001312F3" w:rsidRDefault="00131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3F50ABA5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2001B"/>
    <w:multiLevelType w:val="hybridMultilevel"/>
    <w:tmpl w:val="695C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43486"/>
    <w:multiLevelType w:val="hybridMultilevel"/>
    <w:tmpl w:val="7E3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5E2A"/>
    <w:multiLevelType w:val="hybridMultilevel"/>
    <w:tmpl w:val="8DC8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571DE"/>
    <w:multiLevelType w:val="hybridMultilevel"/>
    <w:tmpl w:val="2CD4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6"/>
  </w:num>
  <w:num w:numId="15">
    <w:abstractNumId w:val="31"/>
  </w:num>
  <w:num w:numId="16">
    <w:abstractNumId w:val="1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12"/>
  </w:num>
  <w:num w:numId="26">
    <w:abstractNumId w:val="24"/>
  </w:num>
  <w:num w:numId="27">
    <w:abstractNumId w:val="2"/>
  </w:num>
  <w:num w:numId="28">
    <w:abstractNumId w:val="21"/>
  </w:num>
  <w:num w:numId="29">
    <w:abstractNumId w:val="18"/>
  </w:num>
  <w:num w:numId="30">
    <w:abstractNumId w:val="14"/>
  </w:num>
  <w:num w:numId="31">
    <w:abstractNumId w:val="3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6F74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55F6"/>
    <w:rsid w:val="000F593D"/>
    <w:rsid w:val="000F6601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12F3"/>
    <w:rsid w:val="00136D47"/>
    <w:rsid w:val="00136D4E"/>
    <w:rsid w:val="001372A5"/>
    <w:rsid w:val="00140FD8"/>
    <w:rsid w:val="00144F98"/>
    <w:rsid w:val="0015202C"/>
    <w:rsid w:val="00154C45"/>
    <w:rsid w:val="001551B9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03A0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514F7"/>
    <w:rsid w:val="00352F9A"/>
    <w:rsid w:val="00361A15"/>
    <w:rsid w:val="00367065"/>
    <w:rsid w:val="00367AC1"/>
    <w:rsid w:val="00370139"/>
    <w:rsid w:val="00370EA2"/>
    <w:rsid w:val="00380A0E"/>
    <w:rsid w:val="00385613"/>
    <w:rsid w:val="00385E62"/>
    <w:rsid w:val="00392115"/>
    <w:rsid w:val="00396DB3"/>
    <w:rsid w:val="003976E9"/>
    <w:rsid w:val="003A0DC8"/>
    <w:rsid w:val="003A14CD"/>
    <w:rsid w:val="003A518E"/>
    <w:rsid w:val="003A7686"/>
    <w:rsid w:val="003B0B4E"/>
    <w:rsid w:val="003B3640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705A"/>
    <w:rsid w:val="004501E7"/>
    <w:rsid w:val="00450705"/>
    <w:rsid w:val="00451A3D"/>
    <w:rsid w:val="00455415"/>
    <w:rsid w:val="00463B25"/>
    <w:rsid w:val="00465878"/>
    <w:rsid w:val="0046634C"/>
    <w:rsid w:val="004678DD"/>
    <w:rsid w:val="00475909"/>
    <w:rsid w:val="0047642B"/>
    <w:rsid w:val="00486B21"/>
    <w:rsid w:val="004975EA"/>
    <w:rsid w:val="004A0486"/>
    <w:rsid w:val="004A0E10"/>
    <w:rsid w:val="004A5D11"/>
    <w:rsid w:val="004B1439"/>
    <w:rsid w:val="004B1446"/>
    <w:rsid w:val="004B182F"/>
    <w:rsid w:val="004B1C9D"/>
    <w:rsid w:val="004B316D"/>
    <w:rsid w:val="004B62C4"/>
    <w:rsid w:val="004C7957"/>
    <w:rsid w:val="004D68AA"/>
    <w:rsid w:val="004D6BFF"/>
    <w:rsid w:val="004E35EC"/>
    <w:rsid w:val="004E4052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6265C"/>
    <w:rsid w:val="005626F6"/>
    <w:rsid w:val="005652E5"/>
    <w:rsid w:val="0057025A"/>
    <w:rsid w:val="0057105F"/>
    <w:rsid w:val="0057310A"/>
    <w:rsid w:val="00593E55"/>
    <w:rsid w:val="005A0D50"/>
    <w:rsid w:val="005A208E"/>
    <w:rsid w:val="005A5C2E"/>
    <w:rsid w:val="005B1161"/>
    <w:rsid w:val="005B39A1"/>
    <w:rsid w:val="005C0D72"/>
    <w:rsid w:val="005C3423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5F6024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60CC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7F7B"/>
    <w:rsid w:val="006D0A86"/>
    <w:rsid w:val="006D7D46"/>
    <w:rsid w:val="006E2BD9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25F5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629CB"/>
    <w:rsid w:val="00762B2A"/>
    <w:rsid w:val="007633CA"/>
    <w:rsid w:val="00765853"/>
    <w:rsid w:val="007670CF"/>
    <w:rsid w:val="00771538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41B9"/>
    <w:rsid w:val="007C570C"/>
    <w:rsid w:val="007C78C0"/>
    <w:rsid w:val="007D0FA3"/>
    <w:rsid w:val="007D1CB6"/>
    <w:rsid w:val="007D22CD"/>
    <w:rsid w:val="007D55E6"/>
    <w:rsid w:val="007E02EB"/>
    <w:rsid w:val="007E348B"/>
    <w:rsid w:val="007E4EA9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44D7"/>
    <w:rsid w:val="00820B0D"/>
    <w:rsid w:val="00823286"/>
    <w:rsid w:val="0082548B"/>
    <w:rsid w:val="008345F6"/>
    <w:rsid w:val="00834693"/>
    <w:rsid w:val="0084300D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7284"/>
    <w:rsid w:val="008A7595"/>
    <w:rsid w:val="008A7867"/>
    <w:rsid w:val="008A7F37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29C9"/>
    <w:rsid w:val="008E6F7E"/>
    <w:rsid w:val="008E7CC5"/>
    <w:rsid w:val="008F2D90"/>
    <w:rsid w:val="008F4A71"/>
    <w:rsid w:val="008F66AB"/>
    <w:rsid w:val="0090051D"/>
    <w:rsid w:val="00907060"/>
    <w:rsid w:val="00910E23"/>
    <w:rsid w:val="009117CA"/>
    <w:rsid w:val="00912D45"/>
    <w:rsid w:val="00921EAA"/>
    <w:rsid w:val="00932987"/>
    <w:rsid w:val="00934100"/>
    <w:rsid w:val="0093564D"/>
    <w:rsid w:val="00935890"/>
    <w:rsid w:val="00951E70"/>
    <w:rsid w:val="00953CD6"/>
    <w:rsid w:val="00961669"/>
    <w:rsid w:val="00963204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C10DF"/>
    <w:rsid w:val="009C3410"/>
    <w:rsid w:val="009C5760"/>
    <w:rsid w:val="009D0FB7"/>
    <w:rsid w:val="009D1AD1"/>
    <w:rsid w:val="009D6D5F"/>
    <w:rsid w:val="009E7AD6"/>
    <w:rsid w:val="009F4D59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13BC"/>
    <w:rsid w:val="00A76D42"/>
    <w:rsid w:val="00A77F96"/>
    <w:rsid w:val="00AA0603"/>
    <w:rsid w:val="00AA2770"/>
    <w:rsid w:val="00AA2E09"/>
    <w:rsid w:val="00AA705E"/>
    <w:rsid w:val="00AB4A29"/>
    <w:rsid w:val="00AC2FE1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2440"/>
    <w:rsid w:val="00B22BA0"/>
    <w:rsid w:val="00B22F0F"/>
    <w:rsid w:val="00B23EC5"/>
    <w:rsid w:val="00B243B2"/>
    <w:rsid w:val="00B30118"/>
    <w:rsid w:val="00B3077D"/>
    <w:rsid w:val="00B31B3A"/>
    <w:rsid w:val="00B34BA7"/>
    <w:rsid w:val="00B35DFB"/>
    <w:rsid w:val="00B45ACE"/>
    <w:rsid w:val="00B51EAE"/>
    <w:rsid w:val="00B61253"/>
    <w:rsid w:val="00B66D4E"/>
    <w:rsid w:val="00B713C0"/>
    <w:rsid w:val="00B7164F"/>
    <w:rsid w:val="00B756AA"/>
    <w:rsid w:val="00B75A8D"/>
    <w:rsid w:val="00B82D2D"/>
    <w:rsid w:val="00B85220"/>
    <w:rsid w:val="00B95455"/>
    <w:rsid w:val="00B962A5"/>
    <w:rsid w:val="00BA0435"/>
    <w:rsid w:val="00BB1493"/>
    <w:rsid w:val="00BB53D7"/>
    <w:rsid w:val="00BC1861"/>
    <w:rsid w:val="00BC1ED8"/>
    <w:rsid w:val="00BC39F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C01E84"/>
    <w:rsid w:val="00C02DF1"/>
    <w:rsid w:val="00C115E0"/>
    <w:rsid w:val="00C12924"/>
    <w:rsid w:val="00C1601F"/>
    <w:rsid w:val="00C17185"/>
    <w:rsid w:val="00C21F3E"/>
    <w:rsid w:val="00C32066"/>
    <w:rsid w:val="00C34DE9"/>
    <w:rsid w:val="00C34E86"/>
    <w:rsid w:val="00C35C95"/>
    <w:rsid w:val="00C51267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5846"/>
    <w:rsid w:val="00CE75ED"/>
    <w:rsid w:val="00CF04B2"/>
    <w:rsid w:val="00CF070D"/>
    <w:rsid w:val="00CF2541"/>
    <w:rsid w:val="00CF3CA7"/>
    <w:rsid w:val="00D027F2"/>
    <w:rsid w:val="00D0463E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95B5F"/>
    <w:rsid w:val="00DA0410"/>
    <w:rsid w:val="00DA1056"/>
    <w:rsid w:val="00DA2126"/>
    <w:rsid w:val="00DA2230"/>
    <w:rsid w:val="00DA31D4"/>
    <w:rsid w:val="00DA5A5A"/>
    <w:rsid w:val="00DA72F3"/>
    <w:rsid w:val="00DC0C97"/>
    <w:rsid w:val="00DC6BD6"/>
    <w:rsid w:val="00DD138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5678B"/>
    <w:rsid w:val="00E66073"/>
    <w:rsid w:val="00E70DA9"/>
    <w:rsid w:val="00E724F7"/>
    <w:rsid w:val="00E7390B"/>
    <w:rsid w:val="00E75A3F"/>
    <w:rsid w:val="00E77B9C"/>
    <w:rsid w:val="00E8206B"/>
    <w:rsid w:val="00E91ED5"/>
    <w:rsid w:val="00E933A0"/>
    <w:rsid w:val="00E95B28"/>
    <w:rsid w:val="00EA7708"/>
    <w:rsid w:val="00EB5431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201B"/>
    <w:rsid w:val="00EE2194"/>
    <w:rsid w:val="00EE5159"/>
    <w:rsid w:val="00EE6E3B"/>
    <w:rsid w:val="00EF0134"/>
    <w:rsid w:val="00F01A93"/>
    <w:rsid w:val="00F01E9B"/>
    <w:rsid w:val="00F03E9E"/>
    <w:rsid w:val="00F14266"/>
    <w:rsid w:val="00F1564F"/>
    <w:rsid w:val="00F21965"/>
    <w:rsid w:val="00F21C16"/>
    <w:rsid w:val="00F25F13"/>
    <w:rsid w:val="00F30127"/>
    <w:rsid w:val="00F43BCF"/>
    <w:rsid w:val="00F603BF"/>
    <w:rsid w:val="00F64758"/>
    <w:rsid w:val="00F649F0"/>
    <w:rsid w:val="00F65977"/>
    <w:rsid w:val="00F66FF8"/>
    <w:rsid w:val="00F72754"/>
    <w:rsid w:val="00F72BF6"/>
    <w:rsid w:val="00F733E7"/>
    <w:rsid w:val="00F76151"/>
    <w:rsid w:val="00F83D4D"/>
    <w:rsid w:val="00FA014D"/>
    <w:rsid w:val="00FA59C6"/>
    <w:rsid w:val="00FB21E7"/>
    <w:rsid w:val="00FB5F9A"/>
    <w:rsid w:val="00FC691D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bers.ahcancal.org/Dashboard/Sign-In?returnUrl=https://educate.ahcancal.org" TargetMode="External"/><Relationship Id="rId18" Type="http://schemas.openxmlformats.org/officeDocument/2006/relationships/hyperlink" Target="mailto:LeanThinking@hud.gov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educate.ahcancal.org/products/orcf-webinar-presentation-focusing-primarily-on-asset-management-matters" TargetMode="External"/><Relationship Id="rId17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5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e@ahca.org" TargetMode="External"/><Relationship Id="rId20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bers.ahcancal.org/Dashboard/Create-New-User-Account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ahcancal.org/Dashboard/Sign-In-Help" TargetMode="External"/><Relationship Id="rId22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6830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4</cp:revision>
  <cp:lastPrinted>2014-08-11T13:53:00Z</cp:lastPrinted>
  <dcterms:created xsi:type="dcterms:W3CDTF">2021-09-24T16:41:00Z</dcterms:created>
  <dcterms:modified xsi:type="dcterms:W3CDTF">2021-09-24T16:55:00Z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