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5771" w14:textId="77777777" w:rsidR="00297C46" w:rsidRPr="00297C46" w:rsidRDefault="00297C46" w:rsidP="00297C46">
      <w:pPr>
        <w:spacing w:after="0" w:line="240" w:lineRule="auto"/>
        <w:jc w:val="center"/>
        <w:rPr>
          <w:rFonts w:ascii="Verdana" w:eastAsia="Calibri" w:hAnsi="Verdana" w:cs="Times New Roman"/>
          <w:b/>
          <w:sz w:val="32"/>
          <w:szCs w:val="32"/>
          <w:u w:val="single"/>
        </w:rPr>
      </w:pPr>
      <w:bookmarkStart w:id="0" w:name="_top"/>
      <w:bookmarkStart w:id="1" w:name="_Hlk23487783"/>
      <w:bookmarkEnd w:id="0"/>
      <w:r w:rsidRPr="00297C46">
        <w:rPr>
          <w:rFonts w:ascii="Verdana" w:eastAsia="Calibri" w:hAnsi="Verdana" w:cs="Times New Roman"/>
          <w:b/>
          <w:sz w:val="32"/>
          <w:szCs w:val="32"/>
          <w:u w:val="single"/>
        </w:rPr>
        <w:t>HUD’s Lean 232 Program</w:t>
      </w:r>
    </w:p>
    <w:p w14:paraId="237876C6" w14:textId="77777777" w:rsidR="00297C46" w:rsidRPr="00297C46" w:rsidRDefault="00297C46" w:rsidP="00297C46">
      <w:pPr>
        <w:spacing w:after="0" w:line="240" w:lineRule="auto"/>
        <w:jc w:val="center"/>
        <w:rPr>
          <w:rFonts w:ascii="Verdana" w:eastAsia="Calibri" w:hAnsi="Verdana" w:cs="Times New Roman"/>
          <w:b/>
          <w:sz w:val="32"/>
          <w:szCs w:val="32"/>
        </w:rPr>
      </w:pPr>
      <w:r w:rsidRPr="00297C46">
        <w:rPr>
          <w:rFonts w:ascii="Verdana" w:eastAsia="Calibri" w:hAnsi="Verdana" w:cs="Times New Roman"/>
          <w:b/>
          <w:sz w:val="32"/>
          <w:szCs w:val="32"/>
        </w:rPr>
        <w:t>Office of Residential Care Facilities (ORCF)</w:t>
      </w:r>
    </w:p>
    <w:p w14:paraId="5F7152FC" w14:textId="77777777" w:rsidR="00297C46" w:rsidRPr="00297C46" w:rsidRDefault="00297C46" w:rsidP="00297C46">
      <w:pPr>
        <w:spacing w:after="0" w:line="240" w:lineRule="auto"/>
        <w:jc w:val="center"/>
        <w:rPr>
          <w:rFonts w:ascii="Verdana" w:eastAsia="Calibri" w:hAnsi="Verdana" w:cs="Times New Roman"/>
          <w:b/>
          <w:sz w:val="32"/>
          <w:szCs w:val="32"/>
          <w:u w:val="single"/>
        </w:rPr>
      </w:pPr>
      <w:r w:rsidRPr="00297C46">
        <w:rPr>
          <w:rFonts w:ascii="Verdana" w:eastAsia="Calibri" w:hAnsi="Verdana" w:cs="Times New Roman"/>
          <w:b/>
          <w:sz w:val="32"/>
          <w:szCs w:val="32"/>
          <w:u w:val="single"/>
        </w:rPr>
        <w:t>Update as of November 1, 2019</w:t>
      </w:r>
    </w:p>
    <w:p w14:paraId="19896B36" w14:textId="77777777" w:rsidR="00297C46" w:rsidRPr="00297C46" w:rsidRDefault="00297C46" w:rsidP="00297C46">
      <w:pPr>
        <w:spacing w:after="0" w:line="240" w:lineRule="auto"/>
        <w:jc w:val="center"/>
        <w:rPr>
          <w:rFonts w:ascii="Verdana" w:eastAsia="Calibri" w:hAnsi="Verdana" w:cs="Times New Roman"/>
        </w:rPr>
      </w:pPr>
      <w:r w:rsidRPr="00297C46">
        <w:rPr>
          <w:rFonts w:ascii="Verdana" w:eastAsia="Calibri" w:hAnsi="Verdana" w:cs="Times New Roman"/>
          <w:noProof/>
          <w:color w:val="1F497D"/>
        </w:rPr>
        <w:drawing>
          <wp:inline distT="0" distB="0" distL="0" distR="0" wp14:anchorId="1839F589" wp14:editId="028D47CA">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7E2AC0A" w14:textId="77777777" w:rsidR="00297C46" w:rsidRPr="00297C46" w:rsidRDefault="00297C46" w:rsidP="00297C46">
      <w:pPr>
        <w:spacing w:after="0" w:line="240" w:lineRule="auto"/>
        <w:rPr>
          <w:rFonts w:ascii="Verdana" w:eastAsia="Calibri" w:hAnsi="Verdana" w:cs="Times New Roman"/>
          <w:sz w:val="24"/>
        </w:rPr>
      </w:pPr>
    </w:p>
    <w:p w14:paraId="5DEEE907" w14:textId="77777777" w:rsidR="00297C46" w:rsidRPr="00297C46" w:rsidRDefault="00297C46" w:rsidP="00297C46">
      <w:pPr>
        <w:spacing w:after="0" w:line="240" w:lineRule="auto"/>
        <w:rPr>
          <w:rFonts w:ascii="Verdana" w:eastAsia="Calibri" w:hAnsi="Verdana" w:cs="Times New Roman"/>
          <w:sz w:val="24"/>
        </w:rPr>
      </w:pPr>
    </w:p>
    <w:p w14:paraId="316E92E0" w14:textId="77777777" w:rsidR="00297C46" w:rsidRPr="00297C46" w:rsidRDefault="00297C46" w:rsidP="00297C46">
      <w:pPr>
        <w:spacing w:after="0" w:line="240" w:lineRule="auto"/>
        <w:rPr>
          <w:rFonts w:ascii="Verdana" w:eastAsia="Calibri" w:hAnsi="Verdana" w:cs="Times New Roman"/>
          <w:i/>
          <w:sz w:val="32"/>
          <w:u w:val="single"/>
        </w:rPr>
      </w:pPr>
      <w:r w:rsidRPr="00297C46">
        <w:rPr>
          <w:rFonts w:ascii="Verdana" w:eastAsia="Calibri" w:hAnsi="Verdana" w:cs="Times New Roman"/>
          <w:i/>
          <w:sz w:val="32"/>
          <w:u w:val="single"/>
        </w:rPr>
        <w:t>November 1, 2019 Contents</w:t>
      </w:r>
    </w:p>
    <w:p w14:paraId="7A057356" w14:textId="77777777" w:rsidR="00297C46" w:rsidRPr="00297C46" w:rsidRDefault="00297C46" w:rsidP="00297C46">
      <w:pPr>
        <w:spacing w:after="0" w:line="240" w:lineRule="auto"/>
        <w:rPr>
          <w:rFonts w:ascii="Verdana" w:eastAsia="Calibri" w:hAnsi="Verdana" w:cs="Times New Roman"/>
          <w:b/>
          <w:i/>
          <w:sz w:val="32"/>
          <w:u w:val="single"/>
        </w:rPr>
      </w:pPr>
    </w:p>
    <w:p w14:paraId="3E26B3E3" w14:textId="77777777" w:rsidR="00297C46" w:rsidRPr="00297C46" w:rsidRDefault="00297C46" w:rsidP="00297C46">
      <w:pPr>
        <w:tabs>
          <w:tab w:val="right" w:leader="dot" w:pos="9350"/>
        </w:tabs>
        <w:spacing w:after="0" w:line="240" w:lineRule="auto"/>
        <w:ind w:left="270" w:hanging="270"/>
        <w:rPr>
          <w:rFonts w:ascii="Calibri" w:eastAsia="Times New Roman" w:hAnsi="Calibri" w:cs="Times New Roman"/>
          <w:noProof/>
        </w:rPr>
      </w:pPr>
      <w:r w:rsidRPr="00297C46">
        <w:rPr>
          <w:rFonts w:ascii="Verdana" w:eastAsia="Calibri" w:hAnsi="Verdana" w:cs="Times New Roman"/>
          <w:i/>
          <w:sz w:val="24"/>
        </w:rPr>
        <w:fldChar w:fldCharType="begin"/>
      </w:r>
      <w:r w:rsidRPr="00297C46">
        <w:rPr>
          <w:rFonts w:ascii="Verdana" w:eastAsia="Calibri" w:hAnsi="Verdana" w:cs="Times New Roman"/>
          <w:i/>
          <w:sz w:val="24"/>
        </w:rPr>
        <w:instrText xml:space="preserve"> TOC \o "1-3" \n \h \z \u </w:instrText>
      </w:r>
      <w:r w:rsidRPr="00297C46">
        <w:rPr>
          <w:rFonts w:ascii="Verdana" w:eastAsia="Calibri" w:hAnsi="Verdana" w:cs="Times New Roman"/>
          <w:i/>
          <w:sz w:val="24"/>
        </w:rPr>
        <w:fldChar w:fldCharType="separate"/>
      </w:r>
      <w:hyperlink w:anchor="_Toc23488351" w:history="1">
        <w:r w:rsidRPr="00297C46">
          <w:rPr>
            <w:rFonts w:ascii="Verdana" w:eastAsia="Calibri" w:hAnsi="Verdana" w:cs="Times New Roman"/>
            <w:noProof/>
            <w:color w:val="0000FF"/>
            <w:sz w:val="24"/>
            <w:u w:val="single"/>
          </w:rPr>
          <w:t>Guidance on HCBS State Risk Mitigation for Existing Portfolio and New Underwriting</w:t>
        </w:r>
      </w:hyperlink>
    </w:p>
    <w:p w14:paraId="6DCFD8DD" w14:textId="77777777" w:rsidR="00297C46" w:rsidRPr="00297C46" w:rsidRDefault="00DC0115" w:rsidP="00297C46">
      <w:pPr>
        <w:tabs>
          <w:tab w:val="right" w:leader="dot" w:pos="9350"/>
        </w:tabs>
        <w:spacing w:after="0" w:line="240" w:lineRule="auto"/>
        <w:ind w:left="270" w:hanging="270"/>
        <w:rPr>
          <w:rFonts w:ascii="Calibri" w:eastAsia="Times New Roman" w:hAnsi="Calibri" w:cs="Times New Roman"/>
          <w:noProof/>
        </w:rPr>
      </w:pPr>
      <w:hyperlink w:anchor="_Toc23488352" w:history="1">
        <w:r w:rsidR="00297C46" w:rsidRPr="00297C46">
          <w:rPr>
            <w:rFonts w:ascii="Verdana" w:eastAsia="Calibri" w:hAnsi="Verdana" w:cs="Times New Roman"/>
            <w:noProof/>
            <w:color w:val="0000FF"/>
            <w:sz w:val="24"/>
            <w:u w:val="single"/>
          </w:rPr>
          <w:t>Reminder on Consolidated Certification Review Due Diligence</w:t>
        </w:r>
      </w:hyperlink>
    </w:p>
    <w:p w14:paraId="59BF887A" w14:textId="77777777" w:rsidR="00297C46" w:rsidRPr="00297C46" w:rsidRDefault="00DC0115" w:rsidP="00297C46">
      <w:pPr>
        <w:tabs>
          <w:tab w:val="right" w:leader="dot" w:pos="9350"/>
        </w:tabs>
        <w:spacing w:after="0" w:line="240" w:lineRule="auto"/>
        <w:ind w:left="270" w:hanging="270"/>
        <w:rPr>
          <w:rFonts w:ascii="Calibri" w:eastAsia="Times New Roman" w:hAnsi="Calibri" w:cs="Times New Roman"/>
          <w:noProof/>
        </w:rPr>
      </w:pPr>
      <w:hyperlink w:anchor="_Toc23488353" w:history="1">
        <w:r w:rsidR="00297C46" w:rsidRPr="00297C46">
          <w:rPr>
            <w:rFonts w:ascii="Verdana" w:eastAsia="Calibri" w:hAnsi="Verdana" w:cs="Times New Roman"/>
            <w:noProof/>
            <w:color w:val="0000FF"/>
            <w:sz w:val="24"/>
            <w:u w:val="single"/>
          </w:rPr>
          <w:t>ORCF Guidance on Temporary Underwriting Holds</w:t>
        </w:r>
      </w:hyperlink>
    </w:p>
    <w:p w14:paraId="23E38345" w14:textId="77777777" w:rsidR="00297C46" w:rsidRPr="00297C46" w:rsidRDefault="00DC0115" w:rsidP="00297C46">
      <w:pPr>
        <w:tabs>
          <w:tab w:val="right" w:leader="dot" w:pos="9350"/>
        </w:tabs>
        <w:spacing w:after="0" w:line="240" w:lineRule="auto"/>
        <w:ind w:left="270" w:hanging="270"/>
        <w:rPr>
          <w:rFonts w:ascii="Calibri" w:eastAsia="Times New Roman" w:hAnsi="Calibri" w:cs="Times New Roman"/>
          <w:noProof/>
        </w:rPr>
      </w:pPr>
      <w:hyperlink w:anchor="_Toc23488354" w:history="1">
        <w:r w:rsidR="00297C46" w:rsidRPr="00297C46">
          <w:rPr>
            <w:rFonts w:ascii="Verdana" w:eastAsia="Calibri" w:hAnsi="Verdana" w:cs="Times New Roman"/>
            <w:noProof/>
            <w:color w:val="0000FF"/>
            <w:sz w:val="24"/>
            <w:u w:val="single"/>
          </w:rPr>
          <w:t>FROM THE CLOSING CORNER</w:t>
        </w:r>
      </w:hyperlink>
    </w:p>
    <w:p w14:paraId="6A2FA476" w14:textId="77777777" w:rsidR="00297C46" w:rsidRPr="00297C46" w:rsidRDefault="00DC0115" w:rsidP="00297C46">
      <w:pPr>
        <w:tabs>
          <w:tab w:val="right" w:leader="dot" w:pos="9350"/>
        </w:tabs>
        <w:spacing w:after="0" w:line="240" w:lineRule="auto"/>
        <w:ind w:left="270"/>
        <w:rPr>
          <w:rFonts w:ascii="Calibri" w:eastAsia="Times New Roman" w:hAnsi="Calibri" w:cs="Times New Roman"/>
          <w:noProof/>
        </w:rPr>
      </w:pPr>
      <w:hyperlink w:anchor="_Toc23488355" w:history="1">
        <w:r w:rsidR="00297C46" w:rsidRPr="00297C46">
          <w:rPr>
            <w:rFonts w:ascii="Verdana" w:eastAsia="Calibri" w:hAnsi="Verdana" w:cs="Times New Roman"/>
            <w:noProof/>
            <w:color w:val="0000FF"/>
            <w:sz w:val="24"/>
            <w:u w:val="single"/>
          </w:rPr>
          <w:t>Updated Closer Checklists are HERE!</w:t>
        </w:r>
      </w:hyperlink>
    </w:p>
    <w:p w14:paraId="40C53E20" w14:textId="77777777" w:rsidR="00297C46" w:rsidRPr="00297C46" w:rsidRDefault="00DC0115" w:rsidP="00297C46">
      <w:pPr>
        <w:tabs>
          <w:tab w:val="right" w:leader="dot" w:pos="9350"/>
        </w:tabs>
        <w:spacing w:after="0" w:line="240" w:lineRule="auto"/>
        <w:ind w:left="270"/>
        <w:rPr>
          <w:rFonts w:ascii="Calibri" w:eastAsia="Times New Roman" w:hAnsi="Calibri" w:cs="Times New Roman"/>
          <w:noProof/>
        </w:rPr>
      </w:pPr>
      <w:hyperlink w:anchor="_Toc23488356" w:history="1">
        <w:r w:rsidR="00297C46" w:rsidRPr="00297C46">
          <w:rPr>
            <w:rFonts w:ascii="Verdana" w:eastAsia="Calibri" w:hAnsi="Verdana" w:cs="Times New Roman"/>
            <w:noProof/>
            <w:color w:val="0000FF"/>
            <w:sz w:val="24"/>
            <w:u w:val="single"/>
          </w:rPr>
          <w:t>Final Closing Attorney Checklist is HERE!</w:t>
        </w:r>
      </w:hyperlink>
    </w:p>
    <w:p w14:paraId="69ED23BF" w14:textId="77777777" w:rsidR="00297C46" w:rsidRPr="00297C46" w:rsidRDefault="00DC0115" w:rsidP="00297C46">
      <w:pPr>
        <w:tabs>
          <w:tab w:val="right" w:leader="dot" w:pos="9350"/>
        </w:tabs>
        <w:spacing w:after="0" w:line="240" w:lineRule="auto"/>
        <w:ind w:left="270"/>
        <w:rPr>
          <w:rFonts w:ascii="Calibri" w:eastAsia="Times New Roman" w:hAnsi="Calibri" w:cs="Times New Roman"/>
          <w:noProof/>
        </w:rPr>
      </w:pPr>
      <w:hyperlink w:anchor="_Toc23488357" w:history="1">
        <w:r w:rsidR="00297C46" w:rsidRPr="00297C46">
          <w:rPr>
            <w:rFonts w:ascii="Verdana" w:eastAsia="Calibri" w:hAnsi="Verdana" w:cs="Times New Roman"/>
            <w:noProof/>
            <w:color w:val="0000FF"/>
            <w:sz w:val="24"/>
            <w:u w:val="single"/>
          </w:rPr>
          <w:t>Acceptable Evidence of Title for Final Closing</w:t>
        </w:r>
      </w:hyperlink>
    </w:p>
    <w:p w14:paraId="49813339" w14:textId="77777777" w:rsidR="00297C46" w:rsidRPr="00297C46" w:rsidRDefault="00DC0115" w:rsidP="00297C46">
      <w:pPr>
        <w:tabs>
          <w:tab w:val="right" w:leader="dot" w:pos="9350"/>
        </w:tabs>
        <w:spacing w:after="0" w:line="240" w:lineRule="auto"/>
        <w:ind w:left="270"/>
        <w:rPr>
          <w:rFonts w:ascii="Calibri" w:eastAsia="Times New Roman" w:hAnsi="Calibri" w:cs="Times New Roman"/>
          <w:noProof/>
        </w:rPr>
      </w:pPr>
      <w:hyperlink w:anchor="_Toc23488358" w:history="1">
        <w:r w:rsidR="00297C46" w:rsidRPr="00297C46">
          <w:rPr>
            <w:rFonts w:ascii="Verdana" w:eastAsia="Calibri" w:hAnsi="Verdana" w:cs="Times New Roman"/>
            <w:noProof/>
            <w:color w:val="0000FF"/>
            <w:sz w:val="24"/>
            <w:u w:val="single"/>
          </w:rPr>
          <w:t>Reminder – Allow for Three (3) Days to Get Closing Documents Signed!</w:t>
        </w:r>
      </w:hyperlink>
    </w:p>
    <w:p w14:paraId="7C96ED91" w14:textId="77777777" w:rsidR="00297C46" w:rsidRPr="00297C46" w:rsidRDefault="00DC0115" w:rsidP="00297C46">
      <w:pPr>
        <w:tabs>
          <w:tab w:val="right" w:leader="dot" w:pos="9350"/>
        </w:tabs>
        <w:spacing w:after="0" w:line="240" w:lineRule="auto"/>
        <w:ind w:left="270"/>
        <w:rPr>
          <w:rFonts w:ascii="Calibri" w:eastAsia="Times New Roman" w:hAnsi="Calibri" w:cs="Times New Roman"/>
          <w:noProof/>
        </w:rPr>
      </w:pPr>
      <w:hyperlink w:anchor="_Toc23488359" w:history="1">
        <w:r w:rsidR="00297C46" w:rsidRPr="00297C46">
          <w:rPr>
            <w:rFonts w:ascii="Verdana" w:eastAsia="Calibri" w:hAnsi="Verdana" w:cs="Times New Roman"/>
            <w:noProof/>
            <w:color w:val="0000FF"/>
            <w:sz w:val="24"/>
            <w:u w:val="single"/>
          </w:rPr>
          <w:t>Tips to Avoid Closing Delays When Submitting a Waiver Request</w:t>
        </w:r>
      </w:hyperlink>
    </w:p>
    <w:p w14:paraId="4524C80A" w14:textId="77777777" w:rsidR="00297C46" w:rsidRPr="00297C46" w:rsidRDefault="00DC0115" w:rsidP="00297C46">
      <w:pPr>
        <w:tabs>
          <w:tab w:val="right" w:leader="dot" w:pos="9350"/>
        </w:tabs>
        <w:spacing w:after="0" w:line="240" w:lineRule="auto"/>
        <w:ind w:left="270"/>
        <w:rPr>
          <w:rFonts w:ascii="Calibri" w:eastAsia="Times New Roman" w:hAnsi="Calibri" w:cs="Times New Roman"/>
          <w:noProof/>
        </w:rPr>
      </w:pPr>
      <w:hyperlink w:anchor="_Toc23488360" w:history="1">
        <w:r w:rsidR="00297C46" w:rsidRPr="00297C46">
          <w:rPr>
            <w:rFonts w:ascii="Verdana" w:eastAsia="Calibri" w:hAnsi="Verdana" w:cs="Times New Roman"/>
            <w:noProof/>
            <w:color w:val="0000FF"/>
            <w:sz w:val="24"/>
            <w:u w:val="single"/>
          </w:rPr>
          <w:t>Lender’s Responsibility PRIOR to Submitting NC/241a/Sub-Rehab Cost Certification Packages</w:t>
        </w:r>
      </w:hyperlink>
    </w:p>
    <w:p w14:paraId="2F1B04EB" w14:textId="77777777" w:rsidR="00297C46" w:rsidRPr="00297C46" w:rsidRDefault="00DC0115" w:rsidP="00297C46">
      <w:pPr>
        <w:tabs>
          <w:tab w:val="right" w:leader="dot" w:pos="9350"/>
        </w:tabs>
        <w:spacing w:after="0" w:line="240" w:lineRule="auto"/>
        <w:ind w:left="270" w:hanging="270"/>
        <w:rPr>
          <w:rFonts w:ascii="Calibri" w:eastAsia="Times New Roman" w:hAnsi="Calibri" w:cs="Times New Roman"/>
          <w:noProof/>
        </w:rPr>
      </w:pPr>
      <w:hyperlink w:anchor="_Toc23488361" w:history="1">
        <w:r w:rsidR="00297C46" w:rsidRPr="00297C46">
          <w:rPr>
            <w:rFonts w:ascii="Verdana" w:eastAsia="Calibri" w:hAnsi="Verdana" w:cs="Times New Roman"/>
            <w:noProof/>
            <w:color w:val="0000FF"/>
            <w:sz w:val="24"/>
            <w:u w:val="single"/>
          </w:rPr>
          <w:t>Document Links Included In This Blast</w:t>
        </w:r>
      </w:hyperlink>
    </w:p>
    <w:p w14:paraId="3A988AAE"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i/>
          <w:sz w:val="24"/>
        </w:rPr>
        <w:fldChar w:fldCharType="end"/>
      </w:r>
    </w:p>
    <w:p w14:paraId="090D10DA" w14:textId="77777777" w:rsidR="00297C46" w:rsidRPr="00297C46" w:rsidRDefault="00297C46" w:rsidP="00297C46">
      <w:pPr>
        <w:spacing w:after="0" w:line="240" w:lineRule="auto"/>
        <w:jc w:val="center"/>
        <w:rPr>
          <w:rFonts w:ascii="Verdana" w:eastAsia="Calibri" w:hAnsi="Verdana" w:cs="Times New Roman"/>
          <w:sz w:val="24"/>
        </w:rPr>
      </w:pPr>
      <w:r w:rsidRPr="00297C46">
        <w:rPr>
          <w:rFonts w:ascii="Verdana" w:eastAsia="Calibri" w:hAnsi="Verdana" w:cs="Times New Roman"/>
          <w:noProof/>
          <w:color w:val="1F497D"/>
        </w:rPr>
        <w:drawing>
          <wp:inline distT="0" distB="0" distL="0" distR="0" wp14:anchorId="0107BAA6" wp14:editId="20901081">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54C344A" w14:textId="77777777" w:rsidR="00297C46" w:rsidRPr="00297C46" w:rsidRDefault="00297C46" w:rsidP="00297C46">
      <w:pPr>
        <w:spacing w:after="0" w:line="240" w:lineRule="auto"/>
        <w:rPr>
          <w:rFonts w:ascii="Verdana" w:eastAsia="Calibri" w:hAnsi="Verdana" w:cs="Times New Roman"/>
          <w:color w:val="000000"/>
          <w:sz w:val="24"/>
        </w:rPr>
      </w:pPr>
      <w:bookmarkStart w:id="2" w:name="_Toc380585836"/>
      <w:bookmarkEnd w:id="2"/>
    </w:p>
    <w:p w14:paraId="677EE474" w14:textId="77777777" w:rsidR="00297C46" w:rsidRPr="00297C46" w:rsidRDefault="00297C46" w:rsidP="00297C46">
      <w:pPr>
        <w:spacing w:after="120" w:line="240" w:lineRule="auto"/>
        <w:outlineLvl w:val="0"/>
        <w:rPr>
          <w:rFonts w:ascii="Verdana" w:eastAsia="Calibri" w:hAnsi="Verdana" w:cs="Times New Roman"/>
          <w:b/>
          <w:bCs/>
          <w:caps/>
          <w:sz w:val="28"/>
          <w:szCs w:val="32"/>
          <w:u w:val="single"/>
        </w:rPr>
      </w:pPr>
      <w:bookmarkStart w:id="3" w:name="_Toc23488351"/>
      <w:r w:rsidRPr="00297C46">
        <w:rPr>
          <w:rFonts w:ascii="Verdana" w:eastAsia="Calibri" w:hAnsi="Verdana" w:cs="Times New Roman"/>
          <w:b/>
          <w:bCs/>
          <w:caps/>
          <w:sz w:val="28"/>
          <w:szCs w:val="32"/>
          <w:u w:val="single"/>
        </w:rPr>
        <w:t>Guidance on HCBS State Risk Mitigation for Existing Portfolio and New Underwriting</w:t>
      </w:r>
      <w:bookmarkEnd w:id="3"/>
    </w:p>
    <w:p w14:paraId="0A0F33B9"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sz w:val="24"/>
        </w:rPr>
        <w:t>As a reminder, Handbook 4232.1, Section II, Chapter 5 (</w:t>
      </w:r>
      <w:hyperlink r:id="rId8" w:history="1">
        <w:r w:rsidRPr="00297C46">
          <w:rPr>
            <w:rFonts w:ascii="Verdana" w:eastAsia="Calibri" w:hAnsi="Verdana" w:cs="Times New Roman"/>
            <w:color w:val="0000FF"/>
            <w:sz w:val="24"/>
            <w:u w:val="single"/>
          </w:rPr>
          <w:t>here</w:t>
        </w:r>
      </w:hyperlink>
      <w:r w:rsidRPr="00297C46">
        <w:rPr>
          <w:rFonts w:ascii="Verdana" w:eastAsia="Calibri" w:hAnsi="Verdana" w:cs="Times New Roman"/>
          <w:color w:val="0000FF"/>
          <w:sz w:val="24"/>
          <w:u w:val="single"/>
        </w:rPr>
        <w:t>)</w:t>
      </w:r>
      <w:r w:rsidRPr="00297C46">
        <w:rPr>
          <w:rFonts w:ascii="Verdana" w:eastAsia="Calibri" w:hAnsi="Verdana" w:cs="Times New Roman"/>
          <w:sz w:val="24"/>
        </w:rPr>
        <w:t xml:space="preserve"> details that appraisal analyses submitted with ORCF applications need to include a discussion of external or economic obsolescence. </w:t>
      </w:r>
    </w:p>
    <w:p w14:paraId="0440042C" w14:textId="77777777" w:rsidR="00297C46" w:rsidRPr="00297C46" w:rsidRDefault="00297C46" w:rsidP="00297C46">
      <w:pPr>
        <w:spacing w:after="0" w:line="240" w:lineRule="auto"/>
        <w:rPr>
          <w:rFonts w:ascii="Verdana" w:eastAsia="Calibri" w:hAnsi="Verdana" w:cs="Times New Roman"/>
          <w:sz w:val="24"/>
        </w:rPr>
      </w:pPr>
    </w:p>
    <w:p w14:paraId="26ECB5CC"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sz w:val="24"/>
        </w:rPr>
        <w:t>Chapter 5 specifically identifies Medicaid reimbursement issues as a factor which can impact the economic life of a project.  For facilities reliant upon Medicaid waiver revenue, this includes addressing the facility’s continuing eligibility with the Home and Community Based Service (HCBS) Rule (</w:t>
      </w:r>
      <w:hyperlink r:id="rId9" w:history="1">
        <w:r w:rsidRPr="00297C46">
          <w:rPr>
            <w:rFonts w:ascii="Verdana" w:eastAsia="Calibri" w:hAnsi="Verdana" w:cs="Times New Roman"/>
            <w:color w:val="0000FF"/>
            <w:sz w:val="24"/>
            <w:u w:val="single"/>
          </w:rPr>
          <w:t>here</w:t>
        </w:r>
      </w:hyperlink>
      <w:r w:rsidRPr="00297C46">
        <w:rPr>
          <w:rFonts w:ascii="Verdana" w:eastAsia="Calibri" w:hAnsi="Verdana" w:cs="Times New Roman"/>
          <w:color w:val="0000FF"/>
          <w:sz w:val="24"/>
          <w:u w:val="single"/>
        </w:rPr>
        <w:t>)</w:t>
      </w:r>
      <w:r w:rsidRPr="00297C46">
        <w:rPr>
          <w:rFonts w:ascii="Verdana" w:eastAsia="Calibri" w:hAnsi="Verdana" w:cs="Times New Roman"/>
          <w:sz w:val="24"/>
        </w:rPr>
        <w:t xml:space="preserve">.  Of </w:t>
      </w:r>
      <w:proofErr w:type="gramStart"/>
      <w:r w:rsidRPr="00297C46">
        <w:rPr>
          <w:rFonts w:ascii="Verdana" w:eastAsia="Calibri" w:hAnsi="Verdana" w:cs="Times New Roman"/>
          <w:sz w:val="24"/>
        </w:rPr>
        <w:t>particular concern</w:t>
      </w:r>
      <w:proofErr w:type="gramEnd"/>
      <w:r w:rsidRPr="00297C46">
        <w:rPr>
          <w:rFonts w:ascii="Verdana" w:eastAsia="Calibri" w:hAnsi="Verdana" w:cs="Times New Roman"/>
          <w:sz w:val="24"/>
        </w:rPr>
        <w:t xml:space="preserve"> is a facility in a setting type presumed to have the qualities of an institution and therefore at risk of losing all Medicaid waiver revenue as follows:</w:t>
      </w:r>
    </w:p>
    <w:p w14:paraId="62071438" w14:textId="77777777" w:rsidR="00297C46" w:rsidRPr="00297C46" w:rsidRDefault="00297C46" w:rsidP="00297C46">
      <w:pPr>
        <w:spacing w:after="0" w:line="240" w:lineRule="auto"/>
        <w:rPr>
          <w:rFonts w:ascii="Verdana" w:eastAsia="Calibri" w:hAnsi="Verdana" w:cs="Times New Roman"/>
          <w:sz w:val="24"/>
        </w:rPr>
      </w:pPr>
    </w:p>
    <w:p w14:paraId="449FA2A0" w14:textId="77777777" w:rsidR="00297C46" w:rsidRPr="00297C46" w:rsidRDefault="00297C46" w:rsidP="00297C46">
      <w:pPr>
        <w:spacing w:after="0" w:line="240" w:lineRule="auto"/>
        <w:ind w:left="720"/>
        <w:rPr>
          <w:rFonts w:ascii="Verdana" w:eastAsia="Calibri" w:hAnsi="Verdana" w:cs="Times New Roman"/>
          <w:sz w:val="24"/>
        </w:rPr>
      </w:pPr>
      <w:r w:rsidRPr="00297C46">
        <w:rPr>
          <w:rFonts w:ascii="Verdana" w:eastAsia="Calibri" w:hAnsi="Verdana" w:cs="Times New Roman"/>
          <w:sz w:val="24"/>
        </w:rPr>
        <w:t xml:space="preserve">• Settings that </w:t>
      </w:r>
      <w:proofErr w:type="gramStart"/>
      <w:r w:rsidRPr="00297C46">
        <w:rPr>
          <w:rFonts w:ascii="Verdana" w:eastAsia="Calibri" w:hAnsi="Verdana" w:cs="Times New Roman"/>
          <w:sz w:val="24"/>
        </w:rPr>
        <w:t>are located in</w:t>
      </w:r>
      <w:proofErr w:type="gramEnd"/>
      <w:r w:rsidRPr="00297C46">
        <w:rPr>
          <w:rFonts w:ascii="Verdana" w:eastAsia="Calibri" w:hAnsi="Verdana" w:cs="Times New Roman"/>
          <w:sz w:val="24"/>
        </w:rPr>
        <w:t xml:space="preserve"> a building that is also a publicly or privately-operated facility that provides inpatient institutional treatment; </w:t>
      </w:r>
    </w:p>
    <w:p w14:paraId="3B2EBEC0" w14:textId="77777777" w:rsidR="00297C46" w:rsidRPr="00297C46" w:rsidRDefault="00297C46" w:rsidP="00297C46">
      <w:pPr>
        <w:spacing w:after="0" w:line="240" w:lineRule="auto"/>
        <w:ind w:left="720"/>
        <w:rPr>
          <w:rFonts w:ascii="Verdana" w:eastAsia="Calibri" w:hAnsi="Verdana" w:cs="Times New Roman"/>
          <w:sz w:val="24"/>
        </w:rPr>
      </w:pPr>
      <w:r w:rsidRPr="00297C46">
        <w:rPr>
          <w:rFonts w:ascii="Verdana" w:eastAsia="Calibri" w:hAnsi="Verdana" w:cs="Times New Roman"/>
          <w:sz w:val="24"/>
        </w:rPr>
        <w:lastRenderedPageBreak/>
        <w:t xml:space="preserve">• Settings that are in a building located on the grounds of, or immediately adjacent to, a public institution; and </w:t>
      </w:r>
    </w:p>
    <w:p w14:paraId="0B589170" w14:textId="77777777" w:rsidR="00297C46" w:rsidRPr="00297C46" w:rsidRDefault="00297C46" w:rsidP="00297C46">
      <w:pPr>
        <w:spacing w:after="0" w:line="240" w:lineRule="auto"/>
        <w:ind w:left="720"/>
        <w:rPr>
          <w:rFonts w:ascii="Verdana" w:eastAsia="Calibri" w:hAnsi="Verdana" w:cs="Times New Roman"/>
          <w:sz w:val="24"/>
        </w:rPr>
      </w:pPr>
      <w:r w:rsidRPr="00297C46">
        <w:rPr>
          <w:rFonts w:ascii="Verdana" w:eastAsia="Calibri" w:hAnsi="Verdana" w:cs="Times New Roman"/>
          <w:sz w:val="24"/>
        </w:rPr>
        <w:t xml:space="preserve">• Any other settings that have the effect of isolating individuals receiving Medicaid HCBS from the broader community of individuals not receiving Medicaid HCBS. </w:t>
      </w:r>
    </w:p>
    <w:p w14:paraId="5FD02650" w14:textId="77777777" w:rsidR="00297C46" w:rsidRPr="00297C46" w:rsidRDefault="00297C46" w:rsidP="00297C46">
      <w:pPr>
        <w:spacing w:after="0" w:line="240" w:lineRule="auto"/>
        <w:rPr>
          <w:rFonts w:ascii="Verdana" w:eastAsia="Calibri" w:hAnsi="Verdana" w:cs="Times New Roman"/>
          <w:sz w:val="24"/>
        </w:rPr>
      </w:pPr>
    </w:p>
    <w:p w14:paraId="4F5AC6D8"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sz w:val="24"/>
        </w:rPr>
        <w:t>Per CMS guidance, any setting presumed to have institutional qualities will not sustain Medicaid waiver funding unless CMS determines through “heightened scrutiny” that the state has overcome the rebuttable presumption that the setting has institutional qualities.  See CMS additional guidance on “heightened scrutiny” dated March 22, 2019 (</w:t>
      </w:r>
      <w:hyperlink r:id="rId10" w:history="1">
        <w:r w:rsidRPr="00297C46">
          <w:rPr>
            <w:rFonts w:ascii="Verdana" w:eastAsia="Calibri" w:hAnsi="Verdana" w:cs="Times New Roman"/>
            <w:color w:val="0000FF"/>
            <w:sz w:val="24"/>
            <w:u w:val="single"/>
          </w:rPr>
          <w:t>here</w:t>
        </w:r>
      </w:hyperlink>
      <w:r w:rsidRPr="00297C46">
        <w:rPr>
          <w:rFonts w:ascii="Verdana" w:eastAsia="Calibri" w:hAnsi="Verdana" w:cs="Times New Roman"/>
          <w:color w:val="0000FF"/>
          <w:sz w:val="24"/>
          <w:u w:val="single"/>
        </w:rPr>
        <w:t>)</w:t>
      </w:r>
      <w:r w:rsidRPr="00297C46">
        <w:rPr>
          <w:rFonts w:ascii="Verdana" w:eastAsia="Calibri" w:hAnsi="Verdana" w:cs="Times New Roman"/>
          <w:sz w:val="24"/>
        </w:rPr>
        <w:t xml:space="preserve">.  Therefore, if CMS has not yet initially approved the state’s HCBS transition plan or if the State’s </w:t>
      </w:r>
      <w:r w:rsidRPr="00297C46">
        <w:rPr>
          <w:rFonts w:ascii="Verdana" w:eastAsia="Calibri" w:hAnsi="Verdana" w:cs="Times New Roman"/>
          <w:i/>
          <w:iCs/>
          <w:sz w:val="24"/>
        </w:rPr>
        <w:t>approved</w:t>
      </w:r>
      <w:r w:rsidRPr="00297C46">
        <w:rPr>
          <w:rFonts w:ascii="Verdana" w:eastAsia="Calibri" w:hAnsi="Verdana" w:cs="Times New Roman"/>
          <w:sz w:val="24"/>
        </w:rPr>
        <w:t xml:space="preserve"> plan calls for the facility to undergo heightened scrutiny, then assuring continued facility specific eligibility may be problematic and should be discussed in the application.</w:t>
      </w:r>
    </w:p>
    <w:p w14:paraId="688B2901" w14:textId="77777777" w:rsidR="00297C46" w:rsidRPr="00297C46" w:rsidRDefault="00297C46" w:rsidP="00297C46">
      <w:pPr>
        <w:spacing w:after="0" w:line="240" w:lineRule="auto"/>
        <w:rPr>
          <w:rFonts w:ascii="Verdana" w:eastAsia="Calibri" w:hAnsi="Verdana" w:cs="Times New Roman"/>
          <w:sz w:val="24"/>
        </w:rPr>
      </w:pPr>
    </w:p>
    <w:p w14:paraId="3DB0F1B7"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sz w:val="24"/>
        </w:rPr>
        <w:t>As an additional reminder, Handbook 4232.1, Section III, Chapter 3.10.5 (</w:t>
      </w:r>
      <w:hyperlink r:id="rId11" w:history="1">
        <w:r w:rsidRPr="00297C46">
          <w:rPr>
            <w:rFonts w:ascii="Verdana" w:eastAsia="Calibri" w:hAnsi="Verdana" w:cs="Times New Roman"/>
            <w:color w:val="0000FF"/>
            <w:sz w:val="24"/>
            <w:u w:val="single"/>
          </w:rPr>
          <w:t>here</w:t>
        </w:r>
      </w:hyperlink>
      <w:r w:rsidRPr="00297C46">
        <w:rPr>
          <w:rFonts w:ascii="Verdana" w:eastAsia="Calibri" w:hAnsi="Verdana" w:cs="Times New Roman"/>
          <w:color w:val="0000FF"/>
          <w:sz w:val="24"/>
          <w:u w:val="single"/>
        </w:rPr>
        <w:t>)</w:t>
      </w:r>
      <w:r w:rsidRPr="00297C46">
        <w:rPr>
          <w:rFonts w:ascii="Verdana" w:eastAsia="Calibri" w:hAnsi="Verdana" w:cs="Times New Roman"/>
          <w:sz w:val="24"/>
        </w:rPr>
        <w:t xml:space="preserve"> requires Operators to notify HUD of threats to licensure or provider payments.  Therefore, projects placed under “heightened scrutiny” or otherwise identified by the State as ineligible under HCBS need to work with the Lender and Account Executive to address any steps needed to assure compliance with the HCBS Final Rule. </w:t>
      </w:r>
    </w:p>
    <w:p w14:paraId="4835D7F7" w14:textId="77777777" w:rsidR="00297C46" w:rsidRPr="00297C46" w:rsidRDefault="00297C46" w:rsidP="00297C46">
      <w:pPr>
        <w:spacing w:after="0" w:line="240" w:lineRule="auto"/>
        <w:rPr>
          <w:rFonts w:ascii="Verdana" w:eastAsia="Calibri" w:hAnsi="Verdana" w:cs="Times New Roman"/>
          <w:sz w:val="24"/>
        </w:rPr>
      </w:pPr>
    </w:p>
    <w:p w14:paraId="54AAFA71"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sz w:val="24"/>
        </w:rPr>
        <w:t>The HCBS Final Rule (</w:t>
      </w:r>
      <w:hyperlink r:id="rId12" w:history="1">
        <w:r w:rsidRPr="00297C46">
          <w:rPr>
            <w:rFonts w:ascii="Verdana" w:eastAsia="Calibri" w:hAnsi="Verdana" w:cs="Times New Roman"/>
            <w:color w:val="0000FF"/>
            <w:sz w:val="24"/>
            <w:u w:val="single"/>
          </w:rPr>
          <w:t>here</w:t>
        </w:r>
      </w:hyperlink>
      <w:r w:rsidRPr="00297C46">
        <w:rPr>
          <w:rFonts w:ascii="Verdana" w:eastAsia="Calibri" w:hAnsi="Verdana" w:cs="Times New Roman"/>
          <w:color w:val="0000FF"/>
          <w:sz w:val="24"/>
          <w:u w:val="single"/>
        </w:rPr>
        <w:t>)</w:t>
      </w:r>
      <w:r w:rsidRPr="00297C46">
        <w:rPr>
          <w:rFonts w:ascii="Verdana" w:eastAsia="Calibri" w:hAnsi="Verdana" w:cs="Times New Roman"/>
          <w:sz w:val="24"/>
        </w:rPr>
        <w:t>, established requirements for home and community based settings in Medicaid programs operated under sections 1915(c), 1915(i) and 1915(k) of the Act, which includes Medicaid Waiver programs used by a number of ALFs, SLFs and B &amp; C projects.  The rule provided an initial transition period for compliance, which has since been extended to March 17, 2022.  For additional information, see the State Risk Summary Grid in the June 28, 2017 Email Blast (</w:t>
      </w:r>
      <w:hyperlink r:id="rId13" w:history="1">
        <w:r w:rsidRPr="00297C46">
          <w:rPr>
            <w:rFonts w:ascii="Verdana" w:eastAsia="Calibri" w:hAnsi="Verdana" w:cs="Times New Roman"/>
            <w:color w:val="0000FF"/>
            <w:sz w:val="24"/>
            <w:u w:val="single"/>
          </w:rPr>
          <w:t>here</w:t>
        </w:r>
      </w:hyperlink>
      <w:r w:rsidRPr="00297C46">
        <w:rPr>
          <w:rFonts w:ascii="Verdana" w:eastAsia="Calibri" w:hAnsi="Verdana" w:cs="Times New Roman"/>
          <w:sz w:val="24"/>
        </w:rPr>
        <w:t xml:space="preserve">). </w:t>
      </w:r>
    </w:p>
    <w:p w14:paraId="3E56A77A" w14:textId="77777777" w:rsidR="00297C46" w:rsidRPr="00297C46" w:rsidRDefault="00297C46" w:rsidP="00297C46">
      <w:pPr>
        <w:spacing w:after="0" w:line="240" w:lineRule="auto"/>
        <w:rPr>
          <w:rFonts w:ascii="Verdana" w:eastAsia="Calibri" w:hAnsi="Verdana" w:cs="Times New Roman"/>
          <w:sz w:val="24"/>
        </w:rPr>
      </w:pPr>
    </w:p>
    <w:p w14:paraId="1D63D8C7" w14:textId="77777777" w:rsidR="00297C46" w:rsidRPr="00297C46" w:rsidRDefault="00297C46" w:rsidP="00297C46">
      <w:pPr>
        <w:spacing w:after="0" w:line="240" w:lineRule="auto"/>
        <w:rPr>
          <w:rFonts w:ascii="Verdana" w:eastAsia="Calibri" w:hAnsi="Verdana" w:cs="Times New Roman"/>
          <w:i/>
          <w:iCs/>
          <w:sz w:val="24"/>
        </w:rPr>
      </w:pPr>
      <w:r w:rsidRPr="00297C46">
        <w:rPr>
          <w:rFonts w:ascii="Verdana" w:eastAsia="Calibri" w:hAnsi="Verdana" w:cs="Times New Roman"/>
          <w:b/>
          <w:bCs/>
          <w:i/>
          <w:iCs/>
          <w:sz w:val="24"/>
        </w:rPr>
        <w:t>Keywords:</w:t>
      </w:r>
      <w:r w:rsidRPr="00297C46">
        <w:rPr>
          <w:rFonts w:ascii="Verdana" w:eastAsia="Calibri" w:hAnsi="Verdana" w:cs="Times New Roman"/>
          <w:i/>
          <w:iCs/>
          <w:sz w:val="24"/>
        </w:rPr>
        <w:t xml:space="preserve"> Valuation, State Risk, Asset Management </w:t>
      </w:r>
    </w:p>
    <w:p w14:paraId="1A7FFB86" w14:textId="77777777" w:rsidR="00297C46" w:rsidRPr="00297C46" w:rsidRDefault="00297C46" w:rsidP="00297C46">
      <w:pPr>
        <w:spacing w:after="0" w:line="240" w:lineRule="auto"/>
        <w:rPr>
          <w:rFonts w:ascii="Verdana" w:eastAsia="MS Mincho" w:hAnsi="Verdana" w:cs="Times New Roman"/>
          <w:b/>
          <w:sz w:val="24"/>
          <w:szCs w:val="24"/>
        </w:rPr>
      </w:pPr>
    </w:p>
    <w:p w14:paraId="3AE1041E" w14:textId="77777777" w:rsidR="00297C46" w:rsidRPr="00297C46" w:rsidRDefault="00DC0115" w:rsidP="00297C46">
      <w:pPr>
        <w:spacing w:after="0" w:line="240" w:lineRule="auto"/>
        <w:rPr>
          <w:rFonts w:ascii="Verdana" w:eastAsia="Calibri" w:hAnsi="Verdana" w:cs="Times New Roman"/>
          <w:color w:val="0000FF"/>
          <w:sz w:val="24"/>
          <w:u w:val="single"/>
        </w:rPr>
      </w:pPr>
      <w:hyperlink w:anchor="_top" w:history="1">
        <w:r w:rsidR="00297C46" w:rsidRPr="00297C46">
          <w:rPr>
            <w:rFonts w:ascii="Verdana" w:eastAsia="Calibri" w:hAnsi="Verdana" w:cs="Times New Roman"/>
            <w:color w:val="0000FF"/>
            <w:sz w:val="24"/>
            <w:u w:val="single"/>
          </w:rPr>
          <w:t>Back to top</w:t>
        </w:r>
      </w:hyperlink>
    </w:p>
    <w:p w14:paraId="6567D4D4" w14:textId="77777777" w:rsidR="00297C46" w:rsidRPr="00297C46" w:rsidRDefault="00297C46" w:rsidP="00297C46">
      <w:pPr>
        <w:spacing w:after="0" w:line="240" w:lineRule="auto"/>
        <w:rPr>
          <w:rFonts w:ascii="Verdana" w:eastAsia="Calibri" w:hAnsi="Verdana" w:cs="Times New Roman"/>
          <w:sz w:val="24"/>
        </w:rPr>
      </w:pPr>
    </w:p>
    <w:p w14:paraId="5B5CB25D" w14:textId="77777777" w:rsidR="00297C46" w:rsidRPr="00297C46" w:rsidRDefault="00297C46" w:rsidP="00297C46">
      <w:pPr>
        <w:spacing w:after="120" w:line="240" w:lineRule="auto"/>
        <w:outlineLvl w:val="0"/>
        <w:rPr>
          <w:rFonts w:ascii="Verdana" w:eastAsia="Calibri" w:hAnsi="Verdana" w:cs="Times New Roman"/>
          <w:b/>
          <w:bCs/>
          <w:caps/>
          <w:sz w:val="28"/>
          <w:szCs w:val="32"/>
          <w:u w:val="single"/>
        </w:rPr>
      </w:pPr>
      <w:bookmarkStart w:id="4" w:name="_Toc23488352"/>
      <w:r w:rsidRPr="00297C46">
        <w:rPr>
          <w:rFonts w:ascii="Verdana" w:eastAsia="Calibri" w:hAnsi="Verdana" w:cs="Times New Roman"/>
          <w:b/>
          <w:bCs/>
          <w:caps/>
          <w:sz w:val="28"/>
          <w:szCs w:val="32"/>
          <w:u w:val="single"/>
        </w:rPr>
        <w:t>Reminder on Consolidated Certification Review Due Diligence</w:t>
      </w:r>
      <w:bookmarkEnd w:id="4"/>
    </w:p>
    <w:p w14:paraId="0E338277"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sz w:val="24"/>
        </w:rPr>
        <w:t>Pursuant to the August 29, 2018 Email Blast</w:t>
      </w:r>
      <w:r w:rsidRPr="00297C46">
        <w:rPr>
          <w:rFonts w:ascii="Verdana" w:eastAsia="Calibri" w:hAnsi="Verdana" w:cs="Times New Roman"/>
          <w:b/>
          <w:bCs/>
          <w:i/>
          <w:iCs/>
          <w:sz w:val="24"/>
        </w:rPr>
        <w:t xml:space="preserve"> </w:t>
      </w:r>
      <w:r w:rsidRPr="00297C46">
        <w:rPr>
          <w:rFonts w:ascii="Verdana" w:eastAsia="Calibri" w:hAnsi="Verdana" w:cs="Times New Roman"/>
          <w:sz w:val="24"/>
        </w:rPr>
        <w:t>(</w:t>
      </w:r>
      <w:hyperlink r:id="rId14" w:history="1">
        <w:r w:rsidRPr="00297C46">
          <w:rPr>
            <w:rFonts w:ascii="Verdana" w:eastAsia="Calibri" w:hAnsi="Verdana" w:cs="Times New Roman"/>
            <w:color w:val="0000FF"/>
            <w:sz w:val="24"/>
            <w:u w:val="single"/>
          </w:rPr>
          <w:t>here</w:t>
        </w:r>
      </w:hyperlink>
      <w:r w:rsidRPr="00297C46">
        <w:rPr>
          <w:rFonts w:ascii="Verdana" w:eastAsia="Calibri" w:hAnsi="Verdana" w:cs="Times New Roman"/>
          <w:sz w:val="24"/>
        </w:rPr>
        <w:t xml:space="preserve">), Lenders were reminded to review the Consolidated Certifications for all participants as part of underwriting due diligence.  Please note that receiving approval of an APPS submission is </w:t>
      </w:r>
      <w:r w:rsidRPr="00297C46">
        <w:rPr>
          <w:rFonts w:ascii="Verdana" w:eastAsia="Calibri" w:hAnsi="Verdana" w:cs="Times New Roman"/>
          <w:b/>
          <w:bCs/>
          <w:i/>
          <w:iCs/>
          <w:sz w:val="24"/>
          <w:u w:val="single"/>
        </w:rPr>
        <w:t>not</w:t>
      </w:r>
      <w:r w:rsidRPr="00297C46">
        <w:rPr>
          <w:rFonts w:ascii="Verdana" w:eastAsia="Calibri" w:hAnsi="Verdana" w:cs="Times New Roman"/>
          <w:b/>
          <w:bCs/>
          <w:sz w:val="24"/>
          <w:u w:val="single"/>
        </w:rPr>
        <w:t xml:space="preserve"> </w:t>
      </w:r>
      <w:r w:rsidRPr="00297C46">
        <w:rPr>
          <w:rFonts w:ascii="Verdana" w:eastAsia="Calibri" w:hAnsi="Verdana" w:cs="Times New Roman"/>
          <w:sz w:val="24"/>
        </w:rPr>
        <w:t xml:space="preserve">approval of the overall transaction, and when using a paper submission, it must be on the ORCF Consolidated Certification form (HUD-90013-ORCF through HUD-90017-ORCF) available </w:t>
      </w:r>
      <w:r w:rsidRPr="00297C46">
        <w:rPr>
          <w:rFonts w:ascii="Verdana" w:eastAsia="Calibri" w:hAnsi="Verdana" w:cs="Times New Roman"/>
          <w:sz w:val="24"/>
        </w:rPr>
        <w:lastRenderedPageBreak/>
        <w:t>(</w:t>
      </w:r>
      <w:hyperlink r:id="rId15" w:history="1">
        <w:r w:rsidRPr="00297C46">
          <w:rPr>
            <w:rFonts w:ascii="Verdana" w:eastAsia="Calibri" w:hAnsi="Verdana" w:cs="Times New Roman"/>
            <w:color w:val="0000FF"/>
            <w:sz w:val="24"/>
            <w:u w:val="single"/>
          </w:rPr>
          <w:t>here</w:t>
        </w:r>
      </w:hyperlink>
      <w:r w:rsidRPr="00297C46">
        <w:rPr>
          <w:rFonts w:ascii="Verdana" w:eastAsia="Calibri" w:hAnsi="Verdana" w:cs="Times New Roman"/>
          <w:sz w:val="24"/>
        </w:rPr>
        <w:t xml:space="preserve">).  Applications submitted using the </w:t>
      </w:r>
      <w:r w:rsidRPr="00297C46">
        <w:rPr>
          <w:rFonts w:ascii="Verdana" w:eastAsia="Calibri" w:hAnsi="Verdana" w:cs="Times New Roman"/>
          <w:sz w:val="24"/>
          <w:u w:val="single"/>
        </w:rPr>
        <w:t>Multifamily</w:t>
      </w:r>
      <w:r w:rsidRPr="00297C46">
        <w:rPr>
          <w:rFonts w:ascii="Verdana" w:eastAsia="Calibri" w:hAnsi="Verdana" w:cs="Times New Roman"/>
          <w:sz w:val="24"/>
        </w:rPr>
        <w:t xml:space="preserve"> Form HUD-2530 will be returned.  See </w:t>
      </w:r>
      <w:r w:rsidRPr="00297C46">
        <w:rPr>
          <w:rFonts w:ascii="Verdana" w:eastAsia="Calibri" w:hAnsi="Verdana" w:cs="Times New Roman"/>
          <w:i/>
          <w:iCs/>
          <w:sz w:val="24"/>
        </w:rPr>
        <w:t>Housing Notice 2016-15</w:t>
      </w:r>
      <w:r w:rsidRPr="00297C46">
        <w:rPr>
          <w:rFonts w:ascii="Verdana" w:eastAsia="Calibri" w:hAnsi="Verdana" w:cs="Times New Roman"/>
          <w:sz w:val="24"/>
        </w:rPr>
        <w:t xml:space="preserve"> (</w:t>
      </w:r>
      <w:hyperlink r:id="rId16" w:history="1">
        <w:r w:rsidRPr="00297C46">
          <w:rPr>
            <w:rFonts w:ascii="Verdana" w:eastAsia="Calibri" w:hAnsi="Verdana" w:cs="Times New Roman"/>
            <w:color w:val="0000FF"/>
            <w:sz w:val="24"/>
            <w:u w:val="single"/>
          </w:rPr>
          <w:t>here</w:t>
        </w:r>
      </w:hyperlink>
      <w:r w:rsidRPr="00297C46">
        <w:rPr>
          <w:rFonts w:ascii="Verdana" w:eastAsia="Calibri" w:hAnsi="Verdana" w:cs="Times New Roman"/>
          <w:sz w:val="24"/>
        </w:rPr>
        <w:t>) for further guidance on processing Previous Participation Reviews of Healthcare Programs’ Participants.</w:t>
      </w:r>
    </w:p>
    <w:p w14:paraId="6920B930" w14:textId="77777777" w:rsidR="00297C46" w:rsidRPr="00297C46" w:rsidRDefault="00297C46" w:rsidP="00297C46">
      <w:pPr>
        <w:spacing w:after="0" w:line="240" w:lineRule="auto"/>
        <w:rPr>
          <w:rFonts w:ascii="Verdana" w:eastAsia="Calibri" w:hAnsi="Verdana" w:cs="Times New Roman"/>
          <w:sz w:val="24"/>
        </w:rPr>
      </w:pPr>
    </w:p>
    <w:p w14:paraId="276D5BDA" w14:textId="77777777" w:rsidR="00297C46" w:rsidRPr="00297C46" w:rsidRDefault="00297C46" w:rsidP="00297C46">
      <w:pPr>
        <w:spacing w:after="0" w:line="240" w:lineRule="auto"/>
        <w:rPr>
          <w:rFonts w:ascii="Verdana" w:eastAsia="Calibri" w:hAnsi="Verdana" w:cs="Times New Roman"/>
          <w:i/>
          <w:iCs/>
          <w:sz w:val="24"/>
        </w:rPr>
      </w:pPr>
      <w:r w:rsidRPr="00297C46">
        <w:rPr>
          <w:rFonts w:ascii="Verdana" w:eastAsia="Calibri" w:hAnsi="Verdana" w:cs="Times New Roman"/>
          <w:b/>
          <w:bCs/>
          <w:i/>
          <w:iCs/>
          <w:sz w:val="24"/>
        </w:rPr>
        <w:t xml:space="preserve">Key Words: </w:t>
      </w:r>
      <w:r w:rsidRPr="00297C46">
        <w:rPr>
          <w:rFonts w:ascii="Verdana" w:eastAsia="Calibri" w:hAnsi="Verdana" w:cs="Times New Roman"/>
          <w:i/>
          <w:iCs/>
          <w:sz w:val="24"/>
        </w:rPr>
        <w:t>Consolidated Certification, APPS</w:t>
      </w:r>
    </w:p>
    <w:p w14:paraId="296985E0" w14:textId="77777777" w:rsidR="00297C46" w:rsidRPr="00297C46" w:rsidRDefault="00297C46" w:rsidP="00297C46">
      <w:pPr>
        <w:spacing w:after="0" w:line="240" w:lineRule="auto"/>
        <w:rPr>
          <w:rFonts w:ascii="Verdana" w:eastAsia="MS Mincho" w:hAnsi="Verdana" w:cs="Times New Roman"/>
          <w:b/>
          <w:sz w:val="24"/>
          <w:szCs w:val="24"/>
        </w:rPr>
      </w:pPr>
    </w:p>
    <w:p w14:paraId="5041A762" w14:textId="77777777" w:rsidR="00297C46" w:rsidRPr="00297C46" w:rsidRDefault="00DC0115" w:rsidP="00297C46">
      <w:pPr>
        <w:spacing w:after="0" w:line="240" w:lineRule="auto"/>
        <w:rPr>
          <w:rFonts w:ascii="Verdana" w:eastAsia="Calibri" w:hAnsi="Verdana" w:cs="Times New Roman"/>
          <w:color w:val="0000FF"/>
          <w:sz w:val="24"/>
          <w:u w:val="single"/>
        </w:rPr>
      </w:pPr>
      <w:hyperlink w:anchor="_top" w:history="1">
        <w:r w:rsidR="00297C46" w:rsidRPr="00297C46">
          <w:rPr>
            <w:rFonts w:ascii="Verdana" w:eastAsia="Calibri" w:hAnsi="Verdana" w:cs="Times New Roman"/>
            <w:color w:val="0000FF"/>
            <w:sz w:val="24"/>
            <w:u w:val="single"/>
          </w:rPr>
          <w:t>Back to top</w:t>
        </w:r>
      </w:hyperlink>
    </w:p>
    <w:p w14:paraId="01BF3F9C" w14:textId="77777777" w:rsidR="00297C46" w:rsidRPr="00297C46" w:rsidRDefault="00297C46" w:rsidP="00297C46">
      <w:pPr>
        <w:spacing w:after="0" w:line="240" w:lineRule="auto"/>
        <w:rPr>
          <w:rFonts w:ascii="Verdana" w:eastAsia="Calibri" w:hAnsi="Verdana" w:cs="Times New Roman"/>
          <w:sz w:val="24"/>
        </w:rPr>
      </w:pPr>
    </w:p>
    <w:p w14:paraId="20F7F175" w14:textId="77777777" w:rsidR="00297C46" w:rsidRPr="00297C46" w:rsidRDefault="00297C46" w:rsidP="00297C46">
      <w:pPr>
        <w:spacing w:after="120" w:line="240" w:lineRule="auto"/>
        <w:outlineLvl w:val="0"/>
        <w:rPr>
          <w:rFonts w:ascii="Verdana" w:eastAsia="Calibri" w:hAnsi="Verdana" w:cs="Times New Roman"/>
          <w:b/>
          <w:bCs/>
          <w:caps/>
          <w:sz w:val="28"/>
          <w:szCs w:val="32"/>
          <w:u w:val="single"/>
        </w:rPr>
      </w:pPr>
      <w:bookmarkStart w:id="5" w:name="_Toc23488353"/>
      <w:r w:rsidRPr="00297C46">
        <w:rPr>
          <w:rFonts w:ascii="Verdana" w:eastAsia="Calibri" w:hAnsi="Verdana" w:cs="Times New Roman"/>
          <w:b/>
          <w:bCs/>
          <w:caps/>
          <w:sz w:val="28"/>
          <w:szCs w:val="32"/>
          <w:u w:val="single"/>
        </w:rPr>
        <w:t>ORCF Guidance on Temporary Underwriting Holds</w:t>
      </w:r>
      <w:bookmarkEnd w:id="5"/>
    </w:p>
    <w:p w14:paraId="62F6C84E"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sz w:val="24"/>
        </w:rPr>
        <w:t>Handbook 4232.1, Section II, Chapter 1.4.C provides details for an application received which contains defects or deficiencies.  The following guidance is related to applications that are placed on temporary holds:</w:t>
      </w:r>
    </w:p>
    <w:p w14:paraId="306F4F06" w14:textId="77777777" w:rsidR="00297C46" w:rsidRPr="00297C46" w:rsidRDefault="00297C46" w:rsidP="00297C46">
      <w:pPr>
        <w:spacing w:after="0" w:line="240" w:lineRule="auto"/>
        <w:rPr>
          <w:rFonts w:ascii="Verdana" w:eastAsia="Calibri" w:hAnsi="Verdana" w:cs="Times New Roman"/>
          <w:sz w:val="24"/>
        </w:rPr>
      </w:pPr>
    </w:p>
    <w:p w14:paraId="3937683B" w14:textId="77777777" w:rsidR="00297C46" w:rsidRPr="00297C46" w:rsidRDefault="00297C46" w:rsidP="00297C46">
      <w:pPr>
        <w:numPr>
          <w:ilvl w:val="0"/>
          <w:numId w:val="5"/>
        </w:numPr>
        <w:spacing w:after="0" w:line="240" w:lineRule="auto"/>
        <w:rPr>
          <w:rFonts w:ascii="Verdana" w:eastAsia="Calibri" w:hAnsi="Verdana" w:cs="Times New Roman"/>
          <w:sz w:val="24"/>
        </w:rPr>
      </w:pPr>
      <w:r w:rsidRPr="00297C46">
        <w:rPr>
          <w:rFonts w:ascii="Verdana" w:eastAsia="Calibri" w:hAnsi="Verdana" w:cs="Times New Roman"/>
          <w:sz w:val="24"/>
        </w:rPr>
        <w:t>A project(s) will be placed on temporary hold status if 60 calendar days have passed since the ORCF review comments were issued and the lender’s response did not adequately address the deficiencies to the point that the project is ready to go to Loan Committee – as determined by the ORCF Workload Manager.   This also applies to situations where the lender is making material updates or changes to an application.  Projects with delays unrelated to an application deficiency or significant update or change are exempt from this 60-day timeframe.  HUD will communicate with lenders via email when a project goes on long-term hold.</w:t>
      </w:r>
    </w:p>
    <w:p w14:paraId="1DA66B1D" w14:textId="77777777" w:rsidR="00297C46" w:rsidRPr="00297C46" w:rsidRDefault="00297C46" w:rsidP="00297C46">
      <w:pPr>
        <w:spacing w:after="0" w:line="240" w:lineRule="auto"/>
        <w:rPr>
          <w:rFonts w:ascii="Verdana" w:eastAsia="Calibri" w:hAnsi="Verdana" w:cs="Times New Roman"/>
          <w:sz w:val="24"/>
        </w:rPr>
      </w:pPr>
    </w:p>
    <w:p w14:paraId="1467FC8C" w14:textId="77777777" w:rsidR="00297C46" w:rsidRPr="00297C46" w:rsidRDefault="00297C46" w:rsidP="00297C46">
      <w:pPr>
        <w:numPr>
          <w:ilvl w:val="0"/>
          <w:numId w:val="5"/>
        </w:numPr>
        <w:spacing w:after="0" w:line="240" w:lineRule="auto"/>
        <w:rPr>
          <w:rFonts w:ascii="Verdana" w:eastAsia="Calibri" w:hAnsi="Verdana" w:cs="Times New Roman"/>
          <w:sz w:val="24"/>
        </w:rPr>
      </w:pPr>
      <w:r w:rsidRPr="00297C46">
        <w:rPr>
          <w:rFonts w:ascii="Verdana" w:eastAsia="Calibri" w:hAnsi="Verdana" w:cs="Times New Roman"/>
          <w:sz w:val="24"/>
        </w:rPr>
        <w:t>Lenders may request an application’s placement on temporary hold at any point if they determine the underwritten application is not supported as presented, and that a temporary hold would be prudent based on their ongoing assessment of the transaction.</w:t>
      </w:r>
    </w:p>
    <w:p w14:paraId="7450457F" w14:textId="77777777" w:rsidR="00297C46" w:rsidRPr="00297C46" w:rsidRDefault="00297C46" w:rsidP="00297C46">
      <w:pPr>
        <w:spacing w:after="0" w:line="240" w:lineRule="auto"/>
        <w:rPr>
          <w:rFonts w:ascii="Verdana" w:eastAsia="Calibri" w:hAnsi="Verdana" w:cs="Times New Roman"/>
          <w:sz w:val="24"/>
        </w:rPr>
      </w:pPr>
    </w:p>
    <w:p w14:paraId="468713A5" w14:textId="77777777" w:rsidR="00297C46" w:rsidRPr="00297C46" w:rsidRDefault="00297C46" w:rsidP="00297C46">
      <w:pPr>
        <w:numPr>
          <w:ilvl w:val="0"/>
          <w:numId w:val="5"/>
        </w:numPr>
        <w:spacing w:after="0" w:line="240" w:lineRule="auto"/>
        <w:rPr>
          <w:rFonts w:ascii="Verdana" w:eastAsia="Calibri" w:hAnsi="Verdana" w:cs="Times New Roman"/>
          <w:sz w:val="24"/>
        </w:rPr>
      </w:pPr>
      <w:r w:rsidRPr="00297C46">
        <w:rPr>
          <w:rFonts w:ascii="Verdana" w:eastAsia="Calibri" w:hAnsi="Verdana" w:cs="Times New Roman"/>
          <w:sz w:val="24"/>
        </w:rPr>
        <w:t>A project(s) will be placed in temporary hold status for a maximum of 90 calendar days.  If the project(s) is not ready to be underwritten and placed back in the queue for review within 90 days, the project(s) will be rejected by HUD.  For projects that are currently in underwriting or on long-term hold, HUD will review the project’s situation and communicate with the lender on a case-by-case basis.</w:t>
      </w:r>
    </w:p>
    <w:p w14:paraId="47097A2E" w14:textId="77777777" w:rsidR="00297C46" w:rsidRPr="00297C46" w:rsidRDefault="00297C46" w:rsidP="00297C46">
      <w:pPr>
        <w:spacing w:after="0" w:line="240" w:lineRule="auto"/>
        <w:rPr>
          <w:rFonts w:ascii="Verdana" w:eastAsia="Calibri" w:hAnsi="Verdana" w:cs="Times New Roman"/>
          <w:sz w:val="24"/>
        </w:rPr>
      </w:pPr>
    </w:p>
    <w:p w14:paraId="51A11D5D" w14:textId="77777777" w:rsidR="00297C46" w:rsidRPr="00297C46" w:rsidRDefault="00297C46" w:rsidP="00297C46">
      <w:pPr>
        <w:numPr>
          <w:ilvl w:val="0"/>
          <w:numId w:val="5"/>
        </w:numPr>
        <w:spacing w:after="0" w:line="240" w:lineRule="auto"/>
        <w:rPr>
          <w:rFonts w:ascii="Verdana" w:eastAsia="Calibri" w:hAnsi="Verdana" w:cs="Times New Roman"/>
          <w:sz w:val="24"/>
        </w:rPr>
      </w:pPr>
      <w:r w:rsidRPr="00297C46">
        <w:rPr>
          <w:rFonts w:ascii="Verdana" w:eastAsia="Calibri" w:hAnsi="Verdana" w:cs="Times New Roman"/>
          <w:sz w:val="24"/>
        </w:rPr>
        <w:t>When a project(s) exits temporary hold status, the following applies:</w:t>
      </w:r>
    </w:p>
    <w:p w14:paraId="2CF04CC8" w14:textId="77777777" w:rsidR="00297C46" w:rsidRPr="00297C46" w:rsidRDefault="00297C46" w:rsidP="00297C46">
      <w:pPr>
        <w:numPr>
          <w:ilvl w:val="1"/>
          <w:numId w:val="5"/>
        </w:numPr>
        <w:spacing w:after="0" w:line="240" w:lineRule="auto"/>
        <w:rPr>
          <w:rFonts w:ascii="Verdana" w:eastAsia="Calibri" w:hAnsi="Verdana" w:cs="Times New Roman"/>
          <w:sz w:val="24"/>
        </w:rPr>
      </w:pPr>
      <w:r w:rsidRPr="00297C46">
        <w:rPr>
          <w:rFonts w:ascii="Verdana" w:eastAsia="Calibri" w:hAnsi="Verdana" w:cs="Times New Roman"/>
          <w:sz w:val="24"/>
        </w:rPr>
        <w:t>The Phase I Environmental Site Assessment does not need to be updated.  If the environmental review is already completed, it does not need to be updated unless there is a change in the application that affects an environmental review item.</w:t>
      </w:r>
    </w:p>
    <w:p w14:paraId="19BE5FE3" w14:textId="77777777" w:rsidR="00297C46" w:rsidRPr="00297C46" w:rsidRDefault="00297C46" w:rsidP="00297C46">
      <w:pPr>
        <w:numPr>
          <w:ilvl w:val="1"/>
          <w:numId w:val="5"/>
        </w:numPr>
        <w:spacing w:after="0" w:line="240" w:lineRule="auto"/>
        <w:rPr>
          <w:rFonts w:ascii="Verdana" w:eastAsia="Calibri" w:hAnsi="Verdana" w:cs="Times New Roman"/>
          <w:sz w:val="24"/>
        </w:rPr>
      </w:pPr>
      <w:r w:rsidRPr="00297C46">
        <w:rPr>
          <w:rFonts w:ascii="Verdana" w:eastAsia="Calibri" w:hAnsi="Verdana" w:cs="Times New Roman"/>
          <w:sz w:val="24"/>
        </w:rPr>
        <w:lastRenderedPageBreak/>
        <w:t>All underwriting documents that need to be updated must be updated prior to ORCF moving the application off temporary hold and placing it back in the queue for review.  HUD will require updated project financials.  If there are concerning material changes in the updated financials, HUD will expect a new appraisal, and an updated appraisal review will be completed by HUD.  Updated documents are to be submitted to the Healthcare Portal.</w:t>
      </w:r>
    </w:p>
    <w:p w14:paraId="37714907" w14:textId="77777777" w:rsidR="00297C46" w:rsidRPr="00297C46" w:rsidRDefault="00297C46" w:rsidP="00297C46">
      <w:pPr>
        <w:numPr>
          <w:ilvl w:val="1"/>
          <w:numId w:val="5"/>
        </w:numPr>
        <w:spacing w:after="0" w:line="240" w:lineRule="auto"/>
        <w:rPr>
          <w:rFonts w:ascii="Verdana" w:eastAsia="Calibri" w:hAnsi="Verdana" w:cs="Times New Roman"/>
          <w:sz w:val="24"/>
        </w:rPr>
      </w:pPr>
      <w:r w:rsidRPr="00297C46">
        <w:rPr>
          <w:rFonts w:ascii="Verdana" w:eastAsia="Calibri" w:hAnsi="Verdana" w:cs="Times New Roman"/>
          <w:sz w:val="24"/>
        </w:rPr>
        <w:t>The project will go to the top of the Firm Application queue for assignment when ORCF removes the application from temporary hold.   </w:t>
      </w:r>
    </w:p>
    <w:p w14:paraId="100B68EA" w14:textId="77777777" w:rsidR="00297C46" w:rsidRPr="00297C46" w:rsidRDefault="00297C46" w:rsidP="00297C46">
      <w:pPr>
        <w:spacing w:after="0" w:line="240" w:lineRule="auto"/>
        <w:rPr>
          <w:rFonts w:ascii="Verdana" w:eastAsia="Calibri" w:hAnsi="Verdana" w:cs="Times New Roman"/>
          <w:sz w:val="24"/>
        </w:rPr>
      </w:pPr>
    </w:p>
    <w:p w14:paraId="20C4848B" w14:textId="77777777" w:rsidR="00297C46" w:rsidRPr="00297C46" w:rsidRDefault="00297C46" w:rsidP="00297C46">
      <w:pPr>
        <w:spacing w:after="0" w:line="240" w:lineRule="auto"/>
        <w:rPr>
          <w:rFonts w:ascii="Verdana" w:eastAsia="Calibri" w:hAnsi="Verdana" w:cs="Times New Roman"/>
          <w:i/>
          <w:iCs/>
          <w:sz w:val="24"/>
        </w:rPr>
      </w:pPr>
      <w:r w:rsidRPr="00297C46">
        <w:rPr>
          <w:rFonts w:ascii="Verdana" w:eastAsia="MS Mincho" w:hAnsi="Verdana" w:cs="Times New Roman"/>
          <w:b/>
          <w:i/>
          <w:sz w:val="24"/>
          <w:szCs w:val="24"/>
        </w:rPr>
        <w:t>Keywords:</w:t>
      </w:r>
      <w:r w:rsidRPr="00297C46">
        <w:rPr>
          <w:rFonts w:ascii="Verdana" w:eastAsia="MS Mincho" w:hAnsi="Verdana" w:cs="Times New Roman"/>
          <w:i/>
          <w:sz w:val="24"/>
          <w:szCs w:val="24"/>
        </w:rPr>
        <w:tab/>
      </w:r>
      <w:r w:rsidRPr="00297C46">
        <w:rPr>
          <w:rFonts w:ascii="Verdana" w:eastAsia="Calibri" w:hAnsi="Verdana" w:cs="Times New Roman"/>
          <w:i/>
          <w:iCs/>
          <w:sz w:val="24"/>
        </w:rPr>
        <w:t xml:space="preserve"> Application Processing </w:t>
      </w:r>
    </w:p>
    <w:p w14:paraId="2E1D906E" w14:textId="77777777" w:rsidR="00297C46" w:rsidRPr="00297C46" w:rsidRDefault="00297C46" w:rsidP="00297C46">
      <w:pPr>
        <w:spacing w:after="0" w:line="240" w:lineRule="auto"/>
        <w:rPr>
          <w:rFonts w:ascii="Verdana" w:eastAsia="MS Mincho" w:hAnsi="Verdana" w:cs="Times New Roman"/>
          <w:b/>
          <w:sz w:val="24"/>
          <w:szCs w:val="24"/>
        </w:rPr>
      </w:pPr>
    </w:p>
    <w:p w14:paraId="3F3A8DD3" w14:textId="77777777" w:rsidR="00297C46" w:rsidRPr="00297C46" w:rsidRDefault="00DC0115" w:rsidP="00297C46">
      <w:pPr>
        <w:spacing w:after="0" w:line="240" w:lineRule="auto"/>
        <w:rPr>
          <w:rFonts w:ascii="Verdana" w:eastAsia="Calibri" w:hAnsi="Verdana" w:cs="Times New Roman"/>
          <w:color w:val="0000FF"/>
          <w:sz w:val="24"/>
          <w:u w:val="single"/>
        </w:rPr>
      </w:pPr>
      <w:hyperlink w:anchor="_top" w:history="1">
        <w:r w:rsidR="00297C46" w:rsidRPr="00297C46">
          <w:rPr>
            <w:rFonts w:ascii="Verdana" w:eastAsia="Calibri" w:hAnsi="Verdana" w:cs="Times New Roman"/>
            <w:color w:val="0000FF"/>
            <w:sz w:val="24"/>
            <w:u w:val="single"/>
          </w:rPr>
          <w:t>Back to top</w:t>
        </w:r>
      </w:hyperlink>
    </w:p>
    <w:p w14:paraId="445FA487" w14:textId="77777777" w:rsidR="00297C46" w:rsidRPr="00297C46" w:rsidRDefault="00297C46" w:rsidP="00297C46">
      <w:pPr>
        <w:spacing w:after="0" w:line="240" w:lineRule="auto"/>
        <w:rPr>
          <w:rFonts w:ascii="Verdana" w:eastAsia="Calibri" w:hAnsi="Verdana" w:cs="Times New Roman"/>
          <w:b/>
          <w:sz w:val="24"/>
        </w:rPr>
      </w:pPr>
    </w:p>
    <w:p w14:paraId="2437B6D2" w14:textId="77777777" w:rsidR="00297C46" w:rsidRPr="00297C46" w:rsidRDefault="00297C46" w:rsidP="00297C46">
      <w:pPr>
        <w:spacing w:after="120" w:line="240" w:lineRule="auto"/>
        <w:outlineLvl w:val="0"/>
        <w:rPr>
          <w:rFonts w:ascii="Verdana" w:eastAsia="Calibri" w:hAnsi="Verdana" w:cs="Times New Roman"/>
          <w:b/>
          <w:bCs/>
          <w:caps/>
          <w:sz w:val="28"/>
          <w:szCs w:val="32"/>
          <w:u w:val="single"/>
        </w:rPr>
      </w:pPr>
      <w:bookmarkStart w:id="6" w:name="_Toc396209070"/>
      <w:bookmarkStart w:id="7" w:name="_Toc23488354"/>
      <w:r w:rsidRPr="00297C46">
        <w:rPr>
          <w:rFonts w:ascii="Verdana" w:eastAsia="Calibri" w:hAnsi="Verdana" w:cs="Times New Roman"/>
          <w:b/>
          <w:bCs/>
          <w:caps/>
          <w:sz w:val="28"/>
          <w:szCs w:val="32"/>
          <w:u w:val="single"/>
        </w:rPr>
        <w:t>FROM THE CLOSING CORNER</w:t>
      </w:r>
      <w:bookmarkEnd w:id="6"/>
      <w:bookmarkEnd w:id="7"/>
    </w:p>
    <w:p w14:paraId="086D5FB9" w14:textId="77777777" w:rsidR="00297C46" w:rsidRPr="00297C46" w:rsidRDefault="00297C46" w:rsidP="00297C46">
      <w:pPr>
        <w:spacing w:after="120" w:line="240" w:lineRule="auto"/>
        <w:outlineLvl w:val="1"/>
        <w:rPr>
          <w:rFonts w:ascii="Verdana" w:eastAsia="Calibri" w:hAnsi="Verdana" w:cs="Times New Roman"/>
          <w:b/>
          <w:bCs/>
          <w:sz w:val="24"/>
          <w:u w:val="single"/>
        </w:rPr>
      </w:pPr>
      <w:bookmarkStart w:id="8" w:name="_Toc23488355"/>
      <w:r w:rsidRPr="00297C46">
        <w:rPr>
          <w:rFonts w:ascii="Verdana" w:eastAsia="Calibri" w:hAnsi="Verdana" w:cs="Times New Roman"/>
          <w:b/>
          <w:bCs/>
          <w:sz w:val="24"/>
          <w:u w:val="single"/>
        </w:rPr>
        <w:t>Updated Closer Checklists are HERE!</w:t>
      </w:r>
      <w:bookmarkEnd w:id="8"/>
    </w:p>
    <w:p w14:paraId="66FDEFFB" w14:textId="77777777" w:rsidR="00297C46" w:rsidRPr="00297C46" w:rsidRDefault="00297C46" w:rsidP="00297C46">
      <w:pPr>
        <w:spacing w:after="0" w:line="240" w:lineRule="auto"/>
        <w:rPr>
          <w:rFonts w:ascii="Verdana" w:eastAsia="Calibri" w:hAnsi="Verdana" w:cs="Times New Roman"/>
          <w:sz w:val="24"/>
        </w:rPr>
      </w:pPr>
      <w:r w:rsidRPr="00297C46">
        <w:rPr>
          <w:rFonts w:ascii="Verdana" w:eastAsia="Calibri" w:hAnsi="Verdana" w:cs="Times New Roman"/>
          <w:sz w:val="24"/>
        </w:rPr>
        <w:t>ORCF has updated the Closer’s Checklist for Section 223(f) (</w:t>
      </w:r>
      <w:hyperlink r:id="rId17" w:history="1">
        <w:r w:rsidRPr="00297C46">
          <w:rPr>
            <w:rFonts w:ascii="Verdana" w:eastAsia="Calibri" w:hAnsi="Verdana" w:cs="Times New Roman"/>
            <w:color w:val="0000FF"/>
            <w:sz w:val="24"/>
            <w:u w:val="single"/>
          </w:rPr>
          <w:t>here</w:t>
        </w:r>
      </w:hyperlink>
      <w:r w:rsidRPr="00297C46">
        <w:rPr>
          <w:rFonts w:ascii="Verdana" w:eastAsia="Calibri" w:hAnsi="Verdana" w:cs="Times New Roman"/>
          <w:sz w:val="24"/>
        </w:rPr>
        <w:t>) and Section 223(a)(7) Closer (</w:t>
      </w:r>
      <w:hyperlink r:id="rId18" w:history="1">
        <w:r w:rsidRPr="00297C46">
          <w:rPr>
            <w:rFonts w:ascii="Verdana" w:eastAsia="Calibri" w:hAnsi="Verdana" w:cs="Times New Roman"/>
            <w:color w:val="0000FF"/>
            <w:sz w:val="24"/>
            <w:u w:val="single"/>
          </w:rPr>
          <w:t>here</w:t>
        </w:r>
      </w:hyperlink>
      <w:r w:rsidRPr="00297C46">
        <w:rPr>
          <w:rFonts w:ascii="Verdana" w:eastAsia="Calibri" w:hAnsi="Verdana" w:cs="Times New Roman"/>
          <w:sz w:val="24"/>
        </w:rPr>
        <w:t xml:space="preserve">) to include all new forms effective October 3, 2019.  Links to new forms are also included in the checklist for convenience.  </w:t>
      </w:r>
    </w:p>
    <w:p w14:paraId="36EC5DBB" w14:textId="77777777" w:rsidR="00297C46" w:rsidRPr="00297C46" w:rsidRDefault="00297C46" w:rsidP="00297C46">
      <w:pPr>
        <w:spacing w:after="0" w:line="240" w:lineRule="auto"/>
        <w:rPr>
          <w:rFonts w:ascii="Verdana" w:eastAsia="Calibri" w:hAnsi="Verdana" w:cs="Times New Roman"/>
          <w:b/>
          <w:sz w:val="24"/>
        </w:rPr>
      </w:pPr>
    </w:p>
    <w:p w14:paraId="24D497D7" w14:textId="77777777" w:rsidR="00297C46" w:rsidRPr="00297C46" w:rsidRDefault="00297C46" w:rsidP="00297C46">
      <w:pPr>
        <w:spacing w:after="0" w:line="240" w:lineRule="auto"/>
        <w:rPr>
          <w:rFonts w:ascii="Verdana" w:eastAsia="Calibri" w:hAnsi="Verdana" w:cs="Times New Roman"/>
          <w:i/>
          <w:iCs/>
          <w:sz w:val="24"/>
        </w:rPr>
      </w:pPr>
      <w:r w:rsidRPr="00297C46">
        <w:rPr>
          <w:rFonts w:ascii="Verdana" w:eastAsia="MS Mincho" w:hAnsi="Verdana" w:cs="Times New Roman"/>
          <w:b/>
          <w:i/>
          <w:sz w:val="24"/>
          <w:szCs w:val="24"/>
        </w:rPr>
        <w:t>Keywords:</w:t>
      </w:r>
      <w:r w:rsidRPr="00297C46">
        <w:rPr>
          <w:rFonts w:ascii="Verdana" w:eastAsia="MS Mincho" w:hAnsi="Verdana" w:cs="Times New Roman"/>
          <w:i/>
          <w:sz w:val="24"/>
          <w:szCs w:val="24"/>
        </w:rPr>
        <w:tab/>
      </w:r>
      <w:r w:rsidRPr="00297C46">
        <w:rPr>
          <w:rFonts w:ascii="Verdana" w:eastAsia="Calibri" w:hAnsi="Verdana" w:cs="Times New Roman"/>
          <w:i/>
          <w:iCs/>
          <w:sz w:val="24"/>
        </w:rPr>
        <w:t xml:space="preserve"> Closer Checklist Section 223f; Closer Checklist Section 223(a)(7)</w:t>
      </w:r>
    </w:p>
    <w:p w14:paraId="0AD1E2D5" w14:textId="77777777" w:rsidR="00297C46" w:rsidRPr="00297C46" w:rsidRDefault="00297C46" w:rsidP="00297C46">
      <w:pPr>
        <w:spacing w:after="0" w:line="240" w:lineRule="auto"/>
        <w:rPr>
          <w:rFonts w:ascii="Verdana" w:eastAsia="MS Mincho" w:hAnsi="Verdana" w:cs="Times New Roman"/>
          <w:b/>
          <w:sz w:val="24"/>
          <w:szCs w:val="24"/>
        </w:rPr>
      </w:pPr>
    </w:p>
    <w:p w14:paraId="30F7C30C" w14:textId="77777777" w:rsidR="00297C46" w:rsidRPr="00297C46" w:rsidRDefault="00DC0115" w:rsidP="00297C46">
      <w:pPr>
        <w:spacing w:after="0" w:line="240" w:lineRule="auto"/>
        <w:rPr>
          <w:rFonts w:ascii="Verdana" w:eastAsia="Calibri" w:hAnsi="Verdana" w:cs="Times New Roman"/>
          <w:color w:val="0000FF"/>
          <w:sz w:val="24"/>
          <w:u w:val="single"/>
        </w:rPr>
      </w:pPr>
      <w:hyperlink w:anchor="_top" w:history="1">
        <w:r w:rsidR="00297C46" w:rsidRPr="00297C46">
          <w:rPr>
            <w:rFonts w:ascii="Verdana" w:eastAsia="Calibri" w:hAnsi="Verdana" w:cs="Times New Roman"/>
            <w:color w:val="0000FF"/>
            <w:sz w:val="24"/>
            <w:u w:val="single"/>
          </w:rPr>
          <w:t>Back to top</w:t>
        </w:r>
      </w:hyperlink>
    </w:p>
    <w:p w14:paraId="2C0269A5" w14:textId="77777777" w:rsidR="00297C46" w:rsidRPr="00297C46" w:rsidRDefault="00297C46" w:rsidP="00297C46">
      <w:pPr>
        <w:spacing w:after="0" w:line="240" w:lineRule="auto"/>
        <w:rPr>
          <w:rFonts w:ascii="Verdana" w:eastAsia="Calibri" w:hAnsi="Verdana" w:cs="Times New Roman"/>
          <w:b/>
          <w:sz w:val="24"/>
        </w:rPr>
      </w:pPr>
      <w:bookmarkStart w:id="9" w:name="_Toc401056504"/>
      <w:bookmarkEnd w:id="9"/>
    </w:p>
    <w:p w14:paraId="739BA0F3" w14:textId="77777777" w:rsidR="00297C46" w:rsidRPr="00297C46" w:rsidRDefault="00297C46" w:rsidP="00297C46">
      <w:pPr>
        <w:spacing w:after="120" w:line="240" w:lineRule="auto"/>
        <w:outlineLvl w:val="1"/>
        <w:rPr>
          <w:rFonts w:ascii="Verdana" w:eastAsia="Calibri" w:hAnsi="Verdana" w:cs="Times New Roman"/>
          <w:b/>
          <w:bCs/>
          <w:sz w:val="24"/>
          <w:u w:val="single"/>
        </w:rPr>
      </w:pPr>
      <w:bookmarkStart w:id="10" w:name="_Toc23488356"/>
      <w:r w:rsidRPr="00297C46">
        <w:rPr>
          <w:rFonts w:ascii="Verdana" w:eastAsia="Calibri" w:hAnsi="Verdana" w:cs="Times New Roman"/>
          <w:b/>
          <w:bCs/>
          <w:sz w:val="24"/>
          <w:szCs w:val="24"/>
          <w:u w:val="single"/>
        </w:rPr>
        <w:t>Final Closing Attorney Checklist is HERE!</w:t>
      </w:r>
      <w:bookmarkEnd w:id="10"/>
    </w:p>
    <w:p w14:paraId="347A8B74" w14:textId="7BB0E39D" w:rsidR="00297C46" w:rsidRPr="00297C46" w:rsidRDefault="00297C46" w:rsidP="00297C46">
      <w:p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The New Construction (NC)/241a/Sub-Rehab Attorney Checklist for Final Closing (</w:t>
      </w:r>
      <w:hyperlink r:id="rId19" w:history="1">
        <w:r w:rsidRPr="00297C46">
          <w:rPr>
            <w:rFonts w:ascii="Verdana" w:eastAsia="Calibri" w:hAnsi="Verdana" w:cs="Times New Roman"/>
            <w:color w:val="0000FF"/>
            <w:sz w:val="24"/>
            <w:szCs w:val="24"/>
            <w:u w:val="single"/>
          </w:rPr>
          <w:t>he</w:t>
        </w:r>
        <w:bookmarkStart w:id="11" w:name="_GoBack"/>
        <w:r w:rsidRPr="00297C46">
          <w:rPr>
            <w:rFonts w:ascii="Verdana" w:eastAsia="Calibri" w:hAnsi="Verdana" w:cs="Times New Roman"/>
            <w:color w:val="0000FF"/>
            <w:sz w:val="24"/>
            <w:szCs w:val="24"/>
            <w:u w:val="single"/>
          </w:rPr>
          <w:t>r</w:t>
        </w:r>
        <w:bookmarkEnd w:id="11"/>
        <w:r w:rsidRPr="00297C46">
          <w:rPr>
            <w:rFonts w:ascii="Verdana" w:eastAsia="Calibri" w:hAnsi="Verdana" w:cs="Times New Roman"/>
            <w:color w:val="0000FF"/>
            <w:sz w:val="24"/>
            <w:szCs w:val="24"/>
            <w:u w:val="single"/>
          </w:rPr>
          <w:t>e</w:t>
        </w:r>
      </w:hyperlink>
      <w:r w:rsidRPr="00297C46">
        <w:rPr>
          <w:rFonts w:ascii="Verdana" w:eastAsia="Calibri" w:hAnsi="Verdana" w:cs="Times New Roman"/>
          <w:sz w:val="24"/>
          <w:szCs w:val="24"/>
        </w:rPr>
        <w:t>)</w:t>
      </w:r>
      <w:r w:rsidRPr="00297C46">
        <w:rPr>
          <w:rFonts w:ascii="Verdana" w:eastAsia="Calibri" w:hAnsi="Verdana" w:cs="Times New Roman"/>
          <w:i/>
          <w:iCs/>
          <w:sz w:val="24"/>
          <w:szCs w:val="24"/>
        </w:rPr>
        <w:t xml:space="preserve"> </w:t>
      </w:r>
      <w:r w:rsidRPr="00297C46">
        <w:rPr>
          <w:rFonts w:ascii="Verdana" w:eastAsia="Calibri" w:hAnsi="Verdana" w:cs="Times New Roman"/>
          <w:sz w:val="24"/>
          <w:szCs w:val="24"/>
        </w:rPr>
        <w:t xml:space="preserve">has been updated!  This Final Closing Checklist includes all new forms effective October 3, 2019.  Links to the new forms are also included in the checklist for convenience.  </w:t>
      </w:r>
    </w:p>
    <w:p w14:paraId="5C44C0AC" w14:textId="77777777" w:rsidR="00297C46" w:rsidRPr="00297C46" w:rsidRDefault="00297C46" w:rsidP="00297C46">
      <w:pPr>
        <w:spacing w:after="0" w:line="240" w:lineRule="auto"/>
        <w:rPr>
          <w:rFonts w:ascii="Verdana" w:eastAsia="Calibri" w:hAnsi="Verdana" w:cs="Times New Roman"/>
          <w:sz w:val="24"/>
          <w:szCs w:val="24"/>
        </w:rPr>
      </w:pPr>
    </w:p>
    <w:p w14:paraId="54A07707" w14:textId="77777777" w:rsidR="00297C46" w:rsidRPr="00297C46" w:rsidRDefault="00297C46" w:rsidP="00297C46">
      <w:pPr>
        <w:spacing w:after="0" w:line="240" w:lineRule="auto"/>
        <w:rPr>
          <w:rFonts w:ascii="Verdana" w:eastAsia="MS Mincho" w:hAnsi="Verdana" w:cs="Times New Roman"/>
          <w:i/>
          <w:sz w:val="24"/>
          <w:szCs w:val="24"/>
        </w:rPr>
      </w:pPr>
      <w:r w:rsidRPr="00297C46">
        <w:rPr>
          <w:rFonts w:ascii="Verdana" w:eastAsia="MS Mincho" w:hAnsi="Verdana" w:cs="Times New Roman"/>
          <w:b/>
          <w:i/>
          <w:sz w:val="24"/>
          <w:szCs w:val="24"/>
        </w:rPr>
        <w:t>Keywords:</w:t>
      </w:r>
      <w:r w:rsidRPr="00297C46">
        <w:rPr>
          <w:rFonts w:ascii="Verdana" w:eastAsia="MS Mincho" w:hAnsi="Verdana" w:cs="Times New Roman"/>
          <w:i/>
          <w:sz w:val="24"/>
          <w:szCs w:val="24"/>
        </w:rPr>
        <w:tab/>
        <w:t>Attorney Final Closing Checklist</w:t>
      </w:r>
    </w:p>
    <w:p w14:paraId="2B031AA4" w14:textId="77777777" w:rsidR="00297C46" w:rsidRPr="00297C46" w:rsidRDefault="00297C46" w:rsidP="00297C46">
      <w:pPr>
        <w:spacing w:after="0" w:line="240" w:lineRule="auto"/>
        <w:rPr>
          <w:rFonts w:ascii="Verdana" w:eastAsia="MS Mincho" w:hAnsi="Verdana" w:cs="Times New Roman"/>
          <w:b/>
          <w:sz w:val="24"/>
          <w:szCs w:val="24"/>
        </w:rPr>
      </w:pPr>
    </w:p>
    <w:p w14:paraId="3121C9EA" w14:textId="77777777" w:rsidR="00297C46" w:rsidRPr="00297C46" w:rsidRDefault="00DC0115" w:rsidP="00297C46">
      <w:pPr>
        <w:spacing w:after="0" w:line="240" w:lineRule="auto"/>
        <w:rPr>
          <w:rFonts w:ascii="Verdana" w:eastAsia="Calibri" w:hAnsi="Verdana" w:cs="Times New Roman"/>
          <w:b/>
          <w:sz w:val="24"/>
        </w:rPr>
      </w:pPr>
      <w:hyperlink w:anchor="_top" w:history="1">
        <w:r w:rsidR="00297C46" w:rsidRPr="00297C46">
          <w:rPr>
            <w:rFonts w:ascii="Verdana" w:eastAsia="Calibri" w:hAnsi="Verdana" w:cs="Times New Roman"/>
            <w:color w:val="0000FF"/>
            <w:sz w:val="24"/>
            <w:u w:val="single"/>
          </w:rPr>
          <w:t>Back to top</w:t>
        </w:r>
      </w:hyperlink>
    </w:p>
    <w:p w14:paraId="784BE2A8" w14:textId="77777777" w:rsidR="00297C46" w:rsidRPr="00297C46" w:rsidRDefault="00297C46" w:rsidP="00297C46">
      <w:pPr>
        <w:spacing w:after="0" w:line="240" w:lineRule="auto"/>
        <w:rPr>
          <w:rFonts w:ascii="Verdana" w:eastAsia="MS Mincho" w:hAnsi="Verdana" w:cs="Times New Roman"/>
          <w:b/>
          <w:sz w:val="24"/>
          <w:szCs w:val="24"/>
        </w:rPr>
      </w:pPr>
    </w:p>
    <w:p w14:paraId="12434045" w14:textId="77777777" w:rsidR="00297C46" w:rsidRPr="00297C46" w:rsidRDefault="00297C46" w:rsidP="00297C46">
      <w:pPr>
        <w:spacing w:after="120" w:line="240" w:lineRule="auto"/>
        <w:outlineLvl w:val="1"/>
        <w:rPr>
          <w:rFonts w:ascii="Verdana" w:eastAsia="Calibri" w:hAnsi="Verdana" w:cs="Times New Roman"/>
          <w:b/>
          <w:bCs/>
          <w:sz w:val="24"/>
          <w:u w:val="single"/>
        </w:rPr>
      </w:pPr>
      <w:bookmarkStart w:id="12" w:name="_Toc23488357"/>
      <w:r w:rsidRPr="00297C46">
        <w:rPr>
          <w:rFonts w:ascii="Verdana" w:eastAsia="Calibri" w:hAnsi="Verdana" w:cs="Times New Roman"/>
          <w:b/>
          <w:bCs/>
          <w:sz w:val="24"/>
          <w:szCs w:val="24"/>
          <w:u w:val="single"/>
        </w:rPr>
        <w:t>Acceptable Evidence of Title for Final Closing</w:t>
      </w:r>
      <w:bookmarkEnd w:id="12"/>
      <w:r w:rsidRPr="00297C46">
        <w:rPr>
          <w:rFonts w:ascii="Verdana" w:eastAsia="Calibri" w:hAnsi="Verdana" w:cs="Times New Roman"/>
          <w:b/>
          <w:bCs/>
          <w:sz w:val="24"/>
          <w:szCs w:val="24"/>
          <w:u w:val="single"/>
        </w:rPr>
        <w:t xml:space="preserve"> </w:t>
      </w:r>
    </w:p>
    <w:p w14:paraId="390546A6" w14:textId="77777777" w:rsidR="00297C46" w:rsidRPr="00297C46" w:rsidRDefault="00297C46" w:rsidP="00297C46">
      <w:p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Please note that any of the following are acceptable evidence of title at final closing:</w:t>
      </w:r>
    </w:p>
    <w:p w14:paraId="1A740EE5" w14:textId="77777777" w:rsidR="00297C46" w:rsidRPr="00297C46" w:rsidRDefault="00297C46" w:rsidP="00297C46">
      <w:pPr>
        <w:spacing w:after="0" w:line="240" w:lineRule="auto"/>
        <w:rPr>
          <w:rFonts w:ascii="Verdana" w:eastAsia="Calibri" w:hAnsi="Verdana" w:cs="Times New Roman"/>
          <w:sz w:val="24"/>
          <w:szCs w:val="24"/>
        </w:rPr>
      </w:pPr>
    </w:p>
    <w:p w14:paraId="716C30B2" w14:textId="77777777" w:rsidR="00297C46" w:rsidRPr="00297C46" w:rsidRDefault="00297C46" w:rsidP="00297C46">
      <w:pPr>
        <w:numPr>
          <w:ilvl w:val="0"/>
          <w:numId w:val="2"/>
        </w:num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A new title policy, or </w:t>
      </w:r>
    </w:p>
    <w:p w14:paraId="5E94FDC5" w14:textId="77777777" w:rsidR="00297C46" w:rsidRPr="00297C46" w:rsidRDefault="00297C46" w:rsidP="00297C46">
      <w:pPr>
        <w:numPr>
          <w:ilvl w:val="0"/>
          <w:numId w:val="2"/>
        </w:num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lastRenderedPageBreak/>
        <w:t>A date down endorsement in compliance with the requirements in Handbook 4232.1, Section II, Chapter 9.11.B, or</w:t>
      </w:r>
    </w:p>
    <w:p w14:paraId="14D857FE" w14:textId="77777777" w:rsidR="00297C46" w:rsidRPr="00297C46" w:rsidRDefault="00297C46" w:rsidP="00297C46">
      <w:pPr>
        <w:numPr>
          <w:ilvl w:val="0"/>
          <w:numId w:val="2"/>
        </w:num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Other evidence of title allowed and/or required by state law and approved by a HUD Office of General Counsel attorney. </w:t>
      </w:r>
    </w:p>
    <w:p w14:paraId="4AB4748E" w14:textId="77777777" w:rsidR="00297C46" w:rsidRPr="00297C46" w:rsidRDefault="00297C46" w:rsidP="00297C46">
      <w:pPr>
        <w:spacing w:after="0" w:line="240" w:lineRule="auto"/>
        <w:rPr>
          <w:rFonts w:ascii="Verdana" w:eastAsia="Calibri" w:hAnsi="Verdana" w:cs="Times New Roman"/>
          <w:sz w:val="24"/>
          <w:szCs w:val="24"/>
        </w:rPr>
      </w:pPr>
    </w:p>
    <w:p w14:paraId="07E837CB" w14:textId="77777777" w:rsidR="00297C46" w:rsidRPr="00297C46" w:rsidRDefault="00297C46" w:rsidP="00297C46">
      <w:pPr>
        <w:spacing w:after="0" w:line="240" w:lineRule="auto"/>
        <w:rPr>
          <w:rFonts w:ascii="Verdana" w:eastAsia="MS Mincho" w:hAnsi="Verdana" w:cs="Times New Roman"/>
          <w:i/>
          <w:sz w:val="24"/>
          <w:szCs w:val="24"/>
        </w:rPr>
      </w:pPr>
      <w:r w:rsidRPr="00297C46">
        <w:rPr>
          <w:rFonts w:ascii="Verdana" w:eastAsia="MS Mincho" w:hAnsi="Verdana" w:cs="Times New Roman"/>
          <w:b/>
          <w:i/>
          <w:sz w:val="24"/>
          <w:szCs w:val="24"/>
        </w:rPr>
        <w:t>Keywords:</w:t>
      </w:r>
      <w:r w:rsidRPr="00297C46">
        <w:rPr>
          <w:rFonts w:ascii="Verdana" w:eastAsia="MS Mincho" w:hAnsi="Verdana" w:cs="Times New Roman"/>
          <w:i/>
          <w:sz w:val="24"/>
          <w:szCs w:val="24"/>
        </w:rPr>
        <w:tab/>
        <w:t>Title Review, Final Closing</w:t>
      </w:r>
    </w:p>
    <w:p w14:paraId="72B10FCE" w14:textId="77777777" w:rsidR="00297C46" w:rsidRPr="00297C46" w:rsidRDefault="00297C46" w:rsidP="00297C46">
      <w:pPr>
        <w:spacing w:after="0" w:line="240" w:lineRule="auto"/>
        <w:rPr>
          <w:rFonts w:ascii="Verdana" w:eastAsia="MS Mincho" w:hAnsi="Verdana" w:cs="Times New Roman"/>
          <w:b/>
          <w:sz w:val="24"/>
          <w:szCs w:val="24"/>
        </w:rPr>
      </w:pPr>
    </w:p>
    <w:p w14:paraId="0DB8405C" w14:textId="77777777" w:rsidR="00297C46" w:rsidRPr="00297C46" w:rsidRDefault="00DC0115" w:rsidP="00297C46">
      <w:pPr>
        <w:spacing w:after="0" w:line="240" w:lineRule="auto"/>
        <w:rPr>
          <w:rFonts w:ascii="Verdana" w:eastAsia="Calibri" w:hAnsi="Verdana" w:cs="Times New Roman"/>
          <w:b/>
          <w:sz w:val="24"/>
        </w:rPr>
      </w:pPr>
      <w:hyperlink w:anchor="_top" w:history="1">
        <w:r w:rsidR="00297C46" w:rsidRPr="00297C46">
          <w:rPr>
            <w:rFonts w:ascii="Verdana" w:eastAsia="Calibri" w:hAnsi="Verdana" w:cs="Times New Roman"/>
            <w:color w:val="0000FF"/>
            <w:sz w:val="24"/>
            <w:u w:val="single"/>
          </w:rPr>
          <w:t>Back to top</w:t>
        </w:r>
      </w:hyperlink>
    </w:p>
    <w:p w14:paraId="7089B9E6" w14:textId="77777777" w:rsidR="00297C46" w:rsidRPr="00297C46" w:rsidRDefault="00297C46" w:rsidP="00297C46">
      <w:pPr>
        <w:spacing w:after="0" w:line="240" w:lineRule="auto"/>
        <w:rPr>
          <w:rFonts w:ascii="Verdana" w:eastAsia="MS Mincho" w:hAnsi="Verdana" w:cs="Times New Roman"/>
          <w:b/>
          <w:sz w:val="24"/>
          <w:szCs w:val="24"/>
        </w:rPr>
      </w:pPr>
    </w:p>
    <w:p w14:paraId="6EAD9A66" w14:textId="77777777" w:rsidR="00297C46" w:rsidRPr="00297C46" w:rsidRDefault="00297C46" w:rsidP="00297C46">
      <w:pPr>
        <w:spacing w:after="120" w:line="240" w:lineRule="auto"/>
        <w:outlineLvl w:val="1"/>
        <w:rPr>
          <w:rFonts w:ascii="Verdana" w:eastAsia="Calibri" w:hAnsi="Verdana" w:cs="Times New Roman"/>
          <w:b/>
          <w:bCs/>
          <w:sz w:val="24"/>
          <w:u w:val="single"/>
        </w:rPr>
      </w:pPr>
      <w:bookmarkStart w:id="13" w:name="_Toc23488358"/>
      <w:r w:rsidRPr="00297C46">
        <w:rPr>
          <w:rFonts w:ascii="Verdana" w:eastAsia="Calibri" w:hAnsi="Verdana" w:cs="Times New Roman"/>
          <w:b/>
          <w:bCs/>
          <w:sz w:val="24"/>
          <w:szCs w:val="24"/>
          <w:u w:val="single"/>
        </w:rPr>
        <w:t>Reminder – Allow for Three (3) Days to Get Closing Documents Signed!</w:t>
      </w:r>
      <w:bookmarkEnd w:id="13"/>
    </w:p>
    <w:p w14:paraId="15091FFC" w14:textId="77777777" w:rsidR="00297C46" w:rsidRPr="00297C46" w:rsidRDefault="00297C46" w:rsidP="00297C46">
      <w:p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As noted in the December 19, 2018 Email Blast (</w:t>
      </w:r>
      <w:hyperlink r:id="rId20" w:history="1">
        <w:r w:rsidRPr="00297C46">
          <w:rPr>
            <w:rFonts w:ascii="Verdana" w:eastAsia="Calibri" w:hAnsi="Verdana" w:cs="Times New Roman"/>
            <w:color w:val="0000FF"/>
            <w:sz w:val="24"/>
            <w:szCs w:val="24"/>
            <w:u w:val="single"/>
          </w:rPr>
          <w:t>here</w:t>
        </w:r>
      </w:hyperlink>
      <w:r w:rsidRPr="00297C46">
        <w:rPr>
          <w:rFonts w:ascii="Verdana" w:eastAsia="Calibri" w:hAnsi="Verdana" w:cs="Times New Roman"/>
          <w:color w:val="0000FF"/>
          <w:sz w:val="24"/>
          <w:szCs w:val="24"/>
          <w:u w:val="single"/>
        </w:rPr>
        <w:t>)</w:t>
      </w:r>
      <w:r w:rsidRPr="00297C46">
        <w:rPr>
          <w:rFonts w:ascii="Verdana" w:eastAsia="Calibri" w:hAnsi="Verdana" w:cs="Times New Roman"/>
          <w:sz w:val="24"/>
          <w:szCs w:val="24"/>
        </w:rPr>
        <w:t xml:space="preserve">, a minimum of three days should be anticipated for the closing documents to be signed and returned to the appropriate parties.  </w:t>
      </w:r>
      <w:r w:rsidRPr="00297C46">
        <w:rPr>
          <w:rFonts w:ascii="Verdana" w:eastAsia="Calibri" w:hAnsi="Verdana" w:cs="Times New Roman"/>
          <w:i/>
          <w:iCs/>
          <w:sz w:val="24"/>
          <w:szCs w:val="24"/>
          <w:u w:val="single"/>
        </w:rPr>
        <w:t>Please plan accordingly.</w:t>
      </w:r>
    </w:p>
    <w:p w14:paraId="1A1CD3CD" w14:textId="77777777" w:rsidR="00297C46" w:rsidRPr="00297C46" w:rsidRDefault="00297C46" w:rsidP="00297C46">
      <w:pPr>
        <w:spacing w:after="0" w:line="240" w:lineRule="auto"/>
        <w:rPr>
          <w:rFonts w:ascii="Verdana" w:eastAsia="Calibri" w:hAnsi="Verdana" w:cs="Times New Roman"/>
          <w:sz w:val="24"/>
          <w:szCs w:val="24"/>
        </w:rPr>
      </w:pPr>
    </w:p>
    <w:p w14:paraId="5EF61D5D" w14:textId="77777777" w:rsidR="00297C46" w:rsidRPr="00297C46" w:rsidRDefault="00297C46" w:rsidP="00297C46">
      <w:pPr>
        <w:spacing w:after="0" w:line="240" w:lineRule="auto"/>
        <w:rPr>
          <w:rFonts w:ascii="Verdana" w:eastAsia="Calibri" w:hAnsi="Verdana" w:cs="Times New Roman"/>
          <w:i/>
          <w:iCs/>
          <w:sz w:val="24"/>
          <w:szCs w:val="24"/>
        </w:rPr>
      </w:pPr>
      <w:r w:rsidRPr="00297C46">
        <w:rPr>
          <w:rFonts w:ascii="Verdana" w:eastAsia="Calibri" w:hAnsi="Verdana" w:cs="Times New Roman"/>
          <w:b/>
          <w:bCs/>
          <w:i/>
          <w:iCs/>
          <w:sz w:val="24"/>
          <w:szCs w:val="24"/>
        </w:rPr>
        <w:t>Keywords:</w:t>
      </w:r>
      <w:r w:rsidRPr="00297C46">
        <w:rPr>
          <w:rFonts w:ascii="Verdana" w:eastAsia="Calibri" w:hAnsi="Verdana" w:cs="Times New Roman"/>
          <w:i/>
          <w:iCs/>
          <w:sz w:val="24"/>
          <w:szCs w:val="24"/>
        </w:rPr>
        <w:t xml:space="preserve"> Signing Closing Documents</w:t>
      </w:r>
    </w:p>
    <w:p w14:paraId="22D153FA" w14:textId="77777777" w:rsidR="00297C46" w:rsidRPr="00297C46" w:rsidRDefault="00297C46" w:rsidP="00297C46">
      <w:pPr>
        <w:spacing w:after="0" w:line="240" w:lineRule="auto"/>
        <w:rPr>
          <w:rFonts w:ascii="Verdana" w:eastAsia="MS Mincho" w:hAnsi="Verdana" w:cs="Times New Roman"/>
          <w:b/>
          <w:sz w:val="24"/>
          <w:szCs w:val="24"/>
        </w:rPr>
      </w:pPr>
    </w:p>
    <w:p w14:paraId="538F5378" w14:textId="77777777" w:rsidR="00297C46" w:rsidRPr="00297C46" w:rsidRDefault="00DC0115" w:rsidP="00297C46">
      <w:pPr>
        <w:spacing w:after="0" w:line="240" w:lineRule="auto"/>
        <w:rPr>
          <w:rFonts w:ascii="Verdana" w:eastAsia="Calibri" w:hAnsi="Verdana" w:cs="Times New Roman"/>
          <w:b/>
          <w:sz w:val="24"/>
        </w:rPr>
      </w:pPr>
      <w:hyperlink w:anchor="_top" w:history="1">
        <w:r w:rsidR="00297C46" w:rsidRPr="00297C46">
          <w:rPr>
            <w:rFonts w:ascii="Verdana" w:eastAsia="Calibri" w:hAnsi="Verdana" w:cs="Times New Roman"/>
            <w:color w:val="0000FF"/>
            <w:sz w:val="24"/>
            <w:u w:val="single"/>
          </w:rPr>
          <w:t>Back to top</w:t>
        </w:r>
      </w:hyperlink>
    </w:p>
    <w:p w14:paraId="3C81FE88" w14:textId="77777777" w:rsidR="00297C46" w:rsidRPr="00297C46" w:rsidRDefault="00297C46" w:rsidP="00297C46">
      <w:pPr>
        <w:spacing w:after="0" w:line="240" w:lineRule="auto"/>
        <w:rPr>
          <w:rFonts w:ascii="Verdana" w:eastAsia="MS Mincho" w:hAnsi="Verdana" w:cs="Times New Roman"/>
          <w:b/>
          <w:sz w:val="24"/>
          <w:szCs w:val="24"/>
        </w:rPr>
      </w:pPr>
    </w:p>
    <w:p w14:paraId="620E7C60" w14:textId="77777777" w:rsidR="00297C46" w:rsidRPr="00297C46" w:rsidRDefault="00297C46" w:rsidP="00297C46">
      <w:pPr>
        <w:spacing w:after="120" w:line="240" w:lineRule="auto"/>
        <w:outlineLvl w:val="1"/>
        <w:rPr>
          <w:rFonts w:ascii="Verdana" w:eastAsia="Calibri" w:hAnsi="Verdana" w:cs="Times New Roman"/>
          <w:b/>
          <w:bCs/>
          <w:sz w:val="24"/>
          <w:u w:val="single"/>
        </w:rPr>
      </w:pPr>
      <w:bookmarkStart w:id="14" w:name="_Toc23488359"/>
      <w:r w:rsidRPr="00297C46">
        <w:rPr>
          <w:rFonts w:ascii="Verdana" w:eastAsia="Calibri" w:hAnsi="Verdana" w:cs="Times New Roman"/>
          <w:b/>
          <w:bCs/>
          <w:sz w:val="24"/>
          <w:szCs w:val="24"/>
          <w:u w:val="single"/>
        </w:rPr>
        <w:t>Tips to Avoid Closing Delays</w:t>
      </w:r>
      <w:r w:rsidRPr="00297C46">
        <w:rPr>
          <w:rFonts w:ascii="Verdana" w:eastAsia="Calibri" w:hAnsi="Verdana" w:cs="Times New Roman"/>
          <w:b/>
          <w:bCs/>
          <w:sz w:val="24"/>
          <w:u w:val="single"/>
        </w:rPr>
        <w:t xml:space="preserve"> When </w:t>
      </w:r>
      <w:r w:rsidRPr="00297C46">
        <w:rPr>
          <w:rFonts w:ascii="Verdana" w:eastAsia="Calibri" w:hAnsi="Verdana" w:cs="Times New Roman"/>
          <w:b/>
          <w:bCs/>
          <w:sz w:val="24"/>
          <w:szCs w:val="24"/>
          <w:u w:val="single"/>
        </w:rPr>
        <w:t>Submitting a Waiver Request</w:t>
      </w:r>
      <w:bookmarkEnd w:id="14"/>
    </w:p>
    <w:p w14:paraId="60C647F7" w14:textId="77777777" w:rsidR="00297C46" w:rsidRPr="00297C46" w:rsidRDefault="00297C46" w:rsidP="00297C46">
      <w:pPr>
        <w:numPr>
          <w:ilvl w:val="0"/>
          <w:numId w:val="3"/>
        </w:num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To avoid delays at closing, </w:t>
      </w:r>
      <w:r w:rsidRPr="00297C46">
        <w:rPr>
          <w:rFonts w:ascii="Verdana" w:eastAsia="Calibri" w:hAnsi="Verdana" w:cs="Times New Roman"/>
          <w:b/>
          <w:bCs/>
          <w:i/>
          <w:iCs/>
          <w:sz w:val="24"/>
          <w:szCs w:val="24"/>
          <w:u w:val="single"/>
        </w:rPr>
        <w:t xml:space="preserve">all project waivers </w:t>
      </w:r>
      <w:r w:rsidRPr="00297C46">
        <w:rPr>
          <w:rFonts w:ascii="Verdana" w:eastAsia="Calibri" w:hAnsi="Verdana" w:cs="Times New Roman"/>
          <w:i/>
          <w:iCs/>
          <w:sz w:val="24"/>
          <w:szCs w:val="24"/>
          <w:u w:val="single"/>
        </w:rPr>
        <w:t>should be requested and processed during underwriting review.</w:t>
      </w:r>
      <w:r w:rsidRPr="00297C46">
        <w:rPr>
          <w:rFonts w:ascii="Verdana" w:eastAsia="Calibri" w:hAnsi="Verdana" w:cs="Times New Roman"/>
          <w:sz w:val="24"/>
          <w:szCs w:val="24"/>
        </w:rPr>
        <w:t xml:space="preserve">  If the need for a waiver arises after issuance of a firm commitment, it is the Lender’s responsibility to </w:t>
      </w:r>
      <w:r w:rsidRPr="00297C46">
        <w:rPr>
          <w:rFonts w:ascii="Verdana" w:eastAsia="Calibri" w:hAnsi="Verdana" w:cs="Times New Roman"/>
          <w:sz w:val="24"/>
          <w:szCs w:val="24"/>
          <w:u w:val="single"/>
        </w:rPr>
        <w:t>identify the need early on</w:t>
      </w:r>
      <w:r w:rsidRPr="00297C46">
        <w:rPr>
          <w:rFonts w:ascii="Verdana" w:eastAsia="Calibri" w:hAnsi="Verdana" w:cs="Times New Roman"/>
          <w:sz w:val="24"/>
          <w:szCs w:val="24"/>
        </w:rPr>
        <w:t xml:space="preserve"> and submit waiver requests with draft closing documents.   </w:t>
      </w:r>
      <w:r w:rsidRPr="00297C46">
        <w:rPr>
          <w:rFonts w:ascii="Verdana" w:eastAsia="Calibri" w:hAnsi="Verdana" w:cs="Times New Roman"/>
          <w:b/>
          <w:bCs/>
          <w:i/>
          <w:iCs/>
          <w:sz w:val="24"/>
          <w:szCs w:val="24"/>
          <w:u w:val="single"/>
        </w:rPr>
        <w:t>Waiver processing must be complete prior to scheduling a closing date.</w:t>
      </w:r>
    </w:p>
    <w:p w14:paraId="31C3A772" w14:textId="77777777" w:rsidR="00297C46" w:rsidRPr="00297C46" w:rsidRDefault="00297C46" w:rsidP="00297C46">
      <w:pPr>
        <w:spacing w:after="0" w:line="240" w:lineRule="auto"/>
        <w:rPr>
          <w:rFonts w:ascii="Verdana" w:eastAsia="Calibri" w:hAnsi="Verdana" w:cs="Times New Roman"/>
          <w:sz w:val="24"/>
          <w:szCs w:val="24"/>
        </w:rPr>
      </w:pPr>
    </w:p>
    <w:p w14:paraId="39FB9CA7" w14:textId="77777777" w:rsidR="00297C46" w:rsidRPr="00297C46" w:rsidRDefault="00297C46" w:rsidP="00297C46">
      <w:pPr>
        <w:numPr>
          <w:ilvl w:val="0"/>
          <w:numId w:val="4"/>
        </w:num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Any waiver justification based on financial hardship needs to be backed by written quotes.  </w:t>
      </w:r>
    </w:p>
    <w:p w14:paraId="04B57D27" w14:textId="77777777" w:rsidR="00297C46" w:rsidRPr="00297C46" w:rsidRDefault="00297C46" w:rsidP="00297C46">
      <w:pPr>
        <w:spacing w:after="0" w:line="240" w:lineRule="auto"/>
        <w:rPr>
          <w:rFonts w:ascii="Verdana" w:eastAsia="Calibri" w:hAnsi="Verdana" w:cs="Times New Roman"/>
          <w:sz w:val="24"/>
          <w:szCs w:val="24"/>
        </w:rPr>
      </w:pPr>
    </w:p>
    <w:p w14:paraId="418EE369" w14:textId="77777777" w:rsidR="00297C46" w:rsidRPr="00297C46" w:rsidRDefault="00297C46" w:rsidP="00297C46">
      <w:pPr>
        <w:numPr>
          <w:ilvl w:val="0"/>
          <w:numId w:val="4"/>
        </w:num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Instructions for completing Form HUD-2-ORCF – Waiver Request are included in Handbook 4232.1, Section I, Chapter 1.5 (</w:t>
      </w:r>
      <w:hyperlink r:id="rId21" w:history="1">
        <w:r w:rsidRPr="00297C46">
          <w:rPr>
            <w:rFonts w:ascii="Verdana" w:eastAsia="Calibri" w:hAnsi="Verdana" w:cs="Times New Roman"/>
            <w:color w:val="0000FF"/>
            <w:sz w:val="24"/>
            <w:szCs w:val="24"/>
            <w:u w:val="single"/>
          </w:rPr>
          <w:t>here</w:t>
        </w:r>
      </w:hyperlink>
      <w:r w:rsidRPr="00297C46">
        <w:rPr>
          <w:rFonts w:ascii="Verdana" w:eastAsia="Calibri" w:hAnsi="Verdana" w:cs="Times New Roman"/>
          <w:color w:val="0000FF"/>
          <w:sz w:val="24"/>
          <w:szCs w:val="24"/>
          <w:u w:val="single"/>
        </w:rPr>
        <w:t>)</w:t>
      </w:r>
      <w:r w:rsidRPr="00297C46">
        <w:rPr>
          <w:rFonts w:ascii="Verdana" w:eastAsia="Calibri" w:hAnsi="Verdana" w:cs="Times New Roman"/>
          <w:sz w:val="24"/>
          <w:szCs w:val="24"/>
        </w:rPr>
        <w:t xml:space="preserve"> and in the Email Blast dated June 24, 2015 (</w:t>
      </w:r>
      <w:hyperlink r:id="rId22" w:history="1">
        <w:r w:rsidRPr="00297C46">
          <w:rPr>
            <w:rFonts w:ascii="Verdana" w:eastAsia="Calibri" w:hAnsi="Verdana" w:cs="Times New Roman"/>
            <w:color w:val="0000FF"/>
            <w:sz w:val="24"/>
            <w:szCs w:val="24"/>
            <w:u w:val="single"/>
          </w:rPr>
          <w:t>here</w:t>
        </w:r>
      </w:hyperlink>
      <w:r w:rsidRPr="00297C46">
        <w:rPr>
          <w:rFonts w:ascii="Verdana" w:eastAsia="Calibri" w:hAnsi="Verdana" w:cs="Times New Roman"/>
          <w:color w:val="0000FF"/>
          <w:sz w:val="24"/>
          <w:szCs w:val="24"/>
          <w:u w:val="single"/>
        </w:rPr>
        <w:t>)</w:t>
      </w:r>
      <w:r w:rsidRPr="00297C46">
        <w:rPr>
          <w:rFonts w:ascii="Verdana" w:eastAsia="Calibri" w:hAnsi="Verdana" w:cs="Times New Roman"/>
          <w:sz w:val="24"/>
          <w:szCs w:val="24"/>
        </w:rPr>
        <w:t>.  Form HUD-2-ORCF can be find (</w:t>
      </w:r>
      <w:hyperlink r:id="rId23" w:history="1">
        <w:r w:rsidRPr="00297C46">
          <w:rPr>
            <w:rFonts w:ascii="Verdana" w:eastAsia="Calibri" w:hAnsi="Verdana" w:cs="Times New Roman"/>
            <w:color w:val="0000FF"/>
            <w:sz w:val="24"/>
            <w:szCs w:val="24"/>
            <w:u w:val="single"/>
          </w:rPr>
          <w:t>here</w:t>
        </w:r>
      </w:hyperlink>
      <w:r w:rsidRPr="00297C46">
        <w:rPr>
          <w:rFonts w:ascii="Verdana" w:eastAsia="Calibri" w:hAnsi="Verdana" w:cs="Times New Roman"/>
          <w:color w:val="0000FF"/>
          <w:sz w:val="24"/>
          <w:szCs w:val="24"/>
          <w:u w:val="single"/>
        </w:rPr>
        <w:t>)</w:t>
      </w:r>
      <w:r w:rsidRPr="00297C46">
        <w:rPr>
          <w:rFonts w:ascii="Verdana" w:eastAsia="Calibri" w:hAnsi="Verdana" w:cs="Times New Roman"/>
          <w:sz w:val="24"/>
          <w:szCs w:val="24"/>
        </w:rPr>
        <w:t>.</w:t>
      </w:r>
    </w:p>
    <w:p w14:paraId="21B70D5C" w14:textId="77777777" w:rsidR="00297C46" w:rsidRPr="00297C46" w:rsidRDefault="00297C46" w:rsidP="00297C46">
      <w:pPr>
        <w:spacing w:after="0" w:line="240" w:lineRule="auto"/>
        <w:rPr>
          <w:rFonts w:ascii="Verdana" w:eastAsia="Calibri" w:hAnsi="Verdana" w:cs="Times New Roman"/>
          <w:sz w:val="24"/>
          <w:szCs w:val="24"/>
        </w:rPr>
      </w:pPr>
    </w:p>
    <w:p w14:paraId="06885093" w14:textId="77777777" w:rsidR="00297C46" w:rsidRPr="00297C46" w:rsidRDefault="00297C46" w:rsidP="00297C46">
      <w:pPr>
        <w:spacing w:after="0" w:line="240" w:lineRule="auto"/>
        <w:rPr>
          <w:rFonts w:ascii="Verdana" w:eastAsia="Calibri" w:hAnsi="Verdana" w:cs="Times New Roman"/>
          <w:i/>
          <w:iCs/>
          <w:sz w:val="24"/>
          <w:szCs w:val="24"/>
        </w:rPr>
      </w:pPr>
      <w:r w:rsidRPr="00297C46">
        <w:rPr>
          <w:rFonts w:ascii="Verdana" w:eastAsia="Calibri" w:hAnsi="Verdana" w:cs="Times New Roman"/>
          <w:b/>
          <w:bCs/>
          <w:i/>
          <w:iCs/>
          <w:sz w:val="24"/>
          <w:szCs w:val="24"/>
        </w:rPr>
        <w:t>Keywords:</w:t>
      </w:r>
      <w:r w:rsidRPr="00297C46">
        <w:rPr>
          <w:rFonts w:ascii="Verdana" w:eastAsia="Calibri" w:hAnsi="Verdana" w:cs="Times New Roman"/>
          <w:i/>
          <w:iCs/>
          <w:sz w:val="24"/>
          <w:szCs w:val="24"/>
        </w:rPr>
        <w:t xml:space="preserve"> Waiver, Closings</w:t>
      </w:r>
    </w:p>
    <w:p w14:paraId="3687DC30" w14:textId="77777777" w:rsidR="00297C46" w:rsidRPr="00297C46" w:rsidRDefault="00297C46" w:rsidP="00297C46">
      <w:pPr>
        <w:spacing w:after="0" w:line="240" w:lineRule="auto"/>
        <w:rPr>
          <w:rFonts w:ascii="Verdana" w:eastAsia="MS Mincho" w:hAnsi="Verdana" w:cs="Times New Roman"/>
          <w:b/>
          <w:sz w:val="24"/>
          <w:szCs w:val="24"/>
        </w:rPr>
      </w:pPr>
    </w:p>
    <w:p w14:paraId="1516ED8A" w14:textId="77777777" w:rsidR="00297C46" w:rsidRPr="00297C46" w:rsidRDefault="00DC0115" w:rsidP="00297C46">
      <w:pPr>
        <w:spacing w:after="0" w:line="240" w:lineRule="auto"/>
        <w:rPr>
          <w:rFonts w:ascii="Verdana" w:eastAsia="Calibri" w:hAnsi="Verdana" w:cs="Times New Roman"/>
          <w:color w:val="0000FF"/>
          <w:sz w:val="24"/>
          <w:u w:val="single"/>
        </w:rPr>
      </w:pPr>
      <w:hyperlink w:anchor="_top" w:history="1">
        <w:r w:rsidR="00297C46" w:rsidRPr="00297C46">
          <w:rPr>
            <w:rFonts w:ascii="Verdana" w:eastAsia="Calibri" w:hAnsi="Verdana" w:cs="Times New Roman"/>
            <w:color w:val="0000FF"/>
            <w:sz w:val="24"/>
            <w:u w:val="single"/>
          </w:rPr>
          <w:t>Back to top</w:t>
        </w:r>
      </w:hyperlink>
    </w:p>
    <w:p w14:paraId="2BA38147" w14:textId="77777777" w:rsidR="00297C46" w:rsidRPr="00297C46" w:rsidRDefault="00297C46" w:rsidP="00297C46">
      <w:pPr>
        <w:spacing w:after="0" w:line="240" w:lineRule="auto"/>
        <w:rPr>
          <w:rFonts w:ascii="Verdana" w:eastAsia="Calibri" w:hAnsi="Verdana" w:cs="Times New Roman"/>
          <w:b/>
          <w:sz w:val="24"/>
        </w:rPr>
      </w:pPr>
    </w:p>
    <w:p w14:paraId="3AA358D6" w14:textId="77777777" w:rsidR="00297C46" w:rsidRPr="00297C46" w:rsidRDefault="00297C46" w:rsidP="00297C46">
      <w:pPr>
        <w:spacing w:after="120" w:line="240" w:lineRule="auto"/>
        <w:outlineLvl w:val="1"/>
        <w:rPr>
          <w:rFonts w:ascii="Verdana" w:eastAsia="Calibri" w:hAnsi="Verdana" w:cs="Times New Roman"/>
          <w:b/>
          <w:bCs/>
          <w:sz w:val="24"/>
          <w:u w:val="single"/>
        </w:rPr>
      </w:pPr>
      <w:bookmarkStart w:id="15" w:name="_Toc23488360"/>
      <w:r w:rsidRPr="00297C46">
        <w:rPr>
          <w:rFonts w:ascii="Verdana" w:eastAsia="Calibri" w:hAnsi="Verdana" w:cs="Times New Roman"/>
          <w:b/>
          <w:bCs/>
          <w:sz w:val="24"/>
          <w:szCs w:val="24"/>
          <w:u w:val="single"/>
        </w:rPr>
        <w:t>Lender’s Responsibility PRIOR to Submitting NC/241a/Sub-Rehab Cost Certification Packages</w:t>
      </w:r>
      <w:bookmarkEnd w:id="15"/>
    </w:p>
    <w:p w14:paraId="2793CDA1" w14:textId="77777777" w:rsidR="00297C46" w:rsidRPr="00297C46" w:rsidRDefault="00297C46" w:rsidP="00297C46">
      <w:pPr>
        <w:spacing w:after="0"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Handbook 4232.1, Section II, Chapter 11.10 sets forth the required forms and documentation for purposes of cost certification.  Further clarification </w:t>
      </w:r>
      <w:r w:rsidRPr="00297C46">
        <w:rPr>
          <w:rFonts w:ascii="Verdana" w:eastAsia="Calibri" w:hAnsi="Verdana" w:cs="Times New Roman"/>
          <w:sz w:val="24"/>
          <w:szCs w:val="24"/>
        </w:rPr>
        <w:lastRenderedPageBreak/>
        <w:t xml:space="preserve">was provided in the December 21, 2016 Email Blast.  Under the ORCF Section 232 Program, it is the Lender’s responsibility to </w:t>
      </w:r>
      <w:r w:rsidRPr="00297C46">
        <w:rPr>
          <w:rFonts w:ascii="Verdana" w:eastAsia="Calibri" w:hAnsi="Verdana" w:cs="Times New Roman"/>
          <w:sz w:val="24"/>
          <w:szCs w:val="24"/>
          <w:u w:val="single"/>
        </w:rPr>
        <w:t xml:space="preserve">review the NC/241a/Sub-Rehab Cost Certification packages </w:t>
      </w:r>
      <w:r w:rsidRPr="00297C46">
        <w:rPr>
          <w:rFonts w:ascii="Verdana" w:eastAsia="Calibri" w:hAnsi="Verdana" w:cs="Times New Roman"/>
          <w:b/>
          <w:bCs/>
          <w:sz w:val="24"/>
          <w:szCs w:val="24"/>
          <w:u w:val="single"/>
        </w:rPr>
        <w:t>prior to</w:t>
      </w:r>
      <w:r w:rsidRPr="00297C46">
        <w:rPr>
          <w:rFonts w:ascii="Verdana" w:eastAsia="Calibri" w:hAnsi="Verdana" w:cs="Times New Roman"/>
          <w:sz w:val="24"/>
          <w:szCs w:val="24"/>
          <w:u w:val="single"/>
        </w:rPr>
        <w:t xml:space="preserve"> submitting the package to HUD.  It is the Lender’s responsibility to make review comments and affirm that what has been reported by the auditor is applicable.  The Lender is also responsible for ensuring that any findings have been addressed and that corrective actions have been taken</w:t>
      </w:r>
      <w:r w:rsidRPr="00297C46">
        <w:rPr>
          <w:rFonts w:ascii="Verdana" w:eastAsia="Calibri" w:hAnsi="Verdana" w:cs="Times New Roman"/>
          <w:sz w:val="24"/>
          <w:szCs w:val="24"/>
        </w:rPr>
        <w:t>.  </w:t>
      </w:r>
    </w:p>
    <w:p w14:paraId="6C4462B1" w14:textId="77777777" w:rsidR="00297C46" w:rsidRPr="00297C46" w:rsidRDefault="00297C46" w:rsidP="00297C46">
      <w:pPr>
        <w:spacing w:after="0" w:line="240" w:lineRule="auto"/>
        <w:rPr>
          <w:rFonts w:ascii="Verdana" w:eastAsia="Calibri" w:hAnsi="Verdana" w:cs="Times New Roman"/>
          <w:sz w:val="24"/>
          <w:szCs w:val="24"/>
        </w:rPr>
      </w:pPr>
    </w:p>
    <w:p w14:paraId="168B0BE7" w14:textId="77777777" w:rsidR="00297C46" w:rsidRPr="00297C46" w:rsidRDefault="00297C46" w:rsidP="00297C46">
      <w:pPr>
        <w:spacing w:after="0" w:line="240" w:lineRule="auto"/>
        <w:rPr>
          <w:rFonts w:ascii="Verdana" w:eastAsia="Calibri" w:hAnsi="Verdana" w:cs="Times New Roman"/>
          <w:i/>
          <w:iCs/>
          <w:sz w:val="24"/>
          <w:szCs w:val="24"/>
          <w:u w:val="single"/>
        </w:rPr>
      </w:pPr>
      <w:r w:rsidRPr="00297C46">
        <w:rPr>
          <w:rFonts w:ascii="Verdana" w:eastAsia="Calibri" w:hAnsi="Verdana" w:cs="Times New Roman"/>
          <w:sz w:val="24"/>
          <w:szCs w:val="24"/>
        </w:rPr>
        <w:t xml:space="preserve">It is crucial the Lender has followed up on any issues commented on by the auditor, including how any recommendation(s) noted by the CPA have been implemented and what evidence will be provided at Final Closing to demonstrate resolution of this issue.  For example, a material finding reported by the CPA, should be discussed by the Lender with separate comments attached to the Lender Certification, form HUD-91129.   </w:t>
      </w:r>
      <w:r w:rsidRPr="00297C46">
        <w:rPr>
          <w:rFonts w:ascii="Verdana" w:eastAsia="Calibri" w:hAnsi="Verdana" w:cs="Times New Roman"/>
          <w:i/>
          <w:iCs/>
          <w:sz w:val="24"/>
          <w:szCs w:val="24"/>
          <w:u w:val="single"/>
        </w:rPr>
        <w:t>All review comments, modifications, or actions taken should be attached to the Lender Certification, form HUD-91129.</w:t>
      </w:r>
    </w:p>
    <w:p w14:paraId="6F544A19" w14:textId="77777777" w:rsidR="00297C46" w:rsidRPr="00297C46" w:rsidRDefault="00297C46" w:rsidP="00297C46">
      <w:pPr>
        <w:spacing w:after="0" w:line="240" w:lineRule="auto"/>
        <w:rPr>
          <w:rFonts w:ascii="Verdana" w:eastAsia="Calibri" w:hAnsi="Verdana" w:cs="Times New Roman"/>
          <w:sz w:val="24"/>
          <w:szCs w:val="24"/>
        </w:rPr>
      </w:pPr>
    </w:p>
    <w:p w14:paraId="0FAB8F3B" w14:textId="77777777" w:rsidR="00297C46" w:rsidRPr="00297C46" w:rsidRDefault="00297C46" w:rsidP="00297C46">
      <w:pPr>
        <w:spacing w:after="0" w:line="240" w:lineRule="auto"/>
        <w:rPr>
          <w:rFonts w:ascii="Verdana" w:eastAsia="Calibri" w:hAnsi="Verdana" w:cs="Times New Roman"/>
          <w:i/>
          <w:iCs/>
          <w:sz w:val="24"/>
          <w:szCs w:val="24"/>
        </w:rPr>
      </w:pPr>
      <w:r w:rsidRPr="00297C46">
        <w:rPr>
          <w:rFonts w:ascii="Verdana" w:eastAsia="Calibri" w:hAnsi="Verdana" w:cs="Times New Roman"/>
          <w:b/>
          <w:bCs/>
          <w:i/>
          <w:iCs/>
          <w:sz w:val="24"/>
          <w:szCs w:val="24"/>
        </w:rPr>
        <w:t>Keywords:</w:t>
      </w:r>
      <w:r w:rsidRPr="00297C46">
        <w:rPr>
          <w:rFonts w:ascii="Verdana" w:eastAsia="Calibri" w:hAnsi="Verdana" w:cs="Times New Roman"/>
          <w:i/>
          <w:iCs/>
          <w:sz w:val="24"/>
          <w:szCs w:val="24"/>
        </w:rPr>
        <w:t xml:space="preserve"> Cost Certification; Lender Certification, Form HUD-91129</w:t>
      </w:r>
    </w:p>
    <w:p w14:paraId="43A27E82" w14:textId="77777777" w:rsidR="00297C46" w:rsidRPr="00297C46" w:rsidRDefault="00297C46" w:rsidP="00297C46">
      <w:pPr>
        <w:spacing w:after="0" w:line="240" w:lineRule="auto"/>
        <w:rPr>
          <w:rFonts w:ascii="Verdana" w:eastAsia="MS Mincho" w:hAnsi="Verdana" w:cs="Times New Roman"/>
          <w:b/>
          <w:sz w:val="24"/>
          <w:szCs w:val="24"/>
        </w:rPr>
      </w:pPr>
    </w:p>
    <w:p w14:paraId="4BDC2448" w14:textId="77777777" w:rsidR="00297C46" w:rsidRPr="00297C46" w:rsidRDefault="00DC0115" w:rsidP="00297C46">
      <w:pPr>
        <w:spacing w:after="0" w:line="240" w:lineRule="auto"/>
        <w:rPr>
          <w:rFonts w:ascii="Verdana" w:eastAsia="Calibri" w:hAnsi="Verdana" w:cs="Times New Roman"/>
          <w:b/>
          <w:sz w:val="24"/>
        </w:rPr>
      </w:pPr>
      <w:hyperlink w:anchor="_top" w:history="1">
        <w:r w:rsidR="00297C46" w:rsidRPr="00297C46">
          <w:rPr>
            <w:rFonts w:ascii="Verdana" w:eastAsia="Calibri" w:hAnsi="Verdana" w:cs="Times New Roman"/>
            <w:color w:val="0000FF"/>
            <w:sz w:val="24"/>
            <w:u w:val="single"/>
          </w:rPr>
          <w:t>Back to top</w:t>
        </w:r>
      </w:hyperlink>
    </w:p>
    <w:p w14:paraId="5768BCF0" w14:textId="77777777" w:rsidR="00297C46" w:rsidRPr="00297C46" w:rsidRDefault="00297C46" w:rsidP="00297C46">
      <w:pPr>
        <w:spacing w:after="0" w:line="240" w:lineRule="auto"/>
        <w:rPr>
          <w:rFonts w:ascii="Verdana" w:eastAsia="MS Mincho" w:hAnsi="Verdana" w:cs="Times New Roman"/>
          <w:b/>
          <w:sz w:val="24"/>
          <w:szCs w:val="24"/>
        </w:rPr>
      </w:pPr>
    </w:p>
    <w:p w14:paraId="68253AC5" w14:textId="77777777" w:rsidR="00297C46" w:rsidRPr="00297C46" w:rsidRDefault="00297C46" w:rsidP="00297C46">
      <w:pPr>
        <w:spacing w:after="0" w:line="240" w:lineRule="auto"/>
        <w:rPr>
          <w:rFonts w:ascii="Verdana" w:eastAsia="MS Mincho" w:hAnsi="Verdana" w:cs="Times New Roman"/>
          <w:b/>
          <w:sz w:val="24"/>
          <w:szCs w:val="24"/>
        </w:rPr>
      </w:pPr>
    </w:p>
    <w:p w14:paraId="774C93DF" w14:textId="77777777" w:rsidR="00297C46" w:rsidRPr="00297C46" w:rsidRDefault="00297C46" w:rsidP="00297C46">
      <w:pPr>
        <w:spacing w:after="0" w:line="240" w:lineRule="auto"/>
        <w:outlineLvl w:val="0"/>
        <w:rPr>
          <w:rFonts w:ascii="Verdana" w:eastAsia="Calibri" w:hAnsi="Verdana" w:cs="Times New Roman"/>
          <w:b/>
          <w:bCs/>
          <w:caps/>
          <w:sz w:val="28"/>
          <w:szCs w:val="32"/>
          <w:u w:val="single"/>
        </w:rPr>
      </w:pPr>
      <w:bookmarkStart w:id="16" w:name="_Toc333920723"/>
      <w:bookmarkStart w:id="17" w:name="_Toc23488361"/>
      <w:r w:rsidRPr="00297C46">
        <w:rPr>
          <w:rFonts w:ascii="Verdana" w:eastAsia="Calibri" w:hAnsi="Verdana" w:cs="Times New Roman"/>
          <w:b/>
          <w:bCs/>
          <w:caps/>
          <w:sz w:val="28"/>
          <w:szCs w:val="32"/>
          <w:u w:val="single"/>
        </w:rPr>
        <w:t>Document Links Included In This Blast</w:t>
      </w:r>
      <w:bookmarkEnd w:id="16"/>
      <w:bookmarkEnd w:id="17"/>
    </w:p>
    <w:p w14:paraId="4FD1B8F6" w14:textId="77777777" w:rsidR="00297C46" w:rsidRPr="00297C46" w:rsidRDefault="00297C46" w:rsidP="00297C46">
      <w:pPr>
        <w:spacing w:after="0" w:line="240" w:lineRule="auto"/>
        <w:rPr>
          <w:rFonts w:ascii="Verdana" w:eastAsia="Calibri" w:hAnsi="Verdana" w:cs="Times New Roman"/>
          <w:sz w:val="24"/>
        </w:rPr>
      </w:pPr>
    </w:p>
    <w:p w14:paraId="3BB1A563" w14:textId="77777777" w:rsidR="00297C46" w:rsidRPr="00297C46" w:rsidRDefault="00DC0115" w:rsidP="00297C46">
      <w:pPr>
        <w:numPr>
          <w:ilvl w:val="0"/>
          <w:numId w:val="1"/>
        </w:numPr>
        <w:spacing w:after="0" w:line="240" w:lineRule="auto"/>
        <w:rPr>
          <w:rFonts w:ascii="Verdana" w:eastAsia="Calibri" w:hAnsi="Verdana" w:cs="Times New Roman"/>
          <w:color w:val="000000"/>
          <w:sz w:val="24"/>
          <w:szCs w:val="24"/>
        </w:rPr>
      </w:pPr>
      <w:hyperlink r:id="rId24" w:history="1">
        <w:r w:rsidR="00297C46" w:rsidRPr="00297C46">
          <w:rPr>
            <w:rFonts w:ascii="Verdana" w:eastAsia="Calibri" w:hAnsi="Verdana" w:cs="Times New Roman"/>
            <w:color w:val="0000FF"/>
            <w:sz w:val="24"/>
            <w:szCs w:val="24"/>
            <w:u w:val="single"/>
          </w:rPr>
          <w:t>Home and Community Based Services Final Rule</w:t>
        </w:r>
      </w:hyperlink>
      <w:r w:rsidR="00297C46" w:rsidRPr="00297C46">
        <w:rPr>
          <w:rFonts w:ascii="Verdana" w:eastAsia="Calibri" w:hAnsi="Verdana" w:cs="Times New Roman"/>
          <w:sz w:val="24"/>
          <w:szCs w:val="24"/>
        </w:rPr>
        <w:t xml:space="preserve"> </w:t>
      </w:r>
    </w:p>
    <w:p w14:paraId="29228FA6" w14:textId="77777777" w:rsidR="00297C46" w:rsidRPr="00297C46" w:rsidRDefault="00DC0115" w:rsidP="00297C46">
      <w:pPr>
        <w:numPr>
          <w:ilvl w:val="0"/>
          <w:numId w:val="1"/>
        </w:numPr>
        <w:spacing w:after="0" w:line="240" w:lineRule="auto"/>
        <w:rPr>
          <w:rFonts w:ascii="Verdana" w:eastAsia="Calibri" w:hAnsi="Verdana" w:cs="Times New Roman"/>
          <w:color w:val="000000"/>
          <w:sz w:val="24"/>
          <w:szCs w:val="24"/>
        </w:rPr>
      </w:pPr>
      <w:hyperlink r:id="rId25" w:history="1">
        <w:r w:rsidR="00297C46" w:rsidRPr="00297C46">
          <w:rPr>
            <w:rFonts w:ascii="Verdana" w:eastAsia="Calibri" w:hAnsi="Verdana" w:cs="Times New Roman"/>
            <w:color w:val="0000FF"/>
            <w:sz w:val="24"/>
            <w:szCs w:val="24"/>
            <w:u w:val="single"/>
          </w:rPr>
          <w:t>State Risk Summary Grid</w:t>
        </w:r>
      </w:hyperlink>
    </w:p>
    <w:p w14:paraId="2DED8E20" w14:textId="77777777" w:rsidR="00297C46" w:rsidRPr="00297C46" w:rsidRDefault="00DC0115" w:rsidP="00297C46">
      <w:pPr>
        <w:numPr>
          <w:ilvl w:val="0"/>
          <w:numId w:val="1"/>
        </w:numPr>
        <w:spacing w:after="0" w:line="240" w:lineRule="auto"/>
        <w:rPr>
          <w:rFonts w:ascii="Verdana" w:eastAsia="Calibri" w:hAnsi="Verdana" w:cs="Times New Roman"/>
          <w:color w:val="000000"/>
          <w:sz w:val="24"/>
          <w:szCs w:val="24"/>
        </w:rPr>
      </w:pPr>
      <w:hyperlink r:id="rId26" w:history="1">
        <w:r w:rsidR="00297C46" w:rsidRPr="00297C46">
          <w:rPr>
            <w:rFonts w:ascii="Verdana" w:eastAsia="Calibri" w:hAnsi="Verdana" w:cs="Times New Roman"/>
            <w:color w:val="0000FF"/>
            <w:sz w:val="24"/>
            <w:szCs w:val="24"/>
            <w:u w:val="single"/>
          </w:rPr>
          <w:t>Section 232 Documents Webpage</w:t>
        </w:r>
      </w:hyperlink>
    </w:p>
    <w:p w14:paraId="0D722BA8" w14:textId="77777777" w:rsidR="00297C46" w:rsidRPr="00297C46" w:rsidRDefault="00DC0115" w:rsidP="00297C46">
      <w:pPr>
        <w:numPr>
          <w:ilvl w:val="0"/>
          <w:numId w:val="1"/>
        </w:numPr>
        <w:spacing w:after="0" w:line="240" w:lineRule="auto"/>
        <w:rPr>
          <w:rFonts w:ascii="Verdana" w:eastAsia="Calibri" w:hAnsi="Verdana" w:cs="Times New Roman"/>
          <w:color w:val="000000"/>
          <w:sz w:val="24"/>
          <w:szCs w:val="24"/>
        </w:rPr>
      </w:pPr>
      <w:hyperlink r:id="rId27" w:history="1">
        <w:r w:rsidR="00297C46" w:rsidRPr="00297C46">
          <w:rPr>
            <w:rFonts w:ascii="Verdana" w:eastAsia="Calibri" w:hAnsi="Verdana" w:cs="Times New Roman"/>
            <w:color w:val="0000FF"/>
            <w:sz w:val="24"/>
            <w:szCs w:val="24"/>
            <w:u w:val="single"/>
          </w:rPr>
          <w:t>Housing Notice 2016-15</w:t>
        </w:r>
      </w:hyperlink>
    </w:p>
    <w:p w14:paraId="70019130" w14:textId="77777777" w:rsidR="00297C46" w:rsidRPr="00297C46" w:rsidRDefault="00DC0115" w:rsidP="00297C46">
      <w:pPr>
        <w:numPr>
          <w:ilvl w:val="0"/>
          <w:numId w:val="1"/>
        </w:numPr>
        <w:spacing w:after="0" w:line="240" w:lineRule="auto"/>
        <w:rPr>
          <w:rFonts w:ascii="Verdana" w:eastAsia="Calibri" w:hAnsi="Verdana" w:cs="Times New Roman"/>
          <w:color w:val="000000"/>
          <w:sz w:val="24"/>
          <w:szCs w:val="24"/>
        </w:rPr>
      </w:pPr>
      <w:hyperlink r:id="rId28" w:history="1">
        <w:r w:rsidR="00297C46" w:rsidRPr="00297C46">
          <w:rPr>
            <w:rFonts w:ascii="Verdana" w:eastAsia="Calibri" w:hAnsi="Verdana" w:cs="Times New Roman"/>
            <w:color w:val="0000FF"/>
            <w:sz w:val="24"/>
            <w:szCs w:val="24"/>
            <w:u w:val="single"/>
          </w:rPr>
          <w:t>HUD Closer Checklist Section 232/223(f)</w:t>
        </w:r>
      </w:hyperlink>
    </w:p>
    <w:p w14:paraId="072BD162" w14:textId="77777777" w:rsidR="00297C46" w:rsidRPr="00297C46" w:rsidRDefault="00DC0115" w:rsidP="00297C46">
      <w:pPr>
        <w:numPr>
          <w:ilvl w:val="0"/>
          <w:numId w:val="1"/>
        </w:numPr>
        <w:spacing w:after="0" w:line="240" w:lineRule="auto"/>
        <w:rPr>
          <w:rFonts w:ascii="Verdana" w:eastAsia="Calibri" w:hAnsi="Verdana" w:cs="Times New Roman"/>
          <w:color w:val="000000"/>
          <w:sz w:val="24"/>
          <w:szCs w:val="24"/>
        </w:rPr>
      </w:pPr>
      <w:hyperlink r:id="rId29" w:history="1">
        <w:r w:rsidR="00297C46" w:rsidRPr="00297C46">
          <w:rPr>
            <w:rFonts w:ascii="Verdana" w:eastAsia="Calibri" w:hAnsi="Verdana" w:cs="Times New Roman"/>
            <w:color w:val="0000FF"/>
            <w:sz w:val="24"/>
            <w:szCs w:val="24"/>
            <w:u w:val="single"/>
          </w:rPr>
          <w:t>HUD Closer Checklist Section 232/223(a)(7)</w:t>
        </w:r>
      </w:hyperlink>
    </w:p>
    <w:p w14:paraId="370C424B" w14:textId="06C5FA31" w:rsidR="00297C46" w:rsidRPr="00297C46" w:rsidRDefault="00DC0115" w:rsidP="00297C46">
      <w:pPr>
        <w:numPr>
          <w:ilvl w:val="0"/>
          <w:numId w:val="1"/>
        </w:numPr>
        <w:spacing w:after="0" w:line="240" w:lineRule="auto"/>
        <w:rPr>
          <w:rFonts w:ascii="Verdana" w:eastAsia="Calibri" w:hAnsi="Verdana" w:cs="Times New Roman"/>
          <w:color w:val="000000"/>
          <w:sz w:val="24"/>
          <w:szCs w:val="24"/>
        </w:rPr>
      </w:pPr>
      <w:hyperlink r:id="rId30" w:history="1">
        <w:r w:rsidR="00297C46" w:rsidRPr="00297C46">
          <w:rPr>
            <w:rFonts w:ascii="Verdana" w:eastAsia="Calibri" w:hAnsi="Verdana" w:cs="Times New Roman"/>
            <w:color w:val="0000FF"/>
            <w:sz w:val="24"/>
            <w:szCs w:val="24"/>
            <w:u w:val="single"/>
          </w:rPr>
          <w:t xml:space="preserve">HUD Attorney Final Closing Checklist Section 232 – New Construction, Substantial </w:t>
        </w:r>
        <w:r w:rsidR="00297C46" w:rsidRPr="00297C46">
          <w:rPr>
            <w:rFonts w:ascii="Verdana" w:eastAsia="Calibri" w:hAnsi="Verdana" w:cs="Times New Roman"/>
            <w:color w:val="0000FF"/>
            <w:sz w:val="24"/>
            <w:szCs w:val="24"/>
            <w:u w:val="single"/>
          </w:rPr>
          <w:t>Rehab, 241a or Blended Rate</w:t>
        </w:r>
      </w:hyperlink>
      <w:r w:rsidR="00B400BE">
        <w:rPr>
          <w:rFonts w:ascii="Verdana" w:eastAsia="Calibri" w:hAnsi="Verdana" w:cs="Times New Roman"/>
          <w:color w:val="0000FF"/>
          <w:sz w:val="24"/>
          <w:szCs w:val="24"/>
          <w:u w:val="single"/>
        </w:rPr>
        <w:t xml:space="preserve"> </w:t>
      </w:r>
    </w:p>
    <w:p w14:paraId="6C57F8BB" w14:textId="77777777" w:rsidR="00297C46" w:rsidRPr="00297C46" w:rsidRDefault="00DC0115" w:rsidP="00297C46">
      <w:pPr>
        <w:numPr>
          <w:ilvl w:val="0"/>
          <w:numId w:val="1"/>
        </w:numPr>
        <w:spacing w:after="0" w:line="240" w:lineRule="auto"/>
        <w:rPr>
          <w:rFonts w:ascii="Verdana" w:eastAsia="Calibri" w:hAnsi="Verdana" w:cs="Times New Roman"/>
          <w:color w:val="000000"/>
          <w:sz w:val="24"/>
          <w:szCs w:val="24"/>
        </w:rPr>
      </w:pPr>
      <w:hyperlink r:id="rId31" w:history="1">
        <w:r w:rsidR="00297C46" w:rsidRPr="00297C46">
          <w:rPr>
            <w:rFonts w:ascii="Verdana" w:eastAsia="Calibri" w:hAnsi="Verdana" w:cs="Times New Roman"/>
            <w:color w:val="0000FF"/>
            <w:sz w:val="24"/>
            <w:szCs w:val="24"/>
            <w:u w:val="single"/>
          </w:rPr>
          <w:t>Form HUD-2-ORCF</w:t>
        </w:r>
      </w:hyperlink>
    </w:p>
    <w:p w14:paraId="05EE14B3" w14:textId="77777777" w:rsidR="00297C46" w:rsidRPr="00297C46" w:rsidRDefault="00297C46" w:rsidP="00297C46">
      <w:pPr>
        <w:spacing w:after="0" w:line="240" w:lineRule="auto"/>
        <w:rPr>
          <w:rFonts w:ascii="Verdana" w:eastAsia="Calibri" w:hAnsi="Verdana" w:cs="Times New Roman"/>
          <w:color w:val="000000"/>
          <w:sz w:val="24"/>
        </w:rPr>
      </w:pPr>
    </w:p>
    <w:p w14:paraId="199CC6C2" w14:textId="77777777" w:rsidR="00297C46" w:rsidRPr="00297C46" w:rsidRDefault="00DC0115" w:rsidP="00297C46">
      <w:pPr>
        <w:spacing w:after="0" w:line="240" w:lineRule="auto"/>
        <w:rPr>
          <w:rFonts w:ascii="Verdana" w:eastAsia="Calibri" w:hAnsi="Verdana" w:cs="Times New Roman"/>
          <w:b/>
          <w:bCs/>
          <w:sz w:val="24"/>
        </w:rPr>
      </w:pPr>
      <w:hyperlink w:anchor="_top" w:history="1">
        <w:r w:rsidR="00297C46" w:rsidRPr="00297C46">
          <w:rPr>
            <w:rFonts w:ascii="Verdana" w:eastAsia="Calibri" w:hAnsi="Verdana" w:cs="Times New Roman"/>
            <w:color w:val="0000FF"/>
            <w:sz w:val="24"/>
            <w:u w:val="single"/>
          </w:rPr>
          <w:t>Back to top</w:t>
        </w:r>
      </w:hyperlink>
    </w:p>
    <w:p w14:paraId="2E81CF01" w14:textId="77777777" w:rsidR="00297C46" w:rsidRPr="00297C46" w:rsidRDefault="00297C46" w:rsidP="00297C46">
      <w:pPr>
        <w:spacing w:after="0" w:line="240" w:lineRule="auto"/>
        <w:rPr>
          <w:rFonts w:ascii="Verdana" w:eastAsia="Calibri" w:hAnsi="Verdana" w:cs="Times New Roman"/>
          <w:sz w:val="24"/>
        </w:rPr>
      </w:pPr>
    </w:p>
    <w:p w14:paraId="44EF1AA0" w14:textId="77777777" w:rsidR="00297C46" w:rsidRPr="00297C46" w:rsidRDefault="00297C46" w:rsidP="00297C46">
      <w:pPr>
        <w:spacing w:after="0" w:line="240" w:lineRule="auto"/>
        <w:jc w:val="center"/>
        <w:rPr>
          <w:rFonts w:ascii="Verdana" w:eastAsia="Calibri" w:hAnsi="Verdana" w:cs="Times New Roman"/>
          <w:color w:val="000000"/>
        </w:rPr>
      </w:pPr>
      <w:r w:rsidRPr="00297C46">
        <w:rPr>
          <w:rFonts w:ascii="Verdana" w:eastAsia="Calibri" w:hAnsi="Verdana" w:cs="Times New Roman"/>
          <w:b/>
          <w:noProof/>
          <w:color w:val="1F497D"/>
        </w:rPr>
        <w:drawing>
          <wp:inline distT="0" distB="0" distL="0" distR="0" wp14:anchorId="51D5F70E" wp14:editId="1873A4C0">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23DD4DFC" w14:textId="77777777" w:rsidR="00297C46" w:rsidRPr="00297C46" w:rsidRDefault="00297C46" w:rsidP="00297C46">
      <w:pPr>
        <w:spacing w:before="100" w:beforeAutospacing="1" w:after="100" w:afterAutospacing="1"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Past Lean 232 Updates are </w:t>
      </w:r>
      <w:hyperlink r:id="rId32" w:history="1">
        <w:r w:rsidRPr="00297C46">
          <w:rPr>
            <w:rFonts w:ascii="Verdana" w:eastAsia="Calibri" w:hAnsi="Verdana" w:cs="Times New Roman"/>
            <w:color w:val="0000FF"/>
            <w:sz w:val="24"/>
            <w:szCs w:val="24"/>
            <w:u w:val="single"/>
          </w:rPr>
          <w:t>available online</w:t>
        </w:r>
      </w:hyperlink>
      <w:r w:rsidRPr="00297C46">
        <w:rPr>
          <w:rFonts w:ascii="Verdana" w:eastAsia="Calibri" w:hAnsi="Verdana" w:cs="Times New Roman"/>
          <w:sz w:val="24"/>
          <w:szCs w:val="24"/>
        </w:rPr>
        <w:t>.</w:t>
      </w:r>
    </w:p>
    <w:p w14:paraId="7C057890" w14:textId="77777777" w:rsidR="00297C46" w:rsidRPr="00297C46" w:rsidRDefault="00297C46" w:rsidP="00297C46">
      <w:pPr>
        <w:spacing w:before="100" w:beforeAutospacing="1" w:after="100" w:afterAutospacing="1"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Have questions about the Lean 232 Program? Please contact </w:t>
      </w:r>
      <w:hyperlink r:id="rId33" w:history="1">
        <w:r w:rsidRPr="00297C46">
          <w:rPr>
            <w:rFonts w:ascii="Verdana" w:eastAsia="Calibri" w:hAnsi="Verdana" w:cs="Times New Roman"/>
            <w:color w:val="0000FF"/>
            <w:sz w:val="24"/>
            <w:szCs w:val="24"/>
            <w:u w:val="single"/>
          </w:rPr>
          <w:t>LeanThinking@hud.gov</w:t>
        </w:r>
      </w:hyperlink>
      <w:r w:rsidRPr="00297C46">
        <w:rPr>
          <w:rFonts w:ascii="Verdana" w:eastAsia="Calibri" w:hAnsi="Verdana" w:cs="Times New Roman"/>
          <w:sz w:val="24"/>
          <w:szCs w:val="24"/>
        </w:rPr>
        <w:t>.</w:t>
      </w:r>
    </w:p>
    <w:p w14:paraId="78EF191B" w14:textId="77777777" w:rsidR="00297C46" w:rsidRPr="00297C46" w:rsidRDefault="00297C46" w:rsidP="00297C46">
      <w:pPr>
        <w:spacing w:before="100" w:beforeAutospacing="1" w:after="100" w:afterAutospacing="1" w:line="240" w:lineRule="auto"/>
        <w:rPr>
          <w:rFonts w:ascii="Verdana" w:eastAsia="Calibri" w:hAnsi="Verdana" w:cs="Times New Roman"/>
          <w:sz w:val="24"/>
          <w:szCs w:val="24"/>
        </w:rPr>
      </w:pPr>
      <w:r w:rsidRPr="00297C46">
        <w:rPr>
          <w:rFonts w:ascii="Verdana" w:eastAsia="Calibri" w:hAnsi="Verdana" w:cs="Times New Roman"/>
          <w:sz w:val="24"/>
          <w:szCs w:val="24"/>
        </w:rPr>
        <w:lastRenderedPageBreak/>
        <w:t xml:space="preserve">For more information on the Lean 232 Program, check out: </w:t>
      </w:r>
      <w:hyperlink r:id="rId34" w:history="1">
        <w:r w:rsidRPr="00297C46">
          <w:rPr>
            <w:rFonts w:ascii="Verdana" w:eastAsia="Calibri" w:hAnsi="Verdana" w:cs="Times New Roman"/>
            <w:color w:val="0000FF"/>
            <w:sz w:val="24"/>
            <w:szCs w:val="24"/>
            <w:u w:val="single"/>
          </w:rPr>
          <w:t>http://www.hud.gov/healthcare</w:t>
        </w:r>
      </w:hyperlink>
      <w:r w:rsidRPr="00297C46">
        <w:rPr>
          <w:rFonts w:ascii="Verdana" w:eastAsia="Calibri" w:hAnsi="Verdana" w:cs="Times New Roman"/>
          <w:sz w:val="24"/>
          <w:szCs w:val="24"/>
        </w:rPr>
        <w:t>.</w:t>
      </w:r>
    </w:p>
    <w:p w14:paraId="07A31720" w14:textId="77777777" w:rsidR="00297C46" w:rsidRPr="00297C46" w:rsidRDefault="00297C46" w:rsidP="00297C46">
      <w:pPr>
        <w:spacing w:before="100" w:beforeAutospacing="1" w:after="100" w:afterAutospacing="1"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35" w:history="1">
        <w:r w:rsidRPr="00297C46">
          <w:rPr>
            <w:rFonts w:ascii="Verdana" w:eastAsia="Calibri" w:hAnsi="Verdana" w:cs="Times New Roman"/>
            <w:color w:val="0000FF"/>
            <w:sz w:val="24"/>
            <w:szCs w:val="24"/>
            <w:u w:val="single"/>
          </w:rPr>
          <w:t>Join here</w:t>
        </w:r>
      </w:hyperlink>
      <w:r w:rsidRPr="00297C46">
        <w:rPr>
          <w:rFonts w:ascii="Verdana" w:eastAsia="Calibri" w:hAnsi="Verdana" w:cs="Times New Roman"/>
          <w:sz w:val="24"/>
          <w:szCs w:val="24"/>
        </w:rPr>
        <w:t>.</w:t>
      </w:r>
    </w:p>
    <w:p w14:paraId="16BAD2E9" w14:textId="77777777" w:rsidR="00297C46" w:rsidRPr="00297C46" w:rsidRDefault="00297C46" w:rsidP="00297C46">
      <w:pPr>
        <w:spacing w:before="100" w:beforeAutospacing="1" w:after="100" w:afterAutospacing="1" w:line="240" w:lineRule="auto"/>
        <w:rPr>
          <w:rFonts w:ascii="Verdana" w:eastAsia="Calibri" w:hAnsi="Verdana" w:cs="Times New Roman"/>
          <w:sz w:val="24"/>
          <w:szCs w:val="24"/>
        </w:rPr>
      </w:pPr>
      <w:r w:rsidRPr="00297C46">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36" w:history="1">
        <w:r w:rsidRPr="00297C46">
          <w:rPr>
            <w:rFonts w:ascii="Verdana" w:eastAsia="Calibri" w:hAnsi="Verdana" w:cs="Times New Roman"/>
            <w:color w:val="0000FF"/>
            <w:sz w:val="24"/>
            <w:szCs w:val="24"/>
            <w:u w:val="single"/>
          </w:rPr>
          <w:t>go here</w:t>
        </w:r>
      </w:hyperlink>
      <w:r w:rsidRPr="00297C46">
        <w:rPr>
          <w:rFonts w:ascii="Verdana" w:eastAsia="Calibri" w:hAnsi="Verdana" w:cs="Times New Roman"/>
          <w:sz w:val="24"/>
          <w:szCs w:val="24"/>
        </w:rPr>
        <w:t>.</w:t>
      </w:r>
      <w:bookmarkEnd w:id="1"/>
    </w:p>
    <w:p w14:paraId="50D1947D" w14:textId="77777777" w:rsidR="00202254" w:rsidRDefault="00202254"/>
    <w:sectPr w:rsidR="00202254" w:rsidSect="00E217E8">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FCE48" w14:textId="77777777" w:rsidR="00DC0115" w:rsidRDefault="00DC0115">
      <w:pPr>
        <w:spacing w:after="0" w:line="240" w:lineRule="auto"/>
      </w:pPr>
      <w:r>
        <w:separator/>
      </w:r>
    </w:p>
  </w:endnote>
  <w:endnote w:type="continuationSeparator" w:id="0">
    <w:p w14:paraId="696FE44E" w14:textId="77777777" w:rsidR="00DC0115" w:rsidRDefault="00DC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1FCAD" w14:textId="77777777" w:rsidR="00DC0115" w:rsidRDefault="00DC0115">
      <w:pPr>
        <w:spacing w:after="0" w:line="240" w:lineRule="auto"/>
      </w:pPr>
      <w:r>
        <w:separator/>
      </w:r>
    </w:p>
  </w:footnote>
  <w:footnote w:type="continuationSeparator" w:id="0">
    <w:p w14:paraId="24944B74" w14:textId="77777777" w:rsidR="00DC0115" w:rsidRDefault="00DC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7840EA7" w14:textId="77777777" w:rsidR="0089592C" w:rsidRDefault="00297C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32D94A" w14:textId="77777777" w:rsidR="008F66AB" w:rsidRDefault="00DC0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116A"/>
    <w:multiLevelType w:val="hybridMultilevel"/>
    <w:tmpl w:val="DE34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76C2A"/>
    <w:multiLevelType w:val="hybridMultilevel"/>
    <w:tmpl w:val="21C62A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D2124"/>
    <w:multiLevelType w:val="hybridMultilevel"/>
    <w:tmpl w:val="C9787E4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BD4BE9"/>
    <w:multiLevelType w:val="hybridMultilevel"/>
    <w:tmpl w:val="AF98CF04"/>
    <w:lvl w:ilvl="0" w:tplc="8A963780">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46"/>
    <w:rsid w:val="00202254"/>
    <w:rsid w:val="00297C46"/>
    <w:rsid w:val="00B400BE"/>
    <w:rsid w:val="00DC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9592"/>
  <w15:chartTrackingRefBased/>
  <w15:docId w15:val="{FF91204C-3FD2-494C-A1B2-1456DDC1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C46"/>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297C46"/>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ocuments/42321S2C5HSGH.PDF" TargetMode="External"/><Relationship Id="rId13" Type="http://schemas.openxmlformats.org/officeDocument/2006/relationships/hyperlink" Target="https://www.hud.gov/sites/documents/JuneEmailBlast06282017.docx" TargetMode="External"/><Relationship Id="rId18" Type="http://schemas.openxmlformats.org/officeDocument/2006/relationships/hyperlink" Target="https://www.hud.gov/sites/dfiles/Housing/documents/Closer_Checklist-a7.docx" TargetMode="External"/><Relationship Id="rId26" Type="http://schemas.openxmlformats.org/officeDocument/2006/relationships/hyperlink" Target="https://www.hud.gov/federal_housing_administration/healthcare_facilities/residential_care/final_232_document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ud.gov/sites/documents/42321S1C1HSGH.PDF" TargetMode="External"/><Relationship Id="rId34" Type="http://schemas.openxmlformats.org/officeDocument/2006/relationships/hyperlink" Target="http://www.hud.gov/healthcare" TargetMode="External"/><Relationship Id="rId7" Type="http://schemas.openxmlformats.org/officeDocument/2006/relationships/image" Target="media/image1.png"/><Relationship Id="rId12" Type="http://schemas.openxmlformats.org/officeDocument/2006/relationships/hyperlink" Target="https://www.medicaid.gov/medicaid/hcbs/guidance/hcbs-final-regulation/index.html" TargetMode="External"/><Relationship Id="rId17" Type="http://schemas.openxmlformats.org/officeDocument/2006/relationships/hyperlink" Target="https://www.hud.gov/sites/dfiles/Housing/documents/Closer_Checklist-f.docx" TargetMode="External"/><Relationship Id="rId25" Type="http://schemas.openxmlformats.org/officeDocument/2006/relationships/hyperlink" Target="https://www.hud.gov/sites/documents/JuneEmailBlast06282017.docx" TargetMode="External"/><Relationship Id="rId33" Type="http://schemas.openxmlformats.org/officeDocument/2006/relationships/hyperlink" Target="mailto:LeanThinking@hud.gov"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ud.gov/sites/documents/16-15HSGN.PDF" TargetMode="External"/><Relationship Id="rId20" Type="http://schemas.openxmlformats.org/officeDocument/2006/relationships/hyperlink" Target="https://www.hud.gov/sites/dfiles/Housing/documents/DecEmailBlast12192018.docx" TargetMode="External"/><Relationship Id="rId29" Type="http://schemas.openxmlformats.org/officeDocument/2006/relationships/hyperlink" Target="https://www.hud.gov/sites/dfiles/Housing/documents/Closer_Checklist-a7.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sites/documents/42321S3C3HSGH.PDF" TargetMode="External"/><Relationship Id="rId24" Type="http://schemas.openxmlformats.org/officeDocument/2006/relationships/hyperlink" Target="https://www.medicaid.gov/medicaid/hcbs/guidance/hcbs-final-regulation/index.html" TargetMode="External"/><Relationship Id="rId32" Type="http://schemas.openxmlformats.org/officeDocument/2006/relationships/hyperlink" Target="http://portal.hud.gov/hudportal/HUD?src=/federal_housing_administration/healthcare_facilities/residential_care/mail_blast_index"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ud.gov/federal_housing_administration/healthcare_facilities/residential_care/final_232_documents" TargetMode="External"/><Relationship Id="rId23" Type="http://schemas.openxmlformats.org/officeDocument/2006/relationships/hyperlink" Target="https://www.hud.gov/sites/dfiles/OCHCO/documents/2_orcf.docx" TargetMode="External"/><Relationship Id="rId28" Type="http://schemas.openxmlformats.org/officeDocument/2006/relationships/hyperlink" Target="https://www.hud.gov/sites/dfiles/Housing/documents/Closer_Checklist-f.docx" TargetMode="External"/><Relationship Id="rId36"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hyperlink" Target="https://www.medicaid.gov/federal-policy-guidance/downloads/smd19001.pdf" TargetMode="External"/><Relationship Id="rId19" Type="http://schemas.openxmlformats.org/officeDocument/2006/relationships/hyperlink" Target="https://www.hud.gov/sites/dfiles/Housing/documents/NC_Final_Clsg_Chklst.docx" TargetMode="External"/><Relationship Id="rId31" Type="http://schemas.openxmlformats.org/officeDocument/2006/relationships/hyperlink" Target="https://www.hud.gov/sites/dfiles/OCHCO/documents/2_orcf.docx" TargetMode="External"/><Relationship Id="rId4" Type="http://schemas.openxmlformats.org/officeDocument/2006/relationships/webSettings" Target="webSettings.xml"/><Relationship Id="rId9" Type="http://schemas.openxmlformats.org/officeDocument/2006/relationships/hyperlink" Target="https://www.medicaid.gov/medicaid/hcbs/guidance/hcbs-final-regulation/index.html" TargetMode="External"/><Relationship Id="rId14" Type="http://schemas.openxmlformats.org/officeDocument/2006/relationships/hyperlink" Target="https://www.hud.gov/sites/dfiles/Housing/documents/AugEmailBlast08292018.docx" TargetMode="External"/><Relationship Id="rId22" Type="http://schemas.openxmlformats.org/officeDocument/2006/relationships/hyperlink" Target="https://www.hud.gov/sites/documents/JuneEmailBlast062415.doc" TargetMode="External"/><Relationship Id="rId27" Type="http://schemas.openxmlformats.org/officeDocument/2006/relationships/hyperlink" Target="https://www.hud.gov/sites/documents/16-15HSGN.PDF" TargetMode="External"/><Relationship Id="rId30" Type="http://schemas.openxmlformats.org/officeDocument/2006/relationships/hyperlink" Target="https://www.hud.gov/sites/dfiles/Housing/documents/NC_Final_Clsg_Chklst.docx" TargetMode="External"/><Relationship Id="rId35"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2019-11-01T12:12:00Z</dcterms:created>
  <dcterms:modified xsi:type="dcterms:W3CDTF">2019-11-04T16:55:00Z</dcterms:modified>
</cp:coreProperties>
</file>