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EE4" w:rsidRDefault="00F45EE4" w:rsidP="00F45EE4">
      <w:pPr>
        <w:spacing w:after="0" w:line="240" w:lineRule="auto"/>
        <w:jc w:val="center"/>
        <w:rPr>
          <w:rFonts w:ascii="Verdana" w:hAnsi="Verdana"/>
          <w:b/>
          <w:bCs/>
          <w:sz w:val="32"/>
          <w:szCs w:val="32"/>
          <w:u w:val="single"/>
        </w:rPr>
      </w:pPr>
      <w:bookmarkStart w:id="0" w:name="_top"/>
      <w:bookmarkEnd w:id="0"/>
      <w:r>
        <w:rPr>
          <w:rFonts w:ascii="Verdana" w:hAnsi="Verdana"/>
          <w:b/>
          <w:bCs/>
          <w:sz w:val="32"/>
          <w:szCs w:val="32"/>
          <w:u w:val="single"/>
        </w:rPr>
        <w:t>HUD’s Lean 232 Program</w:t>
      </w:r>
    </w:p>
    <w:p w:rsidR="00F45EE4" w:rsidRDefault="00F45EE4" w:rsidP="00F45EE4">
      <w:pPr>
        <w:spacing w:after="0" w:line="240" w:lineRule="auto"/>
        <w:jc w:val="center"/>
        <w:rPr>
          <w:rFonts w:ascii="Verdana" w:hAnsi="Verdana"/>
          <w:b/>
          <w:bCs/>
          <w:sz w:val="32"/>
          <w:szCs w:val="32"/>
        </w:rPr>
      </w:pPr>
      <w:r>
        <w:rPr>
          <w:rFonts w:ascii="Verdana" w:hAnsi="Verdana"/>
          <w:b/>
          <w:bCs/>
          <w:sz w:val="32"/>
          <w:szCs w:val="32"/>
        </w:rPr>
        <w:t>Office of Residential Care Facilities (ORCF)</w:t>
      </w:r>
    </w:p>
    <w:p w:rsidR="00F45EE4" w:rsidRDefault="00F45EE4" w:rsidP="00F45EE4">
      <w:pPr>
        <w:spacing w:after="0" w:line="240" w:lineRule="auto"/>
        <w:jc w:val="center"/>
        <w:rPr>
          <w:rFonts w:ascii="Verdana" w:hAnsi="Verdana"/>
          <w:b/>
          <w:bCs/>
          <w:sz w:val="32"/>
          <w:szCs w:val="32"/>
          <w:u w:val="single"/>
        </w:rPr>
      </w:pPr>
      <w:r>
        <w:rPr>
          <w:rFonts w:ascii="Verdana" w:hAnsi="Verdana"/>
          <w:b/>
          <w:bCs/>
          <w:sz w:val="32"/>
          <w:szCs w:val="32"/>
          <w:u w:val="single"/>
        </w:rPr>
        <w:t>Update as of November 13, 2017</w:t>
      </w:r>
    </w:p>
    <w:p w:rsidR="00F45EE4" w:rsidRDefault="00F45EE4" w:rsidP="00F45EE4">
      <w:pPr>
        <w:spacing w:after="0" w:line="240" w:lineRule="auto"/>
        <w:jc w:val="center"/>
        <w:rPr>
          <w:rFonts w:ascii="Verdana" w:hAnsi="Verdana"/>
        </w:rPr>
      </w:pPr>
      <w:r>
        <w:rPr>
          <w:rFonts w:ascii="Verdana" w:hAnsi="Verdana"/>
          <w:noProof/>
          <w:color w:val="1F497D"/>
        </w:rPr>
        <w:drawing>
          <wp:inline distT="0" distB="0" distL="0" distR="0">
            <wp:extent cx="5705475" cy="95250"/>
            <wp:effectExtent l="0" t="0" r="9525"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05475" cy="95250"/>
                    </a:xfrm>
                    <a:prstGeom prst="rect">
                      <a:avLst/>
                    </a:prstGeom>
                    <a:noFill/>
                    <a:ln>
                      <a:noFill/>
                    </a:ln>
                  </pic:spPr>
                </pic:pic>
              </a:graphicData>
            </a:graphic>
          </wp:inline>
        </w:drawing>
      </w:r>
    </w:p>
    <w:p w:rsidR="00F45EE4" w:rsidRDefault="00F45EE4" w:rsidP="00F45EE4">
      <w:pPr>
        <w:spacing w:after="0" w:line="240" w:lineRule="auto"/>
        <w:rPr>
          <w:rFonts w:ascii="Verdana" w:hAnsi="Verdana"/>
          <w:sz w:val="24"/>
          <w:szCs w:val="24"/>
        </w:rPr>
      </w:pPr>
    </w:p>
    <w:p w:rsidR="00F45EE4" w:rsidRDefault="00F45EE4" w:rsidP="00F45EE4">
      <w:pPr>
        <w:spacing w:after="0" w:line="240" w:lineRule="auto"/>
        <w:rPr>
          <w:rFonts w:ascii="Verdana" w:hAnsi="Verdana"/>
          <w:sz w:val="24"/>
          <w:szCs w:val="24"/>
        </w:rPr>
      </w:pPr>
    </w:p>
    <w:p w:rsidR="00F45EE4" w:rsidRDefault="00F45EE4" w:rsidP="00F45EE4">
      <w:pPr>
        <w:spacing w:after="0" w:line="240" w:lineRule="auto"/>
        <w:rPr>
          <w:rFonts w:ascii="Verdana" w:hAnsi="Verdana"/>
          <w:i/>
          <w:iCs/>
          <w:sz w:val="32"/>
          <w:szCs w:val="32"/>
          <w:u w:val="single"/>
        </w:rPr>
      </w:pPr>
      <w:r>
        <w:rPr>
          <w:rFonts w:ascii="Verdana" w:hAnsi="Verdana"/>
          <w:i/>
          <w:iCs/>
          <w:sz w:val="32"/>
          <w:szCs w:val="32"/>
          <w:u w:val="single"/>
        </w:rPr>
        <w:t>November 13, 2017 Contents</w:t>
      </w:r>
    </w:p>
    <w:p w:rsidR="00F45EE4" w:rsidRDefault="00F45EE4" w:rsidP="00F45EE4">
      <w:pPr>
        <w:spacing w:after="0" w:line="240" w:lineRule="auto"/>
        <w:rPr>
          <w:rFonts w:ascii="Verdana" w:hAnsi="Verdana"/>
          <w:b/>
          <w:bCs/>
          <w:i/>
          <w:iCs/>
          <w:sz w:val="32"/>
          <w:szCs w:val="32"/>
          <w:u w:val="single"/>
        </w:rPr>
      </w:pPr>
    </w:p>
    <w:p w:rsidR="00F45EE4" w:rsidRDefault="00F45EE4" w:rsidP="00F45EE4">
      <w:pPr>
        <w:spacing w:after="0" w:line="240" w:lineRule="auto"/>
        <w:ind w:left="270" w:hanging="270"/>
      </w:pPr>
      <w:hyperlink w:anchor="_Toc498337900" w:history="1">
        <w:r>
          <w:rPr>
            <w:rStyle w:val="Hyperlink"/>
            <w:rFonts w:ascii="Verdana" w:hAnsi="Verdana"/>
            <w:sz w:val="24"/>
            <w:szCs w:val="24"/>
          </w:rPr>
          <w:t xml:space="preserve">Environmental Guidance </w:t>
        </w:r>
        <w:proofErr w:type="gramStart"/>
        <w:r>
          <w:rPr>
            <w:rStyle w:val="Hyperlink"/>
            <w:rFonts w:ascii="Verdana" w:hAnsi="Verdana"/>
            <w:sz w:val="24"/>
            <w:szCs w:val="24"/>
          </w:rPr>
          <w:t>In</w:t>
        </w:r>
        <w:proofErr w:type="gramEnd"/>
        <w:r>
          <w:rPr>
            <w:rStyle w:val="Hyperlink"/>
            <w:rFonts w:ascii="Verdana" w:hAnsi="Verdana"/>
            <w:sz w:val="24"/>
            <w:szCs w:val="24"/>
          </w:rPr>
          <w:t xml:space="preserve"> Response to Florida’s Emergency Generator Requirements</w:t>
        </w:r>
      </w:hyperlink>
    </w:p>
    <w:p w:rsidR="00F45EE4" w:rsidRDefault="00F45EE4" w:rsidP="00F45EE4">
      <w:pPr>
        <w:spacing w:after="0" w:line="240" w:lineRule="auto"/>
        <w:ind w:left="270" w:hanging="270"/>
      </w:pPr>
      <w:hyperlink w:anchor="_Toc498337901" w:history="1">
        <w:r>
          <w:rPr>
            <w:rStyle w:val="Hyperlink"/>
            <w:rFonts w:ascii="Verdana" w:hAnsi="Verdana"/>
            <w:sz w:val="24"/>
            <w:szCs w:val="24"/>
          </w:rPr>
          <w:t xml:space="preserve">Document Links Included </w:t>
        </w:r>
        <w:proofErr w:type="gramStart"/>
        <w:r>
          <w:rPr>
            <w:rStyle w:val="Hyperlink"/>
            <w:rFonts w:ascii="Verdana" w:hAnsi="Verdana"/>
            <w:sz w:val="24"/>
            <w:szCs w:val="24"/>
          </w:rPr>
          <w:t>In</w:t>
        </w:r>
        <w:proofErr w:type="gramEnd"/>
        <w:r>
          <w:rPr>
            <w:rStyle w:val="Hyperlink"/>
            <w:rFonts w:ascii="Verdana" w:hAnsi="Verdana"/>
            <w:sz w:val="24"/>
            <w:szCs w:val="24"/>
          </w:rPr>
          <w:t xml:space="preserve"> This Blast</w:t>
        </w:r>
      </w:hyperlink>
    </w:p>
    <w:p w:rsidR="00F45EE4" w:rsidRDefault="00F45EE4" w:rsidP="00F45EE4">
      <w:pPr>
        <w:spacing w:after="0" w:line="240" w:lineRule="auto"/>
        <w:rPr>
          <w:rFonts w:ascii="Verdana" w:hAnsi="Verdana"/>
          <w:sz w:val="24"/>
          <w:szCs w:val="24"/>
        </w:rPr>
      </w:pPr>
    </w:p>
    <w:p w:rsidR="00F45EE4" w:rsidRDefault="00F45EE4" w:rsidP="00F45EE4">
      <w:pPr>
        <w:spacing w:after="0" w:line="240" w:lineRule="auto"/>
        <w:jc w:val="center"/>
        <w:rPr>
          <w:rFonts w:ascii="Verdana" w:hAnsi="Verdana"/>
          <w:sz w:val="24"/>
          <w:szCs w:val="24"/>
        </w:rPr>
      </w:pPr>
      <w:r>
        <w:rPr>
          <w:rFonts w:ascii="Verdana" w:hAnsi="Verdana"/>
          <w:noProof/>
          <w:color w:val="1F497D"/>
        </w:rPr>
        <w:drawing>
          <wp:inline distT="0" distB="0" distL="0" distR="0">
            <wp:extent cx="5705475" cy="95250"/>
            <wp:effectExtent l="0" t="0" r="9525"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05475" cy="95250"/>
                    </a:xfrm>
                    <a:prstGeom prst="rect">
                      <a:avLst/>
                    </a:prstGeom>
                    <a:noFill/>
                    <a:ln>
                      <a:noFill/>
                    </a:ln>
                  </pic:spPr>
                </pic:pic>
              </a:graphicData>
            </a:graphic>
          </wp:inline>
        </w:drawing>
      </w:r>
    </w:p>
    <w:p w:rsidR="00F45EE4" w:rsidRDefault="00F45EE4" w:rsidP="00F45EE4">
      <w:pPr>
        <w:spacing w:after="0" w:line="240" w:lineRule="auto"/>
        <w:rPr>
          <w:rFonts w:ascii="Verdana" w:hAnsi="Verdana"/>
          <w:color w:val="000000"/>
          <w:sz w:val="24"/>
          <w:szCs w:val="24"/>
        </w:rPr>
      </w:pPr>
      <w:bookmarkStart w:id="1" w:name="_Toc380585836"/>
      <w:bookmarkEnd w:id="1"/>
    </w:p>
    <w:p w:rsidR="00F45EE4" w:rsidRDefault="00F45EE4" w:rsidP="00F45EE4">
      <w:pPr>
        <w:spacing w:after="120" w:line="240" w:lineRule="auto"/>
        <w:rPr>
          <w:rFonts w:ascii="Verdana" w:hAnsi="Verdana"/>
          <w:b/>
          <w:bCs/>
          <w:caps/>
          <w:sz w:val="28"/>
          <w:szCs w:val="28"/>
          <w:u w:val="single"/>
        </w:rPr>
      </w:pPr>
      <w:bookmarkStart w:id="2" w:name="_Toc498337900"/>
      <w:r>
        <w:rPr>
          <w:rFonts w:ascii="Verdana" w:hAnsi="Verdana"/>
          <w:b/>
          <w:bCs/>
          <w:caps/>
          <w:sz w:val="28"/>
          <w:szCs w:val="28"/>
          <w:u w:val="single"/>
        </w:rPr>
        <w:t>Environmental Guidance In Response to Florida’s Emergency Generator Requirements</w:t>
      </w:r>
      <w:bookmarkEnd w:id="2"/>
      <w:r>
        <w:rPr>
          <w:rFonts w:ascii="Verdana" w:hAnsi="Verdana"/>
          <w:b/>
          <w:bCs/>
          <w:caps/>
          <w:sz w:val="28"/>
          <w:szCs w:val="28"/>
          <w:u w:val="single"/>
        </w:rPr>
        <w:t xml:space="preserve"> </w:t>
      </w:r>
    </w:p>
    <w:p w:rsidR="00F45EE4" w:rsidRDefault="00F45EE4" w:rsidP="00F45EE4">
      <w:pPr>
        <w:spacing w:after="0" w:line="240" w:lineRule="auto"/>
        <w:rPr>
          <w:rFonts w:ascii="Verdana" w:hAnsi="Verdana"/>
          <w:sz w:val="24"/>
          <w:szCs w:val="24"/>
        </w:rPr>
      </w:pPr>
      <w:r>
        <w:rPr>
          <w:rFonts w:ascii="Verdana" w:hAnsi="Verdana"/>
          <w:sz w:val="24"/>
          <w:szCs w:val="24"/>
        </w:rPr>
        <w:t>The Office of Residential Care Facilities (ORCF) is providing the following guidance pertaining to Florida’s Emergency Generator Rules (assisted living facilities (</w:t>
      </w:r>
      <w:hyperlink r:id="rId7" w:history="1">
        <w:r>
          <w:rPr>
            <w:rStyle w:val="Hyperlink"/>
            <w:rFonts w:ascii="Verdana" w:hAnsi="Verdana"/>
            <w:sz w:val="24"/>
            <w:szCs w:val="24"/>
          </w:rPr>
          <w:t>here</w:t>
        </w:r>
      </w:hyperlink>
      <w:r>
        <w:rPr>
          <w:rFonts w:ascii="Verdana" w:hAnsi="Verdana"/>
          <w:sz w:val="24"/>
          <w:szCs w:val="24"/>
        </w:rPr>
        <w:t>) and skilled nursing facilities (</w:t>
      </w:r>
      <w:hyperlink r:id="rId8" w:history="1">
        <w:r>
          <w:rPr>
            <w:rStyle w:val="Hyperlink"/>
            <w:rFonts w:ascii="Verdana" w:hAnsi="Verdana"/>
            <w:sz w:val="24"/>
            <w:szCs w:val="24"/>
          </w:rPr>
          <w:t>here</w:t>
        </w:r>
      </w:hyperlink>
      <w:r>
        <w:rPr>
          <w:rFonts w:ascii="Verdana" w:hAnsi="Verdana"/>
          <w:sz w:val="24"/>
          <w:szCs w:val="24"/>
        </w:rPr>
        <w:t>)).  Although an Administrative Law Judge’s order (</w:t>
      </w:r>
      <w:hyperlink r:id="rId9" w:history="1">
        <w:r>
          <w:rPr>
            <w:rStyle w:val="Hyperlink"/>
            <w:rFonts w:ascii="Verdana" w:hAnsi="Verdana"/>
            <w:sz w:val="24"/>
            <w:szCs w:val="24"/>
          </w:rPr>
          <w:t>here</w:t>
        </w:r>
      </w:hyperlink>
      <w:r>
        <w:rPr>
          <w:rFonts w:ascii="Verdana" w:hAnsi="Verdana"/>
          <w:sz w:val="24"/>
          <w:szCs w:val="24"/>
        </w:rPr>
        <w:t>) has stated that the Emergency Generator Rules are invalid, the State of Florida’s Agency for Health Care Administration and Department of Elder Affairs have filed a Notice of Administrative Appeal (</w:t>
      </w:r>
      <w:hyperlink r:id="rId10" w:history="1">
        <w:r>
          <w:rPr>
            <w:rStyle w:val="Hyperlink"/>
            <w:rFonts w:ascii="Verdana" w:hAnsi="Verdana"/>
            <w:sz w:val="24"/>
            <w:szCs w:val="24"/>
          </w:rPr>
          <w:t>here</w:t>
        </w:r>
      </w:hyperlink>
      <w:r>
        <w:rPr>
          <w:rFonts w:ascii="Verdana" w:hAnsi="Verdana"/>
          <w:sz w:val="24"/>
          <w:szCs w:val="24"/>
        </w:rPr>
        <w:t xml:space="preserve">).   </w:t>
      </w:r>
    </w:p>
    <w:p w:rsidR="00F45EE4" w:rsidRDefault="00F45EE4" w:rsidP="00F45EE4">
      <w:pPr>
        <w:spacing w:after="0" w:line="240" w:lineRule="auto"/>
        <w:rPr>
          <w:rFonts w:ascii="Verdana" w:hAnsi="Verdana"/>
          <w:sz w:val="24"/>
          <w:szCs w:val="24"/>
        </w:rPr>
      </w:pPr>
    </w:p>
    <w:p w:rsidR="00F45EE4" w:rsidRDefault="00F45EE4" w:rsidP="00F45EE4">
      <w:pPr>
        <w:spacing w:after="0" w:line="240" w:lineRule="auto"/>
        <w:rPr>
          <w:rFonts w:ascii="Verdana" w:hAnsi="Verdana"/>
          <w:sz w:val="24"/>
          <w:szCs w:val="24"/>
        </w:rPr>
      </w:pPr>
      <w:r>
        <w:rPr>
          <w:rFonts w:ascii="Verdana" w:hAnsi="Verdana"/>
          <w:sz w:val="24"/>
          <w:szCs w:val="24"/>
        </w:rPr>
        <w:t>Given the current circumstances at the Florida state level, ORCF is providing the following reminders regarding issues that may arise at facilities installing generators.</w:t>
      </w:r>
    </w:p>
    <w:p w:rsidR="00F45EE4" w:rsidRDefault="00F45EE4" w:rsidP="00F45EE4">
      <w:pPr>
        <w:spacing w:after="0" w:line="240" w:lineRule="auto"/>
        <w:rPr>
          <w:rFonts w:ascii="Verdana" w:hAnsi="Verdana"/>
          <w:sz w:val="24"/>
          <w:szCs w:val="24"/>
        </w:rPr>
      </w:pPr>
    </w:p>
    <w:p w:rsidR="00F45EE4" w:rsidRDefault="00F45EE4" w:rsidP="00F45EE4">
      <w:pPr>
        <w:spacing w:after="0" w:line="240" w:lineRule="auto"/>
        <w:rPr>
          <w:rFonts w:ascii="Verdana" w:hAnsi="Verdana"/>
          <w:sz w:val="24"/>
          <w:szCs w:val="24"/>
        </w:rPr>
      </w:pPr>
      <w:r>
        <w:rPr>
          <w:rFonts w:ascii="Verdana" w:hAnsi="Verdana"/>
          <w:sz w:val="24"/>
          <w:szCs w:val="24"/>
        </w:rPr>
        <w:t>Consistent with ORCF’s Regulatory Agreements and the Section 232 Handbook (4232.1), installing aboveground storage tanks, generators and/or related components will generally not constitute “remodeling” or other modifications to the collateral securing a currently FHA-insured mortgage, and will therefore not trigger an environmental review.  However, ORCF offers the following to help borrowers and lenders ensure compliance with HUD Environmental Requirements related to installing storage tanks:</w:t>
      </w:r>
    </w:p>
    <w:p w:rsidR="00F45EE4" w:rsidRDefault="00F45EE4" w:rsidP="00F45EE4">
      <w:pPr>
        <w:spacing w:after="0" w:line="240" w:lineRule="auto"/>
        <w:rPr>
          <w:rFonts w:ascii="Verdana" w:hAnsi="Verdana"/>
          <w:sz w:val="24"/>
          <w:szCs w:val="24"/>
        </w:rPr>
      </w:pPr>
    </w:p>
    <w:p w:rsidR="00F45EE4" w:rsidRDefault="00F45EE4" w:rsidP="00F45EE4">
      <w:pPr>
        <w:numPr>
          <w:ilvl w:val="0"/>
          <w:numId w:val="1"/>
        </w:numPr>
        <w:spacing w:after="0" w:line="240" w:lineRule="auto"/>
        <w:rPr>
          <w:rFonts w:ascii="Verdana" w:eastAsia="Times New Roman" w:hAnsi="Verdana"/>
          <w:sz w:val="24"/>
          <w:szCs w:val="24"/>
        </w:rPr>
      </w:pPr>
      <w:r>
        <w:rPr>
          <w:rFonts w:ascii="Verdana" w:eastAsia="Times New Roman" w:hAnsi="Verdana"/>
          <w:b/>
          <w:bCs/>
          <w:sz w:val="24"/>
          <w:szCs w:val="24"/>
          <w:u w:val="single"/>
        </w:rPr>
        <w:t>Aboveground Storage Tanks (ASTs)</w:t>
      </w:r>
      <w:r>
        <w:rPr>
          <w:rFonts w:ascii="Verdana" w:eastAsia="Times New Roman" w:hAnsi="Verdana"/>
          <w:sz w:val="24"/>
          <w:szCs w:val="24"/>
        </w:rPr>
        <w:t>: Projects adding ASTs must follow the Section 232 Handbook, Production Chapter 7.5.G.4 requirements.  Specifically, projects adding ASTs must:</w:t>
      </w:r>
      <w:r>
        <w:rPr>
          <w:rFonts w:eastAsia="Times New Roman"/>
        </w:rPr>
        <w:t xml:space="preserve"> </w:t>
      </w:r>
    </w:p>
    <w:p w:rsidR="00F45EE4" w:rsidRDefault="00F45EE4" w:rsidP="00F45EE4">
      <w:pPr>
        <w:numPr>
          <w:ilvl w:val="1"/>
          <w:numId w:val="1"/>
        </w:numPr>
        <w:spacing w:after="0" w:line="240" w:lineRule="auto"/>
        <w:rPr>
          <w:rFonts w:ascii="Verdana" w:eastAsia="Times New Roman" w:hAnsi="Verdana"/>
          <w:sz w:val="24"/>
          <w:szCs w:val="24"/>
        </w:rPr>
      </w:pPr>
      <w:r>
        <w:rPr>
          <w:rFonts w:ascii="Verdana" w:eastAsia="Times New Roman" w:hAnsi="Verdana"/>
          <w:sz w:val="24"/>
          <w:szCs w:val="24"/>
        </w:rPr>
        <w:t>Obtain documentation confirming that the AST conforms to all applicable state and local permit requirements;</w:t>
      </w:r>
    </w:p>
    <w:p w:rsidR="00F45EE4" w:rsidRDefault="00F45EE4" w:rsidP="00F45EE4">
      <w:pPr>
        <w:numPr>
          <w:ilvl w:val="1"/>
          <w:numId w:val="1"/>
        </w:numPr>
        <w:spacing w:after="0" w:line="240" w:lineRule="auto"/>
        <w:rPr>
          <w:rFonts w:ascii="Verdana" w:eastAsia="Times New Roman" w:hAnsi="Verdana"/>
          <w:sz w:val="24"/>
          <w:szCs w:val="24"/>
        </w:rPr>
      </w:pPr>
      <w:r>
        <w:rPr>
          <w:rFonts w:ascii="Verdana" w:eastAsia="Times New Roman" w:hAnsi="Verdana"/>
          <w:sz w:val="24"/>
          <w:szCs w:val="24"/>
        </w:rPr>
        <w:lastRenderedPageBreak/>
        <w:t>Obtain and submit to HUD a permit, conformance letter or other form of assurance from a local authority that specifically addresses the safety of the AST:</w:t>
      </w:r>
      <w:r>
        <w:rPr>
          <w:rFonts w:eastAsia="Times New Roman"/>
        </w:rPr>
        <w:t xml:space="preserve"> </w:t>
      </w:r>
    </w:p>
    <w:p w:rsidR="00F45EE4" w:rsidRDefault="00F45EE4" w:rsidP="00F45EE4">
      <w:pPr>
        <w:numPr>
          <w:ilvl w:val="2"/>
          <w:numId w:val="1"/>
        </w:numPr>
        <w:spacing w:after="0" w:line="240" w:lineRule="auto"/>
        <w:rPr>
          <w:rFonts w:ascii="Verdana" w:eastAsia="Times New Roman" w:hAnsi="Verdana"/>
          <w:sz w:val="24"/>
          <w:szCs w:val="24"/>
        </w:rPr>
      </w:pPr>
      <w:bookmarkStart w:id="3" w:name="_Hlk496719756"/>
      <w:r>
        <w:rPr>
          <w:rFonts w:ascii="Verdana" w:eastAsia="Times New Roman" w:hAnsi="Verdana"/>
          <w:b/>
          <w:bCs/>
          <w:sz w:val="24"/>
          <w:szCs w:val="24"/>
          <w:u w:val="single"/>
        </w:rPr>
        <w:t>Projects with a permit, conformance letter or other assurance</w:t>
      </w:r>
      <w:r>
        <w:rPr>
          <w:rFonts w:ascii="Verdana" w:eastAsia="Times New Roman" w:hAnsi="Verdana"/>
          <w:sz w:val="24"/>
          <w:szCs w:val="24"/>
        </w:rPr>
        <w:t xml:space="preserve"> may be asked to submit documentation of Acceptable Separation Distance (ASD) calculations between the tank and any buildings and outdoor areas of congregation;</w:t>
      </w:r>
    </w:p>
    <w:p w:rsidR="00F45EE4" w:rsidRDefault="00F45EE4" w:rsidP="00F45EE4">
      <w:pPr>
        <w:numPr>
          <w:ilvl w:val="2"/>
          <w:numId w:val="1"/>
        </w:numPr>
        <w:spacing w:after="0" w:line="240" w:lineRule="auto"/>
        <w:rPr>
          <w:rFonts w:ascii="Verdana" w:eastAsia="Times New Roman" w:hAnsi="Verdana"/>
          <w:sz w:val="24"/>
          <w:szCs w:val="24"/>
        </w:rPr>
      </w:pPr>
      <w:bookmarkStart w:id="4" w:name="_Hlk496719367"/>
      <w:r>
        <w:rPr>
          <w:rFonts w:ascii="Verdana" w:eastAsia="Times New Roman" w:hAnsi="Verdana"/>
          <w:b/>
          <w:bCs/>
          <w:sz w:val="24"/>
          <w:szCs w:val="24"/>
          <w:u w:val="single"/>
        </w:rPr>
        <w:t>Projects unable to obtain a permit, conformance letter or other assurance</w:t>
      </w:r>
      <w:r>
        <w:rPr>
          <w:rFonts w:ascii="Verdana" w:eastAsia="Times New Roman" w:hAnsi="Verdana"/>
          <w:sz w:val="24"/>
          <w:szCs w:val="24"/>
        </w:rPr>
        <w:t xml:space="preserve"> must submit documentation of Acceptable Separation Distance (ASD) calculations between the tank and any buildings and outdoor areas of congregation</w:t>
      </w:r>
      <w:bookmarkEnd w:id="4"/>
      <w:r>
        <w:rPr>
          <w:rFonts w:ascii="Verdana" w:eastAsia="Times New Roman" w:hAnsi="Verdana"/>
          <w:sz w:val="24"/>
          <w:szCs w:val="24"/>
        </w:rPr>
        <w:t>, and may need to complete remediation or mitigation acceptable to HUD.</w:t>
      </w:r>
      <w:bookmarkEnd w:id="3"/>
    </w:p>
    <w:p w:rsidR="00F45EE4" w:rsidRDefault="00F45EE4" w:rsidP="00F45EE4">
      <w:pPr>
        <w:spacing w:after="0" w:line="240" w:lineRule="auto"/>
        <w:rPr>
          <w:rFonts w:ascii="Verdana" w:hAnsi="Verdana"/>
          <w:sz w:val="24"/>
          <w:szCs w:val="24"/>
        </w:rPr>
      </w:pPr>
    </w:p>
    <w:p w:rsidR="00F45EE4" w:rsidRDefault="00F45EE4" w:rsidP="00F45EE4">
      <w:pPr>
        <w:numPr>
          <w:ilvl w:val="0"/>
          <w:numId w:val="1"/>
        </w:numPr>
        <w:spacing w:after="0" w:line="240" w:lineRule="auto"/>
        <w:rPr>
          <w:rFonts w:ascii="Verdana" w:eastAsia="Times New Roman" w:hAnsi="Verdana"/>
          <w:sz w:val="24"/>
          <w:szCs w:val="24"/>
        </w:rPr>
      </w:pPr>
      <w:r>
        <w:rPr>
          <w:rFonts w:ascii="Verdana" w:eastAsia="Times New Roman" w:hAnsi="Verdana"/>
          <w:b/>
          <w:bCs/>
          <w:sz w:val="24"/>
          <w:szCs w:val="24"/>
          <w:u w:val="single"/>
        </w:rPr>
        <w:t>Underground Storage Tanks (USTs)</w:t>
      </w:r>
      <w:r>
        <w:rPr>
          <w:rFonts w:ascii="Verdana" w:eastAsia="Times New Roman" w:hAnsi="Verdana"/>
          <w:b/>
          <w:bCs/>
          <w:sz w:val="24"/>
          <w:szCs w:val="24"/>
        </w:rPr>
        <w:t xml:space="preserve">:  </w:t>
      </w:r>
      <w:r>
        <w:rPr>
          <w:rFonts w:ascii="Verdana" w:eastAsia="Times New Roman" w:hAnsi="Verdana"/>
          <w:sz w:val="24"/>
          <w:szCs w:val="24"/>
        </w:rPr>
        <w:t>The Office of Residential Care Facilities will perform an environmental review in accordance with 24 CFR Part 50 on projects contemplating the installation of an Underground Storage Tank (UST).</w:t>
      </w:r>
    </w:p>
    <w:p w:rsidR="00F45EE4" w:rsidRDefault="00F45EE4" w:rsidP="00F45EE4">
      <w:pPr>
        <w:spacing w:after="0" w:line="240" w:lineRule="auto"/>
        <w:rPr>
          <w:rFonts w:ascii="Verdana" w:hAnsi="Verdana"/>
          <w:b/>
          <w:bCs/>
          <w:sz w:val="24"/>
          <w:szCs w:val="24"/>
          <w:u w:val="single"/>
        </w:rPr>
      </w:pPr>
    </w:p>
    <w:p w:rsidR="00F45EE4" w:rsidRDefault="00F45EE4" w:rsidP="00F45EE4">
      <w:pPr>
        <w:spacing w:after="0" w:line="240" w:lineRule="auto"/>
        <w:ind w:left="720"/>
        <w:rPr>
          <w:rFonts w:ascii="Verdana" w:hAnsi="Verdana"/>
          <w:sz w:val="24"/>
          <w:szCs w:val="24"/>
        </w:rPr>
      </w:pPr>
      <w:r>
        <w:rPr>
          <w:rFonts w:ascii="Verdana" w:hAnsi="Verdana"/>
          <w:sz w:val="24"/>
          <w:szCs w:val="24"/>
        </w:rPr>
        <w:t>Lenders should immediately determine if any projects they service in Florida intend to install Underground Storage Tanks to comply with the emergency rule.  If so, they should contact their Account Executives to discuss the specific situation and to immediately begin the process for coordinating an Environmental Review (e.g. State Historic Preservation Office Letter and Phase I Report).</w:t>
      </w:r>
    </w:p>
    <w:p w:rsidR="00F45EE4" w:rsidRDefault="00F45EE4" w:rsidP="00F45EE4">
      <w:pPr>
        <w:spacing w:after="0" w:line="240" w:lineRule="auto"/>
        <w:rPr>
          <w:rFonts w:ascii="Verdana" w:hAnsi="Verdana"/>
          <w:sz w:val="24"/>
          <w:szCs w:val="24"/>
        </w:rPr>
      </w:pPr>
    </w:p>
    <w:p w:rsidR="00F45EE4" w:rsidRDefault="00F45EE4" w:rsidP="00F45EE4">
      <w:pPr>
        <w:spacing w:after="0" w:line="240" w:lineRule="auto"/>
        <w:rPr>
          <w:rFonts w:ascii="Verdana" w:hAnsi="Verdana"/>
          <w:sz w:val="24"/>
          <w:szCs w:val="24"/>
        </w:rPr>
      </w:pPr>
      <w:r>
        <w:rPr>
          <w:rFonts w:ascii="Verdana" w:hAnsi="Verdana"/>
          <w:sz w:val="24"/>
          <w:szCs w:val="24"/>
        </w:rPr>
        <w:t>The circumstances in Florida regarding emergency generators are also very relevant in ORCF Production activities.  In that regard, and consistent with Section Handbook, Production, Chapter 7.2 B.1, Lenders with a submitted Florida ORCF application must evaluate their submission to assure compliance with any applicable Florida emergency generator requirements and must provide ORCF evidence of this compliance.  Lenders currently preparing applications must, before submission, confirm such compliance and include evidence of compliance in their application.  Facilities not in compliance with Florida’s law relating to emergency generators must include in the firm application – as critical repairs – any repairs needed to assure compliance.</w:t>
      </w:r>
    </w:p>
    <w:p w:rsidR="00F45EE4" w:rsidRDefault="00F45EE4" w:rsidP="00F45EE4">
      <w:pPr>
        <w:spacing w:after="0" w:line="240" w:lineRule="auto"/>
        <w:rPr>
          <w:rFonts w:ascii="Verdana" w:hAnsi="Verdana"/>
          <w:sz w:val="24"/>
          <w:szCs w:val="24"/>
        </w:rPr>
      </w:pPr>
    </w:p>
    <w:p w:rsidR="00F45EE4" w:rsidRDefault="00F45EE4" w:rsidP="00F45EE4">
      <w:pPr>
        <w:spacing w:after="0" w:line="240" w:lineRule="auto"/>
        <w:rPr>
          <w:rFonts w:ascii="Verdana" w:hAnsi="Verdana"/>
          <w:i/>
          <w:iCs/>
          <w:sz w:val="24"/>
          <w:szCs w:val="24"/>
        </w:rPr>
      </w:pPr>
      <w:r>
        <w:rPr>
          <w:rFonts w:ascii="Verdana" w:hAnsi="Verdana"/>
          <w:b/>
          <w:bCs/>
          <w:i/>
          <w:iCs/>
          <w:sz w:val="24"/>
          <w:szCs w:val="24"/>
        </w:rPr>
        <w:t>Keywords:</w:t>
      </w:r>
      <w:r>
        <w:rPr>
          <w:rFonts w:ascii="Verdana" w:hAnsi="Verdana"/>
          <w:i/>
          <w:iCs/>
          <w:sz w:val="24"/>
          <w:szCs w:val="24"/>
        </w:rPr>
        <w:t xml:space="preserve"> </w:t>
      </w:r>
      <w:r>
        <w:rPr>
          <w:rFonts w:ascii="Verdana" w:hAnsi="Verdana"/>
          <w:sz w:val="24"/>
          <w:szCs w:val="24"/>
        </w:rPr>
        <w:t>Generator, Environmental</w:t>
      </w:r>
    </w:p>
    <w:p w:rsidR="00F45EE4" w:rsidRDefault="00F45EE4" w:rsidP="00F45EE4">
      <w:pPr>
        <w:spacing w:after="0" w:line="240" w:lineRule="auto"/>
        <w:rPr>
          <w:rFonts w:ascii="Verdana" w:hAnsi="Verdana"/>
          <w:b/>
          <w:bCs/>
          <w:sz w:val="24"/>
          <w:szCs w:val="24"/>
        </w:rPr>
      </w:pPr>
    </w:p>
    <w:p w:rsidR="00F45EE4" w:rsidRDefault="00F45EE4" w:rsidP="00F45EE4">
      <w:pPr>
        <w:spacing w:after="0" w:line="240" w:lineRule="auto"/>
        <w:rPr>
          <w:rFonts w:ascii="Verdana" w:hAnsi="Verdana"/>
          <w:color w:val="0000FF"/>
          <w:sz w:val="24"/>
          <w:szCs w:val="24"/>
          <w:u w:val="single"/>
        </w:rPr>
      </w:pPr>
      <w:hyperlink w:anchor="_top" w:history="1">
        <w:r>
          <w:rPr>
            <w:rStyle w:val="Hyperlink"/>
            <w:rFonts w:ascii="Verdana" w:hAnsi="Verdana"/>
            <w:sz w:val="24"/>
            <w:szCs w:val="24"/>
          </w:rPr>
          <w:t>Back to top</w:t>
        </w:r>
      </w:hyperlink>
    </w:p>
    <w:p w:rsidR="00F45EE4" w:rsidRDefault="00F45EE4" w:rsidP="00F45EE4">
      <w:pPr>
        <w:spacing w:after="0" w:line="240" w:lineRule="auto"/>
        <w:rPr>
          <w:rFonts w:ascii="Verdana" w:hAnsi="Verdana"/>
          <w:sz w:val="24"/>
          <w:szCs w:val="24"/>
        </w:rPr>
      </w:pPr>
    </w:p>
    <w:p w:rsidR="00F45EE4" w:rsidRDefault="00F45EE4" w:rsidP="00F45EE4">
      <w:pPr>
        <w:spacing w:after="0" w:line="240" w:lineRule="auto"/>
        <w:rPr>
          <w:rFonts w:ascii="Verdana" w:hAnsi="Verdana"/>
          <w:sz w:val="24"/>
          <w:szCs w:val="24"/>
        </w:rPr>
      </w:pPr>
    </w:p>
    <w:p w:rsidR="00F45EE4" w:rsidRDefault="00F45EE4" w:rsidP="00F45EE4">
      <w:pPr>
        <w:spacing w:after="0" w:line="240" w:lineRule="auto"/>
        <w:rPr>
          <w:rFonts w:ascii="Verdana" w:hAnsi="Verdana"/>
          <w:b/>
          <w:bCs/>
          <w:caps/>
          <w:sz w:val="28"/>
          <w:szCs w:val="28"/>
          <w:u w:val="single"/>
        </w:rPr>
      </w:pPr>
      <w:bookmarkStart w:id="5" w:name="_Toc498337901"/>
      <w:bookmarkStart w:id="6" w:name="_Toc463595046"/>
      <w:bookmarkStart w:id="7" w:name="_Toc333920723"/>
      <w:r>
        <w:rPr>
          <w:rFonts w:ascii="Verdana" w:hAnsi="Verdana"/>
          <w:b/>
          <w:bCs/>
          <w:caps/>
          <w:sz w:val="28"/>
          <w:szCs w:val="28"/>
          <w:u w:val="single"/>
        </w:rPr>
        <w:lastRenderedPageBreak/>
        <w:t>Document Links Included In This Blast</w:t>
      </w:r>
      <w:bookmarkEnd w:id="5"/>
      <w:bookmarkEnd w:id="6"/>
      <w:bookmarkEnd w:id="7"/>
    </w:p>
    <w:p w:rsidR="00F45EE4" w:rsidRDefault="00F45EE4" w:rsidP="00F45EE4">
      <w:pPr>
        <w:spacing w:after="0" w:line="240" w:lineRule="auto"/>
        <w:rPr>
          <w:rFonts w:ascii="Verdana" w:hAnsi="Verdana"/>
          <w:sz w:val="24"/>
          <w:szCs w:val="24"/>
        </w:rPr>
      </w:pPr>
    </w:p>
    <w:p w:rsidR="00F45EE4" w:rsidRDefault="00F45EE4" w:rsidP="00F45EE4">
      <w:pPr>
        <w:numPr>
          <w:ilvl w:val="0"/>
          <w:numId w:val="2"/>
        </w:numPr>
        <w:spacing w:after="0" w:line="240" w:lineRule="auto"/>
        <w:rPr>
          <w:rFonts w:ascii="Verdana" w:eastAsia="Times New Roman" w:hAnsi="Verdana"/>
          <w:color w:val="000000"/>
          <w:sz w:val="24"/>
          <w:szCs w:val="24"/>
        </w:rPr>
      </w:pPr>
      <w:hyperlink r:id="rId11" w:history="1">
        <w:r>
          <w:rPr>
            <w:rStyle w:val="Hyperlink"/>
            <w:rFonts w:ascii="Verdana" w:eastAsia="Times New Roman" w:hAnsi="Verdana"/>
            <w:sz w:val="24"/>
            <w:szCs w:val="24"/>
          </w:rPr>
          <w:t>58AER17-1 Procedures Regarding Emergency Environmental Control for Assisted Living Facilities</w:t>
        </w:r>
      </w:hyperlink>
    </w:p>
    <w:p w:rsidR="00F45EE4" w:rsidRDefault="00F45EE4" w:rsidP="00F45EE4">
      <w:pPr>
        <w:numPr>
          <w:ilvl w:val="0"/>
          <w:numId w:val="2"/>
        </w:numPr>
        <w:spacing w:after="0" w:line="240" w:lineRule="auto"/>
        <w:rPr>
          <w:rFonts w:ascii="Verdana" w:eastAsia="Times New Roman" w:hAnsi="Verdana"/>
          <w:color w:val="000000"/>
          <w:sz w:val="24"/>
          <w:szCs w:val="24"/>
        </w:rPr>
      </w:pPr>
      <w:hyperlink r:id="rId12" w:history="1">
        <w:r>
          <w:rPr>
            <w:rStyle w:val="Hyperlink"/>
            <w:rFonts w:ascii="Verdana" w:eastAsia="Times New Roman" w:hAnsi="Verdana"/>
            <w:sz w:val="24"/>
            <w:szCs w:val="24"/>
          </w:rPr>
          <w:t>59AER17-1 Nursing Home Emergency Power Plan</w:t>
        </w:r>
      </w:hyperlink>
    </w:p>
    <w:p w:rsidR="00F45EE4" w:rsidRDefault="00F45EE4" w:rsidP="00F45EE4">
      <w:pPr>
        <w:numPr>
          <w:ilvl w:val="0"/>
          <w:numId w:val="2"/>
        </w:numPr>
        <w:spacing w:after="0" w:line="240" w:lineRule="auto"/>
        <w:rPr>
          <w:rFonts w:ascii="Verdana" w:eastAsia="Times New Roman" w:hAnsi="Verdana"/>
          <w:color w:val="000000"/>
          <w:sz w:val="24"/>
          <w:szCs w:val="24"/>
        </w:rPr>
      </w:pPr>
      <w:hyperlink r:id="rId13" w:history="1">
        <w:r>
          <w:rPr>
            <w:rStyle w:val="Hyperlink"/>
            <w:rFonts w:ascii="Verdana" w:eastAsia="Times New Roman" w:hAnsi="Verdana"/>
            <w:sz w:val="24"/>
            <w:szCs w:val="24"/>
          </w:rPr>
          <w:t>Florida Administrative Law Judge Order</w:t>
        </w:r>
      </w:hyperlink>
    </w:p>
    <w:p w:rsidR="00F45EE4" w:rsidRDefault="00F45EE4" w:rsidP="00F45EE4">
      <w:pPr>
        <w:numPr>
          <w:ilvl w:val="0"/>
          <w:numId w:val="2"/>
        </w:numPr>
        <w:spacing w:after="0" w:line="240" w:lineRule="auto"/>
        <w:rPr>
          <w:rFonts w:ascii="Verdana" w:eastAsia="Times New Roman" w:hAnsi="Verdana"/>
          <w:color w:val="000000"/>
          <w:sz w:val="24"/>
          <w:szCs w:val="24"/>
        </w:rPr>
      </w:pPr>
      <w:hyperlink r:id="rId14" w:history="1">
        <w:r>
          <w:rPr>
            <w:rStyle w:val="Hyperlink"/>
            <w:rFonts w:ascii="Verdana" w:eastAsia="Times New Roman" w:hAnsi="Verdana"/>
            <w:sz w:val="24"/>
            <w:szCs w:val="24"/>
          </w:rPr>
          <w:t>Notice of Administrative Appeal</w:t>
        </w:r>
      </w:hyperlink>
    </w:p>
    <w:p w:rsidR="00F45EE4" w:rsidRDefault="00F45EE4" w:rsidP="00F45EE4">
      <w:pPr>
        <w:spacing w:after="0" w:line="240" w:lineRule="auto"/>
        <w:ind w:left="720"/>
        <w:rPr>
          <w:rFonts w:ascii="Verdana" w:hAnsi="Verdana"/>
          <w:color w:val="000000"/>
          <w:sz w:val="24"/>
          <w:szCs w:val="24"/>
        </w:rPr>
      </w:pPr>
    </w:p>
    <w:p w:rsidR="00F45EE4" w:rsidRDefault="00F45EE4" w:rsidP="00F45EE4">
      <w:pPr>
        <w:spacing w:after="0" w:line="240" w:lineRule="auto"/>
        <w:rPr>
          <w:rFonts w:ascii="Verdana" w:hAnsi="Verdana"/>
          <w:color w:val="0000FF"/>
          <w:sz w:val="24"/>
          <w:szCs w:val="24"/>
          <w:u w:val="single"/>
        </w:rPr>
      </w:pPr>
      <w:hyperlink w:anchor="_top" w:history="1">
        <w:r>
          <w:rPr>
            <w:rStyle w:val="Hyperlink"/>
            <w:rFonts w:ascii="Verdana" w:hAnsi="Verdana"/>
            <w:sz w:val="24"/>
            <w:szCs w:val="24"/>
          </w:rPr>
          <w:t>Back to top</w:t>
        </w:r>
      </w:hyperlink>
    </w:p>
    <w:p w:rsidR="00F45EE4" w:rsidRDefault="00F45EE4" w:rsidP="00F45EE4">
      <w:pPr>
        <w:spacing w:after="0" w:line="240" w:lineRule="auto"/>
        <w:rPr>
          <w:rFonts w:ascii="Verdana" w:hAnsi="Verdana"/>
          <w:b/>
          <w:bCs/>
          <w:sz w:val="24"/>
          <w:szCs w:val="24"/>
        </w:rPr>
      </w:pPr>
    </w:p>
    <w:p w:rsidR="00F45EE4" w:rsidRDefault="00F45EE4" w:rsidP="00F45EE4">
      <w:pPr>
        <w:spacing w:after="0" w:line="240" w:lineRule="auto"/>
        <w:jc w:val="center"/>
        <w:rPr>
          <w:rFonts w:ascii="Verdana" w:hAnsi="Verdana"/>
          <w:color w:val="000000"/>
        </w:rPr>
      </w:pPr>
      <w:r>
        <w:rPr>
          <w:rFonts w:ascii="Verdana" w:hAnsi="Verdana"/>
          <w:b/>
          <w:bCs/>
          <w:noProof/>
          <w:color w:val="1F497D"/>
        </w:rPr>
        <w:drawing>
          <wp:inline distT="0" distB="0" distL="0" distR="0">
            <wp:extent cx="5724525" cy="95250"/>
            <wp:effectExtent l="0" t="0" r="952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24525" cy="95250"/>
                    </a:xfrm>
                    <a:prstGeom prst="rect">
                      <a:avLst/>
                    </a:prstGeom>
                    <a:noFill/>
                    <a:ln>
                      <a:noFill/>
                    </a:ln>
                  </pic:spPr>
                </pic:pic>
              </a:graphicData>
            </a:graphic>
          </wp:inline>
        </w:drawing>
      </w:r>
    </w:p>
    <w:p w:rsidR="00F45EE4" w:rsidRDefault="00F45EE4" w:rsidP="00F45EE4">
      <w:pPr>
        <w:spacing w:after="0" w:line="240" w:lineRule="auto"/>
        <w:rPr>
          <w:rFonts w:ascii="Verdana" w:hAnsi="Verdana"/>
          <w:color w:val="000000"/>
        </w:rPr>
      </w:pPr>
    </w:p>
    <w:p w:rsidR="00F45EE4" w:rsidRDefault="00F45EE4" w:rsidP="00F45EE4">
      <w:pPr>
        <w:pStyle w:val="NormalWeb"/>
      </w:pPr>
      <w:r>
        <w:t xml:space="preserve">Past Lean 232 Updates are </w:t>
      </w:r>
      <w:hyperlink r:id="rId15" w:history="1">
        <w:r>
          <w:rPr>
            <w:rStyle w:val="Hyperlink"/>
          </w:rPr>
          <w:t>available online</w:t>
        </w:r>
      </w:hyperlink>
      <w:r>
        <w:t>.</w:t>
      </w:r>
    </w:p>
    <w:p w:rsidR="00F45EE4" w:rsidRDefault="00F45EE4" w:rsidP="00F45EE4">
      <w:pPr>
        <w:pStyle w:val="NormalWeb"/>
      </w:pPr>
      <w:r>
        <w:t xml:space="preserve">Have questions about the Lean 232 Program? Please contact </w:t>
      </w:r>
      <w:hyperlink r:id="rId16" w:history="1">
        <w:r>
          <w:rPr>
            <w:rStyle w:val="Hyperlink"/>
          </w:rPr>
          <w:t>LeanThinking@hud.gov</w:t>
        </w:r>
      </w:hyperlink>
      <w:r>
        <w:t>.</w:t>
      </w:r>
    </w:p>
    <w:p w:rsidR="00F45EE4" w:rsidRDefault="00F45EE4" w:rsidP="00F45EE4">
      <w:pPr>
        <w:pStyle w:val="NormalWeb"/>
      </w:pPr>
      <w:r>
        <w:t xml:space="preserve">For more information on the Lean 232 Program, check out: </w:t>
      </w:r>
      <w:hyperlink r:id="rId17" w:history="1">
        <w:r>
          <w:rPr>
            <w:rStyle w:val="Hyperlink"/>
          </w:rPr>
          <w:t xml:space="preserve">https://www.hud.gov/federal_housing_administration/healthcare_facilities/residential_care </w:t>
        </w:r>
      </w:hyperlink>
      <w:r>
        <w:t>.</w:t>
      </w:r>
    </w:p>
    <w:p w:rsidR="00F45EE4" w:rsidRDefault="00F45EE4" w:rsidP="00F45EE4">
      <w:pPr>
        <w:pStyle w:val="NormalWeb"/>
      </w:pPr>
      <w:r>
        <w:t xml:space="preserve">Have your loan servicing colleagues joined our email list? The Email Blasts contain information relevant to them as well. You might suggest they </w:t>
      </w:r>
      <w:hyperlink r:id="rId18" w:history="1">
        <w:r>
          <w:rPr>
            <w:rStyle w:val="Hyperlink"/>
          </w:rPr>
          <w:t>Join here</w:t>
        </w:r>
      </w:hyperlink>
      <w:r>
        <w:t>.</w:t>
      </w:r>
    </w:p>
    <w:p w:rsidR="00F45EE4" w:rsidRDefault="00F45EE4" w:rsidP="00F45EE4">
      <w:pPr>
        <w:spacing w:after="0" w:line="240" w:lineRule="auto"/>
        <w:rPr>
          <w:rFonts w:eastAsia="Times New Roman"/>
        </w:rPr>
      </w:pPr>
    </w:p>
    <w:p w:rsidR="00F45EE4" w:rsidRDefault="00F45EE4" w:rsidP="00F45EE4">
      <w:pPr>
        <w:pStyle w:val="NormalWeb"/>
      </w:pPr>
      <w:r>
        <w:t xml:space="preserve">We hope that you will want to continue receiving information from HUD. </w:t>
      </w:r>
      <w:r>
        <w:br/>
        <w:t xml:space="preserve">We safeguard our lists and do not rent, sell, or permit the use of our lists by others, at any time, for any reason. </w:t>
      </w:r>
      <w:r>
        <w:br/>
      </w:r>
      <w:r>
        <w:br/>
        <w:t xml:space="preserve">Connect with HUD on </w:t>
      </w:r>
      <w:hyperlink r:id="rId19" w:history="1">
        <w:r>
          <w:rPr>
            <w:rStyle w:val="Hyperlink"/>
          </w:rPr>
          <w:t>Social Media</w:t>
        </w:r>
      </w:hyperlink>
      <w:r>
        <w:t xml:space="preserve"> and follow Secretary Carson on </w:t>
      </w:r>
      <w:hyperlink r:id="rId20" w:history="1">
        <w:r>
          <w:rPr>
            <w:rStyle w:val="Hyperlink"/>
          </w:rPr>
          <w:t>Twitter</w:t>
        </w:r>
      </w:hyperlink>
      <w:r>
        <w:t xml:space="preserve"> and </w:t>
      </w:r>
      <w:hyperlink r:id="rId21" w:history="1">
        <w:r>
          <w:rPr>
            <w:rStyle w:val="Hyperlink"/>
          </w:rPr>
          <w:t>Facebook</w:t>
        </w:r>
      </w:hyperlink>
      <w:r>
        <w:t>.</w:t>
      </w:r>
    </w:p>
    <w:p w:rsidR="00F45EE4" w:rsidRDefault="00F45EE4" w:rsidP="00F45EE4">
      <w:pPr>
        <w:pStyle w:val="NormalWeb"/>
      </w:pPr>
      <w:r>
        <w:t xml:space="preserve">If you wish to be taken off this mail list, please </w:t>
      </w:r>
      <w:hyperlink r:id="rId22" w:history="1">
        <w:r>
          <w:rPr>
            <w:rStyle w:val="Hyperlink"/>
          </w:rPr>
          <w:t>go here</w:t>
        </w:r>
      </w:hyperlink>
      <w:r>
        <w:t>.</w:t>
      </w:r>
    </w:p>
    <w:p w:rsidR="00394C2A" w:rsidRDefault="00394C2A">
      <w:bookmarkStart w:id="8" w:name="_GoBack"/>
      <w:bookmarkEnd w:id="8"/>
    </w:p>
    <w:sectPr w:rsidR="00394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B65F2"/>
    <w:multiLevelType w:val="hybridMultilevel"/>
    <w:tmpl w:val="884C4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817022"/>
    <w:multiLevelType w:val="hybridMultilevel"/>
    <w:tmpl w:val="2662C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E4"/>
    <w:rsid w:val="00394C2A"/>
    <w:rsid w:val="00F4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EF586-2F66-4C8E-80C8-060E99EC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EE4"/>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EE4"/>
    <w:rPr>
      <w:color w:val="0000FF"/>
      <w:u w:val="single"/>
    </w:rPr>
  </w:style>
  <w:style w:type="paragraph" w:styleId="NormalWeb">
    <w:name w:val="Normal (Web)"/>
    <w:basedOn w:val="Normal"/>
    <w:uiPriority w:val="99"/>
    <w:semiHidden/>
    <w:unhideWhenUsed/>
    <w:rsid w:val="00F45EE4"/>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89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ca.myflorida.com/Executive/Communications/Press_Releases/pdf/59AER17.pdf" TargetMode="External"/><Relationship Id="rId13" Type="http://schemas.openxmlformats.org/officeDocument/2006/relationships/hyperlink" Target="https://www.doah.state.fl.us/ROS/2017/17005388.pdf" TargetMode="External"/><Relationship Id="rId18" Type="http://schemas.openxmlformats.org/officeDocument/2006/relationships/hyperlink" Target="https/www.hud.gov/subscribe/signup?listname=Lean%20232%20Updates&amp;list=LEAN-232-UPDATES-L" TargetMode="External"/><Relationship Id="rId3" Type="http://schemas.openxmlformats.org/officeDocument/2006/relationships/settings" Target="settings.xml"/><Relationship Id="rId21" Type="http://schemas.openxmlformats.org/officeDocument/2006/relationships/hyperlink" Target="https://www.facebook.com/SecretaryCarson" TargetMode="External"/><Relationship Id="rId7" Type="http://schemas.openxmlformats.org/officeDocument/2006/relationships/hyperlink" Target="http://www.flgov.com/wp-content/uploads/2017/09/EN_DEA.pdf" TargetMode="External"/><Relationship Id="rId12" Type="http://schemas.openxmlformats.org/officeDocument/2006/relationships/hyperlink" Target="https://www.ahca.myflorida.com/Executive/Communications/Press_Releases/pdf/59AER17.pdf" TargetMode="External"/><Relationship Id="rId17" Type="http://schemas.openxmlformats.org/officeDocument/2006/relationships/hyperlink" Target="https://www.hud.gov/federal_housing_administration/healthcare_facilities/residential_care%20" TargetMode="External"/><Relationship Id="rId2" Type="http://schemas.openxmlformats.org/officeDocument/2006/relationships/styles" Target="styles.xml"/><Relationship Id="rId16" Type="http://schemas.openxmlformats.org/officeDocument/2006/relationships/hyperlink" Target="mailto:LeanThinking@hud.gov" TargetMode="External"/><Relationship Id="rId20" Type="http://schemas.openxmlformats.org/officeDocument/2006/relationships/hyperlink" Target="https://twitter.com/secretarycarson" TargetMode="External"/><Relationship Id="rId1" Type="http://schemas.openxmlformats.org/officeDocument/2006/relationships/numbering" Target="numbering.xml"/><Relationship Id="rId6" Type="http://schemas.openxmlformats.org/officeDocument/2006/relationships/image" Target="cid:image001.png@01D35C7C.A686F980" TargetMode="External"/><Relationship Id="rId11" Type="http://schemas.openxmlformats.org/officeDocument/2006/relationships/hyperlink" Target="http://www.flgov.com/wp-content/uploads/2017/09/EN_DEA.pdf" TargetMode="External"/><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www.hud.gov/federal_housing_administration/healthcare_facilities/residential_care/mail_blast_index" TargetMode="External"/><Relationship Id="rId23" Type="http://schemas.openxmlformats.org/officeDocument/2006/relationships/fontTable" Target="fontTable.xml"/><Relationship Id="rId10" Type="http://schemas.openxmlformats.org/officeDocument/2006/relationships/hyperlink" Target="https://edca.1dca.org/DCADocs/2017/4534/174534_24_10302017_08150176_i.pdf" TargetMode="External"/><Relationship Id="rId19" Type="http://schemas.openxmlformats.org/officeDocument/2006/relationships/hyperlink" Target="https://www.hud.gov/program_offices/public_affairs/socialmedia" TargetMode="External"/><Relationship Id="rId4" Type="http://schemas.openxmlformats.org/officeDocument/2006/relationships/webSettings" Target="webSettings.xml"/><Relationship Id="rId9" Type="http://schemas.openxmlformats.org/officeDocument/2006/relationships/hyperlink" Target="https://www.doah.state.fl.us/ROS/2017/17005388.pdf" TargetMode="External"/><Relationship Id="rId14" Type="http://schemas.openxmlformats.org/officeDocument/2006/relationships/hyperlink" Target="https://edca.1dca.org/DCADocs/2017/4534/174534_24_10302017_08150176_i.pdf" TargetMode="External"/><Relationship Id="rId22" Type="http://schemas.openxmlformats.org/officeDocument/2006/relationships/hyperlink" Target="https/www.hud.gov/subscribe/signup?listname=Lean%20232%20Updates&amp;list=LEAN-232-UPDATE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Rambajan, Anthony N</dc:creator>
  <cp:keywords/>
  <dc:description/>
  <cp:lastModifiedBy>Rambajan, Anthony N</cp:lastModifiedBy>
  <cp:revision>1</cp:revision>
  <dcterms:created xsi:type="dcterms:W3CDTF">2017-11-15T20:56:00Z</dcterms:created>
  <dcterms:modified xsi:type="dcterms:W3CDTF">2017-11-15T20:58:00Z</dcterms:modified>
</cp:coreProperties>
</file>