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B37C" w14:textId="77777777" w:rsidR="00FA3002" w:rsidRPr="00F11A63" w:rsidRDefault="00FA3002" w:rsidP="00FA3002">
      <w:pPr>
        <w:rPr>
          <w:rFonts w:asciiTheme="minorHAnsi" w:eastAsia="Times New Roman" w:hAnsiTheme="minorHAnsi" w:cs="Arial"/>
        </w:rPr>
      </w:pPr>
    </w:p>
    <w:p w14:paraId="56E7CC1A" w14:textId="77777777" w:rsidR="00C8692D" w:rsidRPr="00F11A63" w:rsidRDefault="00C8692D" w:rsidP="00C8692D">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692D" w:rsidRPr="00FF00AE" w14:paraId="030F2899" w14:textId="77777777" w:rsidTr="00AD3280">
        <w:tc>
          <w:tcPr>
            <w:tcW w:w="9350" w:type="dxa"/>
          </w:tcPr>
          <w:p w14:paraId="158DF0F1" w14:textId="758FA03B" w:rsidR="00C8692D" w:rsidRPr="00FF00AE" w:rsidRDefault="00C8692D" w:rsidP="00C8692D">
            <w:pPr>
              <w:rPr>
                <w:rFonts w:asciiTheme="minorHAnsi" w:hAnsiTheme="minorHAnsi"/>
              </w:rPr>
            </w:pPr>
            <w:r w:rsidRPr="00FF00AE">
              <w:rPr>
                <w:rFonts w:asciiTheme="minorHAnsi" w:eastAsia="Times New Roman" w:hAnsiTheme="minorHAnsi" w:cs="Arial"/>
                <w:b/>
                <w:u w:val="single"/>
              </w:rPr>
              <w:t>Question</w:t>
            </w:r>
            <w:r w:rsidR="004D10CD" w:rsidRPr="00FF00AE">
              <w:rPr>
                <w:rFonts w:asciiTheme="minorHAnsi" w:eastAsia="Times New Roman" w:hAnsiTheme="minorHAnsi" w:cs="Arial"/>
                <w:b/>
                <w:u w:val="single"/>
              </w:rPr>
              <w:t xml:space="preserve"> 1</w:t>
            </w:r>
            <w:r w:rsidRPr="00FF00AE">
              <w:rPr>
                <w:rFonts w:asciiTheme="minorHAnsi" w:eastAsia="Times New Roman" w:hAnsiTheme="minorHAnsi" w:cs="Arial"/>
                <w:b/>
              </w:rPr>
              <w:t xml:space="preserve">: </w:t>
            </w:r>
            <w:r w:rsidRPr="00FF00AE">
              <w:rPr>
                <w:rFonts w:asciiTheme="minorHAnsi" w:hAnsiTheme="minorHAnsi"/>
              </w:rPr>
              <w:t xml:space="preserve">I didn’t see anywhere that HUD stated how they wanted us to indicate it’s a PILOT deal.  Do they just want it on the cover page of the Firm Application? </w:t>
            </w:r>
          </w:p>
          <w:p w14:paraId="01610BD2" w14:textId="77777777" w:rsidR="00C8692D" w:rsidRPr="00FF00AE" w:rsidRDefault="00C8692D" w:rsidP="00AD3280">
            <w:pPr>
              <w:rPr>
                <w:rFonts w:asciiTheme="minorHAnsi" w:eastAsia="Times New Roman" w:hAnsiTheme="minorHAnsi" w:cs="Arial"/>
                <w:b/>
              </w:rPr>
            </w:pPr>
          </w:p>
        </w:tc>
      </w:tr>
      <w:tr w:rsidR="00C8692D" w:rsidRPr="00FF00AE" w14:paraId="2D91E170" w14:textId="77777777" w:rsidTr="00AD3280">
        <w:tc>
          <w:tcPr>
            <w:tcW w:w="9350" w:type="dxa"/>
          </w:tcPr>
          <w:p w14:paraId="3519A15E" w14:textId="77777777" w:rsidR="00C8692D" w:rsidRDefault="00C8692D" w:rsidP="00AD3280">
            <w:pPr>
              <w:rPr>
                <w:rFonts w:asciiTheme="minorHAnsi" w:eastAsia="Times New Roman" w:hAnsiTheme="minorHAnsi" w:cs="Arial"/>
                <w:i/>
              </w:rPr>
            </w:pPr>
            <w:r w:rsidRPr="00FF00AE">
              <w:rPr>
                <w:rFonts w:asciiTheme="minorHAnsi" w:eastAsia="Times New Roman" w:hAnsiTheme="minorHAnsi" w:cs="Arial"/>
                <w:i/>
              </w:rPr>
              <w:t>Reply:</w:t>
            </w:r>
            <w:r w:rsidR="00B3150D" w:rsidRPr="00FF00AE">
              <w:rPr>
                <w:rFonts w:asciiTheme="minorHAnsi" w:eastAsia="Times New Roman" w:hAnsiTheme="minorHAnsi" w:cs="Arial"/>
                <w:i/>
              </w:rPr>
              <w:t xml:space="preserve"> It should be clearly stated on front page of the Concept Meeting package and the Firm Application.  When scheduling the Concept Meeting, be sure to state that it’s for a LIHTC Pilot deal.  In addition, include the Eligibility Checklist in your Concept Meeting package and Firm Application.</w:t>
            </w:r>
          </w:p>
          <w:p w14:paraId="779516A0" w14:textId="7B7AE7C0" w:rsidR="00A54AC7" w:rsidRPr="00FF00AE" w:rsidRDefault="00A54AC7" w:rsidP="00AD3280">
            <w:pPr>
              <w:rPr>
                <w:rFonts w:asciiTheme="minorHAnsi" w:eastAsia="Times New Roman" w:hAnsiTheme="minorHAnsi" w:cs="Arial"/>
                <w:i/>
              </w:rPr>
            </w:pPr>
          </w:p>
        </w:tc>
      </w:tr>
      <w:tr w:rsidR="008870C4" w:rsidRPr="00FF00AE" w14:paraId="7A039AEC" w14:textId="77777777" w:rsidTr="008870C4">
        <w:trPr>
          <w:trHeight w:val="297"/>
        </w:trPr>
        <w:tc>
          <w:tcPr>
            <w:tcW w:w="9350" w:type="dxa"/>
          </w:tcPr>
          <w:p w14:paraId="24747AC9" w14:textId="77777777" w:rsidR="008870C4" w:rsidRPr="00FF00AE" w:rsidRDefault="008870C4" w:rsidP="008870C4">
            <w:pPr>
              <w:rPr>
                <w:rFonts w:asciiTheme="minorHAnsi" w:hAnsiTheme="minorHAnsi"/>
              </w:rPr>
            </w:pPr>
            <w:r w:rsidRPr="00FF00AE">
              <w:rPr>
                <w:rFonts w:asciiTheme="minorHAnsi" w:eastAsia="Times New Roman" w:hAnsiTheme="minorHAnsi" w:cs="Arial"/>
                <w:b/>
                <w:u w:val="single"/>
              </w:rPr>
              <w:t xml:space="preserve">Question </w:t>
            </w:r>
            <w:r w:rsidR="00AD3280" w:rsidRPr="00FF00AE">
              <w:rPr>
                <w:rFonts w:asciiTheme="minorHAnsi" w:eastAsia="Times New Roman" w:hAnsiTheme="minorHAnsi" w:cs="Arial"/>
                <w:b/>
                <w:u w:val="single"/>
              </w:rPr>
              <w:t>2</w:t>
            </w:r>
            <w:r w:rsidRPr="00FF00AE">
              <w:rPr>
                <w:rFonts w:asciiTheme="minorHAnsi" w:eastAsia="Times New Roman" w:hAnsiTheme="minorHAnsi" w:cs="Arial"/>
                <w:b/>
              </w:rPr>
              <w:t xml:space="preserve">: </w:t>
            </w:r>
            <w:r w:rsidRPr="00FF00AE">
              <w:rPr>
                <w:rFonts w:asciiTheme="minorHAnsi" w:eastAsia="Times New Roman" w:hAnsiTheme="minorHAnsi" w:cs="Arial"/>
              </w:rPr>
              <w:t>Page 2, III-A</w:t>
            </w:r>
            <w:r w:rsidRPr="00FF00AE">
              <w:rPr>
                <w:rFonts w:asciiTheme="minorHAnsi" w:eastAsia="Times New Roman" w:hAnsiTheme="minorHAnsi" w:cs="Arial"/>
                <w:b/>
              </w:rPr>
              <w:t xml:space="preserve"> - </w:t>
            </w:r>
            <w:r w:rsidRPr="00FF00AE">
              <w:rPr>
                <w:rFonts w:asciiTheme="minorHAnsi" w:hAnsiTheme="minorHAnsi"/>
              </w:rPr>
              <w:t>We are working on a loan application for a new construction 9% LIHTC project that has already received its allocation of credits.  There are 72 units including 64 affordable at rents ranging from 30% of AMI to 60% of AMI.  All are well below market.  This would be a great fit for the Pilot program except the affordable ratio is 88.89%.  Are waivers of the 90% threshold possible? </w:t>
            </w:r>
          </w:p>
          <w:p w14:paraId="23972F70" w14:textId="77777777" w:rsidR="008870C4" w:rsidRPr="00FF00AE" w:rsidRDefault="008870C4" w:rsidP="008870C4">
            <w:pPr>
              <w:rPr>
                <w:rFonts w:asciiTheme="minorHAnsi" w:eastAsia="Times New Roman" w:hAnsiTheme="minorHAnsi" w:cs="Arial"/>
                <w:b/>
                <w:u w:val="single"/>
              </w:rPr>
            </w:pPr>
          </w:p>
        </w:tc>
      </w:tr>
      <w:tr w:rsidR="008870C4" w:rsidRPr="00FF00AE" w14:paraId="06D6E7C3" w14:textId="77777777" w:rsidTr="00175B37">
        <w:tc>
          <w:tcPr>
            <w:tcW w:w="9350" w:type="dxa"/>
          </w:tcPr>
          <w:p w14:paraId="775B5B9F" w14:textId="70CD659C" w:rsidR="008870C4" w:rsidRPr="00FF00AE" w:rsidRDefault="008870C4" w:rsidP="008870C4">
            <w:pPr>
              <w:rPr>
                <w:rFonts w:asciiTheme="minorHAnsi" w:eastAsia="Times New Roman" w:hAnsiTheme="minorHAnsi" w:cs="Arial"/>
                <w:i/>
              </w:rPr>
            </w:pPr>
            <w:r w:rsidRPr="00FF00AE">
              <w:rPr>
                <w:rFonts w:asciiTheme="minorHAnsi" w:eastAsia="Times New Roman" w:hAnsiTheme="minorHAnsi" w:cs="Arial"/>
                <w:i/>
              </w:rPr>
              <w:t xml:space="preserve">Reply: </w:t>
            </w:r>
            <w:r w:rsidR="00C91A68" w:rsidRPr="00FF00AE">
              <w:rPr>
                <w:rFonts w:asciiTheme="minorHAnsi" w:eastAsia="Times New Roman" w:hAnsiTheme="minorHAnsi" w:cs="Arial"/>
                <w:i/>
              </w:rPr>
              <w:t xml:space="preserve">This </w:t>
            </w:r>
            <w:r w:rsidR="004D10CD" w:rsidRPr="00FF00AE">
              <w:rPr>
                <w:rFonts w:asciiTheme="minorHAnsi" w:eastAsia="Times New Roman" w:hAnsiTheme="minorHAnsi" w:cs="Arial"/>
                <w:i/>
              </w:rPr>
              <w:t>may</w:t>
            </w:r>
            <w:r w:rsidR="00C91A68" w:rsidRPr="00FF00AE">
              <w:rPr>
                <w:rFonts w:asciiTheme="minorHAnsi" w:eastAsia="Times New Roman" w:hAnsiTheme="minorHAnsi" w:cs="Arial"/>
                <w:i/>
              </w:rPr>
              <w:t xml:space="preserve"> be approved on a case-by-case basis.  However, </w:t>
            </w:r>
            <w:r w:rsidR="00B3150D" w:rsidRPr="00FF00AE">
              <w:rPr>
                <w:rFonts w:asciiTheme="minorHAnsi" w:eastAsia="Times New Roman" w:hAnsiTheme="minorHAnsi" w:cs="Arial"/>
                <w:i/>
              </w:rPr>
              <w:t>all other requirements must be met- including the environmental requirements.</w:t>
            </w:r>
          </w:p>
        </w:tc>
      </w:tr>
      <w:tr w:rsidR="00AD3280" w:rsidRPr="00FF00AE" w14:paraId="150374AF" w14:textId="77777777" w:rsidTr="00175B37">
        <w:tc>
          <w:tcPr>
            <w:tcW w:w="9350" w:type="dxa"/>
          </w:tcPr>
          <w:p w14:paraId="7D85E732" w14:textId="77777777" w:rsidR="00AD3280" w:rsidRPr="00FF00AE" w:rsidRDefault="00AD3280" w:rsidP="008870C4">
            <w:pPr>
              <w:rPr>
                <w:rFonts w:asciiTheme="minorHAnsi" w:eastAsia="Times New Roman" w:hAnsiTheme="minorHAnsi" w:cs="Arial"/>
                <w:b/>
                <w:u w:val="single"/>
              </w:rPr>
            </w:pPr>
          </w:p>
        </w:tc>
      </w:tr>
      <w:tr w:rsidR="0080437D" w:rsidRPr="00FF00AE" w14:paraId="3BD26834" w14:textId="77777777" w:rsidTr="00175B37">
        <w:tc>
          <w:tcPr>
            <w:tcW w:w="9350" w:type="dxa"/>
          </w:tcPr>
          <w:p w14:paraId="4D150E4C" w14:textId="6810CC4E" w:rsidR="0080437D" w:rsidRPr="00FF00AE" w:rsidRDefault="0080437D" w:rsidP="0080437D">
            <w:pPr>
              <w:rPr>
                <w:rFonts w:asciiTheme="minorHAnsi" w:eastAsia="Times New Roman" w:hAnsiTheme="minorHAnsi" w:cs="Arial"/>
                <w:i/>
              </w:rPr>
            </w:pPr>
            <w:r w:rsidRPr="00FF00AE">
              <w:rPr>
                <w:rFonts w:asciiTheme="minorHAnsi" w:eastAsia="Times New Roman" w:hAnsiTheme="minorHAnsi" w:cs="Arial"/>
                <w:b/>
                <w:u w:val="single"/>
              </w:rPr>
              <w:t>Question</w:t>
            </w:r>
            <w:r w:rsidR="004D10CD" w:rsidRPr="00FF00AE">
              <w:rPr>
                <w:rFonts w:asciiTheme="minorHAnsi" w:eastAsia="Times New Roman" w:hAnsiTheme="minorHAnsi" w:cs="Arial"/>
                <w:b/>
                <w:u w:val="single"/>
              </w:rPr>
              <w:t xml:space="preserve"> 3</w:t>
            </w:r>
            <w:r w:rsidRPr="00FF00AE">
              <w:rPr>
                <w:rFonts w:asciiTheme="minorHAnsi" w:eastAsia="Times New Roman" w:hAnsiTheme="minorHAnsi" w:cs="Arial"/>
                <w:b/>
              </w:rPr>
              <w:t>:</w:t>
            </w:r>
            <w:r w:rsidR="0055015C" w:rsidRPr="00FF00AE">
              <w:rPr>
                <w:rFonts w:asciiTheme="minorHAnsi" w:eastAsia="Times New Roman" w:hAnsiTheme="minorHAnsi" w:cs="Arial"/>
                <w:b/>
              </w:rPr>
              <w:t xml:space="preserve"> I</w:t>
            </w:r>
            <w:r w:rsidR="0055015C" w:rsidRPr="00FF00AE">
              <w:t>s the 9% application of a “twinning” (both 9% and 4%) transaction eligible?</w:t>
            </w:r>
          </w:p>
        </w:tc>
      </w:tr>
      <w:tr w:rsidR="0080437D" w:rsidRPr="00150790" w14:paraId="69918CE1" w14:textId="77777777" w:rsidTr="00175B37">
        <w:tc>
          <w:tcPr>
            <w:tcW w:w="9350" w:type="dxa"/>
          </w:tcPr>
          <w:p w14:paraId="11F470A1" w14:textId="77777777" w:rsidR="0080437D" w:rsidRPr="00150790" w:rsidRDefault="00C91A68" w:rsidP="008870C4">
            <w:pPr>
              <w:rPr>
                <w:rFonts w:asciiTheme="minorHAnsi" w:eastAsia="Times New Roman" w:hAnsiTheme="minorHAnsi" w:cs="Arial"/>
                <w:i/>
              </w:rPr>
            </w:pPr>
            <w:r w:rsidRPr="00FF00AE">
              <w:rPr>
                <w:rFonts w:asciiTheme="minorHAnsi" w:eastAsia="Times New Roman" w:hAnsiTheme="minorHAnsi" w:cs="Arial"/>
                <w:i/>
              </w:rPr>
              <w:t xml:space="preserve">Reply:  No, we do not have enough experience with this transaction type and </w:t>
            </w:r>
            <w:proofErr w:type="gramStart"/>
            <w:r w:rsidRPr="00FF00AE">
              <w:rPr>
                <w:rFonts w:asciiTheme="minorHAnsi" w:eastAsia="Times New Roman" w:hAnsiTheme="minorHAnsi" w:cs="Arial"/>
                <w:i/>
              </w:rPr>
              <w:t>all of</w:t>
            </w:r>
            <w:proofErr w:type="gramEnd"/>
            <w:r w:rsidRPr="00FF00AE">
              <w:rPr>
                <w:rFonts w:asciiTheme="minorHAnsi" w:eastAsia="Times New Roman" w:hAnsiTheme="minorHAnsi" w:cs="Arial"/>
                <w:i/>
              </w:rPr>
              <w:t xml:space="preserve"> the delays that may result from having both types of LIHTC equity.</w:t>
            </w:r>
          </w:p>
        </w:tc>
      </w:tr>
    </w:tbl>
    <w:p w14:paraId="135D8944" w14:textId="77777777" w:rsidR="00FA3002" w:rsidRPr="00F11A63" w:rsidRDefault="00FA3002" w:rsidP="00FA3002">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692D" w:rsidRPr="00FF00AE" w14:paraId="67AFB5C3" w14:textId="77777777" w:rsidTr="00175B37">
        <w:tc>
          <w:tcPr>
            <w:tcW w:w="9350" w:type="dxa"/>
          </w:tcPr>
          <w:p w14:paraId="195477E1" w14:textId="6B594F12" w:rsidR="001D01B7" w:rsidRPr="00FF00AE" w:rsidRDefault="00175B37" w:rsidP="001D01B7">
            <w:pPr>
              <w:rPr>
                <w:rFonts w:asciiTheme="minorHAnsi" w:eastAsia="Times New Roman" w:hAnsiTheme="minorHAnsi"/>
              </w:rPr>
            </w:pPr>
            <w:r w:rsidRPr="00FF00AE">
              <w:rPr>
                <w:rFonts w:asciiTheme="minorHAnsi" w:eastAsia="Times New Roman" w:hAnsiTheme="minorHAnsi" w:cs="Arial"/>
                <w:b/>
                <w:u w:val="single"/>
              </w:rPr>
              <w:t xml:space="preserve">Question </w:t>
            </w:r>
            <w:r w:rsidR="004D10CD" w:rsidRPr="00FF00AE">
              <w:rPr>
                <w:rFonts w:asciiTheme="minorHAnsi" w:eastAsia="Times New Roman" w:hAnsiTheme="minorHAnsi" w:cs="Arial"/>
                <w:b/>
                <w:u w:val="single"/>
              </w:rPr>
              <w:t>4</w:t>
            </w:r>
            <w:r w:rsidRPr="00FF00AE">
              <w:rPr>
                <w:rFonts w:asciiTheme="minorHAnsi" w:eastAsia="Times New Roman" w:hAnsiTheme="minorHAnsi" w:cs="Arial"/>
              </w:rPr>
              <w:t xml:space="preserve">: Page 3 of 24 – Section III.C – </w:t>
            </w:r>
            <w:r w:rsidR="001D01B7" w:rsidRPr="00FF00AE">
              <w:rPr>
                <w:rFonts w:asciiTheme="minorHAnsi" w:eastAsia="Times New Roman" w:hAnsiTheme="minorHAnsi"/>
              </w:rPr>
              <w:t xml:space="preserve">In states like Texas that award QAP points for restricting units to the 30% of median level, the only way to counter the economic hit is with market rate units.  It wasn’t that big of a factor in rural deals, but two-thirds of last year’s big city winners had more than 10% market </w:t>
            </w:r>
            <w:proofErr w:type="gramStart"/>
            <w:r w:rsidR="001D01B7" w:rsidRPr="00FF00AE">
              <w:rPr>
                <w:rFonts w:asciiTheme="minorHAnsi" w:eastAsia="Times New Roman" w:hAnsiTheme="minorHAnsi"/>
              </w:rPr>
              <w:t>units, and</w:t>
            </w:r>
            <w:proofErr w:type="gramEnd"/>
            <w:r w:rsidR="001D01B7" w:rsidRPr="00FF00AE">
              <w:rPr>
                <w:rFonts w:asciiTheme="minorHAnsi" w:eastAsia="Times New Roman" w:hAnsiTheme="minorHAnsi"/>
              </w:rPr>
              <w:t xml:space="preserve"> wouldn’t qualify for the Pilot. Is there any flexibility on a state-by-state basis to be below 90% LIHTC?</w:t>
            </w:r>
          </w:p>
          <w:p w14:paraId="5887AAC9" w14:textId="77777777" w:rsidR="00D06FF5" w:rsidRPr="00FF00AE" w:rsidRDefault="00D06FF5" w:rsidP="00FA3002">
            <w:pPr>
              <w:rPr>
                <w:rFonts w:asciiTheme="minorHAnsi" w:eastAsia="Times New Roman" w:hAnsiTheme="minorHAnsi" w:cs="Arial"/>
              </w:rPr>
            </w:pPr>
          </w:p>
        </w:tc>
      </w:tr>
      <w:tr w:rsidR="00C8692D" w:rsidRPr="00FF00AE" w14:paraId="67328F0B" w14:textId="77777777" w:rsidTr="00175B37">
        <w:tc>
          <w:tcPr>
            <w:tcW w:w="9350" w:type="dxa"/>
          </w:tcPr>
          <w:p w14:paraId="5ADCE463" w14:textId="77777777" w:rsidR="00175B37" w:rsidRPr="00FF00AE" w:rsidRDefault="00175B37"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C91A68" w:rsidRPr="00FF00AE">
              <w:rPr>
                <w:rFonts w:asciiTheme="minorHAnsi" w:eastAsia="Times New Roman" w:hAnsiTheme="minorHAnsi" w:cs="Arial"/>
                <w:i/>
              </w:rPr>
              <w:t>No</w:t>
            </w:r>
            <w:r w:rsidR="00032E10" w:rsidRPr="00FF00AE">
              <w:rPr>
                <w:rFonts w:asciiTheme="minorHAnsi" w:eastAsia="Times New Roman" w:hAnsiTheme="minorHAnsi" w:cs="Arial"/>
                <w:i/>
              </w:rPr>
              <w:t xml:space="preserve">t </w:t>
            </w:r>
            <w:proofErr w:type="gramStart"/>
            <w:r w:rsidR="00032E10" w:rsidRPr="00FF00AE">
              <w:rPr>
                <w:rFonts w:asciiTheme="minorHAnsi" w:eastAsia="Times New Roman" w:hAnsiTheme="minorHAnsi" w:cs="Arial"/>
                <w:i/>
              </w:rPr>
              <w:t>at this time</w:t>
            </w:r>
            <w:proofErr w:type="gramEnd"/>
            <w:r w:rsidR="00032E10" w:rsidRPr="00FF00AE">
              <w:rPr>
                <w:rFonts w:asciiTheme="minorHAnsi" w:eastAsia="Times New Roman" w:hAnsiTheme="minorHAnsi" w:cs="Arial"/>
                <w:i/>
              </w:rPr>
              <w:t>.  A</w:t>
            </w:r>
            <w:r w:rsidR="0086662A" w:rsidRPr="00FF00AE">
              <w:rPr>
                <w:rFonts w:asciiTheme="minorHAnsi" w:eastAsia="Times New Roman" w:hAnsiTheme="minorHAnsi" w:cs="Arial"/>
                <w:i/>
              </w:rPr>
              <w:t>dditional market rate units will require a more extensive review</w:t>
            </w:r>
            <w:r w:rsidR="00032E10" w:rsidRPr="00FF00AE">
              <w:rPr>
                <w:rFonts w:asciiTheme="minorHAnsi" w:eastAsia="Times New Roman" w:hAnsiTheme="minorHAnsi" w:cs="Arial"/>
                <w:i/>
              </w:rPr>
              <w:t>.</w:t>
            </w:r>
          </w:p>
        </w:tc>
      </w:tr>
      <w:tr w:rsidR="00C8692D" w:rsidRPr="00FF00AE" w14:paraId="21C12B38" w14:textId="77777777" w:rsidTr="00175B37">
        <w:tc>
          <w:tcPr>
            <w:tcW w:w="9350" w:type="dxa"/>
          </w:tcPr>
          <w:p w14:paraId="19A6741D" w14:textId="77777777" w:rsidR="00175B37" w:rsidRPr="00FF00AE" w:rsidRDefault="00175B37" w:rsidP="00FA3002">
            <w:pPr>
              <w:rPr>
                <w:rFonts w:asciiTheme="minorHAnsi" w:eastAsia="Times New Roman" w:hAnsiTheme="minorHAnsi" w:cs="Arial"/>
              </w:rPr>
            </w:pPr>
          </w:p>
        </w:tc>
      </w:tr>
      <w:tr w:rsidR="00C8692D" w:rsidRPr="00FF00AE" w14:paraId="47F0E1C5" w14:textId="77777777" w:rsidTr="00175B37">
        <w:tc>
          <w:tcPr>
            <w:tcW w:w="9350" w:type="dxa"/>
          </w:tcPr>
          <w:p w14:paraId="0AA3BD0B" w14:textId="6DB25C15" w:rsidR="00175B37" w:rsidRPr="00FF00AE" w:rsidRDefault="00175B37" w:rsidP="00175B37">
            <w:pPr>
              <w:rPr>
                <w:rFonts w:asciiTheme="minorHAnsi" w:eastAsia="Times New Roman" w:hAnsiTheme="minorHAnsi"/>
              </w:rPr>
            </w:pPr>
            <w:r w:rsidRPr="00FF00AE">
              <w:rPr>
                <w:rFonts w:asciiTheme="minorHAnsi" w:eastAsia="Times New Roman" w:hAnsiTheme="minorHAnsi" w:cs="Arial"/>
                <w:b/>
                <w:u w:val="single"/>
              </w:rPr>
              <w:t xml:space="preserve">Question </w:t>
            </w:r>
            <w:r w:rsidR="004D10CD" w:rsidRPr="00FF00AE">
              <w:rPr>
                <w:rFonts w:asciiTheme="minorHAnsi" w:eastAsia="Times New Roman" w:hAnsiTheme="minorHAnsi" w:cs="Arial"/>
                <w:b/>
                <w:u w:val="single"/>
              </w:rPr>
              <w:t>5</w:t>
            </w:r>
            <w:r w:rsidRPr="00FF00AE">
              <w:rPr>
                <w:rFonts w:asciiTheme="minorHAnsi" w:eastAsia="Times New Roman" w:hAnsiTheme="minorHAnsi" w:cs="Arial"/>
                <w:b/>
              </w:rPr>
              <w:t>:</w:t>
            </w:r>
            <w:r w:rsidRPr="00FF00AE">
              <w:rPr>
                <w:rFonts w:asciiTheme="minorHAnsi" w:eastAsia="Times New Roman" w:hAnsiTheme="minorHAnsi" w:cs="Arial"/>
              </w:rPr>
              <w:t xml:space="preserve"> Page 3 of 24 – paragraph after Section III.C – re-syndicated LIHTC projects without Section 8 must demonstrate sustained occupancy maintaining debt service coverage of at least 1.0 and 85% or greater occupancy for the previous 6 months.  This raises the following questions:</w:t>
            </w:r>
            <w:r w:rsidRPr="00FF00AE">
              <w:rPr>
                <w:rFonts w:asciiTheme="minorHAnsi" w:eastAsia="Times New Roman" w:hAnsiTheme="minorHAnsi"/>
              </w:rPr>
              <w:t xml:space="preserve"> </w:t>
            </w:r>
          </w:p>
          <w:p w14:paraId="4697FD3A" w14:textId="77777777" w:rsidR="00175B37" w:rsidRPr="00FF00AE" w:rsidRDefault="00175B37" w:rsidP="00175B37">
            <w:pPr>
              <w:rPr>
                <w:rFonts w:asciiTheme="minorHAnsi" w:eastAsia="Times New Roman" w:hAnsiTheme="minorHAnsi"/>
              </w:rPr>
            </w:pPr>
          </w:p>
          <w:p w14:paraId="4FDA76AE" w14:textId="77777777" w:rsidR="00175B37" w:rsidRPr="00FF00AE" w:rsidRDefault="00D06FF5" w:rsidP="00D06FF5">
            <w:pPr>
              <w:rPr>
                <w:rFonts w:asciiTheme="minorHAnsi" w:eastAsia="Times New Roman" w:hAnsiTheme="minorHAnsi" w:cs="Arial"/>
              </w:rPr>
            </w:pPr>
            <w:r w:rsidRPr="00FF00AE">
              <w:rPr>
                <w:rFonts w:asciiTheme="minorHAnsi" w:eastAsia="Times New Roman" w:hAnsiTheme="minorHAnsi" w:cs="Arial"/>
                <w:b/>
              </w:rPr>
              <w:t>(a)</w:t>
            </w:r>
            <w:r w:rsidRPr="00FF00AE">
              <w:rPr>
                <w:rFonts w:asciiTheme="minorHAnsi" w:eastAsia="Times New Roman" w:hAnsiTheme="minorHAnsi" w:cs="Arial"/>
              </w:rPr>
              <w:t xml:space="preserve"> </w:t>
            </w:r>
            <w:r w:rsidR="00175B37" w:rsidRPr="00FF00AE">
              <w:rPr>
                <w:rFonts w:asciiTheme="minorHAnsi" w:eastAsia="Times New Roman" w:hAnsiTheme="minorHAnsi" w:cs="Arial"/>
              </w:rPr>
              <w:t xml:space="preserve">Some owners intentionally increase vacancy leading up to a substantial renovation if there are repairs that require tenants to temporarily relocate and the occupancy based on recent </w:t>
            </w:r>
            <w:proofErr w:type="spellStart"/>
            <w:r w:rsidR="00175B37" w:rsidRPr="00FF00AE">
              <w:rPr>
                <w:rFonts w:asciiTheme="minorHAnsi" w:eastAsia="Times New Roman" w:hAnsiTheme="minorHAnsi" w:cs="Arial"/>
              </w:rPr>
              <w:t>historics</w:t>
            </w:r>
            <w:proofErr w:type="spellEnd"/>
            <w:r w:rsidR="00175B37" w:rsidRPr="00FF00AE">
              <w:rPr>
                <w:rFonts w:asciiTheme="minorHAnsi" w:eastAsia="Times New Roman" w:hAnsiTheme="minorHAnsi" w:cs="Arial"/>
              </w:rPr>
              <w:t xml:space="preserve"> may not be reflective of stabilized occupancy – there appears to be consideration for properties with lower recent occupancy levels on a case by case basis so need confirmation that these types of projects would fall into that scenario.  If HUD has any other common scenarios that may trigger leniency on this, it would be helpful to mention during the </w:t>
            </w:r>
            <w:proofErr w:type="gramStart"/>
            <w:r w:rsidR="00175B37" w:rsidRPr="00FF00AE">
              <w:rPr>
                <w:rFonts w:asciiTheme="minorHAnsi" w:eastAsia="Times New Roman" w:hAnsiTheme="minorHAnsi" w:cs="Arial"/>
              </w:rPr>
              <w:t>training</w:t>
            </w:r>
            <w:proofErr w:type="gramEnd"/>
            <w:r w:rsidR="00175B37" w:rsidRPr="00FF00AE">
              <w:rPr>
                <w:rFonts w:asciiTheme="minorHAnsi" w:eastAsia="Times New Roman" w:hAnsiTheme="minorHAnsi" w:cs="Arial"/>
              </w:rPr>
              <w:t xml:space="preserve"> so Lender’s</w:t>
            </w:r>
            <w:r w:rsidRPr="00FF00AE">
              <w:rPr>
                <w:rFonts w:asciiTheme="minorHAnsi" w:eastAsia="Times New Roman" w:hAnsiTheme="minorHAnsi" w:cs="Arial"/>
              </w:rPr>
              <w:t xml:space="preserve"> understand HUD’s point of view.</w:t>
            </w:r>
          </w:p>
          <w:p w14:paraId="0B07DE89" w14:textId="77777777" w:rsidR="00175B37" w:rsidRPr="00FF00AE" w:rsidRDefault="00175B37" w:rsidP="00FA3002">
            <w:pPr>
              <w:rPr>
                <w:rFonts w:asciiTheme="minorHAnsi" w:eastAsia="Times New Roman" w:hAnsiTheme="minorHAnsi" w:cs="Arial"/>
              </w:rPr>
            </w:pPr>
          </w:p>
        </w:tc>
      </w:tr>
      <w:tr w:rsidR="00C8692D" w:rsidRPr="00FF00AE" w14:paraId="24626FCB" w14:textId="77777777" w:rsidTr="00175B37">
        <w:tc>
          <w:tcPr>
            <w:tcW w:w="9350" w:type="dxa"/>
          </w:tcPr>
          <w:p w14:paraId="7F121EA6" w14:textId="5BF125B6" w:rsidR="00175B37"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032E10" w:rsidRPr="00FF00AE">
              <w:rPr>
                <w:rFonts w:asciiTheme="minorHAnsi" w:eastAsia="Times New Roman" w:hAnsiTheme="minorHAnsi" w:cs="Arial"/>
                <w:i/>
              </w:rPr>
              <w:t>Yes, this is the scenario we envision</w:t>
            </w:r>
            <w:r w:rsidR="004D10CD" w:rsidRPr="00FF00AE">
              <w:rPr>
                <w:rFonts w:asciiTheme="minorHAnsi" w:eastAsia="Times New Roman" w:hAnsiTheme="minorHAnsi" w:cs="Arial"/>
                <w:i/>
              </w:rPr>
              <w:t>ed</w:t>
            </w:r>
            <w:r w:rsidR="00032E10" w:rsidRPr="00FF00AE">
              <w:rPr>
                <w:rFonts w:asciiTheme="minorHAnsi" w:eastAsia="Times New Roman" w:hAnsiTheme="minorHAnsi" w:cs="Arial"/>
                <w:i/>
              </w:rPr>
              <w:t xml:space="preserve">.  If the Owner and Management Agent are taking steps to improve the property for the benefit of the residents, and those actions lead to lower occupancy levels for a temporary </w:t>
            </w:r>
            <w:proofErr w:type="gramStart"/>
            <w:r w:rsidR="00032E10" w:rsidRPr="00FF00AE">
              <w:rPr>
                <w:rFonts w:asciiTheme="minorHAnsi" w:eastAsia="Times New Roman" w:hAnsiTheme="minorHAnsi" w:cs="Arial"/>
                <w:i/>
              </w:rPr>
              <w:t>period of time</w:t>
            </w:r>
            <w:proofErr w:type="gramEnd"/>
            <w:r w:rsidR="00032E10" w:rsidRPr="00FF00AE">
              <w:rPr>
                <w:rFonts w:asciiTheme="minorHAnsi" w:eastAsia="Times New Roman" w:hAnsiTheme="minorHAnsi" w:cs="Arial"/>
                <w:i/>
              </w:rPr>
              <w:t>, then HUD may consider the project under the Pilot</w:t>
            </w:r>
            <w:r w:rsidR="004E6E3C" w:rsidRPr="00FF00AE">
              <w:rPr>
                <w:rFonts w:asciiTheme="minorHAnsi" w:eastAsia="Times New Roman" w:hAnsiTheme="minorHAnsi" w:cs="Arial"/>
                <w:i/>
              </w:rPr>
              <w:t xml:space="preserve"> with proper justification</w:t>
            </w:r>
            <w:r w:rsidR="00032E10" w:rsidRPr="00FF00AE">
              <w:rPr>
                <w:rFonts w:asciiTheme="minorHAnsi" w:eastAsia="Times New Roman" w:hAnsiTheme="minorHAnsi" w:cs="Arial"/>
                <w:i/>
              </w:rPr>
              <w:t xml:space="preserve">.  If the project is currently HUD-insured, the assigned HUD Account Executive may provide evidence of actions the Owner and Management Agent have taken to improve </w:t>
            </w:r>
            <w:r w:rsidR="006D7EF9" w:rsidRPr="00FF00AE">
              <w:rPr>
                <w:rFonts w:asciiTheme="minorHAnsi" w:eastAsia="Times New Roman" w:hAnsiTheme="minorHAnsi" w:cs="Arial"/>
                <w:i/>
              </w:rPr>
              <w:t>and/or rectify previous issues that led to a decrease in occupancy levels.</w:t>
            </w:r>
          </w:p>
          <w:p w14:paraId="1FDE0B41" w14:textId="553163CE" w:rsidR="0071487B" w:rsidRPr="00FF00AE" w:rsidRDefault="0071487B" w:rsidP="00FA3002">
            <w:pPr>
              <w:rPr>
                <w:rFonts w:asciiTheme="minorHAnsi" w:eastAsia="Times New Roman" w:hAnsiTheme="minorHAnsi" w:cs="Arial"/>
                <w:i/>
              </w:rPr>
            </w:pPr>
          </w:p>
        </w:tc>
      </w:tr>
      <w:tr w:rsidR="00C8692D" w:rsidRPr="00FF00AE" w14:paraId="6EEEE25E" w14:textId="77777777" w:rsidTr="00175B37">
        <w:tc>
          <w:tcPr>
            <w:tcW w:w="9350" w:type="dxa"/>
          </w:tcPr>
          <w:p w14:paraId="6F67748B" w14:textId="77777777" w:rsidR="00D06FF5" w:rsidRPr="00FF00AE" w:rsidRDefault="00D06FF5" w:rsidP="00FA3002">
            <w:pPr>
              <w:rPr>
                <w:rFonts w:asciiTheme="minorHAnsi" w:eastAsia="Times New Roman" w:hAnsiTheme="minorHAnsi" w:cs="Arial"/>
              </w:rPr>
            </w:pPr>
          </w:p>
        </w:tc>
      </w:tr>
      <w:tr w:rsidR="00C8692D" w:rsidRPr="00FF00AE" w14:paraId="2A20DC6F" w14:textId="77777777" w:rsidTr="00175B37">
        <w:tc>
          <w:tcPr>
            <w:tcW w:w="9350" w:type="dxa"/>
          </w:tcPr>
          <w:p w14:paraId="5D6F2350" w14:textId="77777777" w:rsidR="00D06FF5" w:rsidRPr="00FF00AE" w:rsidRDefault="00D06FF5" w:rsidP="00D06FF5">
            <w:pPr>
              <w:rPr>
                <w:rFonts w:asciiTheme="minorHAnsi" w:eastAsia="Times New Roman" w:hAnsiTheme="minorHAnsi" w:cs="Arial"/>
              </w:rPr>
            </w:pPr>
            <w:r w:rsidRPr="00FF00AE">
              <w:rPr>
                <w:rFonts w:asciiTheme="minorHAnsi" w:eastAsia="Times New Roman" w:hAnsiTheme="minorHAnsi" w:cs="Arial"/>
                <w:b/>
              </w:rPr>
              <w:lastRenderedPageBreak/>
              <w:t>(b)</w:t>
            </w:r>
            <w:r w:rsidRPr="00FF00AE">
              <w:rPr>
                <w:rFonts w:asciiTheme="minorHAnsi" w:eastAsia="Times New Roman" w:hAnsiTheme="minorHAnsi" w:cs="Arial"/>
              </w:rPr>
              <w:t xml:space="preserve"> What does HUD mean by “maintaining debt service coverage of at least 1.0x for the previous 6 months”?  Is this debt service coverage based on the proposed HUD loan / debt service with the HUD application or 1.0x debt service coverage based on the existing debt for the property?  I’m assuming this is meant for the proposed HUD loan with the HUD application; however, the sub rehab may enable the property to increase rents that is not currently captured within the existing NOI.  In addition, this may be an acquisition with a new owner / management agent that identifies efficiencies and potential utility savings reductions (which is not factored into the existing NOI).  Will HUD provide any leniency if the debt service coverage ratio based on the existing NOI is below 1.0x compared to the debt service for the proposed HUD loan?</w:t>
            </w:r>
          </w:p>
          <w:p w14:paraId="0BAA94F3" w14:textId="77777777" w:rsidR="00D06FF5" w:rsidRPr="00FF00AE" w:rsidRDefault="00D06FF5" w:rsidP="00FA3002">
            <w:pPr>
              <w:rPr>
                <w:rFonts w:asciiTheme="minorHAnsi" w:eastAsia="Times New Roman" w:hAnsiTheme="minorHAnsi" w:cs="Arial"/>
              </w:rPr>
            </w:pPr>
          </w:p>
        </w:tc>
      </w:tr>
      <w:tr w:rsidR="00C8692D" w:rsidRPr="00FF00AE" w14:paraId="4EC8EC2C" w14:textId="77777777" w:rsidTr="00175B37">
        <w:tc>
          <w:tcPr>
            <w:tcW w:w="9350" w:type="dxa"/>
          </w:tcPr>
          <w:p w14:paraId="49B563F8" w14:textId="77777777"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2844EE" w:rsidRPr="00DA13E6">
              <w:rPr>
                <w:rFonts w:asciiTheme="minorHAnsi" w:eastAsia="Times New Roman" w:hAnsiTheme="minorHAnsi" w:cs="Arial"/>
                <w:i/>
              </w:rPr>
              <w:t xml:space="preserve">This is based on a 1.0 debt service coverage based on the existing debt for the property.  </w:t>
            </w:r>
            <w:r w:rsidR="002A2292" w:rsidRPr="00DA13E6">
              <w:rPr>
                <w:rFonts w:asciiTheme="minorHAnsi" w:eastAsia="Times New Roman" w:hAnsiTheme="minorHAnsi" w:cs="Arial"/>
                <w:i/>
              </w:rPr>
              <w:t xml:space="preserve">The proposed </w:t>
            </w:r>
            <w:r w:rsidR="002844EE" w:rsidRPr="00DA13E6">
              <w:rPr>
                <w:rFonts w:asciiTheme="minorHAnsi" w:eastAsia="Times New Roman" w:hAnsiTheme="minorHAnsi" w:cs="Arial"/>
                <w:i/>
              </w:rPr>
              <w:t xml:space="preserve">underwritten </w:t>
            </w:r>
            <w:r w:rsidR="002A2292" w:rsidRPr="00DA13E6">
              <w:rPr>
                <w:rFonts w:asciiTheme="minorHAnsi" w:eastAsia="Times New Roman" w:hAnsiTheme="minorHAnsi" w:cs="Arial"/>
                <w:i/>
              </w:rPr>
              <w:t>Debt Service Coverage Ratio</w:t>
            </w:r>
            <w:r w:rsidR="00F230B8" w:rsidRPr="00DA13E6">
              <w:rPr>
                <w:rFonts w:asciiTheme="minorHAnsi" w:eastAsia="Times New Roman" w:hAnsiTheme="minorHAnsi" w:cs="Arial"/>
                <w:i/>
              </w:rPr>
              <w:t xml:space="preserve"> cannot be lower than </w:t>
            </w:r>
            <w:r w:rsidR="002844EE" w:rsidRPr="00DA13E6">
              <w:rPr>
                <w:rFonts w:asciiTheme="minorHAnsi" w:eastAsia="Times New Roman" w:hAnsiTheme="minorHAnsi" w:cs="Arial"/>
                <w:i/>
              </w:rPr>
              <w:t>1.11</w:t>
            </w:r>
            <w:r w:rsidR="00F230B8" w:rsidRPr="00DA13E6">
              <w:rPr>
                <w:rFonts w:asciiTheme="minorHAnsi" w:eastAsia="Times New Roman" w:hAnsiTheme="minorHAnsi" w:cs="Arial"/>
                <w:i/>
              </w:rPr>
              <w:t xml:space="preserve">.  </w:t>
            </w:r>
            <w:r w:rsidR="002844EE" w:rsidRPr="00DA13E6">
              <w:rPr>
                <w:rFonts w:asciiTheme="minorHAnsi" w:eastAsia="Times New Roman" w:hAnsiTheme="minorHAnsi" w:cs="Arial"/>
                <w:i/>
              </w:rPr>
              <w:t>See MAP Guide for additional guidance.</w:t>
            </w:r>
          </w:p>
        </w:tc>
      </w:tr>
      <w:tr w:rsidR="00150790" w:rsidRPr="00FF00AE" w14:paraId="1A058911" w14:textId="77777777" w:rsidTr="00175B37">
        <w:tc>
          <w:tcPr>
            <w:tcW w:w="9350" w:type="dxa"/>
          </w:tcPr>
          <w:p w14:paraId="0D192DFA" w14:textId="77777777" w:rsidR="00150790" w:rsidRPr="00FF00AE" w:rsidRDefault="00150790" w:rsidP="00FA3002">
            <w:pPr>
              <w:rPr>
                <w:rFonts w:asciiTheme="minorHAnsi" w:eastAsia="Times New Roman" w:hAnsiTheme="minorHAnsi" w:cs="Arial"/>
              </w:rPr>
            </w:pPr>
          </w:p>
        </w:tc>
      </w:tr>
      <w:tr w:rsidR="00150790" w:rsidRPr="00FF00AE" w14:paraId="6C744BB2" w14:textId="77777777" w:rsidTr="00175B37">
        <w:tc>
          <w:tcPr>
            <w:tcW w:w="9350" w:type="dxa"/>
          </w:tcPr>
          <w:p w14:paraId="61682252" w14:textId="77777777" w:rsidR="00150790" w:rsidRPr="00FF00AE" w:rsidRDefault="00150790" w:rsidP="00150790">
            <w:r w:rsidRPr="00FF00AE">
              <w:rPr>
                <w:rFonts w:asciiTheme="minorHAnsi" w:eastAsia="Times New Roman" w:hAnsiTheme="minorHAnsi" w:cs="Arial"/>
                <w:b/>
              </w:rPr>
              <w:t>(c)</w:t>
            </w:r>
            <w:r w:rsidRPr="00FF00AE">
              <w:rPr>
                <w:rFonts w:asciiTheme="minorHAnsi" w:eastAsia="Times New Roman" w:hAnsiTheme="minorHAnsi" w:cs="Arial"/>
              </w:rPr>
              <w:t xml:space="preserve"> </w:t>
            </w:r>
            <w:r w:rsidRPr="00FF00AE">
              <w:t>Pg. 3 – C. – is the 1.0 DSC, based on the new loan or the existing loan. Unclear given ability to increase EGI 110% and decrease expenses to 90% of existing.  Also, is the 90% threshold inclusion of all expenses or should RE taxes, R4R and Insurance be excluded?</w:t>
            </w:r>
          </w:p>
          <w:p w14:paraId="72F99920" w14:textId="77777777" w:rsidR="00150790" w:rsidRPr="00FF00AE" w:rsidRDefault="00150790" w:rsidP="00FA3002">
            <w:pPr>
              <w:rPr>
                <w:rFonts w:asciiTheme="minorHAnsi" w:eastAsia="Times New Roman" w:hAnsiTheme="minorHAnsi" w:cs="Arial"/>
              </w:rPr>
            </w:pPr>
          </w:p>
        </w:tc>
      </w:tr>
      <w:tr w:rsidR="00C8692D" w:rsidRPr="00FF00AE" w14:paraId="514F521B" w14:textId="77777777" w:rsidTr="00175B37">
        <w:tc>
          <w:tcPr>
            <w:tcW w:w="9350" w:type="dxa"/>
          </w:tcPr>
          <w:p w14:paraId="4488DB3B" w14:textId="52B2570E" w:rsidR="00D06FF5" w:rsidRPr="00FF00AE" w:rsidRDefault="001D3D61"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117E57" w:rsidRPr="00FF00AE">
              <w:rPr>
                <w:rFonts w:asciiTheme="minorHAnsi" w:eastAsia="Times New Roman" w:hAnsiTheme="minorHAnsi" w:cs="Arial"/>
                <w:i/>
              </w:rPr>
              <w:t xml:space="preserve">The 1.0 DSC is based on the existing loan.  The 90% threshold must include all expenses, including RE taxes, R4R </w:t>
            </w:r>
            <w:r w:rsidR="0071487B" w:rsidRPr="00FF00AE">
              <w:rPr>
                <w:rFonts w:asciiTheme="minorHAnsi" w:eastAsia="Times New Roman" w:hAnsiTheme="minorHAnsi" w:cs="Arial"/>
                <w:i/>
              </w:rPr>
              <w:t>(if</w:t>
            </w:r>
            <w:r w:rsidR="004E6E3C" w:rsidRPr="00FF00AE">
              <w:rPr>
                <w:rFonts w:asciiTheme="minorHAnsi" w:eastAsia="Times New Roman" w:hAnsiTheme="minorHAnsi" w:cs="Arial"/>
                <w:i/>
              </w:rPr>
              <w:t xml:space="preserve"> currently </w:t>
            </w:r>
            <w:r w:rsidR="0071487B" w:rsidRPr="00FF00AE">
              <w:rPr>
                <w:rFonts w:asciiTheme="minorHAnsi" w:eastAsia="Times New Roman" w:hAnsiTheme="minorHAnsi" w:cs="Arial"/>
                <w:i/>
              </w:rPr>
              <w:t xml:space="preserve">HUD-insured and one </w:t>
            </w:r>
            <w:r w:rsidR="004E6E3C" w:rsidRPr="00FF00AE">
              <w:rPr>
                <w:rFonts w:asciiTheme="minorHAnsi" w:eastAsia="Times New Roman" w:hAnsiTheme="minorHAnsi" w:cs="Arial"/>
                <w:i/>
              </w:rPr>
              <w:t xml:space="preserve">is </w:t>
            </w:r>
            <w:r w:rsidR="0071487B" w:rsidRPr="00FF00AE">
              <w:rPr>
                <w:rFonts w:asciiTheme="minorHAnsi" w:eastAsia="Times New Roman" w:hAnsiTheme="minorHAnsi" w:cs="Arial"/>
                <w:i/>
              </w:rPr>
              <w:t xml:space="preserve">already in place) </w:t>
            </w:r>
            <w:r w:rsidR="00117E57" w:rsidRPr="00FF00AE">
              <w:rPr>
                <w:rFonts w:asciiTheme="minorHAnsi" w:eastAsia="Times New Roman" w:hAnsiTheme="minorHAnsi" w:cs="Arial"/>
                <w:i/>
              </w:rPr>
              <w:t>and insurance.</w:t>
            </w:r>
          </w:p>
        </w:tc>
      </w:tr>
      <w:tr w:rsidR="001D3D61" w:rsidRPr="00FF00AE" w14:paraId="073223D1" w14:textId="77777777" w:rsidTr="00175B37">
        <w:tc>
          <w:tcPr>
            <w:tcW w:w="9350" w:type="dxa"/>
          </w:tcPr>
          <w:p w14:paraId="6B0DB052" w14:textId="77777777" w:rsidR="001D3D61" w:rsidRPr="00FF00AE" w:rsidRDefault="001D3D61" w:rsidP="00FA3002">
            <w:pPr>
              <w:rPr>
                <w:rFonts w:asciiTheme="minorHAnsi" w:eastAsia="Times New Roman" w:hAnsiTheme="minorHAnsi" w:cs="Arial"/>
              </w:rPr>
            </w:pPr>
          </w:p>
        </w:tc>
      </w:tr>
      <w:tr w:rsidR="00C8692D" w:rsidRPr="00FF00AE" w14:paraId="09DA7B70" w14:textId="77777777" w:rsidTr="00175B37">
        <w:tc>
          <w:tcPr>
            <w:tcW w:w="9350" w:type="dxa"/>
          </w:tcPr>
          <w:p w14:paraId="2994BD4D" w14:textId="0E46716C" w:rsidR="00D06FF5" w:rsidRPr="00FF00AE" w:rsidRDefault="00D06FF5" w:rsidP="00D06FF5">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6</w:t>
            </w:r>
            <w:r w:rsidRPr="00FF00AE">
              <w:rPr>
                <w:rFonts w:asciiTheme="minorHAnsi" w:eastAsia="Times New Roman" w:hAnsiTheme="minorHAnsi" w:cs="Arial"/>
                <w:b/>
              </w:rPr>
              <w:t>:</w:t>
            </w:r>
            <w:r w:rsidRPr="00FF00AE">
              <w:rPr>
                <w:rFonts w:asciiTheme="minorHAnsi" w:eastAsia="Times New Roman" w:hAnsiTheme="minorHAnsi" w:cs="Arial"/>
              </w:rPr>
              <w:t xml:space="preserve"> Page 3 of 24 (paragraph above IV Opportunity Zones) – “Re-syndicated LIHTC projects without Section 8 must be underwritten with EGI no greater than 110% of that achieved in the </w:t>
            </w:r>
            <w:r w:rsidRPr="00FF00AE">
              <w:rPr>
                <w:rFonts w:asciiTheme="minorHAnsi" w:eastAsia="Times New Roman" w:hAnsiTheme="minorHAnsi" w:cs="Arial"/>
                <w:b/>
                <w:bCs/>
                <w:u w:val="single"/>
              </w:rPr>
              <w:t>last full calendar year</w:t>
            </w:r>
            <w:r w:rsidRPr="00FF00AE">
              <w:rPr>
                <w:rFonts w:asciiTheme="minorHAnsi" w:eastAsia="Times New Roman" w:hAnsiTheme="minorHAnsi" w:cs="Arial"/>
              </w:rPr>
              <w:t xml:space="preserve"> before application and with expenses no lower than 90% of the prior year’s operating expenses.”  My questions relating to this statement are as follows:</w:t>
            </w:r>
            <w:r w:rsidRPr="00FF00AE">
              <w:rPr>
                <w:rFonts w:asciiTheme="minorHAnsi" w:eastAsia="Times New Roman" w:hAnsiTheme="minorHAnsi"/>
              </w:rPr>
              <w:t xml:space="preserve"> </w:t>
            </w:r>
          </w:p>
          <w:p w14:paraId="4A2F0B8A" w14:textId="77777777" w:rsidR="00D06FF5" w:rsidRPr="00FF00AE" w:rsidRDefault="00D06FF5" w:rsidP="00FA3002">
            <w:pPr>
              <w:rPr>
                <w:rFonts w:asciiTheme="minorHAnsi" w:eastAsia="Times New Roman" w:hAnsiTheme="minorHAnsi" w:cs="Arial"/>
              </w:rPr>
            </w:pPr>
          </w:p>
        </w:tc>
      </w:tr>
      <w:tr w:rsidR="00C8692D" w:rsidRPr="00FF00AE" w14:paraId="3037273D" w14:textId="77777777" w:rsidTr="00175B37">
        <w:tc>
          <w:tcPr>
            <w:tcW w:w="9350" w:type="dxa"/>
          </w:tcPr>
          <w:p w14:paraId="1DBE240C" w14:textId="77777777" w:rsidR="00D06FF5" w:rsidRPr="00FF00AE" w:rsidRDefault="00D06FF5" w:rsidP="00D06FF5">
            <w:pPr>
              <w:rPr>
                <w:rFonts w:asciiTheme="minorHAnsi" w:eastAsia="Times New Roman" w:hAnsiTheme="minorHAnsi" w:cs="Arial"/>
              </w:rPr>
            </w:pPr>
            <w:r w:rsidRPr="00FF00AE">
              <w:rPr>
                <w:rFonts w:asciiTheme="minorHAnsi" w:eastAsia="Times New Roman" w:hAnsiTheme="minorHAnsi" w:cs="Arial"/>
                <w:b/>
              </w:rPr>
              <w:t>(a)</w:t>
            </w:r>
            <w:r w:rsidRPr="00FF00AE">
              <w:rPr>
                <w:rFonts w:asciiTheme="minorHAnsi" w:eastAsia="Times New Roman" w:hAnsiTheme="minorHAnsi" w:cs="Arial"/>
              </w:rPr>
              <w:t xml:space="preserve"> 110% of EGI – is there any flexibility in going above 110%?  The sub rehab may increase rents post rehab.  An acquisition could include a change in ownership/management agent that may improve operations (particularly for underperforming properties).</w:t>
            </w:r>
          </w:p>
          <w:p w14:paraId="2279A838" w14:textId="77777777" w:rsidR="00D06FF5" w:rsidRPr="00FF00AE" w:rsidRDefault="00D06FF5" w:rsidP="00FA3002">
            <w:pPr>
              <w:rPr>
                <w:rFonts w:asciiTheme="minorHAnsi" w:eastAsia="Times New Roman" w:hAnsiTheme="minorHAnsi" w:cs="Arial"/>
              </w:rPr>
            </w:pPr>
          </w:p>
        </w:tc>
      </w:tr>
      <w:tr w:rsidR="00C8692D" w:rsidRPr="00FF00AE" w14:paraId="608385EE" w14:textId="77777777" w:rsidTr="00175B37">
        <w:tc>
          <w:tcPr>
            <w:tcW w:w="9350" w:type="dxa"/>
          </w:tcPr>
          <w:p w14:paraId="4EE92028" w14:textId="77777777"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F230B8" w:rsidRPr="00FF00AE">
              <w:rPr>
                <w:rFonts w:asciiTheme="minorHAnsi" w:eastAsia="Times New Roman" w:hAnsiTheme="minorHAnsi" w:cs="Arial"/>
                <w:i/>
              </w:rPr>
              <w:t xml:space="preserve">  </w:t>
            </w:r>
            <w:r w:rsidR="0071487B" w:rsidRPr="00FF00AE">
              <w:rPr>
                <w:rFonts w:asciiTheme="minorHAnsi" w:eastAsia="Times New Roman" w:hAnsiTheme="minorHAnsi" w:cs="Arial"/>
                <w:i/>
              </w:rPr>
              <w:t xml:space="preserve">No flexibility </w:t>
            </w:r>
            <w:proofErr w:type="gramStart"/>
            <w:r w:rsidR="0071487B" w:rsidRPr="00FF00AE">
              <w:rPr>
                <w:rFonts w:asciiTheme="minorHAnsi" w:eastAsia="Times New Roman" w:hAnsiTheme="minorHAnsi" w:cs="Arial"/>
                <w:i/>
              </w:rPr>
              <w:t>at this time</w:t>
            </w:r>
            <w:proofErr w:type="gramEnd"/>
            <w:r w:rsidR="0071487B" w:rsidRPr="00FF00AE">
              <w:rPr>
                <w:rFonts w:asciiTheme="minorHAnsi" w:eastAsia="Times New Roman" w:hAnsiTheme="minorHAnsi" w:cs="Arial"/>
                <w:i/>
              </w:rPr>
              <w:t>.</w:t>
            </w:r>
            <w:r w:rsidR="00F230B8" w:rsidRPr="00FF00AE">
              <w:rPr>
                <w:rFonts w:asciiTheme="minorHAnsi" w:eastAsia="Times New Roman" w:hAnsiTheme="minorHAnsi" w:cs="Arial"/>
                <w:i/>
              </w:rPr>
              <w:t xml:space="preserve"> </w:t>
            </w:r>
          </w:p>
        </w:tc>
      </w:tr>
      <w:tr w:rsidR="00C8692D" w:rsidRPr="00FF00AE" w14:paraId="4E9610AC" w14:textId="77777777" w:rsidTr="00175B37">
        <w:tc>
          <w:tcPr>
            <w:tcW w:w="9350" w:type="dxa"/>
          </w:tcPr>
          <w:p w14:paraId="30B5EEC7" w14:textId="77777777" w:rsidR="00D06FF5" w:rsidRPr="00FF00AE" w:rsidRDefault="00D06FF5" w:rsidP="00FA3002">
            <w:pPr>
              <w:rPr>
                <w:rFonts w:asciiTheme="minorHAnsi" w:eastAsia="Times New Roman" w:hAnsiTheme="minorHAnsi" w:cs="Arial"/>
              </w:rPr>
            </w:pPr>
          </w:p>
        </w:tc>
      </w:tr>
      <w:tr w:rsidR="00C8692D" w:rsidRPr="00FF00AE" w14:paraId="7F118E59" w14:textId="77777777" w:rsidTr="00175B37">
        <w:tc>
          <w:tcPr>
            <w:tcW w:w="9350" w:type="dxa"/>
          </w:tcPr>
          <w:p w14:paraId="5687C4E9" w14:textId="42195FDF" w:rsidR="00D06FF5" w:rsidRPr="00FF00AE" w:rsidRDefault="00D06FF5" w:rsidP="00D06FF5">
            <w:pPr>
              <w:rPr>
                <w:rFonts w:asciiTheme="minorHAnsi" w:eastAsia="Times New Roman" w:hAnsiTheme="minorHAnsi" w:cs="Arial"/>
              </w:rPr>
            </w:pPr>
            <w:r w:rsidRPr="00FF00AE">
              <w:rPr>
                <w:rFonts w:asciiTheme="minorHAnsi" w:eastAsia="Times New Roman" w:hAnsiTheme="minorHAnsi" w:cs="Arial"/>
                <w:b/>
              </w:rPr>
              <w:t>(</w:t>
            </w:r>
            <w:r w:rsidR="00B97AB0" w:rsidRPr="00FF00AE">
              <w:rPr>
                <w:rFonts w:asciiTheme="minorHAnsi" w:eastAsia="Times New Roman" w:hAnsiTheme="minorHAnsi" w:cs="Arial"/>
                <w:b/>
              </w:rPr>
              <w:t>b</w:t>
            </w:r>
            <w:r w:rsidRPr="00FF00AE">
              <w:rPr>
                <w:rFonts w:asciiTheme="minorHAnsi" w:eastAsia="Times New Roman" w:hAnsiTheme="minorHAnsi" w:cs="Arial"/>
                <w:b/>
              </w:rPr>
              <w:t xml:space="preserve">) </w:t>
            </w:r>
            <w:r w:rsidRPr="00FF00AE">
              <w:rPr>
                <w:rFonts w:asciiTheme="minorHAnsi" w:eastAsia="Times New Roman" w:hAnsiTheme="minorHAnsi" w:cs="Arial"/>
              </w:rPr>
              <w:t>Expenses no lower than 90% of last calendar year – the Sub rehab may reduce repairs/maintenance considerably and a change in the ownership/management agent (including management fee) along with projected utility savings could justify expenses being reduced by more than 90%.  Will HUD provide any leeway under certain circumstances?</w:t>
            </w:r>
          </w:p>
          <w:p w14:paraId="319A1482" w14:textId="77777777" w:rsidR="00D06FF5" w:rsidRPr="00FF00AE" w:rsidRDefault="00D06FF5" w:rsidP="00FA3002">
            <w:pPr>
              <w:rPr>
                <w:rFonts w:asciiTheme="minorHAnsi" w:eastAsia="Times New Roman" w:hAnsiTheme="minorHAnsi" w:cs="Arial"/>
              </w:rPr>
            </w:pPr>
          </w:p>
        </w:tc>
      </w:tr>
      <w:tr w:rsidR="00C8692D" w:rsidRPr="00FF00AE" w14:paraId="080121EF" w14:textId="77777777" w:rsidTr="00175B37">
        <w:tc>
          <w:tcPr>
            <w:tcW w:w="9350" w:type="dxa"/>
          </w:tcPr>
          <w:p w14:paraId="5F8EE557" w14:textId="77777777"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u w:val="single"/>
              </w:rPr>
              <w:t>Reply</w:t>
            </w:r>
            <w:r w:rsidRPr="00FF00AE">
              <w:rPr>
                <w:rFonts w:asciiTheme="minorHAnsi" w:eastAsia="Times New Roman" w:hAnsiTheme="minorHAnsi" w:cs="Arial"/>
                <w:i/>
              </w:rPr>
              <w:t xml:space="preserve">: </w:t>
            </w:r>
            <w:r w:rsidR="00F230B8" w:rsidRPr="00FF00AE">
              <w:rPr>
                <w:rFonts w:asciiTheme="minorHAnsi" w:eastAsia="Times New Roman" w:hAnsiTheme="minorHAnsi" w:cs="Arial"/>
                <w:i/>
              </w:rPr>
              <w:t>No, we need to remain conservative with the underwritten expenses.</w:t>
            </w:r>
          </w:p>
        </w:tc>
      </w:tr>
      <w:tr w:rsidR="00C8692D" w:rsidRPr="00FF00AE" w14:paraId="6F5638B3" w14:textId="77777777" w:rsidTr="00175B37">
        <w:tc>
          <w:tcPr>
            <w:tcW w:w="9350" w:type="dxa"/>
          </w:tcPr>
          <w:p w14:paraId="2E7F93CF" w14:textId="77777777" w:rsidR="00D06FF5" w:rsidRPr="00FF00AE" w:rsidRDefault="00D06FF5" w:rsidP="00FA3002">
            <w:pPr>
              <w:rPr>
                <w:rFonts w:asciiTheme="minorHAnsi" w:eastAsia="Times New Roman" w:hAnsiTheme="minorHAnsi" w:cs="Arial"/>
              </w:rPr>
            </w:pPr>
          </w:p>
        </w:tc>
      </w:tr>
      <w:tr w:rsidR="00C8692D" w:rsidRPr="00FF00AE" w14:paraId="195B9EEB" w14:textId="77777777" w:rsidTr="00175B37">
        <w:tc>
          <w:tcPr>
            <w:tcW w:w="9350" w:type="dxa"/>
          </w:tcPr>
          <w:p w14:paraId="59CA1653" w14:textId="5840091A" w:rsidR="00492AEB" w:rsidRPr="00FF00AE" w:rsidRDefault="00D06FF5" w:rsidP="00D06FF5">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7</w:t>
            </w:r>
            <w:r w:rsidRPr="00FF00AE">
              <w:rPr>
                <w:rFonts w:asciiTheme="minorHAnsi" w:eastAsia="Times New Roman" w:hAnsiTheme="minorHAnsi" w:cs="Arial"/>
                <w:b/>
              </w:rPr>
              <w:t>:</w:t>
            </w:r>
            <w:r w:rsidRPr="00FF00AE">
              <w:rPr>
                <w:rFonts w:asciiTheme="minorHAnsi" w:eastAsia="Times New Roman" w:hAnsiTheme="minorHAnsi" w:cs="Arial"/>
              </w:rPr>
              <w:t xml:space="preserve"> </w:t>
            </w:r>
            <w:r w:rsidR="00492AEB" w:rsidRPr="00FF00AE">
              <w:rPr>
                <w:rFonts w:asciiTheme="minorHAnsi" w:eastAsia="Times New Roman" w:hAnsiTheme="minorHAnsi" w:cs="Arial"/>
              </w:rPr>
              <w:t>Opportunity Zones</w:t>
            </w:r>
          </w:p>
          <w:p w14:paraId="38C74C30" w14:textId="77777777" w:rsidR="00492AEB" w:rsidRPr="00FF00AE" w:rsidRDefault="00492AEB" w:rsidP="00D06FF5">
            <w:pPr>
              <w:rPr>
                <w:rFonts w:asciiTheme="minorHAnsi" w:eastAsia="Times New Roman" w:hAnsiTheme="minorHAnsi" w:cs="Arial"/>
              </w:rPr>
            </w:pPr>
          </w:p>
          <w:p w14:paraId="50C2A5B4" w14:textId="77777777" w:rsidR="00D06FF5" w:rsidRPr="00FF00AE" w:rsidRDefault="00492AEB" w:rsidP="00D06FF5">
            <w:pPr>
              <w:rPr>
                <w:rFonts w:asciiTheme="minorHAnsi" w:eastAsia="Times New Roman" w:hAnsiTheme="minorHAnsi" w:cs="Arial"/>
              </w:rPr>
            </w:pPr>
            <w:r w:rsidRPr="00FF00AE">
              <w:rPr>
                <w:rFonts w:asciiTheme="minorHAnsi" w:eastAsia="Times New Roman" w:hAnsiTheme="minorHAnsi" w:cs="Arial"/>
                <w:b/>
              </w:rPr>
              <w:t xml:space="preserve">(a) </w:t>
            </w:r>
            <w:r w:rsidR="00D06FF5" w:rsidRPr="00FF00AE">
              <w:rPr>
                <w:rFonts w:asciiTheme="minorHAnsi" w:eastAsia="Times New Roman" w:hAnsiTheme="minorHAnsi" w:cs="Arial"/>
              </w:rPr>
              <w:t>Page 3 of 24 – Section IV Opportunity Zones – I’m still unclear as to how the Opportunity Zones will fit with the LIHTC Pilot and I’m hoping for clarification. </w:t>
            </w:r>
          </w:p>
          <w:p w14:paraId="565BC32E" w14:textId="77777777" w:rsidR="00D06FF5" w:rsidRPr="00FF00AE" w:rsidRDefault="00D06FF5" w:rsidP="00FA3002">
            <w:pPr>
              <w:rPr>
                <w:rFonts w:asciiTheme="minorHAnsi" w:eastAsia="Times New Roman" w:hAnsiTheme="minorHAnsi" w:cs="Arial"/>
              </w:rPr>
            </w:pPr>
          </w:p>
        </w:tc>
      </w:tr>
      <w:tr w:rsidR="00C8692D" w:rsidRPr="00FF00AE" w14:paraId="09BAC5EB" w14:textId="77777777" w:rsidTr="00175B37">
        <w:tc>
          <w:tcPr>
            <w:tcW w:w="9350" w:type="dxa"/>
          </w:tcPr>
          <w:p w14:paraId="6AEC63BA" w14:textId="77777777"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F230B8" w:rsidRPr="00FF00AE">
              <w:rPr>
                <w:rFonts w:asciiTheme="minorHAnsi" w:eastAsia="Times New Roman" w:hAnsiTheme="minorHAnsi" w:cs="Arial"/>
                <w:i/>
              </w:rPr>
              <w:t xml:space="preserve">  LIHTC Pilot projects located in Opportunity Zones and funded with Opportunity Zone Funds will be assigned a trained, designated Senior Underwriter who will</w:t>
            </w:r>
            <w:r w:rsidR="004406BF" w:rsidRPr="00FF00AE">
              <w:rPr>
                <w:rFonts w:asciiTheme="minorHAnsi" w:eastAsia="Times New Roman" w:hAnsiTheme="minorHAnsi" w:cs="Arial"/>
                <w:i/>
              </w:rPr>
              <w:t xml:space="preserve"> perform an expedited review of the application.  This includes initiating the environmental review and site visit shortly after the Concept Meeting is held.</w:t>
            </w:r>
          </w:p>
        </w:tc>
      </w:tr>
      <w:tr w:rsidR="004250C2" w:rsidRPr="00FF00AE" w14:paraId="19F40AAE" w14:textId="77777777" w:rsidTr="00175B37">
        <w:tc>
          <w:tcPr>
            <w:tcW w:w="9350" w:type="dxa"/>
          </w:tcPr>
          <w:p w14:paraId="5D4778D9" w14:textId="77777777" w:rsidR="004250C2" w:rsidRPr="00FF00AE" w:rsidRDefault="004250C2" w:rsidP="00FA3002">
            <w:pPr>
              <w:rPr>
                <w:rFonts w:asciiTheme="minorHAnsi" w:eastAsia="Times New Roman" w:hAnsiTheme="minorHAnsi" w:cs="Arial"/>
                <w:b/>
                <w:u w:val="single"/>
              </w:rPr>
            </w:pPr>
          </w:p>
        </w:tc>
      </w:tr>
      <w:tr w:rsidR="00492AEB" w:rsidRPr="00FF00AE" w14:paraId="41031319" w14:textId="77777777" w:rsidTr="00175B37">
        <w:tc>
          <w:tcPr>
            <w:tcW w:w="9350" w:type="dxa"/>
          </w:tcPr>
          <w:p w14:paraId="424A73A0" w14:textId="77777777" w:rsidR="00492AEB" w:rsidRPr="00FF00AE" w:rsidRDefault="00492AEB" w:rsidP="00FA3002">
            <w:r w:rsidRPr="00FF00AE">
              <w:rPr>
                <w:rFonts w:asciiTheme="minorHAnsi" w:eastAsia="Times New Roman" w:hAnsiTheme="minorHAnsi" w:cs="Arial"/>
                <w:b/>
              </w:rPr>
              <w:t xml:space="preserve">(b) </w:t>
            </w:r>
            <w:r w:rsidRPr="00FF00AE">
              <w:t>What additional benefits are available to projects in Opportunity zones?  From a lender borrower standpoint there is not additional benefits for processing.</w:t>
            </w:r>
          </w:p>
          <w:p w14:paraId="3D42A6BA" w14:textId="77777777" w:rsidR="00492AEB" w:rsidRPr="00FF00AE" w:rsidRDefault="00492AEB" w:rsidP="00FA3002">
            <w:pPr>
              <w:rPr>
                <w:rFonts w:asciiTheme="minorHAnsi" w:eastAsia="Times New Roman" w:hAnsiTheme="minorHAnsi" w:cs="Arial"/>
                <w:b/>
              </w:rPr>
            </w:pPr>
          </w:p>
        </w:tc>
      </w:tr>
      <w:tr w:rsidR="00492AEB" w:rsidRPr="00FF00AE" w14:paraId="64ED6A42" w14:textId="77777777" w:rsidTr="00175B37">
        <w:tc>
          <w:tcPr>
            <w:tcW w:w="9350" w:type="dxa"/>
          </w:tcPr>
          <w:p w14:paraId="2E0084A5" w14:textId="77777777" w:rsidR="00492AEB" w:rsidRPr="00FF00AE" w:rsidRDefault="00492AEB" w:rsidP="00FA3002">
            <w:pPr>
              <w:rPr>
                <w:rFonts w:asciiTheme="minorHAnsi" w:eastAsia="Times New Roman" w:hAnsiTheme="minorHAnsi" w:cs="Arial"/>
                <w:i/>
              </w:rPr>
            </w:pPr>
            <w:r w:rsidRPr="00FF00AE">
              <w:rPr>
                <w:rFonts w:asciiTheme="minorHAnsi" w:eastAsia="Times New Roman" w:hAnsiTheme="minorHAnsi" w:cs="Arial"/>
                <w:i/>
              </w:rPr>
              <w:t>Reply:</w:t>
            </w:r>
            <w:r w:rsidR="004406BF" w:rsidRPr="00FF00AE">
              <w:rPr>
                <w:rFonts w:asciiTheme="minorHAnsi" w:eastAsia="Times New Roman" w:hAnsiTheme="minorHAnsi" w:cs="Arial"/>
                <w:i/>
              </w:rPr>
              <w:t xml:space="preserve">  The Office of Multifamily Housing is working towards issuing a Notice that will offer incentives</w:t>
            </w:r>
            <w:r w:rsidR="004406BF" w:rsidRPr="00FF00AE">
              <w:rPr>
                <w:i/>
              </w:rPr>
              <w:t xml:space="preserve"> for properties located in Opportunity Zones that includes designating and training FHA underwriters in each region of the country to expedite and streamline mortgage insurance applications and reducing the FHA mortgage insurance application fee for qualified loans.</w:t>
            </w:r>
          </w:p>
        </w:tc>
      </w:tr>
      <w:tr w:rsidR="00492AEB" w:rsidRPr="00FF00AE" w14:paraId="6F6BD7FB" w14:textId="77777777" w:rsidTr="00175B37">
        <w:tc>
          <w:tcPr>
            <w:tcW w:w="9350" w:type="dxa"/>
          </w:tcPr>
          <w:p w14:paraId="03124849" w14:textId="77777777" w:rsidR="00492AEB" w:rsidRPr="00FF00AE" w:rsidRDefault="00492AEB" w:rsidP="00FA3002">
            <w:pPr>
              <w:rPr>
                <w:rFonts w:asciiTheme="minorHAnsi" w:eastAsia="Times New Roman" w:hAnsiTheme="minorHAnsi" w:cs="Arial"/>
                <w:b/>
                <w:u w:val="single"/>
              </w:rPr>
            </w:pPr>
          </w:p>
        </w:tc>
      </w:tr>
      <w:tr w:rsidR="00C8692D" w:rsidRPr="00FF00AE" w14:paraId="64FBE830" w14:textId="77777777" w:rsidTr="00175B37">
        <w:tc>
          <w:tcPr>
            <w:tcW w:w="9350" w:type="dxa"/>
          </w:tcPr>
          <w:p w14:paraId="1749B29F" w14:textId="37DFEEBF" w:rsidR="004250C2" w:rsidRPr="00FF00AE" w:rsidRDefault="004250C2" w:rsidP="004250C2">
            <w:pPr>
              <w:rPr>
                <w:rFonts w:asciiTheme="minorHAnsi" w:hAnsiTheme="minorHAnsi"/>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8</w:t>
            </w:r>
            <w:r w:rsidRPr="00FF00AE">
              <w:rPr>
                <w:rFonts w:asciiTheme="minorHAnsi" w:eastAsia="Times New Roman" w:hAnsiTheme="minorHAnsi" w:cs="Arial"/>
                <w:b/>
              </w:rPr>
              <w:t xml:space="preserve">: </w:t>
            </w:r>
            <w:r w:rsidRPr="00FF00AE">
              <w:rPr>
                <w:rFonts w:asciiTheme="minorHAnsi" w:hAnsiTheme="minorHAnsi"/>
              </w:rPr>
              <w:t xml:space="preserve">Letter V on p 3 has the following: “depending on the transaction parameters. The FHA loan size for both Expedited Approval Process and Standard Approval Process transactions may not exceed $25 million.”  Should the following be added: “and unit count may not exceed 200” since anything over 200 </w:t>
            </w:r>
            <w:proofErr w:type="gramStart"/>
            <w:r w:rsidRPr="00FF00AE">
              <w:rPr>
                <w:rFonts w:asciiTheme="minorHAnsi" w:hAnsiTheme="minorHAnsi"/>
              </w:rPr>
              <w:t>has to</w:t>
            </w:r>
            <w:proofErr w:type="gramEnd"/>
            <w:r w:rsidRPr="00FF00AE">
              <w:rPr>
                <w:rFonts w:asciiTheme="minorHAnsi" w:hAnsiTheme="minorHAnsi"/>
              </w:rPr>
              <w:t xml:space="preserve"> go to an environmental officer?  Middle of page 9 they should probably add “Projects greater than 200 units” </w:t>
            </w:r>
            <w:r w:rsidR="008870C4" w:rsidRPr="00FF00AE">
              <w:rPr>
                <w:rFonts w:asciiTheme="minorHAnsi" w:hAnsiTheme="minorHAnsi"/>
              </w:rPr>
              <w:t>under “</w:t>
            </w:r>
            <w:r w:rsidRPr="00FF00AE">
              <w:rPr>
                <w:rFonts w:asciiTheme="minorHAnsi" w:hAnsiTheme="minorHAnsi"/>
              </w:rPr>
              <w:t>VII Ineligible Projects.”</w:t>
            </w:r>
          </w:p>
          <w:p w14:paraId="015640AD" w14:textId="77777777" w:rsidR="004250C2" w:rsidRPr="00FF00AE" w:rsidRDefault="004250C2" w:rsidP="00FA3002">
            <w:pPr>
              <w:rPr>
                <w:rFonts w:asciiTheme="minorHAnsi" w:eastAsia="Times New Roman" w:hAnsiTheme="minorHAnsi" w:cs="Arial"/>
              </w:rPr>
            </w:pPr>
          </w:p>
        </w:tc>
      </w:tr>
      <w:tr w:rsidR="004250C2" w:rsidRPr="00FF00AE" w14:paraId="4C036F06" w14:textId="77777777" w:rsidTr="00175B37">
        <w:tc>
          <w:tcPr>
            <w:tcW w:w="9350" w:type="dxa"/>
          </w:tcPr>
          <w:p w14:paraId="2F07743F" w14:textId="28FC6C93" w:rsidR="004250C2" w:rsidRPr="00FF00AE" w:rsidRDefault="004250C2" w:rsidP="00FA3002">
            <w:pPr>
              <w:rPr>
                <w:rFonts w:asciiTheme="minorHAnsi" w:eastAsia="Times New Roman" w:hAnsiTheme="minorHAnsi" w:cs="Arial"/>
                <w:i/>
              </w:rPr>
            </w:pPr>
            <w:r w:rsidRPr="00FF00AE">
              <w:rPr>
                <w:rFonts w:asciiTheme="minorHAnsi" w:eastAsia="Times New Roman" w:hAnsiTheme="minorHAnsi" w:cs="Arial"/>
                <w:i/>
              </w:rPr>
              <w:t>Reply:</w:t>
            </w:r>
            <w:r w:rsidR="004E7137" w:rsidRPr="00FF00AE">
              <w:rPr>
                <w:rFonts w:asciiTheme="minorHAnsi" w:eastAsia="Times New Roman" w:hAnsiTheme="minorHAnsi" w:cs="Arial"/>
                <w:i/>
              </w:rPr>
              <w:t xml:space="preserve">  The $25 million loan limit applies to both Expedited and Standard Approval Process deals.  The section immediately under section V applies to both transaction types.  The </w:t>
            </w:r>
            <w:r w:rsidR="004E6E3C" w:rsidRPr="00FF00AE">
              <w:rPr>
                <w:rFonts w:asciiTheme="minorHAnsi" w:eastAsia="Times New Roman" w:hAnsiTheme="minorHAnsi" w:cs="Arial"/>
                <w:i/>
              </w:rPr>
              <w:t>200-unit</w:t>
            </w:r>
            <w:r w:rsidR="004E7137" w:rsidRPr="00FF00AE">
              <w:rPr>
                <w:rFonts w:asciiTheme="minorHAnsi" w:eastAsia="Times New Roman" w:hAnsiTheme="minorHAnsi" w:cs="Arial"/>
                <w:i/>
              </w:rPr>
              <w:t xml:space="preserve"> limit only applies to Expedited Approval Process deals and is correctly identified under Section V.A.  Section VII applies to the entire Pilot.</w:t>
            </w:r>
          </w:p>
        </w:tc>
      </w:tr>
      <w:tr w:rsidR="004250C2" w:rsidRPr="00FF00AE" w14:paraId="0525767B" w14:textId="77777777" w:rsidTr="00175B37">
        <w:tc>
          <w:tcPr>
            <w:tcW w:w="9350" w:type="dxa"/>
          </w:tcPr>
          <w:p w14:paraId="3AC726BA" w14:textId="77777777" w:rsidR="004250C2" w:rsidRPr="00FF00AE" w:rsidRDefault="004250C2" w:rsidP="00FA3002">
            <w:pPr>
              <w:rPr>
                <w:rFonts w:asciiTheme="minorHAnsi" w:eastAsia="Times New Roman" w:hAnsiTheme="minorHAnsi" w:cs="Arial"/>
                <w:b/>
                <w:u w:val="single"/>
              </w:rPr>
            </w:pPr>
          </w:p>
        </w:tc>
      </w:tr>
      <w:tr w:rsidR="00AD3280" w:rsidRPr="00FF00AE" w14:paraId="16AD327C" w14:textId="77777777" w:rsidTr="00175B37">
        <w:tc>
          <w:tcPr>
            <w:tcW w:w="9350" w:type="dxa"/>
          </w:tcPr>
          <w:p w14:paraId="0D231A1B" w14:textId="77777777" w:rsidR="00AD3280" w:rsidRPr="00FF00AE" w:rsidRDefault="00AD3280" w:rsidP="00FA3002">
            <w:pPr>
              <w:rPr>
                <w:rFonts w:asciiTheme="minorHAnsi" w:eastAsia="Times New Roman" w:hAnsiTheme="minorHAnsi" w:cs="Arial"/>
                <w:b/>
                <w:u w:val="single"/>
              </w:rPr>
            </w:pPr>
          </w:p>
        </w:tc>
      </w:tr>
      <w:tr w:rsidR="00AD3280" w:rsidRPr="00FF00AE" w14:paraId="56003D45" w14:textId="77777777" w:rsidTr="00175B37">
        <w:tc>
          <w:tcPr>
            <w:tcW w:w="9350" w:type="dxa"/>
          </w:tcPr>
          <w:p w14:paraId="0D768D20" w14:textId="65EEE6DE" w:rsidR="00AD3280" w:rsidRPr="00FF00AE" w:rsidRDefault="00AD3280" w:rsidP="00AD3280">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9</w:t>
            </w:r>
            <w:r w:rsidRPr="00FF00AE">
              <w:rPr>
                <w:rFonts w:asciiTheme="minorHAnsi" w:eastAsia="Times New Roman" w:hAnsiTheme="minorHAnsi" w:cs="Arial"/>
                <w:b/>
              </w:rPr>
              <w:t xml:space="preserve">: </w:t>
            </w:r>
            <w:r w:rsidRPr="00FF00AE">
              <w:t>4% or 9% LIHTC Sub Rehab Re-Syndication - Must have reached the end of their initial tax-credit compliance period – What is the timing of the end of the compliance period – application submission, closing, etc.?</w:t>
            </w:r>
          </w:p>
          <w:p w14:paraId="1810C272" w14:textId="77777777" w:rsidR="00AD3280" w:rsidRPr="00FF00AE" w:rsidRDefault="00AD3280" w:rsidP="00AD3280">
            <w:pPr>
              <w:contextualSpacing/>
              <w:rPr>
                <w:rFonts w:asciiTheme="minorHAnsi" w:eastAsia="Times New Roman" w:hAnsiTheme="minorHAnsi" w:cs="Arial"/>
                <w:b/>
                <w:u w:val="single"/>
              </w:rPr>
            </w:pPr>
          </w:p>
        </w:tc>
      </w:tr>
      <w:tr w:rsidR="00AD3280" w:rsidRPr="00FF00AE" w14:paraId="1AE66018" w14:textId="77777777" w:rsidTr="00175B37">
        <w:tc>
          <w:tcPr>
            <w:tcW w:w="9350" w:type="dxa"/>
          </w:tcPr>
          <w:p w14:paraId="623B6033" w14:textId="4213932B" w:rsidR="00AD3280" w:rsidRPr="00FF00AE" w:rsidRDefault="00AD3280" w:rsidP="00AD3280">
            <w:pPr>
              <w:contextualSpacing/>
              <w:rPr>
                <w:rFonts w:asciiTheme="minorHAnsi" w:eastAsia="Times New Roman" w:hAnsiTheme="minorHAnsi" w:cs="Arial"/>
                <w:i/>
              </w:rPr>
            </w:pPr>
            <w:r w:rsidRPr="00FF00AE">
              <w:rPr>
                <w:rFonts w:asciiTheme="minorHAnsi" w:eastAsia="Times New Roman" w:hAnsiTheme="minorHAnsi" w:cs="Arial"/>
                <w:i/>
              </w:rPr>
              <w:t xml:space="preserve">Reply: </w:t>
            </w:r>
            <w:r w:rsidR="00947E02" w:rsidRPr="00FF00AE">
              <w:rPr>
                <w:rFonts w:asciiTheme="minorHAnsi" w:eastAsia="Times New Roman" w:hAnsiTheme="minorHAnsi" w:cs="Arial"/>
                <w:i/>
              </w:rPr>
              <w:t>The project should be at the end of their initial compliance period by the time the Concept Meeting is held.</w:t>
            </w:r>
            <w:r w:rsidR="00B7131A" w:rsidRPr="00FF00AE">
              <w:rPr>
                <w:rFonts w:asciiTheme="minorHAnsi" w:eastAsia="Times New Roman" w:hAnsiTheme="minorHAnsi" w:cs="Arial"/>
                <w:i/>
              </w:rPr>
              <w:t xml:space="preserve">  We are trying to </w:t>
            </w:r>
            <w:r w:rsidR="004E6E3C" w:rsidRPr="00FF00AE">
              <w:rPr>
                <w:rFonts w:asciiTheme="minorHAnsi" w:eastAsia="Times New Roman" w:hAnsiTheme="minorHAnsi" w:cs="Arial"/>
                <w:i/>
              </w:rPr>
              <w:t>expedite the review</w:t>
            </w:r>
            <w:r w:rsidR="00B7131A" w:rsidRPr="00FF00AE">
              <w:rPr>
                <w:rFonts w:asciiTheme="minorHAnsi" w:eastAsia="Times New Roman" w:hAnsiTheme="minorHAnsi" w:cs="Arial"/>
                <w:i/>
              </w:rPr>
              <w:t xml:space="preserve"> process</w:t>
            </w:r>
            <w:r w:rsidR="004E6E3C" w:rsidRPr="00FF00AE">
              <w:rPr>
                <w:rFonts w:asciiTheme="minorHAnsi" w:eastAsia="Times New Roman" w:hAnsiTheme="minorHAnsi" w:cs="Arial"/>
                <w:i/>
              </w:rPr>
              <w:t xml:space="preserve">.  As such, HUD should not have to wait </w:t>
            </w:r>
            <w:r w:rsidR="00B7131A" w:rsidRPr="00FF00AE">
              <w:rPr>
                <w:rFonts w:asciiTheme="minorHAnsi" w:eastAsia="Times New Roman" w:hAnsiTheme="minorHAnsi" w:cs="Arial"/>
                <w:i/>
              </w:rPr>
              <w:t>for other steps to be taken</w:t>
            </w:r>
            <w:r w:rsidR="00B77113" w:rsidRPr="00FF00AE">
              <w:rPr>
                <w:rFonts w:asciiTheme="minorHAnsi" w:eastAsia="Times New Roman" w:hAnsiTheme="minorHAnsi" w:cs="Arial"/>
                <w:i/>
              </w:rPr>
              <w:t xml:space="preserve"> before we finalize our review</w:t>
            </w:r>
            <w:r w:rsidR="00B7131A" w:rsidRPr="00FF00AE">
              <w:rPr>
                <w:rFonts w:asciiTheme="minorHAnsi" w:eastAsia="Times New Roman" w:hAnsiTheme="minorHAnsi" w:cs="Arial"/>
                <w:i/>
              </w:rPr>
              <w:t xml:space="preserve">. </w:t>
            </w:r>
          </w:p>
        </w:tc>
      </w:tr>
      <w:tr w:rsidR="00AD3280" w:rsidRPr="00FF00AE" w14:paraId="2ED58E2A" w14:textId="77777777" w:rsidTr="00175B37">
        <w:tc>
          <w:tcPr>
            <w:tcW w:w="9350" w:type="dxa"/>
          </w:tcPr>
          <w:p w14:paraId="13012AD9" w14:textId="77777777" w:rsidR="00AD3280" w:rsidRPr="00FF00AE" w:rsidRDefault="00AD3280" w:rsidP="00AD3280">
            <w:pPr>
              <w:contextualSpacing/>
              <w:rPr>
                <w:rFonts w:asciiTheme="minorHAnsi" w:eastAsia="Times New Roman" w:hAnsiTheme="minorHAnsi" w:cs="Arial"/>
                <w:b/>
                <w:u w:val="single"/>
              </w:rPr>
            </w:pPr>
          </w:p>
        </w:tc>
      </w:tr>
      <w:tr w:rsidR="00AD3280" w:rsidRPr="00FF00AE" w14:paraId="75025CE0" w14:textId="77777777" w:rsidTr="00175B37">
        <w:tc>
          <w:tcPr>
            <w:tcW w:w="9350" w:type="dxa"/>
          </w:tcPr>
          <w:p w14:paraId="51BBB819" w14:textId="595B3F0D" w:rsidR="00AD3280" w:rsidRPr="00FF00AE" w:rsidRDefault="00AD3280" w:rsidP="00AD3280">
            <w:pPr>
              <w:contextualSpacing/>
            </w:pPr>
            <w:r w:rsidRPr="00FF00AE">
              <w:rPr>
                <w:rFonts w:asciiTheme="minorHAnsi" w:eastAsia="Times New Roman" w:hAnsiTheme="minorHAnsi" w:cs="Arial"/>
                <w:b/>
                <w:u w:val="single"/>
              </w:rPr>
              <w:t>Question 1</w:t>
            </w:r>
            <w:r w:rsidR="00B97AB0" w:rsidRPr="00FF00AE">
              <w:rPr>
                <w:rFonts w:asciiTheme="minorHAnsi" w:eastAsia="Times New Roman" w:hAnsiTheme="minorHAnsi" w:cs="Arial"/>
                <w:b/>
                <w:u w:val="single"/>
              </w:rPr>
              <w:t>0</w:t>
            </w:r>
            <w:r w:rsidRPr="00FF00AE">
              <w:rPr>
                <w:rFonts w:asciiTheme="minorHAnsi" w:eastAsia="Times New Roman" w:hAnsiTheme="minorHAnsi" w:cs="Arial"/>
                <w:b/>
              </w:rPr>
              <w:t xml:space="preserve">:  </w:t>
            </w:r>
            <w:r w:rsidRPr="00FF00AE">
              <w:t>4% or 9% LIHTC Sub Rehab Re-Syndication - Must be underwritten with an EGI no greater than 110% of that achieved in the last calendar year and with expenses no lower than 90% of the prior year’s operating expenses.  What if an energy reduction study substantiates a reduction greater than 10%?  Does the project qualify?</w:t>
            </w:r>
          </w:p>
          <w:p w14:paraId="299284EE" w14:textId="77777777" w:rsidR="00377153" w:rsidRPr="00FF00AE" w:rsidRDefault="00377153" w:rsidP="00AD3280">
            <w:pPr>
              <w:contextualSpacing/>
              <w:rPr>
                <w:rFonts w:asciiTheme="minorHAnsi" w:eastAsia="Times New Roman" w:hAnsiTheme="minorHAnsi" w:cs="Arial"/>
                <w:b/>
                <w:u w:val="single"/>
              </w:rPr>
            </w:pPr>
          </w:p>
        </w:tc>
      </w:tr>
      <w:tr w:rsidR="00AD3280" w:rsidRPr="00FF00AE" w14:paraId="215D765A" w14:textId="77777777" w:rsidTr="00175B37">
        <w:tc>
          <w:tcPr>
            <w:tcW w:w="9350" w:type="dxa"/>
          </w:tcPr>
          <w:p w14:paraId="76B1E2FA" w14:textId="77777777" w:rsidR="00AD3280" w:rsidRPr="00FF00AE" w:rsidRDefault="00377153" w:rsidP="00AD3280">
            <w:pPr>
              <w:contextualSpacing/>
              <w:rPr>
                <w:rFonts w:asciiTheme="minorHAnsi" w:eastAsia="Times New Roman" w:hAnsiTheme="minorHAnsi" w:cs="Arial"/>
                <w:i/>
              </w:rPr>
            </w:pPr>
            <w:r w:rsidRPr="00FF00AE">
              <w:rPr>
                <w:rFonts w:asciiTheme="minorHAnsi" w:eastAsia="Times New Roman" w:hAnsiTheme="minorHAnsi" w:cs="Arial"/>
                <w:i/>
              </w:rPr>
              <w:t>Reply:</w:t>
            </w:r>
            <w:r w:rsidR="00924E70" w:rsidRPr="00FF00AE">
              <w:rPr>
                <w:rFonts w:asciiTheme="minorHAnsi" w:eastAsia="Times New Roman" w:hAnsiTheme="minorHAnsi" w:cs="Arial"/>
                <w:i/>
              </w:rPr>
              <w:t xml:space="preserve">  Underwritten expenses cannot be lower than 90% of the prior year’s operating expenses.  This minimizes the level of risk associated with the deal and will help ensure that targeted timeframes are met.</w:t>
            </w:r>
          </w:p>
        </w:tc>
      </w:tr>
      <w:tr w:rsidR="00377153" w:rsidRPr="00FF00AE" w14:paraId="13EE7762" w14:textId="77777777" w:rsidTr="00175B37">
        <w:tc>
          <w:tcPr>
            <w:tcW w:w="9350" w:type="dxa"/>
          </w:tcPr>
          <w:p w14:paraId="199212F8" w14:textId="77777777" w:rsidR="00377153" w:rsidRPr="00FF00AE" w:rsidRDefault="00377153" w:rsidP="00AD3280">
            <w:pPr>
              <w:contextualSpacing/>
              <w:rPr>
                <w:rFonts w:asciiTheme="minorHAnsi" w:eastAsia="Times New Roman" w:hAnsiTheme="minorHAnsi" w:cs="Arial"/>
                <w:b/>
                <w:u w:val="single"/>
              </w:rPr>
            </w:pPr>
          </w:p>
        </w:tc>
      </w:tr>
      <w:tr w:rsidR="001D3D61" w:rsidRPr="00FF00AE" w14:paraId="67FB6C3C" w14:textId="77777777" w:rsidTr="00175B37">
        <w:tc>
          <w:tcPr>
            <w:tcW w:w="9350" w:type="dxa"/>
          </w:tcPr>
          <w:p w14:paraId="3E66A26C" w14:textId="296213F1" w:rsidR="001D3D61" w:rsidRPr="00FF00AE" w:rsidRDefault="001D3D61" w:rsidP="001D3D61">
            <w:r w:rsidRPr="00FF00AE">
              <w:rPr>
                <w:rFonts w:asciiTheme="minorHAnsi" w:eastAsia="Times New Roman" w:hAnsiTheme="minorHAnsi" w:cs="Arial"/>
                <w:b/>
                <w:u w:val="single"/>
              </w:rPr>
              <w:t>Question 1</w:t>
            </w:r>
            <w:r w:rsidR="00B97AB0" w:rsidRPr="00FF00AE">
              <w:rPr>
                <w:rFonts w:asciiTheme="minorHAnsi" w:eastAsia="Times New Roman" w:hAnsiTheme="minorHAnsi" w:cs="Arial"/>
                <w:b/>
                <w:u w:val="single"/>
              </w:rPr>
              <w:t>1</w:t>
            </w:r>
            <w:r w:rsidRPr="00FF00AE">
              <w:rPr>
                <w:rFonts w:asciiTheme="minorHAnsi" w:eastAsia="Times New Roman" w:hAnsiTheme="minorHAnsi" w:cs="Arial"/>
                <w:b/>
              </w:rPr>
              <w:t xml:space="preserve">:  </w:t>
            </w:r>
            <w:r w:rsidRPr="00FF00AE">
              <w:t xml:space="preserve">Pg. 3, B. – Although not mentioned, will there be a preservation agreement needed for the balance of the contact being terminated? </w:t>
            </w:r>
          </w:p>
          <w:p w14:paraId="0271EF71" w14:textId="77777777" w:rsidR="001D3D61" w:rsidRPr="00FF00AE" w:rsidRDefault="001D3D61" w:rsidP="00AD3280">
            <w:pPr>
              <w:contextualSpacing/>
              <w:rPr>
                <w:rFonts w:asciiTheme="minorHAnsi" w:eastAsia="Times New Roman" w:hAnsiTheme="minorHAnsi" w:cs="Arial"/>
                <w:b/>
                <w:u w:val="single"/>
              </w:rPr>
            </w:pPr>
          </w:p>
        </w:tc>
      </w:tr>
      <w:tr w:rsidR="001D3D61" w:rsidRPr="00FF00AE" w14:paraId="08A64B6F" w14:textId="77777777" w:rsidTr="00175B37">
        <w:tc>
          <w:tcPr>
            <w:tcW w:w="9350" w:type="dxa"/>
          </w:tcPr>
          <w:p w14:paraId="33741DC1" w14:textId="77777777" w:rsidR="001D3D61" w:rsidRPr="00FF00AE" w:rsidRDefault="001D3D61" w:rsidP="00AD3280">
            <w:pPr>
              <w:contextualSpacing/>
              <w:rPr>
                <w:rFonts w:asciiTheme="minorHAnsi" w:eastAsia="Times New Roman" w:hAnsiTheme="minorHAnsi" w:cs="Arial"/>
                <w:i/>
              </w:rPr>
            </w:pPr>
            <w:r w:rsidRPr="00FF00AE">
              <w:rPr>
                <w:rFonts w:asciiTheme="minorHAnsi" w:eastAsia="Times New Roman" w:hAnsiTheme="minorHAnsi" w:cs="Arial"/>
                <w:i/>
              </w:rPr>
              <w:t>Reply:</w:t>
            </w:r>
            <w:r w:rsidR="00924E70" w:rsidRPr="00FF00AE">
              <w:rPr>
                <w:rFonts w:asciiTheme="minorHAnsi" w:eastAsia="Times New Roman" w:hAnsiTheme="minorHAnsi" w:cs="Arial"/>
                <w:i/>
              </w:rPr>
              <w:t xml:space="preserve">  Guidelines for the use of a Preservation Agreement as outlined in the Section 8 Renewal Policy Guidebook must be followed. </w:t>
            </w:r>
          </w:p>
        </w:tc>
      </w:tr>
      <w:tr w:rsidR="00377153" w:rsidRPr="00FF00AE" w14:paraId="55D13D97" w14:textId="77777777" w:rsidTr="00175B37">
        <w:tc>
          <w:tcPr>
            <w:tcW w:w="9350" w:type="dxa"/>
          </w:tcPr>
          <w:p w14:paraId="6EA89E63" w14:textId="77777777" w:rsidR="00377153" w:rsidRPr="00FF00AE" w:rsidRDefault="00377153" w:rsidP="00AD3280">
            <w:pPr>
              <w:contextualSpacing/>
              <w:rPr>
                <w:rFonts w:asciiTheme="minorHAnsi" w:eastAsia="Times New Roman" w:hAnsiTheme="minorHAnsi" w:cs="Arial"/>
                <w:i/>
              </w:rPr>
            </w:pPr>
          </w:p>
        </w:tc>
      </w:tr>
      <w:tr w:rsidR="00377153" w:rsidRPr="00FF00AE" w14:paraId="30ECC813" w14:textId="77777777" w:rsidTr="00175B37">
        <w:tc>
          <w:tcPr>
            <w:tcW w:w="9350" w:type="dxa"/>
          </w:tcPr>
          <w:p w14:paraId="5734ACFC" w14:textId="526F6152" w:rsidR="00377153" w:rsidRPr="00FF00AE" w:rsidRDefault="00377153" w:rsidP="00AD3280">
            <w:pPr>
              <w:contextualSpacing/>
            </w:pPr>
            <w:r w:rsidRPr="00FF00AE">
              <w:rPr>
                <w:rFonts w:asciiTheme="minorHAnsi" w:eastAsia="Times New Roman" w:hAnsiTheme="minorHAnsi" w:cs="Arial"/>
                <w:b/>
                <w:u w:val="single"/>
              </w:rPr>
              <w:t>Question 1</w:t>
            </w:r>
            <w:r w:rsidR="00B97AB0" w:rsidRPr="00FF00AE">
              <w:rPr>
                <w:rFonts w:asciiTheme="minorHAnsi" w:eastAsia="Times New Roman" w:hAnsiTheme="minorHAnsi" w:cs="Arial"/>
                <w:b/>
                <w:u w:val="single"/>
              </w:rPr>
              <w:t>2</w:t>
            </w:r>
            <w:r w:rsidRPr="00FF00AE">
              <w:rPr>
                <w:rFonts w:asciiTheme="minorHAnsi" w:eastAsia="Times New Roman" w:hAnsiTheme="minorHAnsi" w:cs="Arial"/>
                <w:b/>
              </w:rPr>
              <w:t xml:space="preserve">: </w:t>
            </w:r>
            <w:r w:rsidRPr="00FF00AE">
              <w:t>Please consider increasing the loan level from $25 million to $40 million, many 4% bond deals are in the $30 million range in today’s market.</w:t>
            </w:r>
          </w:p>
          <w:p w14:paraId="1ADD254D" w14:textId="77777777" w:rsidR="00377153" w:rsidRPr="00FF00AE" w:rsidRDefault="00377153" w:rsidP="00AD3280">
            <w:pPr>
              <w:contextualSpacing/>
              <w:rPr>
                <w:rFonts w:asciiTheme="minorHAnsi" w:eastAsia="Times New Roman" w:hAnsiTheme="minorHAnsi" w:cs="Arial"/>
                <w:b/>
                <w:u w:val="single"/>
              </w:rPr>
            </w:pPr>
          </w:p>
        </w:tc>
      </w:tr>
      <w:tr w:rsidR="00377153" w:rsidRPr="00FF00AE" w14:paraId="3552E2C6" w14:textId="77777777" w:rsidTr="00175B37">
        <w:tc>
          <w:tcPr>
            <w:tcW w:w="9350" w:type="dxa"/>
          </w:tcPr>
          <w:p w14:paraId="06C45739" w14:textId="77777777" w:rsidR="00377153" w:rsidRPr="00FF00AE" w:rsidRDefault="00377153" w:rsidP="00AD3280">
            <w:pPr>
              <w:contextualSpacing/>
              <w:rPr>
                <w:rFonts w:asciiTheme="minorHAnsi" w:eastAsia="Times New Roman" w:hAnsiTheme="minorHAnsi" w:cs="Arial"/>
                <w:i/>
              </w:rPr>
            </w:pPr>
            <w:r w:rsidRPr="00FF00AE">
              <w:rPr>
                <w:rFonts w:asciiTheme="minorHAnsi" w:eastAsia="Times New Roman" w:hAnsiTheme="minorHAnsi" w:cs="Arial"/>
                <w:i/>
              </w:rPr>
              <w:t>Reply</w:t>
            </w:r>
            <w:r w:rsidR="00B7131A" w:rsidRPr="00FF00AE">
              <w:rPr>
                <w:rFonts w:asciiTheme="minorHAnsi" w:eastAsia="Times New Roman" w:hAnsiTheme="minorHAnsi" w:cs="Arial"/>
                <w:i/>
              </w:rPr>
              <w:t xml:space="preserve">:  At this </w:t>
            </w:r>
            <w:proofErr w:type="gramStart"/>
            <w:r w:rsidR="00B7131A" w:rsidRPr="00FF00AE">
              <w:rPr>
                <w:rFonts w:asciiTheme="minorHAnsi" w:eastAsia="Times New Roman" w:hAnsiTheme="minorHAnsi" w:cs="Arial"/>
                <w:i/>
              </w:rPr>
              <w:t>time</w:t>
            </w:r>
            <w:proofErr w:type="gramEnd"/>
            <w:r w:rsidR="00B7131A" w:rsidRPr="00FF00AE">
              <w:rPr>
                <w:rFonts w:asciiTheme="minorHAnsi" w:eastAsia="Times New Roman" w:hAnsiTheme="minorHAnsi" w:cs="Arial"/>
                <w:i/>
              </w:rPr>
              <w:t xml:space="preserve"> we are limited to $25 million; remember we are capped at $250 million per year.</w:t>
            </w:r>
          </w:p>
        </w:tc>
      </w:tr>
    </w:tbl>
    <w:p w14:paraId="47D2A131" w14:textId="77777777" w:rsidR="00AD3280" w:rsidRPr="00FF00AE" w:rsidRDefault="00AD3280" w:rsidP="00FA3002">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692D" w:rsidRPr="00FF00AE" w14:paraId="5F613F2E" w14:textId="77777777" w:rsidTr="00D06FF5">
        <w:tc>
          <w:tcPr>
            <w:tcW w:w="9350" w:type="dxa"/>
          </w:tcPr>
          <w:p w14:paraId="52A0FD9D" w14:textId="15F562A7" w:rsidR="00D06FF5" w:rsidRPr="00FF00AE" w:rsidRDefault="00D06FF5" w:rsidP="00FA3002">
            <w:pPr>
              <w:rPr>
                <w:rFonts w:asciiTheme="minorHAnsi" w:hAnsiTheme="minorHAnsi"/>
              </w:rPr>
            </w:pPr>
            <w:r w:rsidRPr="00FF00AE">
              <w:rPr>
                <w:rFonts w:asciiTheme="minorHAnsi" w:eastAsia="Times New Roman" w:hAnsiTheme="minorHAnsi" w:cs="Arial"/>
                <w:b/>
                <w:u w:val="single"/>
              </w:rPr>
              <w:t>Question 1</w:t>
            </w:r>
            <w:r w:rsidR="00B97AB0" w:rsidRPr="00FF00AE">
              <w:rPr>
                <w:rFonts w:asciiTheme="minorHAnsi" w:eastAsia="Times New Roman" w:hAnsiTheme="minorHAnsi" w:cs="Arial"/>
                <w:b/>
                <w:u w:val="single"/>
              </w:rPr>
              <w:t>3</w:t>
            </w:r>
            <w:r w:rsidRPr="00FF00AE">
              <w:rPr>
                <w:rFonts w:asciiTheme="minorHAnsi" w:eastAsia="Times New Roman" w:hAnsiTheme="minorHAnsi" w:cs="Arial"/>
              </w:rPr>
              <w:t xml:space="preserve">: </w:t>
            </w:r>
            <w:r w:rsidRPr="00FF00AE">
              <w:rPr>
                <w:rFonts w:asciiTheme="minorHAnsi" w:hAnsiTheme="minorHAnsi"/>
              </w:rPr>
              <w:t>Page 4, Paragraph 6 – Please confirm that appraisals for the Expedited Approval track prepared for the HFA do not also require the HUD forms.</w:t>
            </w:r>
          </w:p>
          <w:p w14:paraId="052E618E" w14:textId="77777777" w:rsidR="00D06FF5" w:rsidRPr="00FF00AE" w:rsidRDefault="00D06FF5" w:rsidP="00FA3002">
            <w:pPr>
              <w:rPr>
                <w:rFonts w:asciiTheme="minorHAnsi" w:eastAsia="Times New Roman" w:hAnsiTheme="minorHAnsi" w:cs="Arial"/>
              </w:rPr>
            </w:pPr>
          </w:p>
        </w:tc>
      </w:tr>
      <w:tr w:rsidR="00C8692D" w:rsidRPr="00FF00AE" w14:paraId="0F9EAD0D" w14:textId="77777777" w:rsidTr="00D06FF5">
        <w:tc>
          <w:tcPr>
            <w:tcW w:w="9350" w:type="dxa"/>
          </w:tcPr>
          <w:p w14:paraId="30C1A333" w14:textId="77777777"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Reply:</w:t>
            </w:r>
            <w:r w:rsidR="00B3150D" w:rsidRPr="00FF00AE">
              <w:rPr>
                <w:rFonts w:asciiTheme="minorHAnsi" w:eastAsia="Times New Roman" w:hAnsiTheme="minorHAnsi" w:cs="Arial"/>
                <w:i/>
              </w:rPr>
              <w:t xml:space="preserve"> </w:t>
            </w:r>
            <w:r w:rsidR="00E26E9F" w:rsidRPr="00FF00AE">
              <w:rPr>
                <w:rFonts w:asciiTheme="minorHAnsi" w:eastAsia="Times New Roman" w:hAnsiTheme="minorHAnsi" w:cs="Arial"/>
                <w:i/>
              </w:rPr>
              <w:t xml:space="preserve"> Since the Appraisal must be MAP-compliant, t</w:t>
            </w:r>
            <w:r w:rsidR="00B3150D" w:rsidRPr="00FF00AE">
              <w:rPr>
                <w:rFonts w:asciiTheme="minorHAnsi" w:eastAsia="Times New Roman" w:hAnsiTheme="minorHAnsi" w:cs="Arial"/>
                <w:i/>
              </w:rPr>
              <w:t>he HUD forms are required.</w:t>
            </w:r>
          </w:p>
        </w:tc>
      </w:tr>
      <w:tr w:rsidR="00C8692D" w:rsidRPr="00FF00AE" w14:paraId="1BF16FD1" w14:textId="77777777" w:rsidTr="00D06FF5">
        <w:tc>
          <w:tcPr>
            <w:tcW w:w="9350" w:type="dxa"/>
          </w:tcPr>
          <w:p w14:paraId="5561972D" w14:textId="77777777" w:rsidR="00D06FF5" w:rsidRPr="00FF00AE" w:rsidRDefault="00D06FF5" w:rsidP="00FA3002">
            <w:pPr>
              <w:rPr>
                <w:rFonts w:asciiTheme="minorHAnsi" w:eastAsia="Times New Roman" w:hAnsiTheme="minorHAnsi" w:cs="Arial"/>
              </w:rPr>
            </w:pPr>
          </w:p>
        </w:tc>
      </w:tr>
      <w:tr w:rsidR="00C8692D" w:rsidRPr="00FF00AE" w14:paraId="2007E26A" w14:textId="77777777" w:rsidTr="00D06FF5">
        <w:tc>
          <w:tcPr>
            <w:tcW w:w="9350" w:type="dxa"/>
          </w:tcPr>
          <w:p w14:paraId="185B6FEF" w14:textId="01355C3A" w:rsidR="00D06FF5" w:rsidRPr="00FF00AE" w:rsidRDefault="00D06FF5" w:rsidP="00D06FF5">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14</w:t>
            </w:r>
            <w:r w:rsidRPr="00FF00AE">
              <w:rPr>
                <w:rFonts w:asciiTheme="minorHAnsi" w:eastAsia="Times New Roman" w:hAnsiTheme="minorHAnsi" w:cs="Arial"/>
                <w:b/>
              </w:rPr>
              <w:t>:</w:t>
            </w:r>
            <w:r w:rsidRPr="00FF00AE">
              <w:rPr>
                <w:rFonts w:asciiTheme="minorHAnsi" w:eastAsia="Times New Roman" w:hAnsiTheme="minorHAnsi" w:cs="Arial"/>
              </w:rPr>
              <w:t xml:space="preserve"> Page 4 of 24 – Need clarification on the following items:</w:t>
            </w:r>
            <w:r w:rsidRPr="00FF00AE">
              <w:rPr>
                <w:rFonts w:asciiTheme="minorHAnsi" w:eastAsia="Times New Roman" w:hAnsiTheme="minorHAnsi"/>
              </w:rPr>
              <w:t xml:space="preserve"> </w:t>
            </w:r>
          </w:p>
          <w:p w14:paraId="06E1D07C" w14:textId="77777777" w:rsidR="00D06FF5" w:rsidRPr="00FF00AE" w:rsidRDefault="00D06FF5" w:rsidP="00FA3002">
            <w:pPr>
              <w:rPr>
                <w:rFonts w:asciiTheme="minorHAnsi" w:eastAsia="Times New Roman" w:hAnsiTheme="minorHAnsi" w:cs="Arial"/>
              </w:rPr>
            </w:pPr>
          </w:p>
        </w:tc>
      </w:tr>
      <w:tr w:rsidR="00C8692D" w:rsidRPr="00FF00AE" w14:paraId="094880FC" w14:textId="77777777" w:rsidTr="00D06FF5">
        <w:tc>
          <w:tcPr>
            <w:tcW w:w="9350" w:type="dxa"/>
          </w:tcPr>
          <w:p w14:paraId="6985CD47" w14:textId="77777777" w:rsidR="00D06FF5" w:rsidRPr="00FF00AE" w:rsidRDefault="00D06FF5" w:rsidP="00D06FF5">
            <w:pPr>
              <w:rPr>
                <w:rFonts w:asciiTheme="minorHAnsi" w:eastAsia="Times New Roman" w:hAnsiTheme="minorHAnsi" w:cs="Arial"/>
              </w:rPr>
            </w:pPr>
            <w:r w:rsidRPr="00FF00AE">
              <w:rPr>
                <w:rFonts w:asciiTheme="minorHAnsi" w:eastAsia="Times New Roman" w:hAnsiTheme="minorHAnsi" w:cs="Arial"/>
              </w:rPr>
              <w:t>(a) An appraisal report prepared for the HFA that is USPAP and MAP compliant may be submitted with the application; these reports can be over 120 days from the time of the application submission.  Please confirm that HUD still requires that the MAP compliant appraisal be dated within 120 days.</w:t>
            </w:r>
          </w:p>
          <w:p w14:paraId="4D2115A7" w14:textId="77777777" w:rsidR="00D06FF5" w:rsidRPr="00FF00AE" w:rsidRDefault="00D06FF5" w:rsidP="00FA3002">
            <w:pPr>
              <w:rPr>
                <w:rFonts w:asciiTheme="minorHAnsi" w:eastAsia="Times New Roman" w:hAnsiTheme="minorHAnsi" w:cs="Arial"/>
              </w:rPr>
            </w:pPr>
          </w:p>
        </w:tc>
      </w:tr>
      <w:tr w:rsidR="00C8692D" w:rsidRPr="00FF00AE" w14:paraId="68D521B8" w14:textId="77777777" w:rsidTr="00D06FF5">
        <w:tc>
          <w:tcPr>
            <w:tcW w:w="9350" w:type="dxa"/>
          </w:tcPr>
          <w:p w14:paraId="3D890ACE" w14:textId="77777777" w:rsidR="00D06FF5" w:rsidRPr="00FF00AE" w:rsidRDefault="00D06FF5" w:rsidP="00FA3002">
            <w:pPr>
              <w:rPr>
                <w:sz w:val="23"/>
                <w:szCs w:val="23"/>
              </w:rPr>
            </w:pPr>
            <w:r w:rsidRPr="00FF00AE">
              <w:rPr>
                <w:rFonts w:asciiTheme="minorHAnsi" w:eastAsia="Times New Roman" w:hAnsiTheme="minorHAnsi" w:cs="Arial"/>
                <w:i/>
              </w:rPr>
              <w:t xml:space="preserve">Reply: </w:t>
            </w:r>
            <w:r w:rsidR="00B3181F" w:rsidRPr="008C35BE">
              <w:rPr>
                <w:i/>
                <w:sz w:val="23"/>
                <w:szCs w:val="23"/>
              </w:rPr>
              <w:t>For Firm Commitments, the effective date of the appraisal must be within 180 calendar days prior to the issuance of the Firm Commitment.</w:t>
            </w:r>
          </w:p>
          <w:p w14:paraId="4D7050B6" w14:textId="33506D4A" w:rsidR="00B7131A" w:rsidRPr="00FF00AE" w:rsidRDefault="00B7131A" w:rsidP="00FA3002">
            <w:pPr>
              <w:rPr>
                <w:rFonts w:asciiTheme="minorHAnsi" w:eastAsia="Times New Roman" w:hAnsiTheme="minorHAnsi" w:cs="Arial"/>
                <w:i/>
              </w:rPr>
            </w:pPr>
          </w:p>
        </w:tc>
      </w:tr>
      <w:tr w:rsidR="00C8692D" w:rsidRPr="00FF00AE" w14:paraId="42277E03" w14:textId="77777777" w:rsidTr="00D06FF5">
        <w:tc>
          <w:tcPr>
            <w:tcW w:w="9350" w:type="dxa"/>
          </w:tcPr>
          <w:p w14:paraId="537B743F" w14:textId="77777777" w:rsidR="00D06FF5" w:rsidRPr="00FF00AE" w:rsidRDefault="00D06FF5" w:rsidP="00FA3002">
            <w:pPr>
              <w:rPr>
                <w:rFonts w:asciiTheme="minorHAnsi" w:eastAsia="Times New Roman" w:hAnsiTheme="minorHAnsi" w:cs="Arial"/>
              </w:rPr>
            </w:pPr>
          </w:p>
        </w:tc>
      </w:tr>
      <w:tr w:rsidR="00C8692D" w:rsidRPr="00FF00AE" w14:paraId="0B919E9A" w14:textId="77777777" w:rsidTr="00D06FF5">
        <w:tc>
          <w:tcPr>
            <w:tcW w:w="9350" w:type="dxa"/>
          </w:tcPr>
          <w:p w14:paraId="001A0CDD" w14:textId="77777777" w:rsidR="00D06FF5" w:rsidRPr="00FF00AE" w:rsidRDefault="00D06FF5" w:rsidP="00FA3002">
            <w:pPr>
              <w:rPr>
                <w:rFonts w:asciiTheme="minorHAnsi" w:eastAsia="Times New Roman" w:hAnsiTheme="minorHAnsi" w:cs="Arial"/>
              </w:rPr>
            </w:pPr>
            <w:r w:rsidRPr="00FF00AE">
              <w:rPr>
                <w:rFonts w:asciiTheme="minorHAnsi" w:eastAsia="Times New Roman" w:hAnsiTheme="minorHAnsi" w:cs="Arial"/>
                <w:b/>
              </w:rPr>
              <w:t xml:space="preserve">(b) </w:t>
            </w:r>
            <w:r w:rsidRPr="00FF00AE">
              <w:rPr>
                <w:rFonts w:asciiTheme="minorHAnsi" w:eastAsia="Times New Roman" w:hAnsiTheme="minorHAnsi" w:cs="Arial"/>
              </w:rPr>
              <w:t>If a market study is required, HUD allows for the borrower to engage for the report.  Please confirm that this report must be MAP compliant and dated within 120 days of submission (and 180 days within the issuance or re-issuance of the Firm Commitment/Amendment</w:t>
            </w:r>
            <w:r w:rsidR="00892670" w:rsidRPr="00FF00AE">
              <w:rPr>
                <w:rFonts w:asciiTheme="minorHAnsi" w:eastAsia="Times New Roman" w:hAnsiTheme="minorHAnsi" w:cs="Arial"/>
              </w:rPr>
              <w:t>.</w:t>
            </w:r>
          </w:p>
          <w:p w14:paraId="026C309D" w14:textId="77777777" w:rsidR="00892670" w:rsidRPr="00FF00AE" w:rsidRDefault="00892670" w:rsidP="00FA3002">
            <w:pPr>
              <w:rPr>
                <w:rFonts w:asciiTheme="minorHAnsi" w:eastAsia="Times New Roman" w:hAnsiTheme="minorHAnsi" w:cs="Arial"/>
              </w:rPr>
            </w:pPr>
          </w:p>
        </w:tc>
      </w:tr>
      <w:tr w:rsidR="00C8692D" w:rsidRPr="00FF00AE" w14:paraId="413ED44E" w14:textId="77777777" w:rsidTr="00D06FF5">
        <w:tc>
          <w:tcPr>
            <w:tcW w:w="9350" w:type="dxa"/>
          </w:tcPr>
          <w:p w14:paraId="6C7E3832" w14:textId="77777777" w:rsidR="00D06FF5" w:rsidRPr="00FF00AE" w:rsidRDefault="00892670"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9D2696" w:rsidRPr="00FF00AE">
              <w:rPr>
                <w:rFonts w:asciiTheme="minorHAnsi" w:eastAsia="Times New Roman" w:hAnsiTheme="minorHAnsi" w:cs="Arial"/>
                <w:i/>
              </w:rPr>
              <w:t xml:space="preserve">  The report must be MAP-compliant.  For Firm Commitments, the effective date of the study must be within 180 days prior to the issuance, re-issuance or amendment of the Firm Commitment.  See the Memo, MAP Guide 2016 Implementation and Clarifications, issued July 5, 2016.  </w:t>
            </w:r>
          </w:p>
        </w:tc>
      </w:tr>
      <w:tr w:rsidR="00892670" w:rsidRPr="00FF00AE" w14:paraId="6201529E" w14:textId="77777777" w:rsidTr="00D06FF5">
        <w:tc>
          <w:tcPr>
            <w:tcW w:w="9350" w:type="dxa"/>
          </w:tcPr>
          <w:p w14:paraId="2263996B" w14:textId="77777777" w:rsidR="00892670" w:rsidRPr="00FF00AE" w:rsidRDefault="00892670" w:rsidP="00FA3002">
            <w:pPr>
              <w:rPr>
                <w:rFonts w:asciiTheme="minorHAnsi" w:eastAsia="Times New Roman" w:hAnsiTheme="minorHAnsi" w:cs="Arial"/>
              </w:rPr>
            </w:pPr>
          </w:p>
        </w:tc>
      </w:tr>
      <w:tr w:rsidR="00C8692D" w:rsidRPr="00FF00AE" w14:paraId="33BD282D" w14:textId="77777777" w:rsidTr="00D06FF5">
        <w:tc>
          <w:tcPr>
            <w:tcW w:w="9350" w:type="dxa"/>
          </w:tcPr>
          <w:p w14:paraId="4326E8AA" w14:textId="6892941C" w:rsidR="00D06FF5" w:rsidRPr="00FF00AE" w:rsidRDefault="00D06FF5" w:rsidP="00FA3002">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15</w:t>
            </w:r>
            <w:r w:rsidRPr="00FF00AE">
              <w:rPr>
                <w:rFonts w:asciiTheme="minorHAnsi" w:eastAsia="Times New Roman" w:hAnsiTheme="minorHAnsi" w:cs="Arial"/>
                <w:b/>
              </w:rPr>
              <w:t>:</w:t>
            </w:r>
            <w:r w:rsidRPr="00FF00AE">
              <w:rPr>
                <w:rFonts w:asciiTheme="minorHAnsi" w:eastAsia="Times New Roman" w:hAnsiTheme="minorHAnsi" w:cs="Arial"/>
              </w:rPr>
              <w:t xml:space="preserve"> Page 4/5 of 24 - During the LIHTC training, it would be helpful for HUD to clarify as to exactly what HUD will delegate to the Lender.  For example, on the top of page 5 of 24, DPU may consult with EMAD in assessing market conditions for market rate units.  If the property is 100% LIHTC / affordable, does DPU consult with EMAD still?  The notice does not mention HUD completing a valuation review.  Will HUD complete a valuation rev</w:t>
            </w:r>
            <w:r w:rsidR="00150790" w:rsidRPr="00FF00AE">
              <w:rPr>
                <w:rFonts w:asciiTheme="minorHAnsi" w:eastAsia="Times New Roman" w:hAnsiTheme="minorHAnsi" w:cs="Arial"/>
              </w:rPr>
              <w:t>iew on the expedited processing?</w:t>
            </w:r>
          </w:p>
          <w:p w14:paraId="46B89F1E" w14:textId="77777777" w:rsidR="00D06FF5" w:rsidRPr="00FF00AE" w:rsidRDefault="00D06FF5" w:rsidP="00FA3002">
            <w:pPr>
              <w:rPr>
                <w:rFonts w:asciiTheme="minorHAnsi" w:eastAsia="Times New Roman" w:hAnsiTheme="minorHAnsi" w:cs="Arial"/>
              </w:rPr>
            </w:pPr>
          </w:p>
        </w:tc>
      </w:tr>
      <w:tr w:rsidR="00C8692D" w:rsidRPr="00FF00AE" w14:paraId="7775871E" w14:textId="77777777" w:rsidTr="00D06FF5">
        <w:tc>
          <w:tcPr>
            <w:tcW w:w="9350" w:type="dxa"/>
          </w:tcPr>
          <w:p w14:paraId="7ABB1DDC" w14:textId="77F8F76E"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5B37AA" w:rsidRPr="00FF00AE">
              <w:rPr>
                <w:rFonts w:asciiTheme="minorHAnsi" w:eastAsia="Times New Roman" w:hAnsiTheme="minorHAnsi" w:cs="Arial"/>
                <w:i/>
              </w:rPr>
              <w:t xml:space="preserve">  </w:t>
            </w:r>
            <w:r w:rsidR="00284195" w:rsidRPr="00FF00AE">
              <w:rPr>
                <w:rFonts w:asciiTheme="minorHAnsi" w:eastAsia="Times New Roman" w:hAnsiTheme="minorHAnsi" w:cs="Arial"/>
                <w:i/>
              </w:rPr>
              <w:t>HUD will clarify what HUD will delegate to the Lender</w:t>
            </w:r>
            <w:r w:rsidR="00DA13E6">
              <w:rPr>
                <w:rFonts w:asciiTheme="minorHAnsi" w:eastAsia="Times New Roman" w:hAnsiTheme="minorHAnsi" w:cs="Arial"/>
                <w:i/>
              </w:rPr>
              <w:t xml:space="preserve"> during the training on April 16th</w:t>
            </w:r>
            <w:r w:rsidR="00284195" w:rsidRPr="00FF00AE">
              <w:rPr>
                <w:rFonts w:asciiTheme="minorHAnsi" w:eastAsia="Times New Roman" w:hAnsiTheme="minorHAnsi" w:cs="Arial"/>
                <w:i/>
              </w:rPr>
              <w:t xml:space="preserve">.  With regards to the EMAD review, the Designated Pilot Underwriter will review the lender’s conclusions as to the acceptability of the market.  The DPU may consult with </w:t>
            </w:r>
            <w:r w:rsidR="00CF44A4" w:rsidRPr="00FF00AE">
              <w:rPr>
                <w:rFonts w:asciiTheme="minorHAnsi" w:eastAsia="Times New Roman" w:hAnsiTheme="minorHAnsi" w:cs="Arial"/>
                <w:i/>
              </w:rPr>
              <w:t>EMAD but</w:t>
            </w:r>
            <w:r w:rsidR="00284195" w:rsidRPr="00FF00AE">
              <w:rPr>
                <w:rFonts w:asciiTheme="minorHAnsi" w:eastAsia="Times New Roman" w:hAnsiTheme="minorHAnsi" w:cs="Arial"/>
                <w:i/>
              </w:rPr>
              <w:t xml:space="preserve"> makes the final recommendation to the team leader regarding market demand for the project.  If the property is 100% LIHTC, the DPU may consult with EMAD.  With regards to the valuation review, the DPU will review the lender’s conclusions as to the acceptability of the appraisal report and the lender is responsible for justifying any changes to the Appraiser’s conclusions.  The lender’s assessment must be properly documented in the Lender’s Narrative.</w:t>
            </w:r>
          </w:p>
        </w:tc>
      </w:tr>
      <w:tr w:rsidR="00C8692D" w:rsidRPr="00FF00AE" w14:paraId="4E4F8632" w14:textId="77777777" w:rsidTr="00D06FF5">
        <w:tc>
          <w:tcPr>
            <w:tcW w:w="9350" w:type="dxa"/>
          </w:tcPr>
          <w:p w14:paraId="72CD7006" w14:textId="77777777" w:rsidR="00D06FF5" w:rsidRPr="00FF00AE" w:rsidRDefault="00D06FF5" w:rsidP="00FA3002">
            <w:pPr>
              <w:rPr>
                <w:rFonts w:asciiTheme="minorHAnsi" w:eastAsia="Times New Roman" w:hAnsiTheme="minorHAnsi" w:cs="Arial"/>
              </w:rPr>
            </w:pPr>
          </w:p>
        </w:tc>
      </w:tr>
      <w:tr w:rsidR="00C8692D" w:rsidRPr="00FF00AE" w14:paraId="3BE0799C" w14:textId="77777777" w:rsidTr="00D06FF5">
        <w:tc>
          <w:tcPr>
            <w:tcW w:w="9350" w:type="dxa"/>
          </w:tcPr>
          <w:p w14:paraId="5BDC1B48" w14:textId="27B227A1" w:rsidR="00D06FF5" w:rsidRPr="00FF00AE" w:rsidRDefault="00D06FF5" w:rsidP="00FA3002">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16</w:t>
            </w:r>
            <w:r w:rsidRPr="00FF00AE">
              <w:rPr>
                <w:rFonts w:asciiTheme="minorHAnsi" w:eastAsia="Times New Roman" w:hAnsiTheme="minorHAnsi" w:cs="Arial"/>
                <w:b/>
              </w:rPr>
              <w:t>:</w:t>
            </w:r>
            <w:r w:rsidRPr="00FF00AE">
              <w:rPr>
                <w:rFonts w:asciiTheme="minorHAnsi" w:eastAsia="Times New Roman" w:hAnsiTheme="minorHAnsi" w:cs="Arial"/>
              </w:rPr>
              <w:t xml:space="preserve"> Page 4/5 of 24 – the last sentence on page 4 states that “the </w:t>
            </w:r>
            <w:r w:rsidRPr="00FF00AE">
              <w:rPr>
                <w:rFonts w:asciiTheme="minorHAnsi" w:eastAsia="Times New Roman" w:hAnsiTheme="minorHAnsi" w:cs="Arial"/>
                <w:b/>
                <w:bCs/>
                <w:u w:val="single"/>
              </w:rPr>
              <w:t>lender’s certification</w:t>
            </w:r>
            <w:r w:rsidRPr="00FF00AE">
              <w:rPr>
                <w:rFonts w:asciiTheme="minorHAnsi" w:eastAsia="Times New Roman" w:hAnsiTheme="minorHAnsi" w:cs="Arial"/>
              </w:rPr>
              <w:t xml:space="preserve"> for compliance with civil rights laws, applicable accessibility requirements, and lead safety requirements”.  Is HUD requiring a Lender’s Certification for these items?  It would be best if the Architect certify to these requirements (which is something that is typically already provided.  Please clarify as to what HUD is requiring for this certification.</w:t>
            </w:r>
          </w:p>
          <w:p w14:paraId="260F814F" w14:textId="77777777" w:rsidR="00D06FF5" w:rsidRPr="00FF00AE" w:rsidRDefault="00D06FF5" w:rsidP="00FA3002">
            <w:pPr>
              <w:rPr>
                <w:rFonts w:asciiTheme="minorHAnsi" w:eastAsia="Times New Roman" w:hAnsiTheme="minorHAnsi" w:cs="Arial"/>
              </w:rPr>
            </w:pPr>
          </w:p>
        </w:tc>
      </w:tr>
      <w:tr w:rsidR="00C8692D" w:rsidRPr="00FF00AE" w14:paraId="586E894F" w14:textId="77777777" w:rsidTr="00D06FF5">
        <w:tc>
          <w:tcPr>
            <w:tcW w:w="9350" w:type="dxa"/>
          </w:tcPr>
          <w:p w14:paraId="2DA61B35" w14:textId="77777777" w:rsidR="00D06FF5" w:rsidRPr="00FF00AE" w:rsidRDefault="00D06FF5"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B30ABB" w:rsidRPr="00FF00AE">
              <w:rPr>
                <w:rFonts w:asciiTheme="minorHAnsi" w:eastAsia="Times New Roman" w:hAnsiTheme="minorHAnsi" w:cs="Arial"/>
                <w:i/>
              </w:rPr>
              <w:t xml:space="preserve"> MAP Guide Appendix 5.B</w:t>
            </w:r>
            <w:r w:rsidR="00012ABF" w:rsidRPr="00FF00AE">
              <w:rPr>
                <w:rFonts w:asciiTheme="minorHAnsi" w:eastAsia="Times New Roman" w:hAnsiTheme="minorHAnsi" w:cs="Arial"/>
                <w:i/>
              </w:rPr>
              <w:t xml:space="preserve"> outlines the accessibility standards the Lender is required to assure compliance with.  The Design Architect is responsible for submitting MAP Guide Appendix 5H.1 which </w:t>
            </w:r>
            <w:r w:rsidR="00012ABF" w:rsidRPr="00FF00AE">
              <w:rPr>
                <w:rFonts w:asciiTheme="minorHAnsi" w:eastAsia="Times New Roman" w:hAnsiTheme="minorHAnsi" w:cs="Arial"/>
                <w:i/>
              </w:rPr>
              <w:lastRenderedPageBreak/>
              <w:t xml:space="preserve">also addresses compliance with accessibility.  The Consolidated Borrower’s Certification, which is required for Closing, includes a section related to compliance with accessibility as well. </w:t>
            </w:r>
          </w:p>
        </w:tc>
      </w:tr>
      <w:tr w:rsidR="008870C4" w:rsidRPr="00FF00AE" w14:paraId="5EBA9A35" w14:textId="77777777" w:rsidTr="00D06FF5">
        <w:tc>
          <w:tcPr>
            <w:tcW w:w="9350" w:type="dxa"/>
          </w:tcPr>
          <w:p w14:paraId="2396795D" w14:textId="77777777" w:rsidR="008870C4" w:rsidRPr="00FF00AE" w:rsidRDefault="008870C4" w:rsidP="00FA3002">
            <w:pPr>
              <w:rPr>
                <w:rFonts w:asciiTheme="minorHAnsi" w:eastAsia="Times New Roman" w:hAnsiTheme="minorHAnsi" w:cs="Arial"/>
                <w:b/>
                <w:u w:val="single"/>
              </w:rPr>
            </w:pPr>
          </w:p>
        </w:tc>
      </w:tr>
      <w:tr w:rsidR="008870C4" w:rsidRPr="00FF00AE" w14:paraId="6FBFB22E" w14:textId="77777777" w:rsidTr="00D06FF5">
        <w:tc>
          <w:tcPr>
            <w:tcW w:w="9350" w:type="dxa"/>
          </w:tcPr>
          <w:p w14:paraId="14E351A4" w14:textId="327189BB" w:rsidR="008870C4" w:rsidRPr="00FF00AE" w:rsidRDefault="008870C4" w:rsidP="00653669">
            <w:pPr>
              <w:rPr>
                <w:rFonts w:asciiTheme="minorHAnsi" w:eastAsia="Times New Roman" w:hAnsiTheme="minorHAnsi" w:cs="Arial"/>
                <w:b/>
                <w:u w:val="single"/>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17</w:t>
            </w:r>
            <w:r w:rsidRPr="00FF00AE">
              <w:rPr>
                <w:rFonts w:asciiTheme="minorHAnsi" w:eastAsia="Times New Roman" w:hAnsiTheme="minorHAnsi" w:cs="Arial"/>
                <w:b/>
              </w:rPr>
              <w:t>:</w:t>
            </w:r>
            <w:r w:rsidR="001D01B7" w:rsidRPr="00FF00AE">
              <w:rPr>
                <w:rFonts w:asciiTheme="minorHAnsi" w:eastAsia="Times New Roman" w:hAnsiTheme="minorHAnsi" w:cs="Arial"/>
                <w:b/>
              </w:rPr>
              <w:t xml:space="preserve"> - </w:t>
            </w:r>
            <w:r w:rsidRPr="00FF00AE">
              <w:rPr>
                <w:rFonts w:asciiTheme="minorHAnsi" w:hAnsiTheme="minorHAnsi"/>
              </w:rPr>
              <w:t xml:space="preserve">V.A – In the last paragraph on page 4 discussing the DPU review, item e refers to “the lender’s certification for compliance with civil rights laws, applicable accessibility requirements, and lead safety requirements.”  Does this refer to the various certifications obtained under MAP processing or is there a new Lender certification envisioned?  </w:t>
            </w:r>
          </w:p>
        </w:tc>
      </w:tr>
      <w:tr w:rsidR="008870C4" w:rsidRPr="00FF00AE" w14:paraId="72D8EAAC" w14:textId="77777777" w:rsidTr="00D06FF5">
        <w:tc>
          <w:tcPr>
            <w:tcW w:w="9350" w:type="dxa"/>
          </w:tcPr>
          <w:p w14:paraId="282371FE" w14:textId="77777777" w:rsidR="008870C4" w:rsidRPr="00FF00AE" w:rsidRDefault="008870C4" w:rsidP="00FA3002">
            <w:pPr>
              <w:rPr>
                <w:rFonts w:asciiTheme="minorHAnsi" w:eastAsia="Times New Roman" w:hAnsiTheme="minorHAnsi" w:cs="Arial"/>
                <w:i/>
              </w:rPr>
            </w:pPr>
            <w:r w:rsidRPr="00FF00AE">
              <w:rPr>
                <w:rFonts w:asciiTheme="minorHAnsi" w:eastAsia="Times New Roman" w:hAnsiTheme="minorHAnsi" w:cs="Arial"/>
                <w:i/>
              </w:rPr>
              <w:t>Reply:</w:t>
            </w:r>
            <w:r w:rsidR="00012ABF" w:rsidRPr="00FF00AE">
              <w:rPr>
                <w:rFonts w:asciiTheme="minorHAnsi" w:eastAsia="Times New Roman" w:hAnsiTheme="minorHAnsi" w:cs="Arial"/>
                <w:i/>
              </w:rPr>
              <w:t xml:space="preserve"> MAP Guide Appendix 5.B outlines the accessibility standards the Lender is required to assure compliance with.  The Design Architect is responsible for submitting MAP Guide Appendix 5H.1 which also addresses compliance with accessibility.  The Consolidated Borrower’s Certification, which is required for Closing, includes a section related to compliance with accessibility as well.</w:t>
            </w:r>
          </w:p>
        </w:tc>
      </w:tr>
      <w:tr w:rsidR="001D01B7" w:rsidRPr="00FF00AE" w14:paraId="1E9951CC" w14:textId="77777777" w:rsidTr="00D06FF5">
        <w:tc>
          <w:tcPr>
            <w:tcW w:w="9350" w:type="dxa"/>
          </w:tcPr>
          <w:p w14:paraId="06AFBAAE" w14:textId="77777777" w:rsidR="001D01B7" w:rsidRPr="00FF00AE" w:rsidRDefault="001D01B7" w:rsidP="00FA3002">
            <w:pPr>
              <w:rPr>
                <w:rFonts w:asciiTheme="minorHAnsi" w:eastAsia="Times New Roman" w:hAnsiTheme="minorHAnsi" w:cs="Arial"/>
                <w:b/>
                <w:u w:val="single"/>
              </w:rPr>
            </w:pPr>
          </w:p>
        </w:tc>
      </w:tr>
      <w:tr w:rsidR="001D01B7" w:rsidRPr="00FF00AE" w14:paraId="6618A475" w14:textId="77777777" w:rsidTr="00D06FF5">
        <w:tc>
          <w:tcPr>
            <w:tcW w:w="9350" w:type="dxa"/>
          </w:tcPr>
          <w:p w14:paraId="7AE3B581" w14:textId="3D0916D3" w:rsidR="001D01B7" w:rsidRPr="00FF00AE" w:rsidRDefault="001D01B7" w:rsidP="001D01B7">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18</w:t>
            </w:r>
            <w:r w:rsidRPr="00FF00AE">
              <w:rPr>
                <w:rFonts w:asciiTheme="minorHAnsi" w:eastAsia="Times New Roman" w:hAnsiTheme="minorHAnsi" w:cs="Arial"/>
              </w:rPr>
              <w:t>: Section A, 4</w:t>
            </w:r>
            <w:r w:rsidRPr="00FF00AE">
              <w:rPr>
                <w:rFonts w:asciiTheme="minorHAnsi" w:eastAsia="Times New Roman" w:hAnsiTheme="minorHAnsi" w:cs="Arial"/>
                <w:vertAlign w:val="superscript"/>
              </w:rPr>
              <w:t>th</w:t>
            </w:r>
            <w:r w:rsidRPr="00FF00AE">
              <w:rPr>
                <w:rFonts w:asciiTheme="minorHAnsi" w:eastAsia="Times New Roman" w:hAnsiTheme="minorHAnsi" w:cs="Arial"/>
              </w:rPr>
              <w:t xml:space="preserve"> Paragraph – The stated goal to get to closing is 60 days.  Please confirm that closing can occur prior to 60 days. </w:t>
            </w:r>
          </w:p>
          <w:p w14:paraId="0CB71120" w14:textId="77777777" w:rsidR="00967248" w:rsidRPr="00FF00AE" w:rsidRDefault="00967248" w:rsidP="001D01B7">
            <w:pPr>
              <w:rPr>
                <w:rFonts w:asciiTheme="minorHAnsi" w:eastAsia="Times New Roman" w:hAnsiTheme="minorHAnsi" w:cs="Arial"/>
                <w:b/>
                <w:u w:val="single"/>
              </w:rPr>
            </w:pPr>
          </w:p>
        </w:tc>
      </w:tr>
      <w:tr w:rsidR="00B3150D" w:rsidRPr="00FF00AE" w14:paraId="2F9AAE71" w14:textId="77777777" w:rsidTr="00D06FF5">
        <w:tc>
          <w:tcPr>
            <w:tcW w:w="9350" w:type="dxa"/>
          </w:tcPr>
          <w:p w14:paraId="5A6A004F" w14:textId="7E5CE2DD" w:rsidR="00B3150D" w:rsidRPr="00FF00AE" w:rsidRDefault="00B3150D" w:rsidP="00B3150D">
            <w:pPr>
              <w:rPr>
                <w:rFonts w:asciiTheme="minorHAnsi" w:eastAsia="Times New Roman" w:hAnsiTheme="minorHAnsi" w:cs="Arial"/>
                <w:i/>
              </w:rPr>
            </w:pPr>
            <w:r w:rsidRPr="00FF00AE">
              <w:rPr>
                <w:rFonts w:asciiTheme="minorHAnsi" w:eastAsia="Times New Roman" w:hAnsiTheme="minorHAnsi" w:cs="Arial"/>
                <w:i/>
              </w:rPr>
              <w:t>Reply: Yes, if</w:t>
            </w:r>
            <w:r w:rsidR="00653669" w:rsidRPr="00FF00AE">
              <w:rPr>
                <w:rFonts w:asciiTheme="minorHAnsi" w:eastAsia="Times New Roman" w:hAnsiTheme="minorHAnsi" w:cs="Arial"/>
                <w:i/>
              </w:rPr>
              <w:t xml:space="preserve"> the</w:t>
            </w:r>
            <w:r w:rsidRPr="00FF00AE">
              <w:rPr>
                <w:rFonts w:asciiTheme="minorHAnsi" w:eastAsia="Times New Roman" w:hAnsiTheme="minorHAnsi" w:cs="Arial"/>
                <w:i/>
              </w:rPr>
              <w:t xml:space="preserve"> closing package is complete</w:t>
            </w:r>
            <w:r w:rsidR="000F454C" w:rsidRPr="00FF00AE">
              <w:rPr>
                <w:rFonts w:asciiTheme="minorHAnsi" w:eastAsia="Times New Roman" w:hAnsiTheme="minorHAnsi" w:cs="Arial"/>
                <w:i/>
              </w:rPr>
              <w:t xml:space="preserve"> and acceptable</w:t>
            </w:r>
            <w:r w:rsidR="00653669" w:rsidRPr="00FF00AE">
              <w:rPr>
                <w:rFonts w:asciiTheme="minorHAnsi" w:eastAsia="Times New Roman" w:hAnsiTheme="minorHAnsi" w:cs="Arial"/>
                <w:i/>
              </w:rPr>
              <w:t xml:space="preserve">, </w:t>
            </w:r>
            <w:r w:rsidRPr="00FF00AE">
              <w:rPr>
                <w:rFonts w:asciiTheme="minorHAnsi" w:eastAsia="Times New Roman" w:hAnsiTheme="minorHAnsi" w:cs="Arial"/>
                <w:i/>
              </w:rPr>
              <w:t xml:space="preserve">it is possible to close prior to 60 days.  </w:t>
            </w:r>
          </w:p>
        </w:tc>
      </w:tr>
      <w:tr w:rsidR="00B3150D" w:rsidRPr="00FF00AE" w14:paraId="43E17649" w14:textId="77777777" w:rsidTr="00D06FF5">
        <w:tc>
          <w:tcPr>
            <w:tcW w:w="9350" w:type="dxa"/>
          </w:tcPr>
          <w:p w14:paraId="5C22F36D" w14:textId="77777777" w:rsidR="00B3150D" w:rsidRPr="00FF00AE" w:rsidRDefault="00B3150D" w:rsidP="00B3150D">
            <w:pPr>
              <w:rPr>
                <w:rFonts w:asciiTheme="minorHAnsi" w:eastAsia="Times New Roman" w:hAnsiTheme="minorHAnsi" w:cs="Arial"/>
                <w:b/>
                <w:u w:val="single"/>
              </w:rPr>
            </w:pPr>
          </w:p>
        </w:tc>
      </w:tr>
      <w:tr w:rsidR="00B3150D" w:rsidRPr="00FF00AE" w14:paraId="25D36B62" w14:textId="77777777" w:rsidTr="00D06FF5">
        <w:tc>
          <w:tcPr>
            <w:tcW w:w="9350" w:type="dxa"/>
          </w:tcPr>
          <w:p w14:paraId="3B83B89E" w14:textId="5943A52B" w:rsidR="00B3150D" w:rsidRPr="00FF00AE" w:rsidRDefault="00B3150D" w:rsidP="00B3150D">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19</w:t>
            </w:r>
            <w:r w:rsidRPr="00FF00AE">
              <w:rPr>
                <w:rFonts w:asciiTheme="minorHAnsi" w:eastAsia="Times New Roman" w:hAnsiTheme="minorHAnsi" w:cs="Arial"/>
                <w:b/>
              </w:rPr>
              <w:t xml:space="preserve">: </w:t>
            </w:r>
            <w:r w:rsidRPr="00FF00AE">
              <w:t>Page 4, 5</w:t>
            </w:r>
            <w:r w:rsidRPr="00FF00AE">
              <w:rPr>
                <w:vertAlign w:val="superscript"/>
              </w:rPr>
              <w:t>th</w:t>
            </w:r>
            <w:r w:rsidRPr="00FF00AE">
              <w:t xml:space="preserve"> paragraph – indicates lender must engage all </w:t>
            </w:r>
            <w:proofErr w:type="gramStart"/>
            <w:r w:rsidRPr="00FF00AE">
              <w:t>third party</w:t>
            </w:r>
            <w:proofErr w:type="gramEnd"/>
            <w:r w:rsidRPr="00FF00AE">
              <w:t xml:space="preserve"> report, but later on it allows for the lender to use a borrower engaged market study.  This contradiction should be clarified.</w:t>
            </w:r>
          </w:p>
          <w:p w14:paraId="474E6708" w14:textId="77777777" w:rsidR="00B3150D" w:rsidRPr="00FF00AE" w:rsidRDefault="00B3150D" w:rsidP="00B3150D">
            <w:pPr>
              <w:rPr>
                <w:rFonts w:asciiTheme="minorHAnsi" w:eastAsia="Times New Roman" w:hAnsiTheme="minorHAnsi" w:cs="Arial"/>
                <w:b/>
                <w:u w:val="single"/>
              </w:rPr>
            </w:pPr>
          </w:p>
        </w:tc>
      </w:tr>
      <w:tr w:rsidR="00B3150D" w:rsidRPr="00FF00AE" w14:paraId="276454E2" w14:textId="77777777" w:rsidTr="00D06FF5">
        <w:tc>
          <w:tcPr>
            <w:tcW w:w="9350" w:type="dxa"/>
          </w:tcPr>
          <w:p w14:paraId="3ACB6166" w14:textId="77777777" w:rsidR="00B3150D" w:rsidRPr="00FF00AE" w:rsidRDefault="00B3150D" w:rsidP="00B3150D">
            <w:pPr>
              <w:rPr>
                <w:rFonts w:asciiTheme="minorHAnsi" w:eastAsia="Times New Roman" w:hAnsiTheme="minorHAnsi" w:cs="Arial"/>
                <w:i/>
              </w:rPr>
            </w:pPr>
            <w:r w:rsidRPr="00FF00AE">
              <w:rPr>
                <w:rFonts w:asciiTheme="minorHAnsi" w:eastAsia="Times New Roman" w:hAnsiTheme="minorHAnsi" w:cs="Arial"/>
                <w:i/>
              </w:rPr>
              <w:t xml:space="preserve">Reply: </w:t>
            </w:r>
            <w:r w:rsidR="006E4642" w:rsidRPr="00FF00AE">
              <w:rPr>
                <w:rFonts w:asciiTheme="minorHAnsi" w:eastAsia="Times New Roman" w:hAnsiTheme="minorHAnsi" w:cs="Arial"/>
                <w:i/>
              </w:rPr>
              <w:t xml:space="preserve"> The Market Study should be ordered and paid for by the lender.  However, a Market Study that has been prepared for the Borrower by a 3</w:t>
            </w:r>
            <w:r w:rsidR="006E4642" w:rsidRPr="00FF00AE">
              <w:rPr>
                <w:rFonts w:asciiTheme="minorHAnsi" w:eastAsia="Times New Roman" w:hAnsiTheme="minorHAnsi" w:cs="Arial"/>
                <w:i/>
                <w:vertAlign w:val="superscript"/>
              </w:rPr>
              <w:t>rd</w:t>
            </w:r>
            <w:r w:rsidR="006E4642" w:rsidRPr="00FF00AE">
              <w:rPr>
                <w:rFonts w:asciiTheme="minorHAnsi" w:eastAsia="Times New Roman" w:hAnsiTheme="minorHAnsi" w:cs="Arial"/>
                <w:i/>
              </w:rPr>
              <w:t xml:space="preserve"> party Market Analyst and meets all other Market Study requirements of the Guide, including timeliness, is acceptable. </w:t>
            </w:r>
          </w:p>
        </w:tc>
      </w:tr>
      <w:tr w:rsidR="00B3150D" w:rsidRPr="00FF00AE" w14:paraId="10DC1AC0" w14:textId="77777777" w:rsidTr="00D06FF5">
        <w:tc>
          <w:tcPr>
            <w:tcW w:w="9350" w:type="dxa"/>
          </w:tcPr>
          <w:p w14:paraId="4F1918E0" w14:textId="77777777" w:rsidR="00B3150D" w:rsidRPr="00FF00AE" w:rsidRDefault="00B3150D" w:rsidP="00B3150D">
            <w:pPr>
              <w:rPr>
                <w:rFonts w:asciiTheme="minorHAnsi" w:eastAsia="Times New Roman" w:hAnsiTheme="minorHAnsi" w:cs="Arial"/>
                <w:b/>
                <w:u w:val="single"/>
              </w:rPr>
            </w:pPr>
          </w:p>
        </w:tc>
      </w:tr>
      <w:tr w:rsidR="00B3150D" w:rsidRPr="00FF00AE" w14:paraId="11050295" w14:textId="77777777" w:rsidTr="00D06FF5">
        <w:tc>
          <w:tcPr>
            <w:tcW w:w="9350" w:type="dxa"/>
          </w:tcPr>
          <w:p w14:paraId="6C50E2EF" w14:textId="3ABE8D5C" w:rsidR="00B3150D" w:rsidRPr="00FF00AE" w:rsidRDefault="00B3150D" w:rsidP="00B3150D">
            <w:pPr>
              <w:contextualSpacing/>
              <w:rPr>
                <w:rFonts w:asciiTheme="minorHAnsi" w:eastAsia="Times New Roman" w:hAnsiTheme="minorHAnsi" w:cs="Arial"/>
                <w:b/>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20</w:t>
            </w:r>
            <w:r w:rsidRPr="00FF00AE">
              <w:rPr>
                <w:rFonts w:asciiTheme="minorHAnsi" w:eastAsia="Times New Roman" w:hAnsiTheme="minorHAnsi" w:cs="Arial"/>
                <w:b/>
                <w:u w:val="single"/>
              </w:rPr>
              <w:t>:</w:t>
            </w:r>
            <w:r w:rsidRPr="00FF00AE">
              <w:rPr>
                <w:rFonts w:asciiTheme="minorHAnsi" w:eastAsia="Times New Roman" w:hAnsiTheme="minorHAnsi" w:cs="Arial"/>
                <w:b/>
              </w:rPr>
              <w:t xml:space="preserve">  Designated Pilot Underwriters </w:t>
            </w:r>
          </w:p>
          <w:p w14:paraId="761ECCC1" w14:textId="77777777" w:rsidR="00B3150D" w:rsidRPr="00FF00AE" w:rsidRDefault="00B3150D" w:rsidP="00B3150D">
            <w:pPr>
              <w:contextualSpacing/>
              <w:rPr>
                <w:rFonts w:asciiTheme="minorHAnsi" w:eastAsia="Times New Roman" w:hAnsiTheme="minorHAnsi" w:cs="Arial"/>
                <w:b/>
              </w:rPr>
            </w:pPr>
          </w:p>
          <w:p w14:paraId="16A1F18A" w14:textId="77777777" w:rsidR="00B3150D" w:rsidRPr="00FF00AE" w:rsidRDefault="00B3150D" w:rsidP="00B3150D">
            <w:pPr>
              <w:contextualSpacing/>
            </w:pPr>
            <w:r w:rsidRPr="00FF00AE">
              <w:rPr>
                <w:rFonts w:asciiTheme="minorHAnsi" w:eastAsia="Times New Roman" w:hAnsiTheme="minorHAnsi" w:cs="Arial"/>
                <w:b/>
              </w:rPr>
              <w:t xml:space="preserve">(a) </w:t>
            </w:r>
            <w:r w:rsidRPr="00FF00AE">
              <w:t>Can we get a list of who are HUD’s Designated Pilot Underwriter (DPU) are? Where will they sit?  How may will there be.</w:t>
            </w:r>
          </w:p>
          <w:p w14:paraId="5DBC047C" w14:textId="77777777" w:rsidR="00B3150D" w:rsidRPr="00FF00AE" w:rsidRDefault="00B3150D" w:rsidP="00B3150D">
            <w:pPr>
              <w:rPr>
                <w:rFonts w:asciiTheme="minorHAnsi" w:eastAsia="Times New Roman" w:hAnsiTheme="minorHAnsi" w:cs="Arial"/>
                <w:b/>
                <w:u w:val="single"/>
              </w:rPr>
            </w:pPr>
          </w:p>
        </w:tc>
      </w:tr>
      <w:tr w:rsidR="00B3150D" w:rsidRPr="00FF00AE" w14:paraId="14B887CF" w14:textId="77777777" w:rsidTr="00D06FF5">
        <w:tc>
          <w:tcPr>
            <w:tcW w:w="9350" w:type="dxa"/>
          </w:tcPr>
          <w:p w14:paraId="0840D970" w14:textId="77777777" w:rsidR="00B3150D" w:rsidRPr="00FF00AE" w:rsidRDefault="00B3150D" w:rsidP="00B3150D">
            <w:pPr>
              <w:rPr>
                <w:rFonts w:asciiTheme="minorHAnsi" w:eastAsia="Times New Roman" w:hAnsiTheme="minorHAnsi" w:cs="Arial"/>
                <w:i/>
              </w:rPr>
            </w:pPr>
            <w:r w:rsidRPr="00FF00AE">
              <w:rPr>
                <w:rFonts w:asciiTheme="minorHAnsi" w:eastAsia="Times New Roman" w:hAnsiTheme="minorHAnsi" w:cs="Arial"/>
                <w:i/>
              </w:rPr>
              <w:t>Reply: Yes</w:t>
            </w:r>
            <w:r w:rsidR="00AA41FE" w:rsidRPr="00FF00AE">
              <w:rPr>
                <w:rFonts w:asciiTheme="minorHAnsi" w:eastAsia="Times New Roman" w:hAnsiTheme="minorHAnsi" w:cs="Arial"/>
                <w:i/>
              </w:rPr>
              <w:t>, an updated l</w:t>
            </w:r>
            <w:r w:rsidRPr="00FF00AE">
              <w:rPr>
                <w:rFonts w:asciiTheme="minorHAnsi" w:eastAsia="Times New Roman" w:hAnsiTheme="minorHAnsi" w:cs="Arial"/>
                <w:i/>
              </w:rPr>
              <w:t xml:space="preserve">ist of DPUs </w:t>
            </w:r>
            <w:r w:rsidR="00F32EA7" w:rsidRPr="00FF00AE">
              <w:rPr>
                <w:rFonts w:asciiTheme="minorHAnsi" w:eastAsia="Times New Roman" w:hAnsiTheme="minorHAnsi" w:cs="Arial"/>
                <w:i/>
              </w:rPr>
              <w:t>is maintained</w:t>
            </w:r>
            <w:r w:rsidRPr="00FF00AE">
              <w:rPr>
                <w:rFonts w:asciiTheme="minorHAnsi" w:eastAsia="Times New Roman" w:hAnsiTheme="minorHAnsi" w:cs="Arial"/>
                <w:i/>
              </w:rPr>
              <w:t xml:space="preserve"> </w:t>
            </w:r>
            <w:r w:rsidR="006E4642" w:rsidRPr="00FF00AE">
              <w:rPr>
                <w:rFonts w:asciiTheme="minorHAnsi" w:eastAsia="Times New Roman" w:hAnsiTheme="minorHAnsi" w:cs="Arial"/>
                <w:i/>
              </w:rPr>
              <w:t xml:space="preserve">at </w:t>
            </w:r>
            <w:hyperlink r:id="rId7" w:history="1">
              <w:r w:rsidR="00AA41FE" w:rsidRPr="00FF00AE">
                <w:rPr>
                  <w:rStyle w:val="Hyperlink"/>
                  <w:rFonts w:asciiTheme="minorHAnsi" w:eastAsia="Times New Roman" w:hAnsiTheme="minorHAnsi" w:cs="Arial"/>
                  <w:i/>
                </w:rPr>
                <w:t>https://www.hud.gov/program_offices/housing/mfh</w:t>
              </w:r>
            </w:hyperlink>
          </w:p>
          <w:p w14:paraId="3AE23FDB" w14:textId="77777777" w:rsidR="006E4642" w:rsidRPr="00FF00AE" w:rsidRDefault="006E4642" w:rsidP="00B3150D">
            <w:pPr>
              <w:rPr>
                <w:rFonts w:asciiTheme="minorHAnsi" w:eastAsia="Times New Roman" w:hAnsiTheme="minorHAnsi" w:cs="Arial"/>
                <w:i/>
              </w:rPr>
            </w:pPr>
          </w:p>
        </w:tc>
      </w:tr>
    </w:tbl>
    <w:p w14:paraId="50D02F0A" w14:textId="77777777" w:rsidR="00D06FF5" w:rsidRPr="00FF00AE" w:rsidRDefault="00D06FF5" w:rsidP="00FA3002">
      <w:pPr>
        <w:rPr>
          <w:rFonts w:asciiTheme="minorHAnsi" w:eastAsia="Times New Roman" w:hAnsiTheme="minorHAnsi"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7"/>
        <w:gridCol w:w="13"/>
      </w:tblGrid>
      <w:tr w:rsidR="00C8692D" w:rsidRPr="00FF00AE" w14:paraId="6DA921D7" w14:textId="77777777" w:rsidTr="005273E6">
        <w:trPr>
          <w:gridAfter w:val="1"/>
          <w:wAfter w:w="13" w:type="dxa"/>
        </w:trPr>
        <w:tc>
          <w:tcPr>
            <w:tcW w:w="9347" w:type="dxa"/>
          </w:tcPr>
          <w:p w14:paraId="5DA96654" w14:textId="3B41D6DE" w:rsidR="001D3D61" w:rsidRPr="00FF00AE" w:rsidRDefault="001D3D61" w:rsidP="001D3D61">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w:t>
            </w:r>
            <w:r w:rsidRPr="00FF00AE">
              <w:rPr>
                <w:rFonts w:asciiTheme="minorHAnsi" w:eastAsia="Times New Roman" w:hAnsiTheme="minorHAnsi" w:cs="Arial"/>
                <w:b/>
                <w:u w:val="single"/>
              </w:rPr>
              <w:t>1</w:t>
            </w:r>
            <w:r w:rsidRPr="00FF00AE">
              <w:rPr>
                <w:rFonts w:asciiTheme="minorHAnsi" w:eastAsia="Times New Roman" w:hAnsiTheme="minorHAnsi" w:cs="Arial"/>
              </w:rPr>
              <w:t xml:space="preserve">:  </w:t>
            </w:r>
            <w:proofErr w:type="spellStart"/>
            <w:r w:rsidRPr="00FF00AE">
              <w:t>Pg</w:t>
            </w:r>
            <w:proofErr w:type="spellEnd"/>
            <w:r w:rsidRPr="00FF00AE">
              <w:t xml:space="preserve"> 5 – 1</w:t>
            </w:r>
            <w:r w:rsidRPr="00FF00AE">
              <w:rPr>
                <w:vertAlign w:val="superscript"/>
              </w:rPr>
              <w:t>st</w:t>
            </w:r>
            <w:r w:rsidRPr="00FF00AE">
              <w:t xml:space="preserve"> paragraph – How will asset management be held accountable to keep their review periods in-line with your processing time frames noted in the memo? 30 days for expedited and 60 for standard…is very fast for some asset management groups. </w:t>
            </w:r>
          </w:p>
          <w:p w14:paraId="46C77A3C" w14:textId="77777777" w:rsidR="00D06FF5" w:rsidRPr="00FF00AE" w:rsidRDefault="00D06FF5" w:rsidP="001D3D61">
            <w:pPr>
              <w:rPr>
                <w:rFonts w:asciiTheme="minorHAnsi" w:eastAsia="Times New Roman" w:hAnsiTheme="minorHAnsi" w:cs="Arial"/>
                <w:b/>
                <w:u w:val="single"/>
              </w:rPr>
            </w:pPr>
          </w:p>
        </w:tc>
      </w:tr>
      <w:tr w:rsidR="001D3D61" w:rsidRPr="00FF00AE" w14:paraId="46659060" w14:textId="77777777" w:rsidTr="005273E6">
        <w:trPr>
          <w:gridAfter w:val="1"/>
          <w:wAfter w:w="13" w:type="dxa"/>
        </w:trPr>
        <w:tc>
          <w:tcPr>
            <w:tcW w:w="9347" w:type="dxa"/>
          </w:tcPr>
          <w:p w14:paraId="0C843157" w14:textId="77777777" w:rsidR="001D3D61" w:rsidRPr="00FF00AE" w:rsidRDefault="001D3D61" w:rsidP="00D06FF5">
            <w:pPr>
              <w:rPr>
                <w:rFonts w:asciiTheme="minorHAnsi" w:eastAsia="Times New Roman" w:hAnsiTheme="minorHAnsi" w:cs="Arial"/>
                <w:i/>
              </w:rPr>
            </w:pPr>
            <w:r w:rsidRPr="00FF00AE">
              <w:rPr>
                <w:rFonts w:asciiTheme="minorHAnsi" w:eastAsia="Times New Roman" w:hAnsiTheme="minorHAnsi" w:cs="Arial"/>
                <w:i/>
              </w:rPr>
              <w:t>Reply:</w:t>
            </w:r>
            <w:r w:rsidR="00985873" w:rsidRPr="00FF00AE">
              <w:rPr>
                <w:rFonts w:asciiTheme="minorHAnsi" w:eastAsia="Times New Roman" w:hAnsiTheme="minorHAnsi" w:cs="Arial"/>
                <w:i/>
              </w:rPr>
              <w:t xml:space="preserve">  Regional Office Directors have been notified of the timeframes targeted under the Pilot and are prepared to take steps to ensure Account Executives complete their reviews in a timely manner.  Lenders should be prepared to submit Management Agent documents very early on in the process, and preferably within a few days of received an Encouragement Letter post Concept Meeting.</w:t>
            </w:r>
          </w:p>
        </w:tc>
      </w:tr>
      <w:tr w:rsidR="001D3D61" w:rsidRPr="00FF00AE" w14:paraId="3045372E" w14:textId="77777777" w:rsidTr="005273E6">
        <w:trPr>
          <w:gridAfter w:val="1"/>
          <w:wAfter w:w="13" w:type="dxa"/>
        </w:trPr>
        <w:tc>
          <w:tcPr>
            <w:tcW w:w="9347" w:type="dxa"/>
          </w:tcPr>
          <w:p w14:paraId="41608E70" w14:textId="77777777" w:rsidR="001D3D61" w:rsidRPr="00FF00AE" w:rsidRDefault="001D3D61" w:rsidP="00D06FF5">
            <w:pPr>
              <w:rPr>
                <w:rFonts w:asciiTheme="minorHAnsi" w:eastAsia="Times New Roman" w:hAnsiTheme="minorHAnsi" w:cs="Arial"/>
                <w:b/>
                <w:u w:val="single"/>
              </w:rPr>
            </w:pPr>
          </w:p>
        </w:tc>
      </w:tr>
      <w:tr w:rsidR="00892670" w:rsidRPr="00FF00AE" w14:paraId="414111E3" w14:textId="77777777" w:rsidTr="005273E6">
        <w:trPr>
          <w:gridAfter w:val="1"/>
          <w:wAfter w:w="13" w:type="dxa"/>
        </w:trPr>
        <w:tc>
          <w:tcPr>
            <w:tcW w:w="9347" w:type="dxa"/>
          </w:tcPr>
          <w:p w14:paraId="05370BDF" w14:textId="344D5250" w:rsidR="00892670" w:rsidRPr="00FF00AE" w:rsidRDefault="00892670" w:rsidP="00892670">
            <w:r w:rsidRPr="00FF00AE">
              <w:rPr>
                <w:b/>
                <w:u w:val="single"/>
              </w:rPr>
              <w:t xml:space="preserve">Question </w:t>
            </w:r>
            <w:r w:rsidR="00B97AB0" w:rsidRPr="00FF00AE">
              <w:rPr>
                <w:b/>
                <w:u w:val="single"/>
              </w:rPr>
              <w:t>22</w:t>
            </w:r>
            <w:r w:rsidRPr="00FF00AE">
              <w:rPr>
                <w:b/>
              </w:rPr>
              <w:t>:</w:t>
            </w:r>
            <w:r w:rsidRPr="00FF00AE">
              <w:t xml:space="preserve"> Paragraph 8: should EMAD assess market condition for the unassisted/non S8 LIHTC and market units, rather than market rate units?  How often do 9% awards go to projects with market rate units?</w:t>
            </w:r>
          </w:p>
          <w:p w14:paraId="2BCF0D61" w14:textId="77777777" w:rsidR="00892670" w:rsidRPr="00FF00AE" w:rsidRDefault="00892670" w:rsidP="00FA3002">
            <w:pPr>
              <w:rPr>
                <w:rFonts w:asciiTheme="minorHAnsi" w:eastAsia="Times New Roman" w:hAnsiTheme="minorHAnsi" w:cs="Arial"/>
                <w:b/>
              </w:rPr>
            </w:pPr>
          </w:p>
        </w:tc>
      </w:tr>
      <w:tr w:rsidR="00892670" w:rsidRPr="00FF00AE" w14:paraId="65321B72" w14:textId="77777777" w:rsidTr="005273E6">
        <w:trPr>
          <w:gridAfter w:val="1"/>
          <w:wAfter w:w="13" w:type="dxa"/>
        </w:trPr>
        <w:tc>
          <w:tcPr>
            <w:tcW w:w="9347" w:type="dxa"/>
          </w:tcPr>
          <w:p w14:paraId="78580E86" w14:textId="377BB0CF" w:rsidR="00892670" w:rsidRPr="00FF00AE" w:rsidRDefault="00892670" w:rsidP="00FA3002">
            <w:pPr>
              <w:rPr>
                <w:rFonts w:asciiTheme="minorHAnsi" w:eastAsia="Times New Roman" w:hAnsiTheme="minorHAnsi" w:cs="Arial"/>
                <w:i/>
              </w:rPr>
            </w:pPr>
            <w:r w:rsidRPr="00FF00AE">
              <w:rPr>
                <w:rFonts w:asciiTheme="minorHAnsi" w:eastAsia="Times New Roman" w:hAnsiTheme="minorHAnsi" w:cs="Arial"/>
                <w:i/>
              </w:rPr>
              <w:lastRenderedPageBreak/>
              <w:t>Reply:</w:t>
            </w:r>
            <w:r w:rsidR="00985873" w:rsidRPr="00FF00AE">
              <w:rPr>
                <w:rFonts w:asciiTheme="minorHAnsi" w:eastAsia="Times New Roman" w:hAnsiTheme="minorHAnsi" w:cs="Arial"/>
                <w:i/>
              </w:rPr>
              <w:t xml:space="preserve">  EMAD may assist the DPU in assessing market conditions for the market-rate units</w:t>
            </w:r>
            <w:r w:rsidR="00DA13E6">
              <w:rPr>
                <w:rFonts w:asciiTheme="minorHAnsi" w:eastAsia="Times New Roman" w:hAnsiTheme="minorHAnsi" w:cs="Arial"/>
                <w:i/>
              </w:rPr>
              <w:t xml:space="preserve"> and LIHTC units and to determine reasonableness and compliance with market study requirements.  We are not aware of the number of 9% awards that go to projects with market rate units.  It varies and HUD does not track this data.</w:t>
            </w:r>
            <w:r w:rsidR="00985873" w:rsidRPr="00FF00AE">
              <w:rPr>
                <w:rFonts w:asciiTheme="minorHAnsi" w:eastAsia="Times New Roman" w:hAnsiTheme="minorHAnsi" w:cs="Arial"/>
                <w:i/>
              </w:rPr>
              <w:t xml:space="preserve"> </w:t>
            </w:r>
          </w:p>
        </w:tc>
      </w:tr>
      <w:tr w:rsidR="005A2F1A" w:rsidRPr="00FF00AE" w14:paraId="2D26D6A1" w14:textId="77777777" w:rsidTr="005273E6">
        <w:tc>
          <w:tcPr>
            <w:tcW w:w="9360" w:type="dxa"/>
            <w:gridSpan w:val="2"/>
          </w:tcPr>
          <w:p w14:paraId="2527F2A2" w14:textId="2D30EFAB" w:rsidR="005A2F1A" w:rsidRPr="00FF00AE" w:rsidRDefault="005A2F1A" w:rsidP="005A2F1A">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23</w:t>
            </w:r>
            <w:r w:rsidRPr="00FF00AE">
              <w:rPr>
                <w:rFonts w:asciiTheme="minorHAnsi" w:eastAsia="Times New Roman" w:hAnsiTheme="minorHAnsi" w:cs="Arial"/>
                <w:b/>
              </w:rPr>
              <w:t xml:space="preserve">: </w:t>
            </w:r>
            <w:r w:rsidRPr="00FF00AE">
              <w:t xml:space="preserve">Page 6, last paragraph – details the DPU review.  </w:t>
            </w:r>
            <w:proofErr w:type="gramStart"/>
            <w:r w:rsidRPr="00FF00AE">
              <w:t>Similar to</w:t>
            </w:r>
            <w:proofErr w:type="gramEnd"/>
            <w:r w:rsidRPr="00FF00AE">
              <w:t xml:space="preserve"> the Expedited, but more detailed on the plans and specs.  Note no “certification” like referenced in the Expedited, is that intentional?</w:t>
            </w:r>
          </w:p>
          <w:p w14:paraId="0893E78E" w14:textId="77777777" w:rsidR="005A2F1A" w:rsidRPr="00FF00AE" w:rsidRDefault="005A2F1A" w:rsidP="005A2F1A">
            <w:pPr>
              <w:contextualSpacing/>
              <w:rPr>
                <w:rFonts w:asciiTheme="minorHAnsi" w:eastAsia="Times New Roman" w:hAnsiTheme="minorHAnsi" w:cs="Arial"/>
                <w:b/>
              </w:rPr>
            </w:pPr>
          </w:p>
        </w:tc>
      </w:tr>
      <w:tr w:rsidR="005A2F1A" w:rsidRPr="00FF00AE" w14:paraId="3A7FC9F6" w14:textId="77777777" w:rsidTr="005273E6">
        <w:tc>
          <w:tcPr>
            <w:tcW w:w="9360" w:type="dxa"/>
            <w:gridSpan w:val="2"/>
          </w:tcPr>
          <w:p w14:paraId="4604A020" w14:textId="77777777" w:rsidR="005A2F1A" w:rsidRPr="00FF00AE" w:rsidRDefault="005A2F1A" w:rsidP="005A2F1A">
            <w:pPr>
              <w:contextualSpacing/>
              <w:rPr>
                <w:rFonts w:asciiTheme="minorHAnsi" w:eastAsia="Times New Roman" w:hAnsiTheme="minorHAnsi" w:cs="Arial"/>
                <w:i/>
              </w:rPr>
            </w:pPr>
            <w:r w:rsidRPr="00FF00AE">
              <w:rPr>
                <w:rFonts w:asciiTheme="minorHAnsi" w:eastAsia="Times New Roman" w:hAnsiTheme="minorHAnsi" w:cs="Arial"/>
                <w:i/>
              </w:rPr>
              <w:t xml:space="preserve">Reply: </w:t>
            </w:r>
            <w:r w:rsidR="000675FF" w:rsidRPr="00FF00AE">
              <w:rPr>
                <w:rFonts w:asciiTheme="minorHAnsi" w:eastAsia="Times New Roman" w:hAnsiTheme="minorHAnsi" w:cs="Arial"/>
                <w:i/>
              </w:rPr>
              <w:t xml:space="preserve"> No, a certification is required.  However, we will look rely more heavily on the lender’s certification under the Expedited Approval Process.</w:t>
            </w:r>
          </w:p>
        </w:tc>
      </w:tr>
      <w:tr w:rsidR="00892670" w:rsidRPr="00FF00AE" w14:paraId="183943C0" w14:textId="77777777" w:rsidTr="005273E6">
        <w:tc>
          <w:tcPr>
            <w:tcW w:w="9360" w:type="dxa"/>
            <w:gridSpan w:val="2"/>
          </w:tcPr>
          <w:p w14:paraId="5373B024" w14:textId="77777777" w:rsidR="00892670" w:rsidRPr="00FF00AE" w:rsidRDefault="00892670" w:rsidP="005A2F1A">
            <w:pPr>
              <w:contextualSpacing/>
              <w:rPr>
                <w:rFonts w:asciiTheme="minorHAnsi" w:eastAsia="Times New Roman" w:hAnsiTheme="minorHAnsi" w:cs="Arial"/>
                <w:b/>
              </w:rPr>
            </w:pPr>
          </w:p>
        </w:tc>
      </w:tr>
      <w:tr w:rsidR="00892670" w:rsidRPr="00FF00AE" w14:paraId="557AC41C" w14:textId="77777777" w:rsidTr="005273E6">
        <w:tc>
          <w:tcPr>
            <w:tcW w:w="9360" w:type="dxa"/>
            <w:gridSpan w:val="2"/>
          </w:tcPr>
          <w:p w14:paraId="6A76691C" w14:textId="2725B0C0" w:rsidR="00892670" w:rsidRPr="00FF00AE" w:rsidRDefault="00892670" w:rsidP="00892670">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24</w:t>
            </w:r>
            <w:r w:rsidRPr="00FF00AE">
              <w:rPr>
                <w:rFonts w:asciiTheme="minorHAnsi" w:eastAsia="Times New Roman" w:hAnsiTheme="minorHAnsi" w:cs="Arial"/>
                <w:b/>
              </w:rPr>
              <w:t xml:space="preserve">: </w:t>
            </w:r>
            <w:r w:rsidRPr="00FF00AE">
              <w:rPr>
                <w:rFonts w:asciiTheme="minorHAnsi" w:eastAsia="Times New Roman" w:hAnsiTheme="minorHAnsi" w:cs="Arial"/>
              </w:rPr>
              <w:t>Standard Approval Process, 4</w:t>
            </w:r>
            <w:r w:rsidRPr="00FF00AE">
              <w:rPr>
                <w:rFonts w:asciiTheme="minorHAnsi" w:eastAsia="Times New Roman" w:hAnsiTheme="minorHAnsi" w:cs="Arial"/>
                <w:vertAlign w:val="superscript"/>
              </w:rPr>
              <w:t>th</w:t>
            </w:r>
            <w:r w:rsidRPr="00FF00AE">
              <w:rPr>
                <w:rFonts w:asciiTheme="minorHAnsi" w:eastAsia="Times New Roman" w:hAnsiTheme="minorHAnsi" w:cs="Arial"/>
              </w:rPr>
              <w:t xml:space="preserve"> Paragraph - Does EMAB need be consulted on market rate units in this case as the </w:t>
            </w:r>
            <w:r w:rsidRPr="00FF00AE">
              <w:t>any market rate units would be existing and not “new”?</w:t>
            </w:r>
          </w:p>
          <w:p w14:paraId="5BAB4B76" w14:textId="77777777" w:rsidR="00892670" w:rsidRPr="00FF00AE" w:rsidRDefault="00892670" w:rsidP="00892670">
            <w:pPr>
              <w:contextualSpacing/>
              <w:rPr>
                <w:rFonts w:asciiTheme="minorHAnsi" w:eastAsia="Times New Roman" w:hAnsiTheme="minorHAnsi" w:cs="Arial"/>
                <w:b/>
              </w:rPr>
            </w:pPr>
          </w:p>
        </w:tc>
      </w:tr>
      <w:tr w:rsidR="00892670" w:rsidRPr="00FF00AE" w14:paraId="7483203B" w14:textId="77777777" w:rsidTr="005273E6">
        <w:tc>
          <w:tcPr>
            <w:tcW w:w="9360" w:type="dxa"/>
            <w:gridSpan w:val="2"/>
          </w:tcPr>
          <w:p w14:paraId="61C242A2" w14:textId="77777777" w:rsidR="00892670" w:rsidRPr="00FF00AE" w:rsidRDefault="00892670" w:rsidP="005A2F1A">
            <w:pPr>
              <w:contextualSpacing/>
              <w:rPr>
                <w:rFonts w:asciiTheme="minorHAnsi" w:eastAsia="Times New Roman" w:hAnsiTheme="minorHAnsi" w:cs="Arial"/>
                <w:i/>
              </w:rPr>
            </w:pPr>
            <w:r w:rsidRPr="00FF00AE">
              <w:rPr>
                <w:rFonts w:asciiTheme="minorHAnsi" w:eastAsia="Times New Roman" w:hAnsiTheme="minorHAnsi" w:cs="Arial"/>
                <w:i/>
              </w:rPr>
              <w:t xml:space="preserve">Reply: </w:t>
            </w:r>
            <w:r w:rsidR="000675FF" w:rsidRPr="00FF00AE">
              <w:rPr>
                <w:rFonts w:asciiTheme="minorHAnsi" w:eastAsia="Times New Roman" w:hAnsiTheme="minorHAnsi" w:cs="Arial"/>
                <w:i/>
              </w:rPr>
              <w:t>The DPU may consult with EMAD.</w:t>
            </w:r>
          </w:p>
        </w:tc>
      </w:tr>
    </w:tbl>
    <w:p w14:paraId="65788067" w14:textId="77777777" w:rsidR="00175B37" w:rsidRPr="00FF00AE" w:rsidRDefault="00175B37" w:rsidP="00FA3002">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92C8F" w:rsidRPr="00FF00AE" w14:paraId="20204F70" w14:textId="77777777" w:rsidTr="00AB6343">
        <w:tc>
          <w:tcPr>
            <w:tcW w:w="9350" w:type="dxa"/>
          </w:tcPr>
          <w:p w14:paraId="2212AEC5" w14:textId="1117D705" w:rsidR="00792C8F" w:rsidRPr="00FF00AE" w:rsidRDefault="00792C8F" w:rsidP="00792C8F">
            <w:r w:rsidRPr="00FF00AE">
              <w:rPr>
                <w:rFonts w:asciiTheme="minorHAnsi" w:eastAsia="Times New Roman" w:hAnsiTheme="minorHAnsi" w:cs="Arial"/>
                <w:b/>
              </w:rPr>
              <w:t xml:space="preserve">Question </w:t>
            </w:r>
            <w:r w:rsidR="00B97AB0" w:rsidRPr="00FF00AE">
              <w:rPr>
                <w:rFonts w:asciiTheme="minorHAnsi" w:eastAsia="Times New Roman" w:hAnsiTheme="minorHAnsi" w:cs="Arial"/>
                <w:b/>
              </w:rPr>
              <w:t>25</w:t>
            </w:r>
            <w:r w:rsidRPr="00FF00AE">
              <w:rPr>
                <w:rFonts w:asciiTheme="minorHAnsi" w:eastAsia="Times New Roman" w:hAnsiTheme="minorHAnsi" w:cs="Arial"/>
                <w:b/>
              </w:rPr>
              <w:t xml:space="preserve">: </w:t>
            </w:r>
            <w:r w:rsidRPr="00FF00AE">
              <w:t>V.B. Standard Approval Processing, Paragraph 6: Would a market study be relevant for this track?</w:t>
            </w:r>
          </w:p>
          <w:p w14:paraId="41C7915C" w14:textId="77777777" w:rsidR="00792C8F" w:rsidRPr="00FF00AE" w:rsidRDefault="00792C8F" w:rsidP="00FA3002">
            <w:pPr>
              <w:rPr>
                <w:rFonts w:asciiTheme="minorHAnsi" w:eastAsia="Times New Roman" w:hAnsiTheme="minorHAnsi" w:cs="Arial"/>
                <w:b/>
              </w:rPr>
            </w:pPr>
          </w:p>
        </w:tc>
      </w:tr>
      <w:tr w:rsidR="00792C8F" w:rsidRPr="00FF00AE" w14:paraId="5E6B7BAE" w14:textId="77777777" w:rsidTr="00AB6343">
        <w:tc>
          <w:tcPr>
            <w:tcW w:w="9350" w:type="dxa"/>
          </w:tcPr>
          <w:p w14:paraId="12944D70" w14:textId="77777777" w:rsidR="00792C8F" w:rsidRPr="00FF00AE" w:rsidRDefault="00792C8F" w:rsidP="00792C8F">
            <w:pPr>
              <w:rPr>
                <w:rFonts w:asciiTheme="minorHAnsi" w:eastAsia="Times New Roman" w:hAnsiTheme="minorHAnsi" w:cs="Arial"/>
                <w:i/>
              </w:rPr>
            </w:pPr>
            <w:r w:rsidRPr="00FF00AE">
              <w:rPr>
                <w:rFonts w:asciiTheme="minorHAnsi" w:eastAsia="Times New Roman" w:hAnsiTheme="minorHAnsi" w:cs="Arial"/>
                <w:i/>
              </w:rPr>
              <w:t>Reply:</w:t>
            </w:r>
            <w:r w:rsidR="00E17BCE" w:rsidRPr="00FF00AE">
              <w:rPr>
                <w:rFonts w:asciiTheme="minorHAnsi" w:eastAsia="Times New Roman" w:hAnsiTheme="minorHAnsi" w:cs="Arial"/>
                <w:i/>
              </w:rPr>
              <w:t xml:space="preserve">  Yes.  Only projects with 90% or more Project Based Rental Assistance do not need a Market Study.</w:t>
            </w:r>
          </w:p>
        </w:tc>
      </w:tr>
      <w:tr w:rsidR="00C8692D" w:rsidRPr="00FF00AE" w14:paraId="51B8B48E" w14:textId="77777777" w:rsidTr="00AB6343">
        <w:tc>
          <w:tcPr>
            <w:tcW w:w="9350" w:type="dxa"/>
          </w:tcPr>
          <w:p w14:paraId="501BB341" w14:textId="5AA085D3" w:rsidR="00AB6343" w:rsidRPr="00FF00AE" w:rsidRDefault="00AB6343" w:rsidP="00FA3002">
            <w:pPr>
              <w:rPr>
                <w:rFonts w:asciiTheme="minorHAnsi" w:eastAsia="Times New Roman" w:hAnsiTheme="minorHAnsi" w:cs="Arial"/>
              </w:rPr>
            </w:pPr>
            <w:r w:rsidRPr="00FF00AE">
              <w:rPr>
                <w:rFonts w:asciiTheme="minorHAnsi" w:eastAsia="Times New Roman" w:hAnsiTheme="minorHAnsi" w:cs="Arial"/>
                <w:b/>
                <w:u w:val="single"/>
              </w:rPr>
              <w:t>Question 2</w:t>
            </w:r>
            <w:r w:rsidR="00B97AB0" w:rsidRPr="00FF00AE">
              <w:rPr>
                <w:rFonts w:asciiTheme="minorHAnsi" w:eastAsia="Times New Roman" w:hAnsiTheme="minorHAnsi" w:cs="Arial"/>
                <w:b/>
                <w:u w:val="single"/>
              </w:rPr>
              <w:t>6</w:t>
            </w:r>
            <w:r w:rsidRPr="00FF00AE">
              <w:rPr>
                <w:rFonts w:asciiTheme="minorHAnsi" w:eastAsia="Times New Roman" w:hAnsiTheme="minorHAnsi" w:cs="Arial"/>
                <w:b/>
              </w:rPr>
              <w:t>:</w:t>
            </w:r>
            <w:r w:rsidRPr="00FF00AE">
              <w:rPr>
                <w:rFonts w:asciiTheme="minorHAnsi" w:eastAsia="Times New Roman" w:hAnsiTheme="minorHAnsi" w:cs="Arial"/>
              </w:rPr>
              <w:t xml:space="preserve">  Page 8 of 24 – Lender’s need to demonstrate experience underwriting LIHTC loans and provide details on this experience.  Confirm that HUD will require the following from Lender’s:</w:t>
            </w:r>
          </w:p>
        </w:tc>
      </w:tr>
      <w:tr w:rsidR="00C8692D" w:rsidRPr="00FF00AE" w14:paraId="2BA68542" w14:textId="77777777" w:rsidTr="00AB6343">
        <w:tc>
          <w:tcPr>
            <w:tcW w:w="9350" w:type="dxa"/>
          </w:tcPr>
          <w:p w14:paraId="35F393AA" w14:textId="77777777" w:rsidR="00AB6343" w:rsidRPr="00FF00AE" w:rsidRDefault="00AB6343" w:rsidP="00FA3002">
            <w:pPr>
              <w:rPr>
                <w:rFonts w:asciiTheme="minorHAnsi" w:eastAsia="Times New Roman" w:hAnsiTheme="minorHAnsi" w:cs="Arial"/>
              </w:rPr>
            </w:pPr>
          </w:p>
          <w:p w14:paraId="5C749FB2" w14:textId="77777777" w:rsidR="00AB6343" w:rsidRPr="00FF00AE" w:rsidRDefault="00AB6343" w:rsidP="00FA3002">
            <w:pPr>
              <w:rPr>
                <w:rFonts w:asciiTheme="minorHAnsi" w:eastAsia="Times New Roman" w:hAnsiTheme="minorHAnsi" w:cs="Arial"/>
              </w:rPr>
            </w:pPr>
            <w:r w:rsidRPr="00FF00AE">
              <w:rPr>
                <w:rFonts w:asciiTheme="minorHAnsi" w:eastAsia="Times New Roman" w:hAnsiTheme="minorHAnsi" w:cs="Arial"/>
                <w:b/>
              </w:rPr>
              <w:t>(a)</w:t>
            </w:r>
            <w:r w:rsidRPr="00FF00AE">
              <w:rPr>
                <w:rFonts w:asciiTheme="minorHAnsi" w:eastAsia="Times New Roman" w:hAnsiTheme="minorHAnsi" w:cs="Arial"/>
              </w:rPr>
              <w:t xml:space="preserve"> List of all </w:t>
            </w:r>
            <w:r w:rsidRPr="00FF00AE">
              <w:rPr>
                <w:rFonts w:asciiTheme="minorHAnsi" w:eastAsia="Times New Roman" w:hAnsiTheme="minorHAnsi" w:cs="Arial"/>
                <w:b/>
                <w:bCs/>
                <w:u w:val="single"/>
              </w:rPr>
              <w:t>FHA insured loans</w:t>
            </w:r>
            <w:r w:rsidRPr="00FF00AE">
              <w:rPr>
                <w:rFonts w:asciiTheme="minorHAnsi" w:eastAsia="Times New Roman" w:hAnsiTheme="minorHAnsi" w:cs="Arial"/>
              </w:rPr>
              <w:t xml:space="preserve"> Lenders have closed in prior 5 years and the number, name, location, original amount, HUD office where application was processed and </w:t>
            </w:r>
            <w:proofErr w:type="gramStart"/>
            <w:r w:rsidRPr="00FF00AE">
              <w:rPr>
                <w:rFonts w:asciiTheme="minorHAnsi" w:eastAsia="Times New Roman" w:hAnsiTheme="minorHAnsi" w:cs="Arial"/>
              </w:rPr>
              <w:t>whether or not</w:t>
            </w:r>
            <w:proofErr w:type="gramEnd"/>
            <w:r w:rsidRPr="00FF00AE">
              <w:rPr>
                <w:rFonts w:asciiTheme="minorHAnsi" w:eastAsia="Times New Roman" w:hAnsiTheme="minorHAnsi" w:cs="Arial"/>
              </w:rPr>
              <w:t xml:space="preserve"> a loan is in default, an election to assign the loan or the loan has been assigned to FHA.  Confirm that HUD needs the FHA insured </w:t>
            </w:r>
            <w:r w:rsidRPr="00FF00AE">
              <w:rPr>
                <w:rFonts w:asciiTheme="minorHAnsi" w:eastAsia="Times New Roman" w:hAnsiTheme="minorHAnsi" w:cs="Arial"/>
                <w:b/>
                <w:bCs/>
                <w:u w:val="single"/>
              </w:rPr>
              <w:t>LIHTC loans</w:t>
            </w:r>
            <w:r w:rsidRPr="00FF00AE">
              <w:rPr>
                <w:rFonts w:asciiTheme="minorHAnsi" w:eastAsia="Times New Roman" w:hAnsiTheme="minorHAnsi" w:cs="Arial"/>
              </w:rPr>
              <w:t xml:space="preserve"> closed in the prior 5 years only.]</w:t>
            </w:r>
          </w:p>
          <w:p w14:paraId="011F5FB0" w14:textId="77777777" w:rsidR="00AB6343" w:rsidRPr="00FF00AE" w:rsidRDefault="00AB6343" w:rsidP="00FA3002">
            <w:pPr>
              <w:rPr>
                <w:rFonts w:asciiTheme="minorHAnsi" w:eastAsia="Times New Roman" w:hAnsiTheme="minorHAnsi" w:cs="Arial"/>
              </w:rPr>
            </w:pPr>
          </w:p>
        </w:tc>
      </w:tr>
      <w:tr w:rsidR="00C8692D" w:rsidRPr="00FF00AE" w14:paraId="3EC63AA4" w14:textId="77777777" w:rsidTr="00AB6343">
        <w:tc>
          <w:tcPr>
            <w:tcW w:w="9350" w:type="dxa"/>
          </w:tcPr>
          <w:p w14:paraId="2E52EFCC" w14:textId="77777777" w:rsidR="00AB6343" w:rsidRPr="00FF00AE" w:rsidRDefault="00AB6343"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5C1DCC" w:rsidRPr="00FF00AE">
              <w:rPr>
                <w:rFonts w:asciiTheme="minorHAnsi" w:eastAsia="Times New Roman" w:hAnsiTheme="minorHAnsi" w:cs="Arial"/>
                <w:i/>
              </w:rPr>
              <w:t>HUD will pull this data from its database.  Lenders do not need to provide this information.</w:t>
            </w:r>
          </w:p>
        </w:tc>
      </w:tr>
      <w:tr w:rsidR="00C8692D" w:rsidRPr="00FF00AE" w14:paraId="6D7197FD" w14:textId="77777777" w:rsidTr="00AB6343">
        <w:tc>
          <w:tcPr>
            <w:tcW w:w="9350" w:type="dxa"/>
          </w:tcPr>
          <w:p w14:paraId="55C47962" w14:textId="77777777" w:rsidR="00AB6343" w:rsidRPr="00FF00AE" w:rsidRDefault="00AB6343" w:rsidP="00FA3002">
            <w:pPr>
              <w:rPr>
                <w:rFonts w:asciiTheme="minorHAnsi" w:eastAsia="Times New Roman" w:hAnsiTheme="minorHAnsi" w:cs="Arial"/>
              </w:rPr>
            </w:pPr>
          </w:p>
        </w:tc>
      </w:tr>
      <w:tr w:rsidR="00C8692D" w:rsidRPr="00FF00AE" w14:paraId="0BF9B0D3" w14:textId="77777777" w:rsidTr="00AB6343">
        <w:tc>
          <w:tcPr>
            <w:tcW w:w="9350" w:type="dxa"/>
          </w:tcPr>
          <w:p w14:paraId="39E0BAA0" w14:textId="77777777" w:rsidR="00AB6343" w:rsidRPr="00FF00AE" w:rsidRDefault="00AB6343" w:rsidP="00AB6343">
            <w:pPr>
              <w:rPr>
                <w:rFonts w:asciiTheme="minorHAnsi" w:eastAsia="Times New Roman" w:hAnsiTheme="minorHAnsi" w:cs="Arial"/>
              </w:rPr>
            </w:pPr>
            <w:r w:rsidRPr="00FF00AE">
              <w:rPr>
                <w:rFonts w:asciiTheme="minorHAnsi" w:eastAsia="Times New Roman" w:hAnsiTheme="minorHAnsi" w:cs="Arial"/>
                <w:b/>
              </w:rPr>
              <w:t>(b)</w:t>
            </w:r>
            <w:r w:rsidRPr="00FF00AE">
              <w:rPr>
                <w:rFonts w:asciiTheme="minorHAnsi" w:eastAsia="Times New Roman" w:hAnsiTheme="minorHAnsi" w:cs="Arial"/>
              </w:rPr>
              <w:t xml:space="preserve"> HUD must review the experience of the Underwriters to ensure 3 years recent experience and at least 3 funded </w:t>
            </w:r>
            <w:r w:rsidRPr="00FF00AE">
              <w:rPr>
                <w:rFonts w:asciiTheme="minorHAnsi" w:eastAsia="Times New Roman" w:hAnsiTheme="minorHAnsi" w:cs="Arial"/>
                <w:b/>
                <w:bCs/>
                <w:u w:val="single"/>
              </w:rPr>
              <w:t>multifamily loans</w:t>
            </w:r>
            <w:r w:rsidRPr="00FF00AE">
              <w:rPr>
                <w:rFonts w:asciiTheme="minorHAnsi" w:eastAsia="Times New Roman" w:hAnsiTheme="minorHAnsi" w:cs="Arial"/>
              </w:rPr>
              <w:t xml:space="preserve"> within the previous 5 years.  Confirm that HUD needs documentation on 3 funded </w:t>
            </w:r>
            <w:r w:rsidRPr="00FF00AE">
              <w:rPr>
                <w:rFonts w:asciiTheme="minorHAnsi" w:eastAsia="Times New Roman" w:hAnsiTheme="minorHAnsi" w:cs="Arial"/>
                <w:b/>
                <w:bCs/>
                <w:u w:val="single"/>
              </w:rPr>
              <w:t>LIHTC multifamily</w:t>
            </w:r>
            <w:r w:rsidRPr="00FF00AE">
              <w:rPr>
                <w:rFonts w:asciiTheme="minorHAnsi" w:eastAsia="Times New Roman" w:hAnsiTheme="minorHAnsi" w:cs="Arial"/>
              </w:rPr>
              <w:t xml:space="preserve"> loans in the prior 5 years for each Underwriter.</w:t>
            </w:r>
          </w:p>
          <w:p w14:paraId="7D644D62" w14:textId="77777777" w:rsidR="00AB6343" w:rsidRPr="00FF00AE" w:rsidRDefault="00AB6343" w:rsidP="00FA3002">
            <w:pPr>
              <w:rPr>
                <w:rFonts w:asciiTheme="minorHAnsi" w:eastAsia="Times New Roman" w:hAnsiTheme="minorHAnsi" w:cs="Arial"/>
              </w:rPr>
            </w:pPr>
          </w:p>
        </w:tc>
      </w:tr>
      <w:tr w:rsidR="00C8692D" w:rsidRPr="00FF00AE" w14:paraId="1DA02EA9" w14:textId="77777777" w:rsidTr="00AB6343">
        <w:tc>
          <w:tcPr>
            <w:tcW w:w="9350" w:type="dxa"/>
          </w:tcPr>
          <w:p w14:paraId="05014AD3" w14:textId="77777777" w:rsidR="00AB6343" w:rsidRPr="00FF00AE" w:rsidRDefault="00AB6343"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2D16A6" w:rsidRPr="00FF00AE">
              <w:rPr>
                <w:rFonts w:asciiTheme="minorHAnsi" w:eastAsia="Times New Roman" w:hAnsiTheme="minorHAnsi" w:cs="Arial"/>
                <w:i/>
              </w:rPr>
              <w:t xml:space="preserve">HUD does not need any additional information on an Underwriter’s experience aside from what is currently provided pursuant to Chapter 2 of the MAP Guide.   </w:t>
            </w:r>
          </w:p>
        </w:tc>
      </w:tr>
      <w:tr w:rsidR="00C8692D" w:rsidRPr="00FF00AE" w14:paraId="76A4A5C3" w14:textId="77777777" w:rsidTr="00AB6343">
        <w:tc>
          <w:tcPr>
            <w:tcW w:w="9350" w:type="dxa"/>
          </w:tcPr>
          <w:p w14:paraId="252AD11A" w14:textId="77777777" w:rsidR="00AB6343" w:rsidRPr="00FF00AE" w:rsidRDefault="00AB6343" w:rsidP="00FA3002">
            <w:pPr>
              <w:rPr>
                <w:rFonts w:asciiTheme="minorHAnsi" w:eastAsia="Times New Roman" w:hAnsiTheme="minorHAnsi" w:cs="Arial"/>
              </w:rPr>
            </w:pPr>
          </w:p>
        </w:tc>
      </w:tr>
      <w:tr w:rsidR="00D44F16" w:rsidRPr="00FF00AE" w14:paraId="1B3C3F42" w14:textId="77777777" w:rsidTr="00AB6343">
        <w:tc>
          <w:tcPr>
            <w:tcW w:w="9350" w:type="dxa"/>
          </w:tcPr>
          <w:p w14:paraId="25782972" w14:textId="5EE5FA86" w:rsidR="00D44F16" w:rsidRPr="00FF00AE" w:rsidRDefault="00D44F16" w:rsidP="00D44F16">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27</w:t>
            </w:r>
            <w:r w:rsidRPr="00FF00AE">
              <w:rPr>
                <w:rFonts w:asciiTheme="minorHAnsi" w:eastAsia="Times New Roman" w:hAnsiTheme="minorHAnsi" w:cs="Arial"/>
                <w:b/>
              </w:rPr>
              <w:t>:</w:t>
            </w:r>
            <w:r w:rsidRPr="00FF00AE">
              <w:rPr>
                <w:rFonts w:asciiTheme="minorHAnsi" w:eastAsia="Times New Roman" w:hAnsiTheme="minorHAnsi" w:cs="Arial"/>
                <w:b/>
                <w:u w:val="single"/>
              </w:rPr>
              <w:t xml:space="preserve"> </w:t>
            </w:r>
            <w:r w:rsidRPr="00FF00AE">
              <w:t>Pg. 8, A, Last sentence – MAP trainee experience should also count, if they can demonstrate they meet or exceed the number of transactions.</w:t>
            </w:r>
          </w:p>
          <w:p w14:paraId="0DDABAC8" w14:textId="77777777" w:rsidR="00D44F16" w:rsidRPr="00FF00AE" w:rsidRDefault="00D44F16" w:rsidP="00FA3002">
            <w:pPr>
              <w:rPr>
                <w:rFonts w:asciiTheme="minorHAnsi" w:eastAsia="Times New Roman" w:hAnsiTheme="minorHAnsi" w:cs="Arial"/>
              </w:rPr>
            </w:pPr>
          </w:p>
        </w:tc>
      </w:tr>
      <w:tr w:rsidR="00D44F16" w:rsidRPr="00FF00AE" w14:paraId="2D7EA3EE" w14:textId="77777777" w:rsidTr="00AB6343">
        <w:tc>
          <w:tcPr>
            <w:tcW w:w="9350" w:type="dxa"/>
          </w:tcPr>
          <w:p w14:paraId="71538E15" w14:textId="77777777" w:rsidR="00D44F16" w:rsidRPr="00FF00AE" w:rsidRDefault="00D44F16"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46356F" w:rsidRPr="00FF00AE">
              <w:rPr>
                <w:rFonts w:asciiTheme="minorHAnsi" w:eastAsia="Times New Roman" w:hAnsiTheme="minorHAnsi" w:cs="Arial"/>
                <w:i/>
              </w:rPr>
              <w:t>Underwriters need to demonstrate that they have</w:t>
            </w:r>
            <w:r w:rsidR="00567414" w:rsidRPr="00FF00AE">
              <w:rPr>
                <w:rFonts w:asciiTheme="minorHAnsi" w:eastAsia="Times New Roman" w:hAnsiTheme="minorHAnsi" w:cs="Arial"/>
                <w:i/>
              </w:rPr>
              <w:t xml:space="preserve"> underwritten at least 3 funded multifamily loans independently.</w:t>
            </w:r>
          </w:p>
        </w:tc>
      </w:tr>
      <w:tr w:rsidR="00D44F16" w:rsidRPr="00FF00AE" w14:paraId="022F54FF" w14:textId="77777777" w:rsidTr="00AB6343">
        <w:tc>
          <w:tcPr>
            <w:tcW w:w="9350" w:type="dxa"/>
          </w:tcPr>
          <w:p w14:paraId="6E63B54E" w14:textId="77777777" w:rsidR="00D44F16" w:rsidRPr="00FF00AE" w:rsidRDefault="00D44F16" w:rsidP="00FA3002">
            <w:pPr>
              <w:rPr>
                <w:rFonts w:asciiTheme="minorHAnsi" w:eastAsia="Times New Roman" w:hAnsiTheme="minorHAnsi" w:cs="Arial"/>
              </w:rPr>
            </w:pPr>
          </w:p>
        </w:tc>
      </w:tr>
      <w:tr w:rsidR="00C8692D" w:rsidRPr="00FF00AE" w14:paraId="6A3CEB78" w14:textId="77777777" w:rsidTr="00AB6343">
        <w:tc>
          <w:tcPr>
            <w:tcW w:w="9350" w:type="dxa"/>
          </w:tcPr>
          <w:p w14:paraId="6CDC5E3A" w14:textId="39CD9F43" w:rsidR="001D01B7" w:rsidRPr="00FF00AE" w:rsidRDefault="00AB6343" w:rsidP="00FA3002">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28</w:t>
            </w:r>
            <w:r w:rsidRPr="00FF00AE">
              <w:rPr>
                <w:rFonts w:asciiTheme="minorHAnsi" w:eastAsia="Times New Roman" w:hAnsiTheme="minorHAnsi" w:cs="Arial"/>
                <w:b/>
              </w:rPr>
              <w:t>:</w:t>
            </w:r>
            <w:r w:rsidRPr="00FF00AE">
              <w:rPr>
                <w:rFonts w:asciiTheme="minorHAnsi" w:eastAsia="Times New Roman" w:hAnsiTheme="minorHAnsi" w:cs="Arial"/>
              </w:rPr>
              <w:t xml:space="preserve">  Page 8 of 24 – Section VI.B – All Underwriters are required to attend HUD training to be eligible to submit a LIHTC Pilot deal.  </w:t>
            </w:r>
          </w:p>
          <w:p w14:paraId="5D17BBA0" w14:textId="77777777" w:rsidR="001D01B7" w:rsidRPr="00FF00AE" w:rsidRDefault="001D01B7" w:rsidP="00FA3002">
            <w:pPr>
              <w:rPr>
                <w:rFonts w:asciiTheme="minorHAnsi" w:eastAsia="Times New Roman" w:hAnsiTheme="minorHAnsi" w:cs="Arial"/>
              </w:rPr>
            </w:pPr>
          </w:p>
          <w:p w14:paraId="7285D0E6" w14:textId="77777777" w:rsidR="001D01B7" w:rsidRPr="00FF00AE" w:rsidRDefault="001D01B7" w:rsidP="00FA3002">
            <w:pPr>
              <w:rPr>
                <w:rFonts w:asciiTheme="minorHAnsi" w:eastAsia="Times New Roman" w:hAnsiTheme="minorHAnsi" w:cs="Arial"/>
              </w:rPr>
            </w:pPr>
            <w:r w:rsidRPr="00FF00AE">
              <w:rPr>
                <w:rFonts w:asciiTheme="minorHAnsi" w:eastAsia="Times New Roman" w:hAnsiTheme="minorHAnsi" w:cs="Arial"/>
              </w:rPr>
              <w:lastRenderedPageBreak/>
              <w:t xml:space="preserve">(a) </w:t>
            </w:r>
            <w:r w:rsidR="00AB6343" w:rsidRPr="00FF00AE">
              <w:rPr>
                <w:rFonts w:asciiTheme="minorHAnsi" w:eastAsia="Times New Roman" w:hAnsiTheme="minorHAnsi" w:cs="Arial"/>
              </w:rPr>
              <w:t>How often will HUD have LIHTC Pilot training to ensure those obtaining the necessary experience to qualify?</w:t>
            </w:r>
            <w:r w:rsidRPr="00FF00AE">
              <w:rPr>
                <w:rFonts w:asciiTheme="minorHAnsi" w:eastAsia="Times New Roman" w:hAnsiTheme="minorHAnsi" w:cs="Arial"/>
              </w:rPr>
              <w:t xml:space="preserve"> </w:t>
            </w:r>
          </w:p>
          <w:p w14:paraId="12ABF75A" w14:textId="77777777" w:rsidR="00AB6343" w:rsidRPr="00FF00AE" w:rsidRDefault="00AB6343" w:rsidP="001D01B7">
            <w:pPr>
              <w:rPr>
                <w:rFonts w:asciiTheme="minorHAnsi" w:eastAsia="Times New Roman" w:hAnsiTheme="minorHAnsi" w:cs="Arial"/>
              </w:rPr>
            </w:pPr>
          </w:p>
        </w:tc>
      </w:tr>
      <w:tr w:rsidR="00C8692D" w:rsidRPr="00FF00AE" w14:paraId="443655FC" w14:textId="77777777" w:rsidTr="00AB6343">
        <w:tc>
          <w:tcPr>
            <w:tcW w:w="9350" w:type="dxa"/>
          </w:tcPr>
          <w:p w14:paraId="3E224824" w14:textId="77777777" w:rsidR="00AB6343" w:rsidRPr="00FF00AE" w:rsidRDefault="00AB6343" w:rsidP="00FA3002">
            <w:pPr>
              <w:rPr>
                <w:rFonts w:asciiTheme="minorHAnsi" w:eastAsia="Times New Roman" w:hAnsiTheme="minorHAnsi" w:cs="Arial"/>
                <w:i/>
              </w:rPr>
            </w:pPr>
            <w:r w:rsidRPr="00FF00AE">
              <w:rPr>
                <w:rFonts w:asciiTheme="minorHAnsi" w:eastAsia="Times New Roman" w:hAnsiTheme="minorHAnsi" w:cs="Arial"/>
                <w:i/>
                <w:u w:val="single"/>
              </w:rPr>
              <w:lastRenderedPageBreak/>
              <w:t>Reply</w:t>
            </w:r>
            <w:r w:rsidRPr="00FF00AE">
              <w:rPr>
                <w:rFonts w:asciiTheme="minorHAnsi" w:eastAsia="Times New Roman" w:hAnsiTheme="minorHAnsi" w:cs="Arial"/>
                <w:i/>
              </w:rPr>
              <w:t>:</w:t>
            </w:r>
            <w:r w:rsidR="006D4336" w:rsidRPr="00FF00AE">
              <w:rPr>
                <w:rFonts w:asciiTheme="minorHAnsi" w:eastAsia="Times New Roman" w:hAnsiTheme="minorHAnsi" w:cs="Arial"/>
                <w:i/>
              </w:rPr>
              <w:t xml:space="preserve">  HUD will aim to conduct training annually during the term of the Pilot.</w:t>
            </w:r>
          </w:p>
        </w:tc>
      </w:tr>
      <w:tr w:rsidR="001D01B7" w:rsidRPr="00FF00AE" w14:paraId="14B25F19" w14:textId="77777777" w:rsidTr="00AB6343">
        <w:tc>
          <w:tcPr>
            <w:tcW w:w="9350" w:type="dxa"/>
          </w:tcPr>
          <w:p w14:paraId="738D7445" w14:textId="77777777" w:rsidR="001D01B7" w:rsidRPr="00FF00AE" w:rsidRDefault="001D01B7" w:rsidP="001D01B7">
            <w:pPr>
              <w:rPr>
                <w:rFonts w:asciiTheme="minorHAnsi" w:eastAsia="Times New Roman" w:hAnsiTheme="minorHAnsi" w:cs="Arial"/>
              </w:rPr>
            </w:pPr>
          </w:p>
        </w:tc>
      </w:tr>
      <w:tr w:rsidR="001D01B7" w:rsidRPr="00FF00AE" w14:paraId="1A07299A" w14:textId="77777777" w:rsidTr="00AB6343">
        <w:tc>
          <w:tcPr>
            <w:tcW w:w="9350" w:type="dxa"/>
          </w:tcPr>
          <w:p w14:paraId="19F70871" w14:textId="77777777" w:rsidR="001D01B7" w:rsidRPr="00FF00AE" w:rsidRDefault="001D01B7" w:rsidP="001D01B7">
            <w:pPr>
              <w:rPr>
                <w:rFonts w:asciiTheme="minorHAnsi" w:eastAsia="Times New Roman" w:hAnsiTheme="minorHAnsi" w:cs="Arial"/>
              </w:rPr>
            </w:pPr>
            <w:r w:rsidRPr="00FF00AE">
              <w:rPr>
                <w:rFonts w:asciiTheme="minorHAnsi" w:eastAsia="Times New Roman" w:hAnsiTheme="minorHAnsi" w:cs="Arial"/>
              </w:rPr>
              <w:t>(b) Will there be a second training if underwriters cannot make the first training held in April?</w:t>
            </w:r>
          </w:p>
          <w:p w14:paraId="350BA008" w14:textId="77777777" w:rsidR="001D01B7" w:rsidRPr="00FF00AE" w:rsidRDefault="001D01B7" w:rsidP="00FA3002">
            <w:pPr>
              <w:rPr>
                <w:rFonts w:asciiTheme="minorHAnsi" w:eastAsia="Times New Roman" w:hAnsiTheme="minorHAnsi" w:cs="Arial"/>
                <w:b/>
                <w:u w:val="single"/>
              </w:rPr>
            </w:pPr>
          </w:p>
        </w:tc>
      </w:tr>
      <w:tr w:rsidR="00C8692D" w:rsidRPr="00FF00AE" w14:paraId="1773526F" w14:textId="77777777" w:rsidTr="00AB6343">
        <w:tc>
          <w:tcPr>
            <w:tcW w:w="9350" w:type="dxa"/>
          </w:tcPr>
          <w:p w14:paraId="1FD3B27E" w14:textId="77777777" w:rsidR="00AB6343" w:rsidRPr="00FF00AE" w:rsidRDefault="001D01B7" w:rsidP="00FA3002">
            <w:pPr>
              <w:rPr>
                <w:rFonts w:asciiTheme="minorHAnsi" w:eastAsia="Times New Roman" w:hAnsiTheme="minorHAnsi" w:cs="Arial"/>
                <w:i/>
              </w:rPr>
            </w:pPr>
            <w:r w:rsidRPr="00FF00AE">
              <w:rPr>
                <w:rFonts w:asciiTheme="minorHAnsi" w:eastAsia="Times New Roman" w:hAnsiTheme="minorHAnsi" w:cs="Arial"/>
                <w:i/>
              </w:rPr>
              <w:t>Reply:</w:t>
            </w:r>
            <w:r w:rsidR="006D4336" w:rsidRPr="00FF00AE">
              <w:rPr>
                <w:rFonts w:asciiTheme="minorHAnsi" w:eastAsia="Times New Roman" w:hAnsiTheme="minorHAnsi" w:cs="Arial"/>
                <w:i/>
              </w:rPr>
              <w:t xml:space="preserve">  Yes, arrangements are being made to have a training in conjunction with SWAC in Ft. Worth, Texas.</w:t>
            </w:r>
          </w:p>
        </w:tc>
      </w:tr>
      <w:tr w:rsidR="001D01B7" w:rsidRPr="00FF00AE" w14:paraId="0C2D5A23" w14:textId="77777777" w:rsidTr="00AB6343">
        <w:tc>
          <w:tcPr>
            <w:tcW w:w="9350" w:type="dxa"/>
          </w:tcPr>
          <w:p w14:paraId="3E2E2AD1" w14:textId="77777777" w:rsidR="001D01B7" w:rsidRPr="00FF00AE" w:rsidRDefault="001D01B7" w:rsidP="00FA3002">
            <w:pPr>
              <w:rPr>
                <w:rFonts w:asciiTheme="minorHAnsi" w:eastAsia="Times New Roman" w:hAnsiTheme="minorHAnsi" w:cs="Arial"/>
              </w:rPr>
            </w:pPr>
          </w:p>
        </w:tc>
      </w:tr>
      <w:tr w:rsidR="00C8692D" w:rsidRPr="00FF00AE" w14:paraId="469609F8" w14:textId="77777777" w:rsidTr="00AB6343">
        <w:tc>
          <w:tcPr>
            <w:tcW w:w="9350" w:type="dxa"/>
          </w:tcPr>
          <w:p w14:paraId="42E7ABC2" w14:textId="5277B5B5" w:rsidR="00A52BD7" w:rsidRPr="00FF00AE" w:rsidRDefault="00AB6343" w:rsidP="00AB6343">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29</w:t>
            </w:r>
            <w:r w:rsidRPr="00FF00AE">
              <w:rPr>
                <w:rFonts w:asciiTheme="minorHAnsi" w:eastAsia="Times New Roman" w:hAnsiTheme="minorHAnsi" w:cs="Arial"/>
                <w:b/>
              </w:rPr>
              <w:t xml:space="preserve">: </w:t>
            </w:r>
            <w:r w:rsidRPr="00FF00AE">
              <w:rPr>
                <w:rFonts w:asciiTheme="minorHAnsi" w:eastAsia="Times New Roman" w:hAnsiTheme="minorHAnsi" w:cs="Arial"/>
              </w:rPr>
              <w:t>Page 8 of 24</w:t>
            </w:r>
            <w:r w:rsidR="00792C8F" w:rsidRPr="00FF00AE">
              <w:rPr>
                <w:rFonts w:asciiTheme="minorHAnsi" w:eastAsia="Times New Roman" w:hAnsiTheme="minorHAnsi" w:cs="Arial"/>
              </w:rPr>
              <w:t xml:space="preserve">, </w:t>
            </w:r>
            <w:r w:rsidRPr="00FF00AE">
              <w:rPr>
                <w:rFonts w:asciiTheme="minorHAnsi" w:eastAsia="Times New Roman" w:hAnsiTheme="minorHAnsi" w:cs="Arial"/>
              </w:rPr>
              <w:t>Section VI.D</w:t>
            </w:r>
            <w:r w:rsidR="00792C8F" w:rsidRPr="00FF00AE">
              <w:rPr>
                <w:rFonts w:asciiTheme="minorHAnsi" w:eastAsia="Times New Roman" w:hAnsiTheme="minorHAnsi" w:cs="Arial"/>
              </w:rPr>
              <w:t>, 2530 Clearance</w:t>
            </w:r>
            <w:r w:rsidRPr="00FF00AE">
              <w:rPr>
                <w:rFonts w:asciiTheme="minorHAnsi" w:eastAsia="Times New Roman" w:hAnsiTheme="minorHAnsi" w:cs="Arial"/>
              </w:rPr>
              <w:t xml:space="preserve"> – </w:t>
            </w:r>
          </w:p>
          <w:p w14:paraId="4CB51069" w14:textId="77777777" w:rsidR="00A52BD7" w:rsidRPr="00FF00AE" w:rsidRDefault="00A52BD7" w:rsidP="00AB6343">
            <w:pPr>
              <w:rPr>
                <w:rFonts w:asciiTheme="minorHAnsi" w:eastAsia="Times New Roman" w:hAnsiTheme="minorHAnsi" w:cs="Arial"/>
              </w:rPr>
            </w:pPr>
          </w:p>
          <w:p w14:paraId="59436B4D" w14:textId="77777777" w:rsidR="00AB6343" w:rsidRPr="00FF00AE" w:rsidRDefault="00A52BD7" w:rsidP="00AB6343">
            <w:pPr>
              <w:rPr>
                <w:rFonts w:asciiTheme="minorHAnsi" w:eastAsia="Times New Roman" w:hAnsiTheme="minorHAnsi" w:cs="Arial"/>
              </w:rPr>
            </w:pPr>
            <w:r w:rsidRPr="00FF00AE">
              <w:rPr>
                <w:rFonts w:asciiTheme="minorHAnsi" w:eastAsia="Times New Roman" w:hAnsiTheme="minorHAnsi" w:cs="Arial"/>
              </w:rPr>
              <w:t>(a) A</w:t>
            </w:r>
            <w:r w:rsidR="00AB6343" w:rsidRPr="00FF00AE">
              <w:rPr>
                <w:rFonts w:asciiTheme="minorHAnsi" w:eastAsia="Times New Roman" w:hAnsiTheme="minorHAnsi" w:cs="Arial"/>
              </w:rPr>
              <w:t xml:space="preserve">ll 2530 findings or flags must be resolved prior to submission.  Oftentimes, the Lender and Borrower may not be aware of a flag as it may have just entered the system.  Or there are situations where the borrower addressed the </w:t>
            </w:r>
            <w:proofErr w:type="gramStart"/>
            <w:r w:rsidR="00AB6343" w:rsidRPr="00FF00AE">
              <w:rPr>
                <w:rFonts w:asciiTheme="minorHAnsi" w:eastAsia="Times New Roman" w:hAnsiTheme="minorHAnsi" w:cs="Arial"/>
              </w:rPr>
              <w:t>flag</w:t>
            </w:r>
            <w:proofErr w:type="gramEnd"/>
            <w:r w:rsidR="00AB6343" w:rsidRPr="00FF00AE">
              <w:rPr>
                <w:rFonts w:asciiTheme="minorHAnsi" w:eastAsia="Times New Roman" w:hAnsiTheme="minorHAnsi" w:cs="Arial"/>
              </w:rPr>
              <w:t xml:space="preserve"> but HUD has not reviewed/approved the borrower response.  If the flags are discovered after submission, the Lender requests leniency if the flags can be resolved quickly.</w:t>
            </w:r>
          </w:p>
          <w:p w14:paraId="0A785D0A" w14:textId="77777777" w:rsidR="00AB6343" w:rsidRPr="00FF00AE" w:rsidRDefault="00AB6343" w:rsidP="00FA3002">
            <w:pPr>
              <w:rPr>
                <w:rFonts w:asciiTheme="minorHAnsi" w:eastAsia="Times New Roman" w:hAnsiTheme="minorHAnsi" w:cs="Arial"/>
                <w:b/>
              </w:rPr>
            </w:pPr>
            <w:r w:rsidRPr="00FF00AE">
              <w:rPr>
                <w:rFonts w:asciiTheme="minorHAnsi" w:eastAsia="Times New Roman" w:hAnsiTheme="minorHAnsi" w:cs="Arial"/>
                <w:b/>
              </w:rPr>
              <w:t xml:space="preserve"> </w:t>
            </w:r>
          </w:p>
        </w:tc>
      </w:tr>
      <w:tr w:rsidR="00C8692D" w:rsidRPr="00FF00AE" w14:paraId="527EB0A1" w14:textId="77777777" w:rsidTr="00AB6343">
        <w:tc>
          <w:tcPr>
            <w:tcW w:w="9350" w:type="dxa"/>
          </w:tcPr>
          <w:p w14:paraId="050957EC" w14:textId="77777777" w:rsidR="00AB6343" w:rsidRPr="00FF00AE" w:rsidRDefault="00AB6343"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A37D38" w:rsidRPr="00FF00AE">
              <w:rPr>
                <w:rFonts w:asciiTheme="minorHAnsi" w:eastAsia="Times New Roman" w:hAnsiTheme="minorHAnsi" w:cs="Arial"/>
                <w:i/>
              </w:rPr>
              <w:t>Agree.</w:t>
            </w:r>
          </w:p>
        </w:tc>
      </w:tr>
      <w:tr w:rsidR="00A52BD7" w:rsidRPr="00FF00AE" w14:paraId="14F208D3" w14:textId="77777777" w:rsidTr="00AB6343">
        <w:tc>
          <w:tcPr>
            <w:tcW w:w="9350" w:type="dxa"/>
          </w:tcPr>
          <w:p w14:paraId="614AFDA8" w14:textId="77777777" w:rsidR="00A52BD7" w:rsidRPr="00FF00AE" w:rsidRDefault="00A52BD7" w:rsidP="00FA3002">
            <w:pPr>
              <w:rPr>
                <w:rFonts w:asciiTheme="minorHAnsi" w:eastAsia="Times New Roman" w:hAnsiTheme="minorHAnsi" w:cs="Arial"/>
                <w:i/>
              </w:rPr>
            </w:pPr>
          </w:p>
        </w:tc>
      </w:tr>
      <w:tr w:rsidR="00A52BD7" w:rsidRPr="00FF00AE" w14:paraId="355E767A" w14:textId="77777777" w:rsidTr="00AB6343">
        <w:tc>
          <w:tcPr>
            <w:tcW w:w="9350" w:type="dxa"/>
          </w:tcPr>
          <w:p w14:paraId="2449449F" w14:textId="77777777" w:rsidR="00A52BD7" w:rsidRPr="00FF00AE" w:rsidRDefault="00A52BD7" w:rsidP="00FA3002">
            <w:pPr>
              <w:rPr>
                <w:rFonts w:asciiTheme="minorHAnsi" w:eastAsia="Times New Roman" w:hAnsiTheme="minorHAnsi" w:cs="Arial"/>
              </w:rPr>
            </w:pPr>
            <w:r w:rsidRPr="00FF00AE">
              <w:rPr>
                <w:rFonts w:asciiTheme="minorHAnsi" w:eastAsia="Times New Roman" w:hAnsiTheme="minorHAnsi" w:cs="Arial"/>
                <w:b/>
              </w:rPr>
              <w:t xml:space="preserve">(b) </w:t>
            </w:r>
            <w:r w:rsidRPr="00FF00AE">
              <w:rPr>
                <w:rFonts w:asciiTheme="minorHAnsi" w:eastAsia="Times New Roman" w:hAnsiTheme="minorHAnsi" w:cs="Arial"/>
              </w:rPr>
              <w:t xml:space="preserve"> For early approval of both 2530 clearance and AFHMP, it seems submitting the 2530 and AFHMP after the encouragement letter is received after the Concept Meeting would be the best practice. Submission of the Pilot application would then be contingent upon receipt of the pre-approval of the 2530 and AFHMP.</w:t>
            </w:r>
          </w:p>
          <w:p w14:paraId="29DA438E" w14:textId="77777777" w:rsidR="00A52BD7" w:rsidRPr="00FF00AE" w:rsidRDefault="00A52BD7" w:rsidP="00FA3002">
            <w:pPr>
              <w:rPr>
                <w:rFonts w:asciiTheme="minorHAnsi" w:eastAsia="Times New Roman" w:hAnsiTheme="minorHAnsi" w:cs="Arial"/>
              </w:rPr>
            </w:pPr>
          </w:p>
        </w:tc>
      </w:tr>
      <w:tr w:rsidR="00A52BD7" w:rsidRPr="00FF00AE" w14:paraId="4315D24C" w14:textId="77777777" w:rsidTr="00AB6343">
        <w:tc>
          <w:tcPr>
            <w:tcW w:w="9350" w:type="dxa"/>
          </w:tcPr>
          <w:p w14:paraId="03F402A3" w14:textId="77777777" w:rsidR="00A52BD7" w:rsidRPr="00FF00AE" w:rsidRDefault="00A52BD7"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375ECB" w:rsidRPr="00FF00AE">
              <w:rPr>
                <w:rFonts w:asciiTheme="minorHAnsi" w:eastAsia="Times New Roman" w:hAnsiTheme="minorHAnsi" w:cs="Arial"/>
                <w:i/>
              </w:rPr>
              <w:t xml:space="preserve">We strongly recommend that exhibits be submitted shortly after an Encouragement Letter has been received by the lender.  </w:t>
            </w:r>
          </w:p>
        </w:tc>
      </w:tr>
      <w:tr w:rsidR="00C8692D" w:rsidRPr="00FF00AE" w14:paraId="21408672" w14:textId="77777777" w:rsidTr="00AB6343">
        <w:tc>
          <w:tcPr>
            <w:tcW w:w="9350" w:type="dxa"/>
          </w:tcPr>
          <w:p w14:paraId="44344ECD" w14:textId="77777777" w:rsidR="00C035AF" w:rsidRPr="00FF00AE" w:rsidRDefault="00C035AF" w:rsidP="004250C2">
            <w:pPr>
              <w:rPr>
                <w:rFonts w:asciiTheme="minorHAnsi" w:eastAsia="Times New Roman" w:hAnsiTheme="minorHAnsi" w:cs="Arial"/>
                <w:b/>
                <w:u w:val="single"/>
              </w:rPr>
            </w:pPr>
          </w:p>
          <w:p w14:paraId="1E936B55" w14:textId="7F38E19D" w:rsidR="00D44F16" w:rsidRPr="00FF00AE" w:rsidRDefault="004250C2" w:rsidP="004250C2">
            <w:pPr>
              <w:rPr>
                <w:rFonts w:asciiTheme="minorHAnsi" w:eastAsia="Times New Roman" w:hAnsiTheme="minorHAnsi" w:cs="Arial"/>
                <w:b/>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30</w:t>
            </w:r>
            <w:r w:rsidRPr="00FF00AE">
              <w:rPr>
                <w:rFonts w:asciiTheme="minorHAnsi" w:eastAsia="Times New Roman" w:hAnsiTheme="minorHAnsi" w:cs="Arial"/>
                <w:b/>
              </w:rPr>
              <w:t xml:space="preserve">: </w:t>
            </w:r>
            <w:r w:rsidR="00D44F16" w:rsidRPr="00FF00AE">
              <w:rPr>
                <w:rFonts w:asciiTheme="minorHAnsi" w:eastAsia="Times New Roman" w:hAnsiTheme="minorHAnsi" w:cs="Arial"/>
                <w:b/>
              </w:rPr>
              <w:t xml:space="preserve">Concept Meetings </w:t>
            </w:r>
          </w:p>
          <w:p w14:paraId="18894BB0" w14:textId="77777777" w:rsidR="00D44F16" w:rsidRPr="00FF00AE" w:rsidRDefault="00D44F16" w:rsidP="004250C2">
            <w:pPr>
              <w:rPr>
                <w:rFonts w:asciiTheme="minorHAnsi" w:eastAsia="Times New Roman" w:hAnsiTheme="minorHAnsi" w:cs="Arial"/>
                <w:b/>
              </w:rPr>
            </w:pPr>
          </w:p>
          <w:p w14:paraId="66294E11" w14:textId="77777777" w:rsidR="004250C2" w:rsidRPr="00FF00AE" w:rsidRDefault="00D44F16" w:rsidP="004250C2">
            <w:pPr>
              <w:rPr>
                <w:rFonts w:asciiTheme="minorHAnsi" w:hAnsiTheme="minorHAnsi"/>
              </w:rPr>
            </w:pPr>
            <w:r w:rsidRPr="00FF00AE">
              <w:rPr>
                <w:rFonts w:asciiTheme="minorHAnsi" w:eastAsia="Times New Roman" w:hAnsiTheme="minorHAnsi" w:cs="Arial"/>
                <w:b/>
              </w:rPr>
              <w:t xml:space="preserve">(a) </w:t>
            </w:r>
            <w:r w:rsidR="004250C2" w:rsidRPr="00FF00AE">
              <w:rPr>
                <w:rFonts w:asciiTheme="minorHAnsi" w:hAnsiTheme="minorHAnsi"/>
              </w:rPr>
              <w:t>Top of Page 9 says, “If a concept meeting is held, environmental risk factors should be discussed in detail….”  I think this should say, “At the concept meeting</w:t>
            </w:r>
            <w:proofErr w:type="gramStart"/>
            <w:r w:rsidR="004250C2" w:rsidRPr="00FF00AE">
              <w:rPr>
                <w:rFonts w:asciiTheme="minorHAnsi" w:hAnsiTheme="minorHAnsi"/>
              </w:rPr>
              <w:t>…..</w:t>
            </w:r>
            <w:proofErr w:type="gramEnd"/>
            <w:r w:rsidR="004250C2" w:rsidRPr="00FF00AE">
              <w:rPr>
                <w:rFonts w:asciiTheme="minorHAnsi" w:hAnsiTheme="minorHAnsi"/>
              </w:rPr>
              <w:t>”</w:t>
            </w:r>
          </w:p>
          <w:p w14:paraId="59A4C5AE" w14:textId="77777777" w:rsidR="004250C2" w:rsidRPr="00FF00AE" w:rsidRDefault="004250C2" w:rsidP="004250C2">
            <w:pPr>
              <w:rPr>
                <w:rFonts w:asciiTheme="minorHAnsi" w:eastAsia="Times New Roman" w:hAnsiTheme="minorHAnsi" w:cs="Arial"/>
                <w:b/>
                <w:u w:val="single"/>
              </w:rPr>
            </w:pPr>
          </w:p>
        </w:tc>
      </w:tr>
      <w:tr w:rsidR="004250C2" w:rsidRPr="00FF00AE" w14:paraId="1A0871D6" w14:textId="77777777" w:rsidTr="00AB6343">
        <w:tc>
          <w:tcPr>
            <w:tcW w:w="9350" w:type="dxa"/>
          </w:tcPr>
          <w:p w14:paraId="43727BE9" w14:textId="7C8A3521" w:rsidR="004250C2" w:rsidRPr="00FF00AE" w:rsidRDefault="004250C2" w:rsidP="00FA3002">
            <w:pPr>
              <w:rPr>
                <w:rFonts w:asciiTheme="minorHAnsi" w:eastAsia="Times New Roman" w:hAnsiTheme="minorHAnsi" w:cs="Arial"/>
                <w:i/>
              </w:rPr>
            </w:pPr>
            <w:r w:rsidRPr="00FF00AE">
              <w:rPr>
                <w:rFonts w:asciiTheme="minorHAnsi" w:eastAsia="Times New Roman" w:hAnsiTheme="minorHAnsi" w:cs="Arial"/>
                <w:i/>
              </w:rPr>
              <w:t>Reply:</w:t>
            </w:r>
            <w:r w:rsidR="00375ECB" w:rsidRPr="00FF00AE">
              <w:rPr>
                <w:rFonts w:asciiTheme="minorHAnsi" w:eastAsia="Times New Roman" w:hAnsiTheme="minorHAnsi" w:cs="Arial"/>
                <w:i/>
              </w:rPr>
              <w:t xml:space="preserve">  Concept Meetings </w:t>
            </w:r>
            <w:r w:rsidR="00DA13E6">
              <w:rPr>
                <w:rFonts w:asciiTheme="minorHAnsi" w:eastAsia="Times New Roman" w:hAnsiTheme="minorHAnsi" w:cs="Arial"/>
                <w:i/>
              </w:rPr>
              <w:t>are strongly encouraged</w:t>
            </w:r>
            <w:r w:rsidR="00375ECB" w:rsidRPr="00FF00AE">
              <w:rPr>
                <w:rFonts w:asciiTheme="minorHAnsi" w:eastAsia="Times New Roman" w:hAnsiTheme="minorHAnsi" w:cs="Arial"/>
                <w:i/>
              </w:rPr>
              <w:t xml:space="preserve"> </w:t>
            </w:r>
            <w:r w:rsidR="00DA13E6">
              <w:rPr>
                <w:rFonts w:asciiTheme="minorHAnsi" w:eastAsia="Times New Roman" w:hAnsiTheme="minorHAnsi" w:cs="Arial"/>
                <w:i/>
              </w:rPr>
              <w:t xml:space="preserve">to be held </w:t>
            </w:r>
            <w:r w:rsidR="00375ECB" w:rsidRPr="00FF00AE">
              <w:rPr>
                <w:rFonts w:asciiTheme="minorHAnsi" w:eastAsia="Times New Roman" w:hAnsiTheme="minorHAnsi" w:cs="Arial"/>
                <w:i/>
              </w:rPr>
              <w:t>to determine which track the project may be submitted under.</w:t>
            </w:r>
          </w:p>
        </w:tc>
      </w:tr>
      <w:tr w:rsidR="00BE03AF" w:rsidRPr="00FF00AE" w14:paraId="1F30ABA4" w14:textId="77777777" w:rsidTr="00AB6343">
        <w:tc>
          <w:tcPr>
            <w:tcW w:w="9350" w:type="dxa"/>
          </w:tcPr>
          <w:p w14:paraId="5103F090" w14:textId="77777777" w:rsidR="00BE03AF" w:rsidRPr="00FF00AE" w:rsidRDefault="00BE03AF" w:rsidP="00FA3002">
            <w:pPr>
              <w:rPr>
                <w:rFonts w:asciiTheme="minorHAnsi" w:eastAsia="Times New Roman" w:hAnsiTheme="minorHAnsi" w:cs="Arial"/>
                <w:b/>
              </w:rPr>
            </w:pPr>
          </w:p>
        </w:tc>
      </w:tr>
      <w:tr w:rsidR="00D44F16" w:rsidRPr="00FF00AE" w14:paraId="035EF8D1" w14:textId="77777777" w:rsidTr="00AB6343">
        <w:tc>
          <w:tcPr>
            <w:tcW w:w="9350" w:type="dxa"/>
          </w:tcPr>
          <w:p w14:paraId="29357890" w14:textId="77777777" w:rsidR="00D44F16" w:rsidRPr="00FF00AE" w:rsidRDefault="00D44F16" w:rsidP="00FA3002">
            <w:pPr>
              <w:rPr>
                <w:rFonts w:asciiTheme="minorHAnsi" w:eastAsia="Times New Roman" w:hAnsiTheme="minorHAnsi" w:cs="Arial"/>
                <w:b/>
              </w:rPr>
            </w:pPr>
            <w:r w:rsidRPr="00FF00AE">
              <w:rPr>
                <w:rFonts w:asciiTheme="minorHAnsi" w:eastAsia="Times New Roman" w:hAnsiTheme="minorHAnsi" w:cs="Arial"/>
                <w:b/>
              </w:rPr>
              <w:t xml:space="preserve">(b) </w:t>
            </w:r>
            <w:r w:rsidRPr="00FF00AE">
              <w:t>It is noted that “if” it is held on this page, but then on page 12 it says they are optional? So how is it decided when one is needed? Are you always submitting a concept package and then the decision will be made by HUD?</w:t>
            </w:r>
          </w:p>
        </w:tc>
      </w:tr>
      <w:tr w:rsidR="00D44F16" w:rsidRPr="00FF00AE" w14:paraId="501E8BF5" w14:textId="77777777" w:rsidTr="00AB6343">
        <w:tc>
          <w:tcPr>
            <w:tcW w:w="9350" w:type="dxa"/>
          </w:tcPr>
          <w:p w14:paraId="6D7C2EDB" w14:textId="3660D221" w:rsidR="00D44F16" w:rsidRPr="00FF00AE" w:rsidRDefault="00D44F16"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2D0A84" w:rsidRPr="00FF00AE">
              <w:rPr>
                <w:rFonts w:asciiTheme="minorHAnsi" w:eastAsia="Times New Roman" w:hAnsiTheme="minorHAnsi" w:cs="Arial"/>
                <w:i/>
              </w:rPr>
              <w:t xml:space="preserve">Concept Meetings </w:t>
            </w:r>
            <w:r w:rsidR="00DA13E6">
              <w:rPr>
                <w:rFonts w:asciiTheme="minorHAnsi" w:eastAsia="Times New Roman" w:hAnsiTheme="minorHAnsi" w:cs="Arial"/>
                <w:i/>
              </w:rPr>
              <w:t>are strongly encouraged to be held</w:t>
            </w:r>
            <w:r w:rsidR="002D0A84" w:rsidRPr="00FF00AE">
              <w:rPr>
                <w:rFonts w:asciiTheme="minorHAnsi" w:eastAsia="Times New Roman" w:hAnsiTheme="minorHAnsi" w:cs="Arial"/>
                <w:i/>
              </w:rPr>
              <w:t xml:space="preserve"> to determine which track the project may be submitted under.</w:t>
            </w:r>
          </w:p>
        </w:tc>
      </w:tr>
      <w:tr w:rsidR="00D44F16" w:rsidRPr="00FF00AE" w14:paraId="00EF25BB" w14:textId="77777777" w:rsidTr="00AB6343">
        <w:tc>
          <w:tcPr>
            <w:tcW w:w="9350" w:type="dxa"/>
          </w:tcPr>
          <w:p w14:paraId="3EEC0E58" w14:textId="77777777" w:rsidR="00D44F16" w:rsidRPr="00FF00AE" w:rsidRDefault="00D44F16" w:rsidP="00FA3002">
            <w:pPr>
              <w:rPr>
                <w:rFonts w:asciiTheme="minorHAnsi" w:eastAsia="Times New Roman" w:hAnsiTheme="minorHAnsi" w:cs="Arial"/>
                <w:b/>
              </w:rPr>
            </w:pPr>
          </w:p>
        </w:tc>
      </w:tr>
      <w:tr w:rsidR="007301B4" w:rsidRPr="00FF00AE" w14:paraId="3947DC67" w14:textId="77777777" w:rsidTr="00AB6343">
        <w:tc>
          <w:tcPr>
            <w:tcW w:w="9350" w:type="dxa"/>
          </w:tcPr>
          <w:p w14:paraId="67B10144" w14:textId="566D3360" w:rsidR="007301B4" w:rsidRPr="00FF00AE" w:rsidRDefault="007301B4" w:rsidP="007301B4">
            <w:pPr>
              <w:rPr>
                <w:rFonts w:eastAsia="Times New Roman"/>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31</w:t>
            </w:r>
            <w:r w:rsidRPr="00FF00AE">
              <w:rPr>
                <w:rFonts w:asciiTheme="minorHAnsi" w:eastAsia="Times New Roman" w:hAnsiTheme="minorHAnsi" w:cs="Arial"/>
                <w:b/>
              </w:rPr>
              <w:t xml:space="preserve">:  </w:t>
            </w:r>
            <w:r w:rsidRPr="00FF00AE">
              <w:rPr>
                <w:rFonts w:eastAsia="Times New Roman"/>
              </w:rPr>
              <w:t xml:space="preserve">RAD </w:t>
            </w:r>
            <w:r w:rsidRPr="00FF00AE">
              <w:rPr>
                <w:rFonts w:eastAsia="Times New Roman"/>
                <w:b/>
                <w:bCs/>
                <w:u w:val="single"/>
              </w:rPr>
              <w:t>should be</w:t>
            </w:r>
            <w:r w:rsidRPr="00FF00AE">
              <w:rPr>
                <w:rFonts w:eastAsia="Times New Roman"/>
              </w:rPr>
              <w:t xml:space="preserve"> allowed for expedited processing if an RCC has been issued.  </w:t>
            </w:r>
            <w:r w:rsidR="00663489" w:rsidRPr="00FF00AE">
              <w:rPr>
                <w:rFonts w:eastAsia="Times New Roman"/>
              </w:rPr>
              <w:t>O</w:t>
            </w:r>
            <w:r w:rsidRPr="00FF00AE">
              <w:rPr>
                <w:rFonts w:eastAsia="Times New Roman"/>
              </w:rPr>
              <w:t xml:space="preserve">nce an RCC is issued then there is less complexity.  RAD could benefit from the 4% rehabilitation streamlining.  </w:t>
            </w:r>
          </w:p>
          <w:p w14:paraId="0C8A861E" w14:textId="77777777" w:rsidR="007301B4" w:rsidRPr="00FF00AE" w:rsidRDefault="007301B4" w:rsidP="00FA3002">
            <w:pPr>
              <w:rPr>
                <w:rFonts w:asciiTheme="minorHAnsi" w:eastAsia="Times New Roman" w:hAnsiTheme="minorHAnsi" w:cs="Arial"/>
                <w:b/>
              </w:rPr>
            </w:pPr>
          </w:p>
        </w:tc>
      </w:tr>
      <w:tr w:rsidR="007301B4" w:rsidRPr="00FF00AE" w14:paraId="52F6AC0B" w14:textId="77777777" w:rsidTr="00AB6343">
        <w:tc>
          <w:tcPr>
            <w:tcW w:w="9350" w:type="dxa"/>
          </w:tcPr>
          <w:p w14:paraId="14DF3B67" w14:textId="77777777" w:rsidR="007301B4" w:rsidRPr="00FF00AE" w:rsidRDefault="007301B4" w:rsidP="00FA3002">
            <w:pPr>
              <w:rPr>
                <w:rFonts w:asciiTheme="minorHAnsi" w:eastAsia="Times New Roman" w:hAnsiTheme="minorHAnsi" w:cs="Arial"/>
                <w:i/>
              </w:rPr>
            </w:pPr>
            <w:r w:rsidRPr="00FF00AE">
              <w:rPr>
                <w:rFonts w:asciiTheme="minorHAnsi" w:eastAsia="Times New Roman" w:hAnsiTheme="minorHAnsi" w:cs="Arial"/>
                <w:i/>
              </w:rPr>
              <w:t>Reply:</w:t>
            </w:r>
            <w:r w:rsidR="00354CA9" w:rsidRPr="00FF00AE">
              <w:rPr>
                <w:rFonts w:asciiTheme="minorHAnsi" w:eastAsia="Times New Roman" w:hAnsiTheme="minorHAnsi" w:cs="Arial"/>
                <w:i/>
              </w:rPr>
              <w:t xml:space="preserve">  We will take this into consideration.</w:t>
            </w:r>
          </w:p>
        </w:tc>
      </w:tr>
      <w:tr w:rsidR="00D44F16" w:rsidRPr="00FF00AE" w14:paraId="2BFC8685" w14:textId="77777777" w:rsidTr="00AB6343">
        <w:tc>
          <w:tcPr>
            <w:tcW w:w="9350" w:type="dxa"/>
          </w:tcPr>
          <w:p w14:paraId="5C3302BA" w14:textId="77777777" w:rsidR="00D44F16" w:rsidRPr="00FF00AE" w:rsidRDefault="00D44F16" w:rsidP="00FA3002">
            <w:pPr>
              <w:rPr>
                <w:rFonts w:asciiTheme="minorHAnsi" w:eastAsia="Times New Roman" w:hAnsiTheme="minorHAnsi" w:cs="Arial"/>
                <w:b/>
              </w:rPr>
            </w:pPr>
          </w:p>
        </w:tc>
      </w:tr>
      <w:tr w:rsidR="00C8692D" w:rsidRPr="00FF00AE" w14:paraId="483D63D3" w14:textId="77777777" w:rsidTr="00AB6343">
        <w:tc>
          <w:tcPr>
            <w:tcW w:w="9350" w:type="dxa"/>
          </w:tcPr>
          <w:p w14:paraId="2A38F479" w14:textId="1BFEDA9F" w:rsidR="00AB6343" w:rsidRPr="00FF00AE" w:rsidRDefault="00AB6343" w:rsidP="00AB6343">
            <w:pPr>
              <w:rPr>
                <w:rFonts w:asciiTheme="minorHAnsi" w:eastAsia="Times New Roman" w:hAnsiTheme="minorHAnsi" w:cs="Arial"/>
              </w:rPr>
            </w:pPr>
            <w:r w:rsidRPr="00FF00AE">
              <w:rPr>
                <w:rFonts w:asciiTheme="minorHAnsi" w:eastAsia="Times New Roman" w:hAnsiTheme="minorHAnsi" w:cs="Arial"/>
                <w:b/>
                <w:u w:val="single"/>
              </w:rPr>
              <w:lastRenderedPageBreak/>
              <w:t>Question</w:t>
            </w:r>
            <w:r w:rsidR="005525B1" w:rsidRPr="00FF00AE">
              <w:rPr>
                <w:rFonts w:asciiTheme="minorHAnsi" w:eastAsia="Times New Roman" w:hAnsiTheme="minorHAnsi" w:cs="Arial"/>
                <w:b/>
                <w:u w:val="single"/>
              </w:rPr>
              <w:t xml:space="preserve"> </w:t>
            </w:r>
            <w:r w:rsidR="00B97AB0" w:rsidRPr="00FF00AE">
              <w:rPr>
                <w:rFonts w:asciiTheme="minorHAnsi" w:eastAsia="Times New Roman" w:hAnsiTheme="minorHAnsi" w:cs="Arial"/>
                <w:b/>
                <w:u w:val="single"/>
              </w:rPr>
              <w:t>32</w:t>
            </w:r>
            <w:r w:rsidRPr="00FF00AE">
              <w:rPr>
                <w:rFonts w:asciiTheme="minorHAnsi" w:eastAsia="Times New Roman" w:hAnsiTheme="minorHAnsi" w:cs="Arial"/>
                <w:b/>
              </w:rPr>
              <w:t>:</w:t>
            </w:r>
            <w:r w:rsidRPr="00FF00AE">
              <w:rPr>
                <w:rFonts w:asciiTheme="minorHAnsi" w:eastAsia="Times New Roman" w:hAnsiTheme="minorHAnsi" w:cs="Arial"/>
              </w:rPr>
              <w:t xml:space="preserve"> Page 10 of 24 – Section IX.B – designated regional/satellite pilot offices – what are the designated pilot offices and the designated pilot Branch Chief’s / Underwriters?   If a LIHTC Pilot deal is located within an area without a designated regional/satellite pilot office, will the application still be accepted (believe so based on the way it is written but looking for confirmation)?</w:t>
            </w:r>
          </w:p>
          <w:p w14:paraId="66077C6E" w14:textId="77777777" w:rsidR="00AB6343" w:rsidRPr="00FF00AE" w:rsidRDefault="00AB6343" w:rsidP="00FA3002">
            <w:pPr>
              <w:rPr>
                <w:rFonts w:asciiTheme="minorHAnsi" w:eastAsia="Times New Roman" w:hAnsiTheme="minorHAnsi" w:cs="Arial"/>
              </w:rPr>
            </w:pPr>
          </w:p>
        </w:tc>
      </w:tr>
      <w:tr w:rsidR="00C8692D" w:rsidRPr="00FF00AE" w14:paraId="799ADAE0" w14:textId="77777777" w:rsidTr="00AB6343">
        <w:tc>
          <w:tcPr>
            <w:tcW w:w="9350" w:type="dxa"/>
          </w:tcPr>
          <w:p w14:paraId="762B63A6" w14:textId="77777777" w:rsidR="00AB6343" w:rsidRPr="00FF00AE" w:rsidRDefault="00AB6343"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7A6CD0" w:rsidRPr="00FF00AE">
              <w:rPr>
                <w:rFonts w:asciiTheme="minorHAnsi" w:eastAsia="Times New Roman" w:hAnsiTheme="minorHAnsi" w:cs="Arial"/>
                <w:i/>
              </w:rPr>
              <w:t xml:space="preserve"> Each Regional Office has a dedicated LIHTC team and Designated LIHTC Pilot Underwriters.  See attached list.  </w:t>
            </w:r>
          </w:p>
        </w:tc>
      </w:tr>
      <w:tr w:rsidR="005525B1" w:rsidRPr="00FF00AE" w14:paraId="57E15919" w14:textId="77777777" w:rsidTr="00AB6343">
        <w:tc>
          <w:tcPr>
            <w:tcW w:w="9350" w:type="dxa"/>
          </w:tcPr>
          <w:p w14:paraId="44CBC214" w14:textId="77777777" w:rsidR="005525B1" w:rsidRPr="00FF00AE" w:rsidRDefault="005525B1" w:rsidP="00FA3002">
            <w:pPr>
              <w:rPr>
                <w:rFonts w:asciiTheme="minorHAnsi" w:eastAsia="Times New Roman" w:hAnsiTheme="minorHAnsi" w:cs="Arial"/>
                <w:b/>
              </w:rPr>
            </w:pPr>
          </w:p>
        </w:tc>
      </w:tr>
      <w:tr w:rsidR="005525B1" w:rsidRPr="00FF00AE" w14:paraId="619B036C" w14:textId="77777777" w:rsidTr="00AB6343">
        <w:tc>
          <w:tcPr>
            <w:tcW w:w="9350" w:type="dxa"/>
          </w:tcPr>
          <w:p w14:paraId="7B23FA22" w14:textId="7D4239F4" w:rsidR="005525B1" w:rsidRPr="00FF00AE" w:rsidRDefault="005525B1" w:rsidP="005525B1">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33</w:t>
            </w:r>
            <w:r w:rsidRPr="00FF00AE">
              <w:rPr>
                <w:rFonts w:asciiTheme="minorHAnsi" w:eastAsia="Times New Roman" w:hAnsiTheme="minorHAnsi" w:cs="Arial"/>
                <w:b/>
                <w:u w:val="single"/>
              </w:rPr>
              <w:t>:</w:t>
            </w:r>
            <w:r w:rsidRPr="00FF00AE">
              <w:rPr>
                <w:rFonts w:asciiTheme="minorHAnsi" w:eastAsia="Times New Roman" w:hAnsiTheme="minorHAnsi" w:cs="Arial"/>
              </w:rPr>
              <w:t xml:space="preserve">  </w:t>
            </w:r>
            <w:r w:rsidRPr="00FF00AE">
              <w:t xml:space="preserve">W/in 10 business days the DPU will schedule a kickoff call with the lender and field counsel to discuss transaction features. The kickoff call should be earlier.  The review is 30 calendar days and the kick-off call will take 10 business days which could be halfway through the </w:t>
            </w:r>
            <w:proofErr w:type="gramStart"/>
            <w:r w:rsidRPr="00FF00AE">
              <w:t>30 day</w:t>
            </w:r>
            <w:proofErr w:type="gramEnd"/>
            <w:r w:rsidRPr="00FF00AE">
              <w:t xml:space="preserve"> review.</w:t>
            </w:r>
          </w:p>
          <w:p w14:paraId="2E3FD354" w14:textId="77777777" w:rsidR="005525B1" w:rsidRPr="00FF00AE" w:rsidRDefault="005525B1" w:rsidP="005525B1">
            <w:pPr>
              <w:rPr>
                <w:rFonts w:asciiTheme="minorHAnsi" w:eastAsia="Times New Roman" w:hAnsiTheme="minorHAnsi" w:cs="Arial"/>
              </w:rPr>
            </w:pPr>
          </w:p>
        </w:tc>
      </w:tr>
      <w:tr w:rsidR="005525B1" w:rsidRPr="00FF00AE" w14:paraId="17930B69" w14:textId="77777777" w:rsidTr="00AB6343">
        <w:tc>
          <w:tcPr>
            <w:tcW w:w="9350" w:type="dxa"/>
          </w:tcPr>
          <w:p w14:paraId="12DF3222" w14:textId="7EDFADCB" w:rsidR="005525B1" w:rsidRPr="00FF00AE" w:rsidRDefault="005525B1" w:rsidP="005525B1">
            <w:pPr>
              <w:rPr>
                <w:rFonts w:asciiTheme="minorHAnsi" w:eastAsia="Times New Roman" w:hAnsiTheme="minorHAnsi" w:cs="Arial"/>
                <w:i/>
              </w:rPr>
            </w:pPr>
            <w:r w:rsidRPr="00FF00AE">
              <w:rPr>
                <w:rFonts w:asciiTheme="minorHAnsi" w:eastAsia="Times New Roman" w:hAnsiTheme="minorHAnsi" w:cs="Arial"/>
                <w:i/>
              </w:rPr>
              <w:t xml:space="preserve">Reply: </w:t>
            </w:r>
            <w:r w:rsidR="007A6CD0" w:rsidRPr="00FF00AE">
              <w:rPr>
                <w:rFonts w:asciiTheme="minorHAnsi" w:eastAsia="Times New Roman" w:hAnsiTheme="minorHAnsi" w:cs="Arial"/>
                <w:i/>
              </w:rPr>
              <w:t xml:space="preserve"> The initial </w:t>
            </w:r>
            <w:r w:rsidR="00A64D65" w:rsidRPr="00FF00AE">
              <w:rPr>
                <w:rFonts w:asciiTheme="minorHAnsi" w:eastAsia="Times New Roman" w:hAnsiTheme="minorHAnsi" w:cs="Arial"/>
                <w:i/>
              </w:rPr>
              <w:t>5-day</w:t>
            </w:r>
            <w:r w:rsidR="007A6CD0" w:rsidRPr="00FF00AE">
              <w:rPr>
                <w:rFonts w:asciiTheme="minorHAnsi" w:eastAsia="Times New Roman" w:hAnsiTheme="minorHAnsi" w:cs="Arial"/>
                <w:i/>
              </w:rPr>
              <w:t xml:space="preserve"> period after the application is placed into processing will be used to </w:t>
            </w:r>
            <w:r w:rsidR="00A64D65" w:rsidRPr="00FF00AE">
              <w:rPr>
                <w:rFonts w:asciiTheme="minorHAnsi" w:eastAsia="Times New Roman" w:hAnsiTheme="minorHAnsi" w:cs="Arial"/>
                <w:i/>
              </w:rPr>
              <w:t xml:space="preserve">resolve </w:t>
            </w:r>
            <w:r w:rsidR="007A6CD0" w:rsidRPr="00FF00AE">
              <w:rPr>
                <w:rFonts w:asciiTheme="minorHAnsi" w:eastAsia="Times New Roman" w:hAnsiTheme="minorHAnsi" w:cs="Arial"/>
                <w:i/>
              </w:rPr>
              <w:t xml:space="preserve">any application deficiencies.  At 10 days, the DPU will be in a better position to discuss </w:t>
            </w:r>
            <w:r w:rsidR="00A64D65" w:rsidRPr="00FF00AE">
              <w:rPr>
                <w:rFonts w:asciiTheme="minorHAnsi" w:eastAsia="Times New Roman" w:hAnsiTheme="minorHAnsi" w:cs="Arial"/>
                <w:i/>
              </w:rPr>
              <w:t xml:space="preserve">deal specifics and to highlight any remaining issues.  </w:t>
            </w:r>
            <w:r w:rsidR="00DA13E6" w:rsidRPr="00FF00AE">
              <w:rPr>
                <w:rFonts w:asciiTheme="minorHAnsi" w:eastAsia="Times New Roman" w:hAnsiTheme="minorHAnsi" w:cs="Arial"/>
                <w:i/>
              </w:rPr>
              <w:t>If we can have the meeting earlier than 10 days, we will.</w:t>
            </w:r>
            <w:r w:rsidR="00DA13E6">
              <w:rPr>
                <w:rFonts w:asciiTheme="minorHAnsi" w:eastAsia="Times New Roman" w:hAnsiTheme="minorHAnsi" w:cs="Arial"/>
                <w:i/>
              </w:rPr>
              <w:t xml:space="preserve">  </w:t>
            </w:r>
            <w:r w:rsidR="00A64D65" w:rsidRPr="00FF00AE">
              <w:rPr>
                <w:rFonts w:asciiTheme="minorHAnsi" w:eastAsia="Times New Roman" w:hAnsiTheme="minorHAnsi" w:cs="Arial"/>
                <w:i/>
              </w:rPr>
              <w:t>Frequent communication is highly encouraged throughout the entire process, beginning with the Concept Meeting.</w:t>
            </w:r>
            <w:r w:rsidR="00DE5107" w:rsidRPr="00FF00AE">
              <w:rPr>
                <w:rFonts w:asciiTheme="minorHAnsi" w:eastAsia="Times New Roman" w:hAnsiTheme="minorHAnsi" w:cs="Arial"/>
                <w:i/>
              </w:rPr>
              <w:t xml:space="preserve">  </w:t>
            </w:r>
          </w:p>
        </w:tc>
      </w:tr>
      <w:tr w:rsidR="005525B1" w:rsidRPr="00FF00AE" w14:paraId="741834D6" w14:textId="77777777" w:rsidTr="00AB6343">
        <w:tc>
          <w:tcPr>
            <w:tcW w:w="9350" w:type="dxa"/>
          </w:tcPr>
          <w:p w14:paraId="7F297270" w14:textId="77777777" w:rsidR="005525B1" w:rsidRPr="00FF00AE" w:rsidRDefault="005525B1" w:rsidP="005525B1">
            <w:pPr>
              <w:rPr>
                <w:rFonts w:asciiTheme="minorHAnsi" w:eastAsia="Times New Roman" w:hAnsiTheme="minorHAnsi" w:cs="Arial"/>
                <w:b/>
              </w:rPr>
            </w:pPr>
          </w:p>
        </w:tc>
      </w:tr>
      <w:tr w:rsidR="005525B1" w:rsidRPr="00FF00AE" w14:paraId="7C6A7538" w14:textId="77777777" w:rsidTr="00AB6343">
        <w:tc>
          <w:tcPr>
            <w:tcW w:w="9350" w:type="dxa"/>
          </w:tcPr>
          <w:p w14:paraId="5FAFE336" w14:textId="70B64AB6" w:rsidR="00D44F16" w:rsidRPr="00FF00AE" w:rsidRDefault="005525B1" w:rsidP="005525B1">
            <w:pPr>
              <w:contextualSpacing/>
            </w:pPr>
            <w:r w:rsidRPr="00FF00AE">
              <w:rPr>
                <w:rFonts w:asciiTheme="minorHAnsi" w:eastAsia="Times New Roman" w:hAnsiTheme="minorHAnsi" w:cs="Arial"/>
                <w:b/>
                <w:u w:val="single"/>
              </w:rPr>
              <w:t>Question 3</w:t>
            </w:r>
            <w:r w:rsidR="00B97AB0" w:rsidRPr="00FF00AE">
              <w:rPr>
                <w:rFonts w:asciiTheme="minorHAnsi" w:eastAsia="Times New Roman" w:hAnsiTheme="minorHAnsi" w:cs="Arial"/>
                <w:b/>
                <w:u w:val="single"/>
              </w:rPr>
              <w:t>4</w:t>
            </w:r>
            <w:r w:rsidRPr="00FF00AE">
              <w:rPr>
                <w:rFonts w:asciiTheme="minorHAnsi" w:eastAsia="Times New Roman" w:hAnsiTheme="minorHAnsi" w:cs="Arial"/>
                <w:b/>
              </w:rPr>
              <w:t xml:space="preserve">:  </w:t>
            </w:r>
            <w:r w:rsidRPr="00FF00AE">
              <w:t xml:space="preserve">Designated </w:t>
            </w:r>
            <w:r w:rsidR="00D44F16" w:rsidRPr="00FF00AE">
              <w:t>O</w:t>
            </w:r>
            <w:r w:rsidRPr="00FF00AE">
              <w:t xml:space="preserve">ffices  </w:t>
            </w:r>
          </w:p>
          <w:p w14:paraId="79AC76FD" w14:textId="77777777" w:rsidR="00D44F16" w:rsidRPr="00FF00AE" w:rsidRDefault="00D44F16" w:rsidP="005525B1">
            <w:pPr>
              <w:contextualSpacing/>
            </w:pPr>
          </w:p>
          <w:p w14:paraId="685DC916" w14:textId="77777777" w:rsidR="005525B1" w:rsidRPr="00FF00AE" w:rsidRDefault="00D44F16" w:rsidP="005525B1">
            <w:pPr>
              <w:contextualSpacing/>
            </w:pPr>
            <w:r w:rsidRPr="00FF00AE">
              <w:t xml:space="preserve">(a) </w:t>
            </w:r>
            <w:r w:rsidR="005525B1" w:rsidRPr="00FF00AE">
              <w:t>Are there any offices not participating?</w:t>
            </w:r>
          </w:p>
          <w:p w14:paraId="70F83086" w14:textId="77777777" w:rsidR="005525B1" w:rsidRPr="00FF00AE" w:rsidRDefault="005525B1" w:rsidP="005525B1">
            <w:pPr>
              <w:rPr>
                <w:rFonts w:asciiTheme="minorHAnsi" w:eastAsia="Times New Roman" w:hAnsiTheme="minorHAnsi" w:cs="Arial"/>
                <w:b/>
              </w:rPr>
            </w:pPr>
          </w:p>
        </w:tc>
      </w:tr>
      <w:tr w:rsidR="005525B1" w:rsidRPr="00FF00AE" w14:paraId="30B908FD" w14:textId="77777777" w:rsidTr="00AB6343">
        <w:tc>
          <w:tcPr>
            <w:tcW w:w="9350" w:type="dxa"/>
          </w:tcPr>
          <w:p w14:paraId="1B1FDEF4" w14:textId="77777777" w:rsidR="005525B1" w:rsidRPr="00FF00AE" w:rsidRDefault="005525B1" w:rsidP="005525B1">
            <w:pPr>
              <w:rPr>
                <w:rFonts w:asciiTheme="minorHAnsi" w:eastAsia="Times New Roman" w:hAnsiTheme="minorHAnsi" w:cs="Arial"/>
                <w:i/>
              </w:rPr>
            </w:pPr>
            <w:r w:rsidRPr="00FF00AE">
              <w:rPr>
                <w:rFonts w:asciiTheme="minorHAnsi" w:eastAsia="Times New Roman" w:hAnsiTheme="minorHAnsi" w:cs="Arial"/>
                <w:i/>
              </w:rPr>
              <w:t xml:space="preserve">Reply: </w:t>
            </w:r>
            <w:r w:rsidR="00A64D65" w:rsidRPr="00FF00AE">
              <w:rPr>
                <w:rFonts w:asciiTheme="minorHAnsi" w:eastAsia="Times New Roman" w:hAnsiTheme="minorHAnsi" w:cs="Arial"/>
                <w:i/>
              </w:rPr>
              <w:t xml:space="preserve">  No, every Reginal Office will accept Pilot applications.</w:t>
            </w:r>
          </w:p>
        </w:tc>
      </w:tr>
      <w:tr w:rsidR="00BE03AF" w:rsidRPr="00FF00AE" w14:paraId="5790EF61" w14:textId="77777777" w:rsidTr="00AB6343">
        <w:tc>
          <w:tcPr>
            <w:tcW w:w="9350" w:type="dxa"/>
          </w:tcPr>
          <w:p w14:paraId="459A9D4A" w14:textId="77777777" w:rsidR="00BE03AF" w:rsidRPr="00FF00AE" w:rsidRDefault="00BE03AF" w:rsidP="005525B1">
            <w:pPr>
              <w:rPr>
                <w:rFonts w:asciiTheme="minorHAnsi" w:eastAsia="Times New Roman" w:hAnsiTheme="minorHAnsi" w:cs="Arial"/>
                <w:b/>
              </w:rPr>
            </w:pPr>
          </w:p>
        </w:tc>
      </w:tr>
      <w:tr w:rsidR="00D44F16" w:rsidRPr="00FF00AE" w14:paraId="0772684F" w14:textId="77777777" w:rsidTr="00AB6343">
        <w:tc>
          <w:tcPr>
            <w:tcW w:w="9350" w:type="dxa"/>
          </w:tcPr>
          <w:p w14:paraId="6E3C51B9" w14:textId="77777777" w:rsidR="00D44F16" w:rsidRPr="00FF00AE" w:rsidRDefault="00D44F16" w:rsidP="00D44F16">
            <w:r w:rsidRPr="00FF00AE">
              <w:rPr>
                <w:rFonts w:asciiTheme="minorHAnsi" w:eastAsia="Times New Roman" w:hAnsiTheme="minorHAnsi" w:cs="Arial"/>
              </w:rPr>
              <w:t>(b) W</w:t>
            </w:r>
            <w:r w:rsidRPr="00FF00AE">
              <w:t>hen/how will the HUD offices be designated/announced?</w:t>
            </w:r>
          </w:p>
          <w:p w14:paraId="1B181F38" w14:textId="77777777" w:rsidR="00D44F16" w:rsidRPr="00FF00AE" w:rsidRDefault="00D44F16" w:rsidP="005525B1">
            <w:pPr>
              <w:rPr>
                <w:rFonts w:asciiTheme="minorHAnsi" w:eastAsia="Times New Roman" w:hAnsiTheme="minorHAnsi" w:cs="Arial"/>
              </w:rPr>
            </w:pPr>
          </w:p>
        </w:tc>
      </w:tr>
      <w:tr w:rsidR="00D44F16" w:rsidRPr="00FF00AE" w14:paraId="01DB5A15" w14:textId="77777777" w:rsidTr="00AB6343">
        <w:tc>
          <w:tcPr>
            <w:tcW w:w="9350" w:type="dxa"/>
          </w:tcPr>
          <w:p w14:paraId="4B1864AF" w14:textId="77777777" w:rsidR="00D44F16" w:rsidRPr="00FF00AE" w:rsidRDefault="00D44F16" w:rsidP="005525B1">
            <w:pPr>
              <w:rPr>
                <w:rFonts w:asciiTheme="minorHAnsi" w:eastAsia="Times New Roman" w:hAnsiTheme="minorHAnsi" w:cs="Arial"/>
                <w:i/>
              </w:rPr>
            </w:pPr>
            <w:r w:rsidRPr="00FF00AE">
              <w:rPr>
                <w:rFonts w:asciiTheme="minorHAnsi" w:eastAsia="Times New Roman" w:hAnsiTheme="minorHAnsi" w:cs="Arial"/>
                <w:i/>
              </w:rPr>
              <w:t xml:space="preserve">Reply: </w:t>
            </w:r>
            <w:r w:rsidR="00A64D65" w:rsidRPr="00FF00AE">
              <w:rPr>
                <w:rFonts w:asciiTheme="minorHAnsi" w:eastAsia="Times New Roman" w:hAnsiTheme="minorHAnsi" w:cs="Arial"/>
                <w:i/>
              </w:rPr>
              <w:t>See attached list.</w:t>
            </w:r>
          </w:p>
        </w:tc>
      </w:tr>
      <w:tr w:rsidR="00D44F16" w:rsidRPr="00FF00AE" w14:paraId="53926090" w14:textId="77777777" w:rsidTr="00AB6343">
        <w:tc>
          <w:tcPr>
            <w:tcW w:w="9350" w:type="dxa"/>
          </w:tcPr>
          <w:p w14:paraId="571B7633" w14:textId="77777777" w:rsidR="00D44F16" w:rsidRPr="00FF00AE" w:rsidRDefault="00D44F16" w:rsidP="005525B1">
            <w:pPr>
              <w:rPr>
                <w:rFonts w:asciiTheme="minorHAnsi" w:eastAsia="Times New Roman" w:hAnsiTheme="minorHAnsi" w:cs="Arial"/>
                <w:b/>
              </w:rPr>
            </w:pPr>
          </w:p>
        </w:tc>
      </w:tr>
      <w:tr w:rsidR="00BE03AF" w:rsidRPr="00FF00AE" w14:paraId="50CF0139" w14:textId="77777777" w:rsidTr="00AB6343">
        <w:tc>
          <w:tcPr>
            <w:tcW w:w="9350" w:type="dxa"/>
          </w:tcPr>
          <w:p w14:paraId="318F6395" w14:textId="77B895DE" w:rsidR="00BE03AF" w:rsidRPr="00FF00AE" w:rsidRDefault="00BE03AF" w:rsidP="00BE03AF">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35</w:t>
            </w:r>
            <w:r w:rsidRPr="00FF00AE">
              <w:rPr>
                <w:rFonts w:asciiTheme="minorHAnsi" w:eastAsia="Times New Roman" w:hAnsiTheme="minorHAnsi" w:cs="Arial"/>
                <w:b/>
              </w:rPr>
              <w:t xml:space="preserve">:  </w:t>
            </w:r>
            <w:r w:rsidRPr="00FF00AE">
              <w:t>IX.  Tax Credit New Pilot Application Processing: General, A. Paragraph 2 – Will the pre-closing conference call also serve as the Pre-Con?</w:t>
            </w:r>
          </w:p>
          <w:p w14:paraId="64EC1ADA" w14:textId="77777777" w:rsidR="00BE03AF" w:rsidRPr="00FF00AE" w:rsidRDefault="00BE03AF" w:rsidP="00BE03AF">
            <w:pPr>
              <w:rPr>
                <w:rFonts w:asciiTheme="minorHAnsi" w:eastAsia="Times New Roman" w:hAnsiTheme="minorHAnsi" w:cs="Arial"/>
                <w:b/>
              </w:rPr>
            </w:pPr>
          </w:p>
        </w:tc>
      </w:tr>
      <w:tr w:rsidR="00BE03AF" w:rsidRPr="00FF00AE" w14:paraId="26D56913" w14:textId="77777777" w:rsidTr="00AB6343">
        <w:tc>
          <w:tcPr>
            <w:tcW w:w="9350" w:type="dxa"/>
          </w:tcPr>
          <w:p w14:paraId="306ED45B" w14:textId="77777777" w:rsidR="00BE03AF" w:rsidRPr="00FF00AE" w:rsidRDefault="00BE03AF" w:rsidP="005525B1">
            <w:pPr>
              <w:rPr>
                <w:rFonts w:asciiTheme="minorHAnsi" w:eastAsia="Times New Roman" w:hAnsiTheme="minorHAnsi" w:cs="Arial"/>
                <w:i/>
              </w:rPr>
            </w:pPr>
            <w:r w:rsidRPr="00FF00AE">
              <w:rPr>
                <w:rFonts w:asciiTheme="minorHAnsi" w:eastAsia="Times New Roman" w:hAnsiTheme="minorHAnsi" w:cs="Arial"/>
                <w:i/>
              </w:rPr>
              <w:t xml:space="preserve">Reply: </w:t>
            </w:r>
            <w:r w:rsidR="00BD0254" w:rsidRPr="00FF00AE">
              <w:rPr>
                <w:rFonts w:asciiTheme="minorHAnsi" w:eastAsia="Times New Roman" w:hAnsiTheme="minorHAnsi" w:cs="Arial"/>
                <w:i/>
              </w:rPr>
              <w:t>No, the Pre-Construction Conference will be held separately and is often held a few days before or at Closing.</w:t>
            </w:r>
          </w:p>
        </w:tc>
      </w:tr>
    </w:tbl>
    <w:p w14:paraId="642CB25A" w14:textId="77777777" w:rsidR="00C8692D" w:rsidRPr="00FF00AE" w:rsidRDefault="00C8692D" w:rsidP="00FA3002">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692D" w:rsidRPr="00FF00AE" w14:paraId="77C1ECB9" w14:textId="77777777" w:rsidTr="00AD3280">
        <w:tc>
          <w:tcPr>
            <w:tcW w:w="9350" w:type="dxa"/>
          </w:tcPr>
          <w:p w14:paraId="2EFA15B0" w14:textId="767FDBB1" w:rsidR="00C8692D" w:rsidRPr="00FF00AE" w:rsidRDefault="00C8692D" w:rsidP="00C8692D">
            <w:pPr>
              <w:rPr>
                <w:rFonts w:asciiTheme="minorHAnsi" w:hAnsiTheme="minorHAnsi"/>
              </w:rPr>
            </w:pPr>
            <w:r w:rsidRPr="00FF00AE">
              <w:rPr>
                <w:rFonts w:asciiTheme="minorHAnsi" w:eastAsia="Times New Roman" w:hAnsiTheme="minorHAnsi" w:cs="Arial"/>
                <w:b/>
                <w:u w:val="single"/>
              </w:rPr>
              <w:t>Question</w:t>
            </w:r>
            <w:r w:rsidR="00B97AB0" w:rsidRPr="00FF00AE">
              <w:rPr>
                <w:rFonts w:asciiTheme="minorHAnsi" w:eastAsia="Times New Roman" w:hAnsiTheme="minorHAnsi" w:cs="Arial"/>
                <w:b/>
                <w:u w:val="single"/>
              </w:rPr>
              <w:t xml:space="preserve"> 36</w:t>
            </w:r>
            <w:r w:rsidRPr="00FF00AE">
              <w:rPr>
                <w:rFonts w:asciiTheme="minorHAnsi" w:eastAsia="Times New Roman" w:hAnsiTheme="minorHAnsi" w:cs="Arial"/>
                <w:b/>
              </w:rPr>
              <w:t xml:space="preserve">: </w:t>
            </w:r>
            <w:r w:rsidRPr="00FF00AE">
              <w:rPr>
                <w:rFonts w:asciiTheme="minorHAnsi" w:hAnsiTheme="minorHAnsi"/>
              </w:rPr>
              <w:t xml:space="preserve">P 11 and 12 - It says concept meeting are optional.  I seem to remember at one of the conferences Liz saying that the Concept meeting was critical as the lender’s underwriter would start working with the HUD underwriter right after concept.  Plus, HUD usually wants concept meetings for D4s, so it seems odd it would be optional.  I would think it would be required. </w:t>
            </w:r>
          </w:p>
          <w:p w14:paraId="4B1ECD97" w14:textId="77777777" w:rsidR="00C8692D" w:rsidRPr="00FF00AE" w:rsidRDefault="00C8692D" w:rsidP="00AD3280">
            <w:pPr>
              <w:rPr>
                <w:rFonts w:asciiTheme="minorHAnsi" w:eastAsia="Times New Roman" w:hAnsiTheme="minorHAnsi" w:cs="Arial"/>
                <w:b/>
              </w:rPr>
            </w:pPr>
          </w:p>
        </w:tc>
      </w:tr>
      <w:tr w:rsidR="00C8692D" w:rsidRPr="00FF00AE" w14:paraId="4A40D5E0" w14:textId="77777777" w:rsidTr="00AD3280">
        <w:tc>
          <w:tcPr>
            <w:tcW w:w="9350" w:type="dxa"/>
          </w:tcPr>
          <w:p w14:paraId="65A3715C" w14:textId="4F256F5D" w:rsidR="00C8692D" w:rsidRPr="00FF00AE" w:rsidRDefault="00C8692D" w:rsidP="00AD3280">
            <w:pPr>
              <w:rPr>
                <w:rFonts w:asciiTheme="minorHAnsi" w:eastAsia="Times New Roman" w:hAnsiTheme="minorHAnsi" w:cs="Arial"/>
                <w:i/>
              </w:rPr>
            </w:pPr>
            <w:r w:rsidRPr="00FF00AE">
              <w:rPr>
                <w:rFonts w:asciiTheme="minorHAnsi" w:eastAsia="Times New Roman" w:hAnsiTheme="minorHAnsi" w:cs="Arial"/>
                <w:i/>
              </w:rPr>
              <w:t>Reply:</w:t>
            </w:r>
            <w:r w:rsidR="00ED1D77" w:rsidRPr="00FF00AE">
              <w:rPr>
                <w:rFonts w:asciiTheme="minorHAnsi" w:eastAsia="Times New Roman" w:hAnsiTheme="minorHAnsi" w:cs="Arial"/>
                <w:i/>
              </w:rPr>
              <w:t xml:space="preserve">  Concept Meetings are strongly encouraged.</w:t>
            </w:r>
          </w:p>
        </w:tc>
      </w:tr>
      <w:tr w:rsidR="005525B1" w:rsidRPr="00FF00AE" w14:paraId="73D10D97" w14:textId="77777777" w:rsidTr="00AD3280">
        <w:tc>
          <w:tcPr>
            <w:tcW w:w="9350" w:type="dxa"/>
          </w:tcPr>
          <w:p w14:paraId="3459CB17" w14:textId="77777777" w:rsidR="005525B1" w:rsidRPr="00FF00AE" w:rsidRDefault="005525B1" w:rsidP="00AD3280">
            <w:pPr>
              <w:rPr>
                <w:rFonts w:asciiTheme="minorHAnsi" w:eastAsia="Times New Roman" w:hAnsiTheme="minorHAnsi" w:cs="Arial"/>
                <w:b/>
              </w:rPr>
            </w:pPr>
          </w:p>
        </w:tc>
      </w:tr>
      <w:tr w:rsidR="005525B1" w:rsidRPr="00FF00AE" w14:paraId="65C749CE" w14:textId="77777777" w:rsidTr="00AD3280">
        <w:tc>
          <w:tcPr>
            <w:tcW w:w="9350" w:type="dxa"/>
          </w:tcPr>
          <w:p w14:paraId="36034AB3" w14:textId="5AAA6E8A" w:rsidR="005525B1" w:rsidRPr="00FF00AE" w:rsidRDefault="005525B1" w:rsidP="005525B1">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37</w:t>
            </w:r>
            <w:r w:rsidRPr="00FF00AE">
              <w:rPr>
                <w:rFonts w:asciiTheme="minorHAnsi" w:eastAsia="Times New Roman" w:hAnsiTheme="minorHAnsi" w:cs="Arial"/>
                <w:b/>
              </w:rPr>
              <w:t xml:space="preserve">: </w:t>
            </w:r>
            <w:r w:rsidRPr="00FF00AE">
              <w:t>Designated LIHTC/Pilot Branch Chief and DPUs. – Who are they?</w:t>
            </w:r>
          </w:p>
          <w:p w14:paraId="37557DC9" w14:textId="77777777" w:rsidR="005525B1" w:rsidRPr="00FF00AE" w:rsidRDefault="005525B1" w:rsidP="00AD3280">
            <w:pPr>
              <w:rPr>
                <w:rFonts w:asciiTheme="minorHAnsi" w:eastAsia="Times New Roman" w:hAnsiTheme="minorHAnsi" w:cs="Arial"/>
                <w:b/>
              </w:rPr>
            </w:pPr>
          </w:p>
        </w:tc>
      </w:tr>
      <w:tr w:rsidR="005525B1" w:rsidRPr="00FF00AE" w14:paraId="7B7907B4" w14:textId="77777777" w:rsidTr="00AD3280">
        <w:tc>
          <w:tcPr>
            <w:tcW w:w="9350" w:type="dxa"/>
          </w:tcPr>
          <w:p w14:paraId="2967501C" w14:textId="02848CE6" w:rsidR="005525B1" w:rsidRPr="00FF00AE" w:rsidRDefault="005525B1" w:rsidP="00AD3280">
            <w:pPr>
              <w:rPr>
                <w:rFonts w:asciiTheme="minorHAnsi" w:eastAsia="Times New Roman" w:hAnsiTheme="minorHAnsi" w:cs="Arial"/>
                <w:i/>
              </w:rPr>
            </w:pPr>
            <w:r w:rsidRPr="00FF00AE">
              <w:rPr>
                <w:rFonts w:asciiTheme="minorHAnsi" w:eastAsia="Times New Roman" w:hAnsiTheme="minorHAnsi" w:cs="Arial"/>
                <w:i/>
              </w:rPr>
              <w:t xml:space="preserve">Reply: </w:t>
            </w:r>
            <w:r w:rsidR="00ED1D77" w:rsidRPr="00FF00AE">
              <w:rPr>
                <w:rFonts w:asciiTheme="minorHAnsi" w:eastAsia="Times New Roman" w:hAnsiTheme="minorHAnsi" w:cs="Arial"/>
                <w:i/>
              </w:rPr>
              <w:t>See attached list.</w:t>
            </w:r>
          </w:p>
        </w:tc>
      </w:tr>
      <w:tr w:rsidR="0089569C" w:rsidRPr="00FF00AE" w14:paraId="6A4CA9EF" w14:textId="77777777" w:rsidTr="00AD3280">
        <w:tc>
          <w:tcPr>
            <w:tcW w:w="9350" w:type="dxa"/>
          </w:tcPr>
          <w:p w14:paraId="6D2973CE" w14:textId="77777777" w:rsidR="0089569C" w:rsidRPr="00FF00AE" w:rsidRDefault="0089569C" w:rsidP="00AD3280">
            <w:pPr>
              <w:rPr>
                <w:rFonts w:asciiTheme="minorHAnsi" w:eastAsia="Times New Roman" w:hAnsiTheme="minorHAnsi" w:cs="Arial"/>
                <w:i/>
              </w:rPr>
            </w:pPr>
          </w:p>
        </w:tc>
      </w:tr>
      <w:tr w:rsidR="0089569C" w:rsidRPr="00FF00AE" w14:paraId="3768FE3B" w14:textId="77777777" w:rsidTr="00AD3280">
        <w:tc>
          <w:tcPr>
            <w:tcW w:w="9350" w:type="dxa"/>
          </w:tcPr>
          <w:p w14:paraId="1A2018A8" w14:textId="575F91E7" w:rsidR="0089569C" w:rsidRPr="00FF00AE" w:rsidRDefault="0089569C" w:rsidP="0089569C">
            <w:r w:rsidRPr="00FF00AE">
              <w:rPr>
                <w:rFonts w:asciiTheme="minorHAnsi" w:eastAsia="Times New Roman" w:hAnsiTheme="minorHAnsi" w:cs="Arial"/>
                <w:b/>
                <w:u w:val="single"/>
              </w:rPr>
              <w:t>Question 3</w:t>
            </w:r>
            <w:r w:rsidR="00B97AB0" w:rsidRPr="00FF00AE">
              <w:rPr>
                <w:rFonts w:asciiTheme="minorHAnsi" w:eastAsia="Times New Roman" w:hAnsiTheme="minorHAnsi" w:cs="Arial"/>
                <w:b/>
                <w:u w:val="single"/>
              </w:rPr>
              <w:t>8</w:t>
            </w:r>
            <w:r w:rsidRPr="00FF00AE">
              <w:rPr>
                <w:rFonts w:asciiTheme="minorHAnsi" w:eastAsia="Times New Roman" w:hAnsiTheme="minorHAnsi" w:cs="Arial"/>
                <w:b/>
              </w:rPr>
              <w:t>:</w:t>
            </w:r>
            <w:r w:rsidRPr="00FF00AE">
              <w:rPr>
                <w:rFonts w:asciiTheme="minorHAnsi" w:eastAsia="Times New Roman" w:hAnsiTheme="minorHAnsi" w:cs="Arial"/>
                <w:i/>
              </w:rPr>
              <w:t xml:space="preserve"> </w:t>
            </w:r>
            <w:r w:rsidRPr="00FF00AE">
              <w:t xml:space="preserve"> D – it is mentioned here that each office will have a senior underwriter trained in Opportunity Zones. What does that </w:t>
            </w:r>
            <w:proofErr w:type="gramStart"/>
            <w:r w:rsidRPr="00FF00AE">
              <w:t>training</w:t>
            </w:r>
            <w:proofErr w:type="gramEnd"/>
            <w:r w:rsidRPr="00FF00AE">
              <w:t xml:space="preserve"> look like? Will it be open to lenders?</w:t>
            </w:r>
          </w:p>
          <w:p w14:paraId="5C5EAEE9" w14:textId="77777777" w:rsidR="0089569C" w:rsidRPr="00FF00AE" w:rsidRDefault="0089569C" w:rsidP="00AD3280">
            <w:pPr>
              <w:rPr>
                <w:rFonts w:asciiTheme="minorHAnsi" w:eastAsia="Times New Roman" w:hAnsiTheme="minorHAnsi" w:cs="Arial"/>
                <w:i/>
              </w:rPr>
            </w:pPr>
          </w:p>
        </w:tc>
      </w:tr>
      <w:tr w:rsidR="0089569C" w:rsidRPr="00FF00AE" w14:paraId="307372C5" w14:textId="77777777" w:rsidTr="00AD3280">
        <w:tc>
          <w:tcPr>
            <w:tcW w:w="9350" w:type="dxa"/>
          </w:tcPr>
          <w:p w14:paraId="51EDF240" w14:textId="77777777" w:rsidR="0089569C" w:rsidRPr="00FF00AE" w:rsidRDefault="0089569C" w:rsidP="0089569C">
            <w:pPr>
              <w:rPr>
                <w:rFonts w:asciiTheme="minorHAnsi" w:eastAsia="Times New Roman" w:hAnsiTheme="minorHAnsi" w:cs="Arial"/>
                <w:i/>
              </w:rPr>
            </w:pPr>
            <w:r w:rsidRPr="00FF00AE">
              <w:rPr>
                <w:rFonts w:asciiTheme="minorHAnsi" w:eastAsia="Times New Roman" w:hAnsiTheme="minorHAnsi" w:cs="Arial"/>
                <w:i/>
              </w:rPr>
              <w:lastRenderedPageBreak/>
              <w:t xml:space="preserve">Reply: </w:t>
            </w:r>
            <w:r w:rsidR="007A1CDA" w:rsidRPr="00FF00AE">
              <w:rPr>
                <w:rFonts w:asciiTheme="minorHAnsi" w:eastAsia="Times New Roman" w:hAnsiTheme="minorHAnsi" w:cs="Arial"/>
                <w:i/>
              </w:rPr>
              <w:t xml:space="preserve">A training plan is underway.  HUD hopes to work with Lenders on establishing some training events. </w:t>
            </w:r>
          </w:p>
        </w:tc>
      </w:tr>
      <w:tr w:rsidR="0000125D" w:rsidRPr="00FF00AE" w14:paraId="12BAC263" w14:textId="77777777" w:rsidTr="00AD3280">
        <w:tc>
          <w:tcPr>
            <w:tcW w:w="9350" w:type="dxa"/>
          </w:tcPr>
          <w:p w14:paraId="5806AA29" w14:textId="77777777" w:rsidR="0000125D" w:rsidRPr="00FF00AE" w:rsidRDefault="0000125D" w:rsidP="0089569C">
            <w:pPr>
              <w:rPr>
                <w:rFonts w:asciiTheme="minorHAnsi" w:eastAsia="Times New Roman" w:hAnsiTheme="minorHAnsi" w:cs="Arial"/>
                <w:i/>
              </w:rPr>
            </w:pPr>
          </w:p>
        </w:tc>
      </w:tr>
      <w:tr w:rsidR="0000125D" w:rsidRPr="00FF00AE" w14:paraId="0DE8C3BC" w14:textId="77777777" w:rsidTr="00AD3280">
        <w:tc>
          <w:tcPr>
            <w:tcW w:w="9350" w:type="dxa"/>
          </w:tcPr>
          <w:p w14:paraId="21BFFB20" w14:textId="12FB8F67" w:rsidR="0000125D" w:rsidRPr="00FF00AE" w:rsidRDefault="0000125D" w:rsidP="0000125D">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39</w:t>
            </w:r>
            <w:r w:rsidRPr="00FF00AE">
              <w:rPr>
                <w:rFonts w:asciiTheme="minorHAnsi" w:eastAsia="Times New Roman" w:hAnsiTheme="minorHAnsi" w:cs="Arial"/>
                <w:b/>
              </w:rPr>
              <w:t>:</w:t>
            </w:r>
            <w:r w:rsidRPr="00FF00AE">
              <w:rPr>
                <w:rFonts w:asciiTheme="minorHAnsi" w:eastAsia="Times New Roman" w:hAnsiTheme="minorHAnsi" w:cs="Arial"/>
              </w:rPr>
              <w:t xml:space="preserve"> I. Application Exhibits, Closing Documents – This section allows for the early submission of closing documents in the event of legal concerns or challenges. However, submitting a full set of closing documents with the application, which will have to be re-dated and updated with final interest rate, loan amount, etc., is a costly endeavor. Rather than the complete set of closing documents, submission of the challenging or concern documents, waivers, or documents with requested changes should be submitted instead.  Is this approach acceptable?</w:t>
            </w:r>
          </w:p>
          <w:p w14:paraId="5D11C614" w14:textId="77777777" w:rsidR="0000125D" w:rsidRPr="00FF00AE" w:rsidRDefault="0000125D" w:rsidP="0000125D">
            <w:pPr>
              <w:rPr>
                <w:rFonts w:asciiTheme="minorHAnsi" w:eastAsia="Times New Roman" w:hAnsiTheme="minorHAnsi" w:cs="Arial"/>
              </w:rPr>
            </w:pPr>
          </w:p>
        </w:tc>
      </w:tr>
      <w:tr w:rsidR="0000125D" w:rsidRPr="00FF00AE" w14:paraId="4E5C32FE" w14:textId="77777777" w:rsidTr="00AD3280">
        <w:tc>
          <w:tcPr>
            <w:tcW w:w="9350" w:type="dxa"/>
          </w:tcPr>
          <w:p w14:paraId="35A9CE4D" w14:textId="059512F3" w:rsidR="0000125D" w:rsidRPr="00FF00AE" w:rsidRDefault="0000125D" w:rsidP="0089569C">
            <w:pPr>
              <w:rPr>
                <w:rFonts w:asciiTheme="minorHAnsi" w:eastAsia="Times New Roman" w:hAnsiTheme="minorHAnsi" w:cs="Arial"/>
                <w:i/>
              </w:rPr>
            </w:pPr>
            <w:r w:rsidRPr="00FF00AE">
              <w:rPr>
                <w:rFonts w:asciiTheme="minorHAnsi" w:eastAsia="Times New Roman" w:hAnsiTheme="minorHAnsi" w:cs="Arial"/>
                <w:i/>
              </w:rPr>
              <w:t xml:space="preserve">Reply: </w:t>
            </w:r>
            <w:r w:rsidR="00EE338E" w:rsidRPr="00FF00AE">
              <w:rPr>
                <w:rFonts w:asciiTheme="minorHAnsi" w:eastAsia="Times New Roman" w:hAnsiTheme="minorHAnsi" w:cs="Arial"/>
                <w:i/>
              </w:rPr>
              <w:t xml:space="preserve">Yes, </w:t>
            </w:r>
            <w:r w:rsidR="00DA13E6">
              <w:rPr>
                <w:rFonts w:asciiTheme="minorHAnsi" w:eastAsia="Times New Roman" w:hAnsiTheme="minorHAnsi" w:cs="Arial"/>
                <w:i/>
              </w:rPr>
              <w:t>this approach</w:t>
            </w:r>
            <w:r w:rsidR="00EE338E" w:rsidRPr="00FF00AE">
              <w:rPr>
                <w:rFonts w:asciiTheme="minorHAnsi" w:eastAsia="Times New Roman" w:hAnsiTheme="minorHAnsi" w:cs="Arial"/>
                <w:i/>
              </w:rPr>
              <w:t xml:space="preserve"> is acceptable and encouraged.</w:t>
            </w:r>
          </w:p>
        </w:tc>
      </w:tr>
    </w:tbl>
    <w:p w14:paraId="421D1E01" w14:textId="77777777" w:rsidR="00C8692D" w:rsidRPr="00FF00AE" w:rsidRDefault="00C8692D" w:rsidP="00C8692D">
      <w:pPr>
        <w:rPr>
          <w:rFonts w:asciiTheme="minorHAnsi" w:eastAsia="Times New Roman" w:hAnsiTheme="minorHAnsi"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9"/>
      </w:tblGrid>
      <w:tr w:rsidR="0089569C" w:rsidRPr="00FF00AE" w14:paraId="1D9AC9C1" w14:textId="77777777" w:rsidTr="00C8692D">
        <w:trPr>
          <w:trHeight w:val="284"/>
        </w:trPr>
        <w:tc>
          <w:tcPr>
            <w:tcW w:w="9299" w:type="dxa"/>
          </w:tcPr>
          <w:p w14:paraId="151F0E3C" w14:textId="0C6D4EA7" w:rsidR="0089569C" w:rsidRPr="00FF00AE" w:rsidRDefault="0089569C" w:rsidP="00FA3002">
            <w:pPr>
              <w:pStyle w:val="ListParagraph"/>
              <w:ind w:left="0"/>
            </w:pPr>
            <w:r w:rsidRPr="00FF00AE">
              <w:rPr>
                <w:rFonts w:asciiTheme="minorHAnsi" w:hAnsiTheme="minorHAnsi"/>
                <w:b/>
              </w:rPr>
              <w:t xml:space="preserve">Question </w:t>
            </w:r>
            <w:r w:rsidR="00B97AB0" w:rsidRPr="00FF00AE">
              <w:rPr>
                <w:rFonts w:asciiTheme="minorHAnsi" w:hAnsiTheme="minorHAnsi"/>
                <w:b/>
              </w:rPr>
              <w:t>40</w:t>
            </w:r>
            <w:r w:rsidRPr="00FF00AE">
              <w:rPr>
                <w:rFonts w:asciiTheme="minorHAnsi" w:hAnsiTheme="minorHAnsi"/>
                <w:b/>
              </w:rPr>
              <w:t xml:space="preserve">: </w:t>
            </w:r>
            <w:r w:rsidRPr="00FF00AE">
              <w:t>K. – Is there a stipulated timeframe in which AFHMP initial reviews will be completed?</w:t>
            </w:r>
          </w:p>
          <w:p w14:paraId="6371BE34" w14:textId="77777777" w:rsidR="0000125D" w:rsidRPr="00FF00AE" w:rsidRDefault="0000125D" w:rsidP="00FA3002">
            <w:pPr>
              <w:pStyle w:val="ListParagraph"/>
              <w:ind w:left="0"/>
              <w:rPr>
                <w:rFonts w:asciiTheme="minorHAnsi" w:hAnsiTheme="minorHAnsi"/>
                <w:b/>
              </w:rPr>
            </w:pPr>
          </w:p>
        </w:tc>
      </w:tr>
      <w:tr w:rsidR="0089569C" w:rsidRPr="00FF00AE" w14:paraId="22B4E76F" w14:textId="77777777" w:rsidTr="00C8692D">
        <w:trPr>
          <w:trHeight w:val="284"/>
        </w:trPr>
        <w:tc>
          <w:tcPr>
            <w:tcW w:w="9299" w:type="dxa"/>
          </w:tcPr>
          <w:p w14:paraId="563AA410" w14:textId="4398DA24" w:rsidR="0089569C" w:rsidRPr="00FF00AE" w:rsidRDefault="0089569C" w:rsidP="00FA3002">
            <w:pPr>
              <w:pStyle w:val="ListParagraph"/>
              <w:ind w:left="0"/>
              <w:rPr>
                <w:rFonts w:asciiTheme="minorHAnsi" w:hAnsiTheme="minorHAnsi"/>
                <w:i/>
              </w:rPr>
            </w:pPr>
            <w:r w:rsidRPr="00FF00AE">
              <w:rPr>
                <w:rFonts w:asciiTheme="minorHAnsi" w:hAnsiTheme="minorHAnsi"/>
                <w:i/>
              </w:rPr>
              <w:t>Reply:</w:t>
            </w:r>
            <w:r w:rsidR="00C06456" w:rsidRPr="00FF00AE">
              <w:rPr>
                <w:rFonts w:asciiTheme="minorHAnsi" w:hAnsiTheme="minorHAnsi"/>
                <w:i/>
              </w:rPr>
              <w:t xml:space="preserve">  AFHMP reviews </w:t>
            </w:r>
            <w:r w:rsidR="0012108A" w:rsidRPr="00FF00AE">
              <w:rPr>
                <w:rFonts w:asciiTheme="minorHAnsi" w:hAnsiTheme="minorHAnsi"/>
                <w:i/>
              </w:rPr>
              <w:t xml:space="preserve">are targeted for completion </w:t>
            </w:r>
            <w:r w:rsidR="00C06456" w:rsidRPr="00FF00AE">
              <w:rPr>
                <w:rFonts w:asciiTheme="minorHAnsi" w:hAnsiTheme="minorHAnsi"/>
                <w:i/>
              </w:rPr>
              <w:t>within 30 days.  HUD strongly encourages the submission of AFHMPs shortly after an Encouragement Letter is received by the lender.</w:t>
            </w:r>
          </w:p>
        </w:tc>
      </w:tr>
      <w:tr w:rsidR="0089569C" w:rsidRPr="00FF00AE" w14:paraId="7B473920" w14:textId="77777777" w:rsidTr="00C8692D">
        <w:trPr>
          <w:trHeight w:val="284"/>
        </w:trPr>
        <w:tc>
          <w:tcPr>
            <w:tcW w:w="9299" w:type="dxa"/>
          </w:tcPr>
          <w:p w14:paraId="111F5D33" w14:textId="77777777" w:rsidR="0089569C" w:rsidRPr="00FF00AE" w:rsidRDefault="0089569C" w:rsidP="00FA3002">
            <w:pPr>
              <w:pStyle w:val="ListParagraph"/>
              <w:ind w:left="0"/>
              <w:rPr>
                <w:rFonts w:asciiTheme="minorHAnsi" w:hAnsiTheme="minorHAnsi"/>
                <w:b/>
              </w:rPr>
            </w:pPr>
          </w:p>
        </w:tc>
      </w:tr>
      <w:tr w:rsidR="00377153" w:rsidRPr="00FF00AE" w14:paraId="6C6E66C1" w14:textId="77777777" w:rsidTr="00C8692D">
        <w:trPr>
          <w:trHeight w:val="284"/>
        </w:trPr>
        <w:tc>
          <w:tcPr>
            <w:tcW w:w="9299" w:type="dxa"/>
          </w:tcPr>
          <w:p w14:paraId="2C5E41FD" w14:textId="10A68F9C" w:rsidR="00377153" w:rsidRPr="00FF00AE" w:rsidRDefault="00377153" w:rsidP="00FA3002">
            <w:pPr>
              <w:pStyle w:val="ListParagraph"/>
              <w:ind w:left="0"/>
            </w:pPr>
            <w:r w:rsidRPr="00FF00AE">
              <w:rPr>
                <w:rFonts w:asciiTheme="minorHAnsi" w:hAnsiTheme="minorHAnsi"/>
                <w:b/>
                <w:u w:val="single"/>
              </w:rPr>
              <w:t xml:space="preserve">Question </w:t>
            </w:r>
            <w:r w:rsidR="00B97AB0" w:rsidRPr="00FF00AE">
              <w:rPr>
                <w:rFonts w:asciiTheme="minorHAnsi" w:hAnsiTheme="minorHAnsi"/>
                <w:b/>
                <w:u w:val="single"/>
              </w:rPr>
              <w:t>41</w:t>
            </w:r>
            <w:r w:rsidRPr="00FF00AE">
              <w:rPr>
                <w:rFonts w:asciiTheme="minorHAnsi" w:hAnsiTheme="minorHAnsi"/>
                <w:b/>
              </w:rPr>
              <w:t xml:space="preserve">:  </w:t>
            </w:r>
            <w:r w:rsidRPr="00FF00AE">
              <w:t>Will HUD permit an early issuance of the FHA # so the AFHMP, MUTM rent increase, environmental report and other documents can be submitted for HUD review well in advance of the firm application?</w:t>
            </w:r>
          </w:p>
          <w:p w14:paraId="37164554" w14:textId="77777777" w:rsidR="00377153" w:rsidRPr="00FF00AE" w:rsidRDefault="00377153" w:rsidP="00FA3002">
            <w:pPr>
              <w:pStyle w:val="ListParagraph"/>
              <w:ind w:left="0"/>
              <w:rPr>
                <w:rFonts w:asciiTheme="minorHAnsi" w:hAnsiTheme="minorHAnsi"/>
                <w:b/>
              </w:rPr>
            </w:pPr>
          </w:p>
        </w:tc>
      </w:tr>
      <w:tr w:rsidR="00377153" w:rsidRPr="00FF00AE" w14:paraId="6C587536" w14:textId="77777777" w:rsidTr="00C8692D">
        <w:trPr>
          <w:trHeight w:val="284"/>
        </w:trPr>
        <w:tc>
          <w:tcPr>
            <w:tcW w:w="9299" w:type="dxa"/>
          </w:tcPr>
          <w:p w14:paraId="6268DFA4" w14:textId="51077E38" w:rsidR="00377153" w:rsidRPr="00FF00AE" w:rsidRDefault="00377153" w:rsidP="00FA3002">
            <w:pPr>
              <w:pStyle w:val="ListParagraph"/>
              <w:ind w:left="0"/>
              <w:rPr>
                <w:rFonts w:asciiTheme="minorHAnsi" w:hAnsiTheme="minorHAnsi"/>
                <w:i/>
              </w:rPr>
            </w:pPr>
            <w:r w:rsidRPr="00FF00AE">
              <w:rPr>
                <w:rFonts w:asciiTheme="minorHAnsi" w:hAnsiTheme="minorHAnsi"/>
                <w:i/>
              </w:rPr>
              <w:t>Reply:</w:t>
            </w:r>
            <w:r w:rsidR="00BE2302" w:rsidRPr="00FF00AE">
              <w:rPr>
                <w:rFonts w:asciiTheme="minorHAnsi" w:hAnsiTheme="minorHAnsi"/>
                <w:i/>
              </w:rPr>
              <w:t xml:space="preserve">  Ye</w:t>
            </w:r>
            <w:r w:rsidR="00DA13E6">
              <w:rPr>
                <w:rFonts w:asciiTheme="minorHAnsi" w:hAnsiTheme="minorHAnsi"/>
                <w:i/>
              </w:rPr>
              <w:t>s.</w:t>
            </w:r>
          </w:p>
        </w:tc>
      </w:tr>
    </w:tbl>
    <w:p w14:paraId="18958245" w14:textId="77777777" w:rsidR="00FA3002" w:rsidRPr="00FF00AE" w:rsidRDefault="00FA3002" w:rsidP="00FA3002">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8692D" w:rsidRPr="00FF00AE" w14:paraId="2E835125" w14:textId="77777777" w:rsidTr="00AB6343">
        <w:tc>
          <w:tcPr>
            <w:tcW w:w="9350" w:type="dxa"/>
          </w:tcPr>
          <w:p w14:paraId="4BD2EBD4" w14:textId="60E01CCD" w:rsidR="00AB6343" w:rsidRPr="00FF00AE" w:rsidRDefault="00AB6343" w:rsidP="00AB6343">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5525B1" w:rsidRPr="00FF00AE">
              <w:rPr>
                <w:rFonts w:asciiTheme="minorHAnsi" w:eastAsia="Times New Roman" w:hAnsiTheme="minorHAnsi" w:cs="Arial"/>
                <w:b/>
                <w:u w:val="single"/>
              </w:rPr>
              <w:t>4</w:t>
            </w:r>
            <w:r w:rsidR="00B97AB0" w:rsidRPr="00FF00AE">
              <w:rPr>
                <w:rFonts w:asciiTheme="minorHAnsi" w:eastAsia="Times New Roman" w:hAnsiTheme="minorHAnsi" w:cs="Arial"/>
                <w:b/>
                <w:u w:val="single"/>
              </w:rPr>
              <w:t>2</w:t>
            </w:r>
            <w:r w:rsidRPr="00FF00AE">
              <w:rPr>
                <w:rFonts w:asciiTheme="minorHAnsi" w:eastAsia="Times New Roman" w:hAnsiTheme="minorHAnsi" w:cs="Arial"/>
                <w:b/>
              </w:rPr>
              <w:t>:</w:t>
            </w:r>
            <w:r w:rsidRPr="00FF00AE">
              <w:rPr>
                <w:rFonts w:asciiTheme="minorHAnsi" w:eastAsia="Times New Roman" w:hAnsiTheme="minorHAnsi" w:cs="Arial"/>
              </w:rPr>
              <w:t xml:space="preserve"> Page 13 of 24 – Section IX.P – DPU is required to assess the borrower and management company have the capacity to effectively manage the property.  For the expedited processing, isn’t this delegated to the Lender?</w:t>
            </w:r>
          </w:p>
          <w:p w14:paraId="75ADFB01" w14:textId="77777777" w:rsidR="00AB6343" w:rsidRPr="00FF00AE" w:rsidRDefault="00AB6343" w:rsidP="00FA3002">
            <w:pPr>
              <w:rPr>
                <w:rFonts w:asciiTheme="minorHAnsi" w:eastAsia="Times New Roman" w:hAnsiTheme="minorHAnsi" w:cs="Arial"/>
              </w:rPr>
            </w:pPr>
          </w:p>
        </w:tc>
      </w:tr>
      <w:tr w:rsidR="00C8692D" w:rsidRPr="00FF00AE" w14:paraId="1313612D" w14:textId="77777777" w:rsidTr="00AB6343">
        <w:tc>
          <w:tcPr>
            <w:tcW w:w="9350" w:type="dxa"/>
          </w:tcPr>
          <w:p w14:paraId="7ECCD4F9" w14:textId="589068AA" w:rsidR="00AB6343" w:rsidRPr="00FF00AE" w:rsidRDefault="00AB6343" w:rsidP="00FA3002">
            <w:pPr>
              <w:rPr>
                <w:rFonts w:asciiTheme="minorHAnsi" w:eastAsia="Times New Roman" w:hAnsiTheme="minorHAnsi" w:cs="Arial"/>
                <w:i/>
              </w:rPr>
            </w:pPr>
            <w:r w:rsidRPr="00FF00AE">
              <w:rPr>
                <w:rFonts w:asciiTheme="minorHAnsi" w:eastAsia="Times New Roman" w:hAnsiTheme="minorHAnsi" w:cs="Arial"/>
                <w:i/>
              </w:rPr>
              <w:t>Reply:</w:t>
            </w:r>
            <w:r w:rsidR="00CE0E53" w:rsidRPr="00FF00AE">
              <w:rPr>
                <w:rFonts w:asciiTheme="minorHAnsi" w:eastAsia="Times New Roman" w:hAnsiTheme="minorHAnsi" w:cs="Arial"/>
                <w:i/>
              </w:rPr>
              <w:t xml:space="preserve">  Yes, but during the site visit the DPU will gain an obvious understanding of how the Borrower and Management Agent operate the project. </w:t>
            </w:r>
            <w:r w:rsidR="00940D5C" w:rsidRPr="00FF00AE">
              <w:rPr>
                <w:rFonts w:asciiTheme="minorHAnsi" w:eastAsia="Times New Roman" w:hAnsiTheme="minorHAnsi" w:cs="Arial"/>
                <w:i/>
              </w:rPr>
              <w:t xml:space="preserve"> </w:t>
            </w:r>
            <w:r w:rsidR="00DA13E6">
              <w:rPr>
                <w:rFonts w:asciiTheme="minorHAnsi" w:eastAsia="Times New Roman" w:hAnsiTheme="minorHAnsi" w:cs="Arial"/>
                <w:i/>
              </w:rPr>
              <w:t>The</w:t>
            </w:r>
            <w:r w:rsidR="00940D5C" w:rsidRPr="00FF00AE">
              <w:rPr>
                <w:rFonts w:asciiTheme="minorHAnsi" w:eastAsia="Times New Roman" w:hAnsiTheme="minorHAnsi" w:cs="Arial"/>
                <w:i/>
              </w:rPr>
              <w:t xml:space="preserve"> HUD UW </w:t>
            </w:r>
            <w:r w:rsidR="00DA13E6">
              <w:rPr>
                <w:rFonts w:asciiTheme="minorHAnsi" w:eastAsia="Times New Roman" w:hAnsiTheme="minorHAnsi" w:cs="Arial"/>
                <w:i/>
              </w:rPr>
              <w:t xml:space="preserve">will </w:t>
            </w:r>
            <w:r w:rsidR="00940D5C" w:rsidRPr="00FF00AE">
              <w:rPr>
                <w:rFonts w:asciiTheme="minorHAnsi" w:eastAsia="Times New Roman" w:hAnsiTheme="minorHAnsi" w:cs="Arial"/>
                <w:i/>
              </w:rPr>
              <w:t>also review the lender’s conclusions.</w:t>
            </w:r>
          </w:p>
        </w:tc>
      </w:tr>
      <w:tr w:rsidR="00C8692D" w:rsidRPr="00FF00AE" w14:paraId="7C8E9E0B" w14:textId="77777777" w:rsidTr="00AB6343">
        <w:tc>
          <w:tcPr>
            <w:tcW w:w="9350" w:type="dxa"/>
          </w:tcPr>
          <w:p w14:paraId="6983B39E" w14:textId="77777777" w:rsidR="00AB6343" w:rsidRPr="00FF00AE" w:rsidRDefault="00AB6343" w:rsidP="00FA3002">
            <w:pPr>
              <w:rPr>
                <w:rFonts w:asciiTheme="minorHAnsi" w:eastAsia="Times New Roman" w:hAnsiTheme="minorHAnsi" w:cs="Arial"/>
              </w:rPr>
            </w:pPr>
          </w:p>
        </w:tc>
      </w:tr>
      <w:tr w:rsidR="005525B1" w:rsidRPr="00FF00AE" w14:paraId="7445A571" w14:textId="77777777" w:rsidTr="00AB6343">
        <w:tc>
          <w:tcPr>
            <w:tcW w:w="9350" w:type="dxa"/>
          </w:tcPr>
          <w:p w14:paraId="0652108C" w14:textId="259B99F2" w:rsidR="005525B1" w:rsidRPr="00FF00AE" w:rsidRDefault="005525B1" w:rsidP="005525B1">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43</w:t>
            </w:r>
            <w:r w:rsidRPr="00FF00AE">
              <w:rPr>
                <w:rFonts w:asciiTheme="minorHAnsi" w:eastAsia="Times New Roman" w:hAnsiTheme="minorHAnsi" w:cs="Arial"/>
                <w:b/>
              </w:rPr>
              <w:t>:</w:t>
            </w:r>
            <w:r w:rsidRPr="00FF00AE">
              <w:rPr>
                <w:rFonts w:asciiTheme="minorHAnsi" w:eastAsia="Times New Roman" w:hAnsiTheme="minorHAnsi" w:cs="Arial"/>
              </w:rPr>
              <w:t xml:space="preserve"> X. </w:t>
            </w:r>
            <w:r w:rsidRPr="00FF00AE">
              <w:t>Standard Approval Processing: Technical Discipline Areas - This section, by its heading, would seem to apply to the Standard (</w:t>
            </w:r>
            <w:proofErr w:type="gramStart"/>
            <w:r w:rsidRPr="00FF00AE">
              <w:t>60 day</w:t>
            </w:r>
            <w:proofErr w:type="gramEnd"/>
            <w:r w:rsidRPr="00FF00AE">
              <w:t xml:space="preserve"> review) process, but I believe it is meant to apply to all (Expedited) Pilot transactions?</w:t>
            </w:r>
          </w:p>
          <w:p w14:paraId="15518AC7" w14:textId="77777777" w:rsidR="005525B1" w:rsidRPr="00FF00AE" w:rsidRDefault="005525B1" w:rsidP="00FA3002">
            <w:pPr>
              <w:rPr>
                <w:rFonts w:asciiTheme="minorHAnsi" w:eastAsia="Times New Roman" w:hAnsiTheme="minorHAnsi" w:cs="Arial"/>
                <w:b/>
              </w:rPr>
            </w:pPr>
          </w:p>
        </w:tc>
      </w:tr>
      <w:tr w:rsidR="005525B1" w:rsidRPr="00FF00AE" w14:paraId="37D5E504" w14:textId="77777777" w:rsidTr="00AB6343">
        <w:tc>
          <w:tcPr>
            <w:tcW w:w="9350" w:type="dxa"/>
          </w:tcPr>
          <w:p w14:paraId="2EE8E640" w14:textId="3BC04576" w:rsidR="005525B1" w:rsidRPr="00FF00AE" w:rsidRDefault="005525B1"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6565F9" w:rsidRPr="00FF00AE">
              <w:rPr>
                <w:rFonts w:asciiTheme="minorHAnsi" w:eastAsia="Times New Roman" w:hAnsiTheme="minorHAnsi" w:cs="Arial"/>
                <w:i/>
              </w:rPr>
              <w:t>Section X only applies to Standard Approval Processing.</w:t>
            </w:r>
            <w:r w:rsidR="00AE609C" w:rsidRPr="00FF00AE">
              <w:rPr>
                <w:rFonts w:asciiTheme="minorHAnsi" w:eastAsia="Times New Roman" w:hAnsiTheme="minorHAnsi" w:cs="Arial"/>
                <w:i/>
              </w:rPr>
              <w:t xml:space="preserve">  Section V.A applies to Expedited Approval Processing.</w:t>
            </w:r>
          </w:p>
        </w:tc>
      </w:tr>
      <w:tr w:rsidR="00BE03AF" w:rsidRPr="00FF00AE" w14:paraId="079EDEFC" w14:textId="77777777" w:rsidTr="00AB6343">
        <w:tc>
          <w:tcPr>
            <w:tcW w:w="9350" w:type="dxa"/>
          </w:tcPr>
          <w:p w14:paraId="23BF9409" w14:textId="77777777" w:rsidR="00BE03AF" w:rsidRPr="00FF00AE" w:rsidRDefault="00BE03AF" w:rsidP="00FA3002">
            <w:pPr>
              <w:rPr>
                <w:rFonts w:asciiTheme="minorHAnsi" w:eastAsia="Times New Roman" w:hAnsiTheme="minorHAnsi" w:cs="Arial"/>
                <w:b/>
              </w:rPr>
            </w:pPr>
          </w:p>
        </w:tc>
      </w:tr>
      <w:tr w:rsidR="00BE03AF" w:rsidRPr="00FF00AE" w14:paraId="17AD8BF2" w14:textId="77777777" w:rsidTr="00AB6343">
        <w:tc>
          <w:tcPr>
            <w:tcW w:w="9350" w:type="dxa"/>
          </w:tcPr>
          <w:p w14:paraId="74DD287C" w14:textId="18AD8799" w:rsidR="00BF6565" w:rsidRPr="00FF00AE" w:rsidRDefault="00BE03AF" w:rsidP="00BE03AF">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44</w:t>
            </w:r>
            <w:r w:rsidRPr="00FF00AE">
              <w:rPr>
                <w:rFonts w:asciiTheme="minorHAnsi" w:eastAsia="Times New Roman" w:hAnsiTheme="minorHAnsi" w:cs="Arial"/>
                <w:b/>
              </w:rPr>
              <w:t xml:space="preserve">: </w:t>
            </w:r>
            <w:r w:rsidRPr="00FF00AE">
              <w:t xml:space="preserve">IX.  Tax Credit New Pilot Application Processing: General, Q. </w:t>
            </w:r>
            <w:r w:rsidR="00BF6565" w:rsidRPr="00FF00AE">
              <w:t xml:space="preserve">Market Studies </w:t>
            </w:r>
          </w:p>
          <w:p w14:paraId="63670D10" w14:textId="77777777" w:rsidR="00BF6565" w:rsidRPr="00FF00AE" w:rsidRDefault="00BF6565" w:rsidP="00BE03AF"/>
          <w:p w14:paraId="036D0DEF" w14:textId="77777777" w:rsidR="00BE03AF" w:rsidRPr="00FF00AE" w:rsidRDefault="00BF6565" w:rsidP="00BE03AF">
            <w:r w:rsidRPr="00FF00AE">
              <w:rPr>
                <w:b/>
              </w:rPr>
              <w:t xml:space="preserve">(a) </w:t>
            </w:r>
            <w:r w:rsidR="00BE03AF" w:rsidRPr="00FF00AE">
              <w:t>Does the market study need to be MAP compliant?</w:t>
            </w:r>
          </w:p>
          <w:p w14:paraId="09BC4B9D" w14:textId="77777777" w:rsidR="00BE03AF" w:rsidRPr="00FF00AE" w:rsidRDefault="00BE03AF" w:rsidP="00FA3002">
            <w:pPr>
              <w:rPr>
                <w:rFonts w:asciiTheme="minorHAnsi" w:eastAsia="Times New Roman" w:hAnsiTheme="minorHAnsi" w:cs="Arial"/>
                <w:b/>
              </w:rPr>
            </w:pPr>
          </w:p>
        </w:tc>
      </w:tr>
      <w:tr w:rsidR="00BE03AF" w:rsidRPr="00FF00AE" w14:paraId="2F256CD5" w14:textId="77777777" w:rsidTr="00AB6343">
        <w:tc>
          <w:tcPr>
            <w:tcW w:w="9350" w:type="dxa"/>
          </w:tcPr>
          <w:p w14:paraId="77DE8872" w14:textId="77777777" w:rsidR="00BE03AF" w:rsidRPr="00FF00AE" w:rsidRDefault="00BE03AF" w:rsidP="00FA3002">
            <w:pPr>
              <w:rPr>
                <w:rFonts w:asciiTheme="minorHAnsi" w:eastAsia="Times New Roman" w:hAnsiTheme="minorHAnsi" w:cs="Arial"/>
                <w:i/>
              </w:rPr>
            </w:pPr>
            <w:r w:rsidRPr="00FF00AE">
              <w:rPr>
                <w:rFonts w:asciiTheme="minorHAnsi" w:eastAsia="Times New Roman" w:hAnsiTheme="minorHAnsi" w:cs="Arial"/>
                <w:i/>
              </w:rPr>
              <w:t xml:space="preserve">Reply: </w:t>
            </w:r>
            <w:r w:rsidR="006565F9" w:rsidRPr="00FF00AE">
              <w:rPr>
                <w:rFonts w:asciiTheme="minorHAnsi" w:eastAsia="Times New Roman" w:hAnsiTheme="minorHAnsi" w:cs="Arial"/>
                <w:i/>
              </w:rPr>
              <w:t>Yes.</w:t>
            </w:r>
          </w:p>
        </w:tc>
      </w:tr>
      <w:tr w:rsidR="00BF6565" w:rsidRPr="00FF00AE" w14:paraId="594A0C4A" w14:textId="77777777" w:rsidTr="00AB6343">
        <w:tc>
          <w:tcPr>
            <w:tcW w:w="9350" w:type="dxa"/>
          </w:tcPr>
          <w:p w14:paraId="49CD051D" w14:textId="77777777" w:rsidR="00BF6565" w:rsidRPr="00FF00AE" w:rsidRDefault="00BF6565" w:rsidP="00FA3002">
            <w:pPr>
              <w:rPr>
                <w:rFonts w:asciiTheme="minorHAnsi" w:eastAsia="Times New Roman" w:hAnsiTheme="minorHAnsi" w:cs="Arial"/>
                <w:i/>
              </w:rPr>
            </w:pPr>
          </w:p>
        </w:tc>
      </w:tr>
      <w:tr w:rsidR="00BF6565" w:rsidRPr="00FF00AE" w14:paraId="37DB949B" w14:textId="77777777" w:rsidTr="00AB6343">
        <w:tc>
          <w:tcPr>
            <w:tcW w:w="9350" w:type="dxa"/>
          </w:tcPr>
          <w:p w14:paraId="08C65C29" w14:textId="77777777" w:rsidR="00BF6565" w:rsidRPr="00FF00AE" w:rsidRDefault="00BF6565" w:rsidP="00BF6565">
            <w:r w:rsidRPr="00FF00AE">
              <w:rPr>
                <w:rFonts w:asciiTheme="minorHAnsi" w:eastAsia="Times New Roman" w:hAnsiTheme="minorHAnsi" w:cs="Arial"/>
                <w:b/>
              </w:rPr>
              <w:t>(b)</w:t>
            </w:r>
            <w:r w:rsidRPr="00FF00AE">
              <w:rPr>
                <w:rFonts w:asciiTheme="minorHAnsi" w:eastAsia="Times New Roman" w:hAnsiTheme="minorHAnsi" w:cs="Arial"/>
                <w:i/>
              </w:rPr>
              <w:t xml:space="preserve"> </w:t>
            </w:r>
            <w:r w:rsidRPr="00FF00AE">
              <w:t>The notice states that Market Studies prepared for the borrower by a third-party analyst are acceptable.  Shouldn’t this be clarified to confirm that the conclusions required by MAP guide; i.e. Capture/Penetration rates and Net Demand be included?  Or is there greater flexibility allowed given the low LTC, LTV and rent advantage.</w:t>
            </w:r>
          </w:p>
          <w:p w14:paraId="3CCA4C3D" w14:textId="77777777" w:rsidR="00BF6565" w:rsidRPr="00FF00AE" w:rsidRDefault="00BF6565" w:rsidP="00FA3002">
            <w:pPr>
              <w:rPr>
                <w:rFonts w:asciiTheme="minorHAnsi" w:eastAsia="Times New Roman" w:hAnsiTheme="minorHAnsi" w:cs="Arial"/>
                <w:i/>
              </w:rPr>
            </w:pPr>
          </w:p>
        </w:tc>
      </w:tr>
      <w:tr w:rsidR="00BF6565" w:rsidRPr="00FF00AE" w14:paraId="3424AEBF" w14:textId="77777777" w:rsidTr="00AB6343">
        <w:tc>
          <w:tcPr>
            <w:tcW w:w="9350" w:type="dxa"/>
          </w:tcPr>
          <w:p w14:paraId="7DE0CCFB" w14:textId="77777777" w:rsidR="00BF6565" w:rsidRPr="00FF00AE" w:rsidRDefault="00BF6565" w:rsidP="00BF6565">
            <w:pPr>
              <w:rPr>
                <w:rFonts w:asciiTheme="minorHAnsi" w:eastAsia="Times New Roman" w:hAnsiTheme="minorHAnsi" w:cs="Arial"/>
                <w:i/>
              </w:rPr>
            </w:pPr>
            <w:r w:rsidRPr="00FF00AE">
              <w:rPr>
                <w:rFonts w:asciiTheme="minorHAnsi" w:eastAsia="Times New Roman" w:hAnsiTheme="minorHAnsi" w:cs="Arial"/>
                <w:i/>
              </w:rPr>
              <w:lastRenderedPageBreak/>
              <w:t xml:space="preserve">Reply: </w:t>
            </w:r>
            <w:r w:rsidR="006565F9" w:rsidRPr="00FF00AE">
              <w:rPr>
                <w:rFonts w:asciiTheme="minorHAnsi" w:eastAsia="Times New Roman" w:hAnsiTheme="minorHAnsi" w:cs="Arial"/>
                <w:i/>
              </w:rPr>
              <w:t>The Market Study must meet the requirements of the MAP Guide.</w:t>
            </w:r>
          </w:p>
        </w:tc>
      </w:tr>
    </w:tbl>
    <w:p w14:paraId="7E50AF13" w14:textId="77777777" w:rsidR="00FA3002" w:rsidRPr="00FF00AE" w:rsidRDefault="00FA3002" w:rsidP="00FA3002">
      <w:pPr>
        <w:rPr>
          <w:rFonts w:asciiTheme="minorHAnsi" w:eastAsia="Times New Roman" w:hAnsiTheme="minorHAnsi" w:cs="Arial"/>
        </w:rPr>
      </w:pPr>
    </w:p>
    <w:p w14:paraId="4DACE7DF" w14:textId="77777777" w:rsidR="00FA3002" w:rsidRPr="00FF00AE" w:rsidRDefault="00FA3002" w:rsidP="00FA3002">
      <w:pPr>
        <w:rPr>
          <w:rFonts w:asciiTheme="minorHAnsi" w:eastAsia="Times New Roman"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569C" w:rsidRPr="00FF00AE" w14:paraId="11E5DB1B" w14:textId="77777777" w:rsidTr="00AD3280">
        <w:tc>
          <w:tcPr>
            <w:tcW w:w="9350" w:type="dxa"/>
          </w:tcPr>
          <w:p w14:paraId="7BFF72D9" w14:textId="77777777" w:rsidR="0089569C" w:rsidRPr="00FF00AE" w:rsidRDefault="0089569C" w:rsidP="0089569C">
            <w:pPr>
              <w:rPr>
                <w:rFonts w:asciiTheme="minorHAnsi" w:eastAsia="Times New Roman" w:hAnsiTheme="minorHAnsi" w:cs="Arial"/>
                <w:b/>
              </w:rPr>
            </w:pPr>
          </w:p>
        </w:tc>
      </w:tr>
      <w:tr w:rsidR="00771179" w:rsidRPr="00FF00AE" w14:paraId="43D002BB" w14:textId="77777777" w:rsidTr="00AD3280">
        <w:tc>
          <w:tcPr>
            <w:tcW w:w="9350" w:type="dxa"/>
          </w:tcPr>
          <w:p w14:paraId="3A13606B" w14:textId="1C0437A0" w:rsidR="0089569C" w:rsidRPr="00FF00AE" w:rsidRDefault="00771179" w:rsidP="0089569C">
            <w:pPr>
              <w:rPr>
                <w:rFonts w:asciiTheme="minorHAnsi" w:eastAsia="Times New Roman" w:hAnsiTheme="minorHAnsi" w:cs="Arial"/>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45</w:t>
            </w:r>
            <w:r w:rsidRPr="00FF00AE">
              <w:rPr>
                <w:rFonts w:asciiTheme="minorHAnsi" w:eastAsia="Times New Roman" w:hAnsiTheme="minorHAnsi" w:cs="Arial"/>
                <w:b/>
              </w:rPr>
              <w:t>:</w:t>
            </w:r>
            <w:r w:rsidR="0089569C" w:rsidRPr="00FF00AE">
              <w:rPr>
                <w:rFonts w:asciiTheme="minorHAnsi" w:eastAsia="Times New Roman" w:hAnsiTheme="minorHAnsi" w:cs="Arial"/>
                <w:b/>
              </w:rPr>
              <w:t xml:space="preserve"> </w:t>
            </w:r>
            <w:r w:rsidR="0089569C" w:rsidRPr="00FF00AE">
              <w:rPr>
                <w:rFonts w:asciiTheme="minorHAnsi" w:hAnsiTheme="minorHAnsi"/>
              </w:rPr>
              <w:t>Pages 17-18, EMAD Review – Is there a threshold % of market rate units for which an EMAD review is not required?  This section strongly encourages EMAD consultation.</w:t>
            </w:r>
          </w:p>
          <w:p w14:paraId="1466B8E6" w14:textId="77777777" w:rsidR="00771179" w:rsidRPr="00FF00AE" w:rsidRDefault="00771179" w:rsidP="00771179">
            <w:pPr>
              <w:rPr>
                <w:rFonts w:asciiTheme="minorHAnsi" w:eastAsia="Times New Roman" w:hAnsiTheme="minorHAnsi" w:cs="Arial"/>
                <w:b/>
              </w:rPr>
            </w:pPr>
          </w:p>
        </w:tc>
      </w:tr>
      <w:tr w:rsidR="00771179" w:rsidRPr="00FF00AE" w14:paraId="58422E97" w14:textId="77777777" w:rsidTr="00AD3280">
        <w:tc>
          <w:tcPr>
            <w:tcW w:w="9350" w:type="dxa"/>
          </w:tcPr>
          <w:p w14:paraId="1E059C19" w14:textId="77777777" w:rsidR="00771179" w:rsidRPr="00FF00AE" w:rsidRDefault="00771179" w:rsidP="00771179">
            <w:pPr>
              <w:rPr>
                <w:rFonts w:asciiTheme="minorHAnsi" w:eastAsia="Times New Roman" w:hAnsiTheme="minorHAnsi" w:cs="Arial"/>
                <w:i/>
              </w:rPr>
            </w:pPr>
            <w:r w:rsidRPr="00FF00AE">
              <w:rPr>
                <w:rFonts w:asciiTheme="minorHAnsi" w:eastAsia="Times New Roman" w:hAnsiTheme="minorHAnsi" w:cs="Arial"/>
                <w:i/>
              </w:rPr>
              <w:t xml:space="preserve">Reply: </w:t>
            </w:r>
            <w:r w:rsidR="005B650F" w:rsidRPr="00FF00AE">
              <w:rPr>
                <w:rFonts w:asciiTheme="minorHAnsi" w:eastAsia="Times New Roman" w:hAnsiTheme="minorHAnsi" w:cs="Arial"/>
                <w:i/>
              </w:rPr>
              <w:t>There is no threshold and the DPU may consult with EMAD.  The DPU makes the final recommendation.</w:t>
            </w:r>
          </w:p>
        </w:tc>
      </w:tr>
    </w:tbl>
    <w:p w14:paraId="7E0249F1" w14:textId="77777777" w:rsidR="004250C2" w:rsidRPr="00FF00AE" w:rsidRDefault="004250C2" w:rsidP="00FA3002">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362E0" w:rsidRPr="00FF00AE" w14:paraId="0FC2D68C" w14:textId="77777777" w:rsidTr="00BE03AF">
        <w:tc>
          <w:tcPr>
            <w:tcW w:w="9350" w:type="dxa"/>
          </w:tcPr>
          <w:p w14:paraId="7306350C" w14:textId="02AA6C7F" w:rsidR="00E362E0" w:rsidRPr="00FF00AE" w:rsidRDefault="00E362E0" w:rsidP="00E362E0">
            <w:pPr>
              <w:contextualSpacing/>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46</w:t>
            </w:r>
            <w:r w:rsidRPr="00FF00AE">
              <w:rPr>
                <w:rFonts w:asciiTheme="minorHAnsi" w:eastAsia="Times New Roman" w:hAnsiTheme="minorHAnsi" w:cs="Arial"/>
                <w:b/>
              </w:rPr>
              <w:t xml:space="preserve">:  XI. </w:t>
            </w:r>
            <w:r w:rsidRPr="00FF00AE">
              <w:t>Standard Approval Process: Construction Administration - This section, by its heading, would seem to apply to the Standard (</w:t>
            </w:r>
            <w:proofErr w:type="gramStart"/>
            <w:r w:rsidRPr="00FF00AE">
              <w:t>60 day</w:t>
            </w:r>
            <w:proofErr w:type="gramEnd"/>
            <w:r w:rsidRPr="00FF00AE">
              <w:t xml:space="preserve"> review) process, but I believe it is meant to apply to all (Expedited) Pilot transactions?</w:t>
            </w:r>
          </w:p>
          <w:p w14:paraId="502E0000" w14:textId="77777777" w:rsidR="00E362E0" w:rsidRPr="00FF00AE" w:rsidRDefault="00E362E0" w:rsidP="00E362E0">
            <w:pPr>
              <w:rPr>
                <w:rFonts w:asciiTheme="minorHAnsi" w:eastAsia="Times New Roman" w:hAnsiTheme="minorHAnsi" w:cs="Arial"/>
                <w:b/>
              </w:rPr>
            </w:pPr>
          </w:p>
        </w:tc>
      </w:tr>
      <w:tr w:rsidR="00E362E0" w:rsidRPr="00FF00AE" w14:paraId="56F41E7E" w14:textId="77777777" w:rsidTr="00BE03AF">
        <w:tc>
          <w:tcPr>
            <w:tcW w:w="9350" w:type="dxa"/>
          </w:tcPr>
          <w:p w14:paraId="40AD6478" w14:textId="1AEB5964" w:rsidR="00E362E0" w:rsidRPr="00FF00AE" w:rsidRDefault="00E362E0" w:rsidP="00BE03AF">
            <w:pPr>
              <w:rPr>
                <w:rFonts w:asciiTheme="minorHAnsi" w:eastAsia="Times New Roman" w:hAnsiTheme="minorHAnsi" w:cs="Arial"/>
                <w:i/>
              </w:rPr>
            </w:pPr>
            <w:r w:rsidRPr="00FF00AE">
              <w:rPr>
                <w:rFonts w:asciiTheme="minorHAnsi" w:eastAsia="Times New Roman" w:hAnsiTheme="minorHAnsi" w:cs="Arial"/>
                <w:i/>
              </w:rPr>
              <w:t>Reply:</w:t>
            </w:r>
            <w:r w:rsidR="00790773" w:rsidRPr="00FF00AE">
              <w:rPr>
                <w:rFonts w:asciiTheme="minorHAnsi" w:eastAsia="Times New Roman" w:hAnsiTheme="minorHAnsi" w:cs="Arial"/>
                <w:i/>
              </w:rPr>
              <w:t xml:space="preserve">  It only applies to Standard Approval Process.</w:t>
            </w:r>
            <w:r w:rsidR="0095630C" w:rsidRPr="00FF00AE">
              <w:rPr>
                <w:rFonts w:asciiTheme="minorHAnsi" w:eastAsia="Times New Roman" w:hAnsiTheme="minorHAnsi" w:cs="Arial"/>
                <w:i/>
              </w:rPr>
              <w:t xml:space="preserve">  Section V.A addresses the construction administration for the Expedited Approval Process.</w:t>
            </w:r>
          </w:p>
        </w:tc>
      </w:tr>
      <w:tr w:rsidR="00E362E0" w:rsidRPr="00FF00AE" w14:paraId="0EC8A3FE" w14:textId="77777777" w:rsidTr="00BE03AF">
        <w:tc>
          <w:tcPr>
            <w:tcW w:w="9350" w:type="dxa"/>
          </w:tcPr>
          <w:p w14:paraId="6E42ABE0" w14:textId="77777777" w:rsidR="00E362E0" w:rsidRPr="00FF00AE" w:rsidRDefault="00E362E0" w:rsidP="00BE03AF">
            <w:pPr>
              <w:rPr>
                <w:rFonts w:asciiTheme="minorHAnsi" w:eastAsia="Times New Roman" w:hAnsiTheme="minorHAnsi" w:cs="Arial"/>
                <w:b/>
              </w:rPr>
            </w:pPr>
          </w:p>
        </w:tc>
      </w:tr>
      <w:tr w:rsidR="00C8692D" w:rsidRPr="00FF00AE" w14:paraId="42EDECD3" w14:textId="77777777" w:rsidTr="00AD3280">
        <w:tc>
          <w:tcPr>
            <w:tcW w:w="9350" w:type="dxa"/>
          </w:tcPr>
          <w:p w14:paraId="39A909B1" w14:textId="40C2B987" w:rsidR="00771179" w:rsidRPr="00FF00AE" w:rsidRDefault="004250C2" w:rsidP="004250C2">
            <w:pPr>
              <w:rPr>
                <w:rFonts w:asciiTheme="minorHAnsi" w:eastAsia="Times New Roman" w:hAnsiTheme="minorHAnsi" w:cs="Arial"/>
              </w:rPr>
            </w:pPr>
            <w:r w:rsidRPr="00FF00AE">
              <w:rPr>
                <w:rFonts w:asciiTheme="minorHAnsi" w:eastAsia="Times New Roman" w:hAnsiTheme="minorHAnsi" w:cs="Arial"/>
                <w:b/>
                <w:u w:val="single"/>
              </w:rPr>
              <w:t>Question</w:t>
            </w:r>
            <w:r w:rsidR="00E20F4B" w:rsidRPr="00FF00AE">
              <w:rPr>
                <w:rFonts w:asciiTheme="minorHAnsi" w:eastAsia="Times New Roman" w:hAnsiTheme="minorHAnsi" w:cs="Arial"/>
                <w:b/>
                <w:u w:val="single"/>
              </w:rPr>
              <w:t xml:space="preserve"> </w:t>
            </w:r>
            <w:r w:rsidR="00B97AB0" w:rsidRPr="00FF00AE">
              <w:rPr>
                <w:rFonts w:asciiTheme="minorHAnsi" w:eastAsia="Times New Roman" w:hAnsiTheme="minorHAnsi" w:cs="Arial"/>
                <w:b/>
                <w:u w:val="single"/>
              </w:rPr>
              <w:t>47</w:t>
            </w:r>
            <w:r w:rsidRPr="00FF00AE">
              <w:rPr>
                <w:rFonts w:asciiTheme="minorHAnsi" w:eastAsia="Times New Roman" w:hAnsiTheme="minorHAnsi" w:cs="Arial"/>
                <w:b/>
              </w:rPr>
              <w:t xml:space="preserve">: </w:t>
            </w:r>
            <w:r w:rsidRPr="00FF00AE">
              <w:rPr>
                <w:rFonts w:asciiTheme="minorHAnsi" w:eastAsia="Times New Roman" w:hAnsiTheme="minorHAnsi" w:cs="Arial"/>
              </w:rPr>
              <w:t xml:space="preserve">Page 19 of 24 – Section XIII.D – limiting the LIHTC New Pilot loan volume to $250 Million per fiscal year for at least three years – </w:t>
            </w:r>
          </w:p>
          <w:p w14:paraId="24E5ADD5" w14:textId="77777777" w:rsidR="00771179" w:rsidRPr="00FF00AE" w:rsidRDefault="00771179" w:rsidP="004250C2">
            <w:pPr>
              <w:rPr>
                <w:rFonts w:asciiTheme="minorHAnsi" w:eastAsia="Times New Roman" w:hAnsiTheme="minorHAnsi" w:cs="Arial"/>
              </w:rPr>
            </w:pPr>
          </w:p>
          <w:p w14:paraId="1A4A98C0" w14:textId="77777777" w:rsidR="004250C2" w:rsidRPr="00FF00AE" w:rsidRDefault="00771179" w:rsidP="004250C2">
            <w:pPr>
              <w:rPr>
                <w:rFonts w:asciiTheme="minorHAnsi" w:eastAsia="Times New Roman" w:hAnsiTheme="minorHAnsi" w:cs="Arial"/>
              </w:rPr>
            </w:pPr>
            <w:r w:rsidRPr="00FF00AE">
              <w:rPr>
                <w:rFonts w:asciiTheme="minorHAnsi" w:eastAsia="Times New Roman" w:hAnsiTheme="minorHAnsi" w:cs="Arial"/>
              </w:rPr>
              <w:t xml:space="preserve">(a) </w:t>
            </w:r>
            <w:r w:rsidR="004250C2" w:rsidRPr="00FF00AE">
              <w:rPr>
                <w:rFonts w:asciiTheme="minorHAnsi" w:eastAsia="Times New Roman" w:hAnsiTheme="minorHAnsi" w:cs="Arial"/>
              </w:rPr>
              <w:t>will HUD publish the amount of loan volume incurred throughout the year so Lenders can monitor if the threshold is close to being hit?</w:t>
            </w:r>
          </w:p>
          <w:p w14:paraId="3AD2C575" w14:textId="77777777" w:rsidR="004250C2" w:rsidRPr="00FF00AE" w:rsidRDefault="004250C2" w:rsidP="00AD3280">
            <w:pPr>
              <w:rPr>
                <w:rFonts w:asciiTheme="minorHAnsi" w:eastAsia="Times New Roman" w:hAnsiTheme="minorHAnsi" w:cs="Arial"/>
                <w:b/>
              </w:rPr>
            </w:pPr>
          </w:p>
        </w:tc>
      </w:tr>
      <w:tr w:rsidR="00C8692D" w:rsidRPr="00FF00AE" w14:paraId="5C0A987A" w14:textId="77777777" w:rsidTr="00AD3280">
        <w:tc>
          <w:tcPr>
            <w:tcW w:w="9350" w:type="dxa"/>
          </w:tcPr>
          <w:p w14:paraId="3CA333E4" w14:textId="1448A089" w:rsidR="004250C2" w:rsidRPr="00FF00AE" w:rsidRDefault="004250C2" w:rsidP="00AD3280">
            <w:pPr>
              <w:rPr>
                <w:rFonts w:asciiTheme="minorHAnsi" w:eastAsia="Times New Roman" w:hAnsiTheme="minorHAnsi" w:cs="Arial"/>
                <w:i/>
              </w:rPr>
            </w:pPr>
            <w:r w:rsidRPr="00FF00AE">
              <w:rPr>
                <w:rFonts w:asciiTheme="minorHAnsi" w:eastAsia="Times New Roman" w:hAnsiTheme="minorHAnsi" w:cs="Arial"/>
                <w:i/>
              </w:rPr>
              <w:t>Reply:</w:t>
            </w:r>
            <w:r w:rsidR="00A143A1" w:rsidRPr="00FF00AE">
              <w:rPr>
                <w:rFonts w:asciiTheme="minorHAnsi" w:eastAsia="Times New Roman" w:hAnsiTheme="minorHAnsi" w:cs="Arial"/>
                <w:i/>
              </w:rPr>
              <w:t xml:space="preserve">  Yes, HUD HQ will provide this data </w:t>
            </w:r>
            <w:r w:rsidR="00DE54AC">
              <w:rPr>
                <w:rFonts w:asciiTheme="minorHAnsi" w:eastAsia="Times New Roman" w:hAnsiTheme="minorHAnsi" w:cs="Arial"/>
                <w:i/>
              </w:rPr>
              <w:t>every 6 months.</w:t>
            </w:r>
          </w:p>
        </w:tc>
      </w:tr>
      <w:tr w:rsidR="00E20F4B" w:rsidRPr="00FF00AE" w14:paraId="17D73071" w14:textId="77777777" w:rsidTr="00AD3280">
        <w:tc>
          <w:tcPr>
            <w:tcW w:w="9350" w:type="dxa"/>
          </w:tcPr>
          <w:p w14:paraId="1D887AAE" w14:textId="77777777" w:rsidR="00E20F4B" w:rsidRPr="00FF00AE" w:rsidRDefault="00E20F4B" w:rsidP="00AD3280">
            <w:pPr>
              <w:rPr>
                <w:rFonts w:asciiTheme="minorHAnsi" w:eastAsia="Times New Roman" w:hAnsiTheme="minorHAnsi" w:cs="Arial"/>
                <w:b/>
              </w:rPr>
            </w:pPr>
          </w:p>
        </w:tc>
      </w:tr>
      <w:tr w:rsidR="00E20F4B" w:rsidRPr="00FF00AE" w14:paraId="6AEE290D" w14:textId="77777777" w:rsidTr="00AD3280">
        <w:tc>
          <w:tcPr>
            <w:tcW w:w="9350" w:type="dxa"/>
          </w:tcPr>
          <w:p w14:paraId="01B56956" w14:textId="630E6377" w:rsidR="00492AEB" w:rsidRPr="00FF00AE" w:rsidRDefault="00E20F4B" w:rsidP="00E20F4B">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48</w:t>
            </w:r>
            <w:r w:rsidRPr="00FF00AE">
              <w:rPr>
                <w:rFonts w:asciiTheme="minorHAnsi" w:eastAsia="Times New Roman" w:hAnsiTheme="minorHAnsi" w:cs="Arial"/>
                <w:b/>
              </w:rPr>
              <w:t xml:space="preserve">: </w:t>
            </w:r>
            <w:r w:rsidR="00492AEB" w:rsidRPr="00FF00AE">
              <w:rPr>
                <w:rFonts w:asciiTheme="minorHAnsi" w:eastAsia="Times New Roman" w:hAnsiTheme="minorHAnsi" w:cs="Arial"/>
                <w:b/>
              </w:rPr>
              <w:t xml:space="preserve"> </w:t>
            </w:r>
            <w:r w:rsidRPr="00FF00AE">
              <w:t xml:space="preserve">Managing Loan Committee </w:t>
            </w:r>
          </w:p>
          <w:p w14:paraId="2796C589" w14:textId="77777777" w:rsidR="00492AEB" w:rsidRPr="00FF00AE" w:rsidRDefault="00492AEB" w:rsidP="00E20F4B"/>
          <w:p w14:paraId="5E24E293" w14:textId="77777777" w:rsidR="00E20F4B" w:rsidRPr="00FF00AE" w:rsidRDefault="00492AEB" w:rsidP="00E20F4B">
            <w:r w:rsidRPr="00FF00AE">
              <w:t xml:space="preserve">(a) </w:t>
            </w:r>
            <w:r w:rsidR="00E20F4B" w:rsidRPr="00FF00AE">
              <w:t>is there a special PILOT Committee?  Who is on it?  Who participates?</w:t>
            </w:r>
          </w:p>
          <w:p w14:paraId="48150F06" w14:textId="77777777" w:rsidR="00E20F4B" w:rsidRPr="00FF00AE" w:rsidRDefault="00E20F4B" w:rsidP="00AD3280">
            <w:pPr>
              <w:rPr>
                <w:rFonts w:asciiTheme="minorHAnsi" w:eastAsia="Times New Roman" w:hAnsiTheme="minorHAnsi" w:cs="Arial"/>
                <w:b/>
              </w:rPr>
            </w:pPr>
          </w:p>
        </w:tc>
      </w:tr>
      <w:tr w:rsidR="00E20F4B" w:rsidRPr="00FF00AE" w14:paraId="05AB496C" w14:textId="77777777" w:rsidTr="00AD3280">
        <w:tc>
          <w:tcPr>
            <w:tcW w:w="9350" w:type="dxa"/>
          </w:tcPr>
          <w:p w14:paraId="4DA9C9B0" w14:textId="77777777" w:rsidR="00E20F4B" w:rsidRPr="00FF00AE" w:rsidRDefault="00E20F4B" w:rsidP="00AD3280">
            <w:pPr>
              <w:rPr>
                <w:rFonts w:asciiTheme="minorHAnsi" w:eastAsia="Times New Roman" w:hAnsiTheme="minorHAnsi" w:cs="Arial"/>
                <w:i/>
              </w:rPr>
            </w:pPr>
            <w:r w:rsidRPr="00FF00AE">
              <w:rPr>
                <w:rFonts w:asciiTheme="minorHAnsi" w:eastAsia="Times New Roman" w:hAnsiTheme="minorHAnsi" w:cs="Arial"/>
                <w:i/>
              </w:rPr>
              <w:t xml:space="preserve">Reply: </w:t>
            </w:r>
            <w:r w:rsidR="00A143A1" w:rsidRPr="00FF00AE">
              <w:rPr>
                <w:rFonts w:asciiTheme="minorHAnsi" w:eastAsia="Times New Roman" w:hAnsiTheme="minorHAnsi" w:cs="Arial"/>
                <w:i/>
              </w:rPr>
              <w:t xml:space="preserve">The Pilot Loan Committee will be managed from HUD HQ.  The Housing Program Officer </w:t>
            </w:r>
            <w:proofErr w:type="gramStart"/>
            <w:r w:rsidR="00A143A1" w:rsidRPr="00FF00AE">
              <w:rPr>
                <w:rFonts w:asciiTheme="minorHAnsi" w:eastAsia="Times New Roman" w:hAnsiTheme="minorHAnsi" w:cs="Arial"/>
                <w:i/>
              </w:rPr>
              <w:t>will</w:t>
            </w:r>
            <w:proofErr w:type="gramEnd"/>
            <w:r w:rsidR="00A143A1" w:rsidRPr="00FF00AE">
              <w:rPr>
                <w:rFonts w:asciiTheme="minorHAnsi" w:eastAsia="Times New Roman" w:hAnsiTheme="minorHAnsi" w:cs="Arial"/>
                <w:i/>
              </w:rPr>
              <w:t xml:space="preserve"> Chair the committee and the LIHTC team Branch Chiefs will serve as voting members.</w:t>
            </w:r>
          </w:p>
        </w:tc>
      </w:tr>
      <w:tr w:rsidR="00771179" w:rsidRPr="00FF00AE" w14:paraId="1B297E99" w14:textId="77777777" w:rsidTr="00AD3280">
        <w:tc>
          <w:tcPr>
            <w:tcW w:w="9350" w:type="dxa"/>
          </w:tcPr>
          <w:p w14:paraId="172C579A" w14:textId="77777777" w:rsidR="00771179" w:rsidRPr="00FF00AE" w:rsidRDefault="00771179" w:rsidP="00AD3280">
            <w:pPr>
              <w:rPr>
                <w:rFonts w:asciiTheme="minorHAnsi" w:eastAsia="Times New Roman" w:hAnsiTheme="minorHAnsi" w:cs="Arial"/>
                <w:b/>
              </w:rPr>
            </w:pPr>
          </w:p>
        </w:tc>
      </w:tr>
      <w:tr w:rsidR="00492AEB" w:rsidRPr="00FF00AE" w14:paraId="39FA53F3" w14:textId="77777777" w:rsidTr="00AD3280">
        <w:tc>
          <w:tcPr>
            <w:tcW w:w="9350" w:type="dxa"/>
          </w:tcPr>
          <w:p w14:paraId="21EA6A48" w14:textId="77777777" w:rsidR="00492AEB" w:rsidRPr="00FF00AE" w:rsidRDefault="00492AEB" w:rsidP="00492AEB">
            <w:r w:rsidRPr="00FF00AE">
              <w:rPr>
                <w:rFonts w:asciiTheme="minorHAnsi" w:eastAsia="Times New Roman" w:hAnsiTheme="minorHAnsi" w:cs="Arial"/>
                <w:b/>
              </w:rPr>
              <w:t xml:space="preserve">(b) </w:t>
            </w:r>
            <w:r w:rsidRPr="00FF00AE">
              <w:t xml:space="preserve">What does this process </w:t>
            </w:r>
            <w:r w:rsidR="00BF6565" w:rsidRPr="00FF00AE">
              <w:t xml:space="preserve">(Loan Committee) </w:t>
            </w:r>
            <w:r w:rsidRPr="00FF00AE">
              <w:t xml:space="preserve">look like? </w:t>
            </w:r>
          </w:p>
          <w:p w14:paraId="38FC1690" w14:textId="77777777" w:rsidR="00492AEB" w:rsidRPr="00FF00AE" w:rsidRDefault="00492AEB" w:rsidP="00AD3280">
            <w:pPr>
              <w:rPr>
                <w:rFonts w:asciiTheme="minorHAnsi" w:eastAsia="Times New Roman" w:hAnsiTheme="minorHAnsi" w:cs="Arial"/>
                <w:b/>
              </w:rPr>
            </w:pPr>
          </w:p>
        </w:tc>
      </w:tr>
      <w:tr w:rsidR="00492AEB" w:rsidRPr="00FF00AE" w14:paraId="0E8DA7D0" w14:textId="77777777" w:rsidTr="00AD3280">
        <w:tc>
          <w:tcPr>
            <w:tcW w:w="9350" w:type="dxa"/>
          </w:tcPr>
          <w:p w14:paraId="53736F9C" w14:textId="69F484D4" w:rsidR="00492AEB" w:rsidRPr="00FF00AE" w:rsidRDefault="00492AEB" w:rsidP="00AD3280">
            <w:pPr>
              <w:rPr>
                <w:rFonts w:asciiTheme="minorHAnsi" w:eastAsia="Times New Roman" w:hAnsiTheme="minorHAnsi" w:cs="Arial"/>
                <w:i/>
              </w:rPr>
            </w:pPr>
            <w:r w:rsidRPr="00FF00AE">
              <w:rPr>
                <w:rFonts w:asciiTheme="minorHAnsi" w:eastAsia="Times New Roman" w:hAnsiTheme="minorHAnsi" w:cs="Arial"/>
                <w:i/>
              </w:rPr>
              <w:t xml:space="preserve">Reply: </w:t>
            </w:r>
            <w:r w:rsidR="00A143A1" w:rsidRPr="00FF00AE">
              <w:rPr>
                <w:rFonts w:asciiTheme="minorHAnsi" w:eastAsia="Times New Roman" w:hAnsiTheme="minorHAnsi" w:cs="Arial"/>
                <w:i/>
              </w:rPr>
              <w:t xml:space="preserve">The Pilot Loan Committee will be </w:t>
            </w:r>
            <w:r w:rsidR="00DE54AC">
              <w:rPr>
                <w:rFonts w:asciiTheme="minorHAnsi" w:eastAsia="Times New Roman" w:hAnsiTheme="minorHAnsi" w:cs="Arial"/>
                <w:i/>
              </w:rPr>
              <w:t>administered by</w:t>
            </w:r>
            <w:r w:rsidR="00A143A1" w:rsidRPr="00FF00AE">
              <w:rPr>
                <w:rFonts w:asciiTheme="minorHAnsi" w:eastAsia="Times New Roman" w:hAnsiTheme="minorHAnsi" w:cs="Arial"/>
                <w:i/>
              </w:rPr>
              <w:t xml:space="preserve"> HUD HQ.  The Housing Program Officer </w:t>
            </w:r>
            <w:proofErr w:type="gramStart"/>
            <w:r w:rsidR="00A143A1" w:rsidRPr="00FF00AE">
              <w:rPr>
                <w:rFonts w:asciiTheme="minorHAnsi" w:eastAsia="Times New Roman" w:hAnsiTheme="minorHAnsi" w:cs="Arial"/>
                <w:i/>
              </w:rPr>
              <w:t>will</w:t>
            </w:r>
            <w:proofErr w:type="gramEnd"/>
            <w:r w:rsidR="00A143A1" w:rsidRPr="00FF00AE">
              <w:rPr>
                <w:rFonts w:asciiTheme="minorHAnsi" w:eastAsia="Times New Roman" w:hAnsiTheme="minorHAnsi" w:cs="Arial"/>
                <w:i/>
              </w:rPr>
              <w:t xml:space="preserve"> Chair the committee and the LIHTC team Branch Chiefs will serve as voting members.</w:t>
            </w:r>
          </w:p>
        </w:tc>
      </w:tr>
      <w:tr w:rsidR="00492AEB" w:rsidRPr="00FF00AE" w14:paraId="1ABA8F5B" w14:textId="77777777" w:rsidTr="00AD3280">
        <w:tc>
          <w:tcPr>
            <w:tcW w:w="9350" w:type="dxa"/>
          </w:tcPr>
          <w:p w14:paraId="6B6B9EDE" w14:textId="77777777" w:rsidR="00492AEB" w:rsidRPr="00FF00AE" w:rsidRDefault="00492AEB" w:rsidP="00AD3280">
            <w:pPr>
              <w:rPr>
                <w:rFonts w:asciiTheme="minorHAnsi" w:eastAsia="Times New Roman" w:hAnsiTheme="minorHAnsi" w:cs="Arial"/>
                <w:b/>
              </w:rPr>
            </w:pPr>
          </w:p>
        </w:tc>
      </w:tr>
      <w:tr w:rsidR="00377153" w:rsidRPr="00FF00AE" w14:paraId="0093E773" w14:textId="77777777" w:rsidTr="00AD3280">
        <w:tc>
          <w:tcPr>
            <w:tcW w:w="9350" w:type="dxa"/>
          </w:tcPr>
          <w:p w14:paraId="021A4E55" w14:textId="77777777" w:rsidR="00377153" w:rsidRPr="00FF00AE" w:rsidRDefault="00377153" w:rsidP="00771179">
            <w:r w:rsidRPr="00FF00AE">
              <w:rPr>
                <w:rFonts w:asciiTheme="minorHAnsi" w:eastAsia="Times New Roman" w:hAnsiTheme="minorHAnsi" w:cs="Arial"/>
                <w:b/>
              </w:rPr>
              <w:t xml:space="preserve">(c) </w:t>
            </w:r>
            <w:r w:rsidRPr="00FF00AE">
              <w:t>When can an application be presented to the LIHTC Pilot Loan Committee for approval?  Will this cause a delay in meeting the targeted 30 days to issue the firm for those in the expedited track?</w:t>
            </w:r>
          </w:p>
          <w:p w14:paraId="463BD62A" w14:textId="77777777" w:rsidR="00377153" w:rsidRPr="00FF00AE" w:rsidRDefault="00377153" w:rsidP="00771179">
            <w:pPr>
              <w:rPr>
                <w:rFonts w:asciiTheme="minorHAnsi" w:eastAsia="Times New Roman" w:hAnsiTheme="minorHAnsi" w:cs="Arial"/>
                <w:b/>
              </w:rPr>
            </w:pPr>
          </w:p>
        </w:tc>
      </w:tr>
      <w:tr w:rsidR="00377153" w:rsidRPr="00FF00AE" w14:paraId="64A8C675" w14:textId="77777777" w:rsidTr="00AD3280">
        <w:tc>
          <w:tcPr>
            <w:tcW w:w="9350" w:type="dxa"/>
          </w:tcPr>
          <w:p w14:paraId="4522D742" w14:textId="77777777" w:rsidR="00377153" w:rsidRPr="00FF00AE" w:rsidRDefault="00377153" w:rsidP="00771179">
            <w:pPr>
              <w:rPr>
                <w:rFonts w:asciiTheme="minorHAnsi" w:eastAsia="Times New Roman" w:hAnsiTheme="minorHAnsi" w:cs="Arial"/>
                <w:i/>
              </w:rPr>
            </w:pPr>
            <w:r w:rsidRPr="00FF00AE">
              <w:rPr>
                <w:rFonts w:asciiTheme="minorHAnsi" w:eastAsia="Times New Roman" w:hAnsiTheme="minorHAnsi" w:cs="Arial"/>
                <w:i/>
              </w:rPr>
              <w:t xml:space="preserve">Reply: </w:t>
            </w:r>
            <w:r w:rsidR="00A143A1" w:rsidRPr="00FF00AE">
              <w:rPr>
                <w:rFonts w:asciiTheme="minorHAnsi" w:eastAsia="Times New Roman" w:hAnsiTheme="minorHAnsi" w:cs="Arial"/>
                <w:i/>
              </w:rPr>
              <w:t>The Pilot Loan Committee will review Pilot deals within 3 days or less of receiving a request to review a deal. Every attempt will be made to ensure the 30 days are not exceeded.  Deals submitted to the LIHTC Pilot Loan Committee for review do not need to go to Reginal Loan Committee or National Loan Committee.</w:t>
            </w:r>
          </w:p>
        </w:tc>
      </w:tr>
      <w:tr w:rsidR="00377153" w:rsidRPr="00FF00AE" w14:paraId="57BC8AF9" w14:textId="77777777" w:rsidTr="00AD3280">
        <w:tc>
          <w:tcPr>
            <w:tcW w:w="9350" w:type="dxa"/>
          </w:tcPr>
          <w:p w14:paraId="39D266BF" w14:textId="77777777" w:rsidR="00377153" w:rsidRPr="00FF00AE" w:rsidRDefault="00377153" w:rsidP="00771179">
            <w:pPr>
              <w:rPr>
                <w:rFonts w:asciiTheme="minorHAnsi" w:eastAsia="Times New Roman" w:hAnsiTheme="minorHAnsi" w:cs="Arial"/>
                <w:b/>
                <w:u w:val="single"/>
              </w:rPr>
            </w:pPr>
          </w:p>
        </w:tc>
      </w:tr>
      <w:tr w:rsidR="00C8692D" w:rsidRPr="00FF00AE" w14:paraId="5EF68415" w14:textId="77777777" w:rsidTr="004250C2">
        <w:tc>
          <w:tcPr>
            <w:tcW w:w="9350" w:type="dxa"/>
          </w:tcPr>
          <w:p w14:paraId="03A476E9" w14:textId="05A0B0F7" w:rsidR="00F3424E" w:rsidRPr="00FF00AE" w:rsidRDefault="00C8692D" w:rsidP="00F3424E">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49</w:t>
            </w:r>
            <w:r w:rsidRPr="00FF00AE">
              <w:rPr>
                <w:rFonts w:asciiTheme="minorHAnsi" w:eastAsia="Times New Roman" w:hAnsiTheme="minorHAnsi" w:cs="Arial"/>
                <w:b/>
              </w:rPr>
              <w:t xml:space="preserve">: </w:t>
            </w:r>
            <w:r w:rsidRPr="00FF00AE">
              <w:rPr>
                <w:rFonts w:asciiTheme="minorHAnsi" w:hAnsiTheme="minorHAnsi"/>
              </w:rPr>
              <w:t>1-1D - Where do we get the Eligibility Checklist?</w:t>
            </w:r>
            <w:r w:rsidR="00F3424E" w:rsidRPr="00FF00AE">
              <w:rPr>
                <w:rFonts w:asciiTheme="minorHAnsi" w:hAnsiTheme="minorHAnsi"/>
              </w:rPr>
              <w:t xml:space="preserve"> </w:t>
            </w:r>
            <w:r w:rsidR="00F3424E" w:rsidRPr="00FF00AE">
              <w:t xml:space="preserve">For the 223f </w:t>
            </w:r>
            <w:proofErr w:type="spellStart"/>
            <w:r w:rsidR="00F3424E" w:rsidRPr="00FF00AE">
              <w:t>piliot</w:t>
            </w:r>
            <w:proofErr w:type="spellEnd"/>
            <w:r w:rsidR="00F3424E" w:rsidRPr="00FF00AE">
              <w:t>, the Project Eligibility Checklist was included in the Underwriting Narrative.  Is that what will be done for the 221d4 Pilot?</w:t>
            </w:r>
          </w:p>
          <w:p w14:paraId="5772821D" w14:textId="77777777" w:rsidR="00C8692D" w:rsidRPr="00FF00AE" w:rsidRDefault="00C8692D" w:rsidP="00AD3280">
            <w:pPr>
              <w:rPr>
                <w:rFonts w:asciiTheme="minorHAnsi" w:eastAsia="Times New Roman" w:hAnsiTheme="minorHAnsi" w:cs="Arial"/>
                <w:b/>
                <w:u w:val="single"/>
              </w:rPr>
            </w:pPr>
          </w:p>
        </w:tc>
      </w:tr>
      <w:tr w:rsidR="00C8692D" w:rsidRPr="00FF00AE" w14:paraId="16E2BDBB" w14:textId="77777777" w:rsidTr="004250C2">
        <w:tc>
          <w:tcPr>
            <w:tcW w:w="9350" w:type="dxa"/>
          </w:tcPr>
          <w:p w14:paraId="323609A6" w14:textId="77777777" w:rsidR="00C8692D" w:rsidRPr="00FF00AE" w:rsidRDefault="00C8692D" w:rsidP="00AD3280">
            <w:pPr>
              <w:rPr>
                <w:rFonts w:asciiTheme="minorHAnsi" w:eastAsia="Times New Roman" w:hAnsiTheme="minorHAnsi" w:cs="Arial"/>
                <w:i/>
              </w:rPr>
            </w:pPr>
            <w:r w:rsidRPr="00FF00AE">
              <w:rPr>
                <w:rFonts w:asciiTheme="minorHAnsi" w:eastAsia="Times New Roman" w:hAnsiTheme="minorHAnsi" w:cs="Arial"/>
                <w:i/>
              </w:rPr>
              <w:lastRenderedPageBreak/>
              <w:t>Reply:</w:t>
            </w:r>
            <w:r w:rsidR="00557B9F" w:rsidRPr="00FF00AE">
              <w:rPr>
                <w:rFonts w:asciiTheme="minorHAnsi" w:eastAsia="Times New Roman" w:hAnsiTheme="minorHAnsi" w:cs="Arial"/>
                <w:i/>
              </w:rPr>
              <w:t xml:space="preserve">  Eligibility Checklists are located at:  </w:t>
            </w:r>
            <w:hyperlink r:id="rId8" w:history="1">
              <w:r w:rsidR="00557B9F" w:rsidRPr="00FF00AE">
                <w:rPr>
                  <w:rStyle w:val="Hyperlink"/>
                  <w:rFonts w:asciiTheme="minorHAnsi" w:eastAsia="Times New Roman" w:hAnsiTheme="minorHAnsi" w:cs="Arial"/>
                  <w:i/>
                </w:rPr>
                <w:t>https://www.hud.gov/program_offices/housing/mfh</w:t>
              </w:r>
            </w:hyperlink>
          </w:p>
          <w:p w14:paraId="5E1CEDFC" w14:textId="77777777" w:rsidR="00557B9F" w:rsidRPr="00FF00AE" w:rsidRDefault="00557B9F" w:rsidP="00AD3280">
            <w:pPr>
              <w:rPr>
                <w:rFonts w:asciiTheme="minorHAnsi" w:eastAsia="Times New Roman" w:hAnsiTheme="minorHAnsi" w:cs="Arial"/>
                <w:i/>
              </w:rPr>
            </w:pPr>
          </w:p>
        </w:tc>
      </w:tr>
      <w:tr w:rsidR="00C8692D" w:rsidRPr="00FF00AE" w14:paraId="5C9F1F7D" w14:textId="77777777" w:rsidTr="004250C2">
        <w:tc>
          <w:tcPr>
            <w:tcW w:w="9350" w:type="dxa"/>
          </w:tcPr>
          <w:p w14:paraId="21E7D768" w14:textId="37765A87" w:rsidR="00C8692D" w:rsidRPr="00FF00AE" w:rsidRDefault="00C8692D" w:rsidP="00C8692D">
            <w:pPr>
              <w:rPr>
                <w:rFonts w:asciiTheme="minorHAnsi" w:hAnsiTheme="minorHAnsi"/>
              </w:rPr>
            </w:pPr>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50</w:t>
            </w:r>
            <w:r w:rsidRPr="00FF00AE">
              <w:rPr>
                <w:rFonts w:asciiTheme="minorHAnsi" w:eastAsia="Times New Roman" w:hAnsiTheme="minorHAnsi" w:cs="Arial"/>
                <w:b/>
              </w:rPr>
              <w:t>:</w:t>
            </w:r>
            <w:r w:rsidR="00F3424E" w:rsidRPr="00FF00AE">
              <w:rPr>
                <w:rFonts w:asciiTheme="minorHAnsi" w:eastAsia="Times New Roman" w:hAnsiTheme="minorHAnsi" w:cs="Arial"/>
                <w:b/>
              </w:rPr>
              <w:t xml:space="preserve"> </w:t>
            </w:r>
            <w:r w:rsidRPr="00FF00AE">
              <w:rPr>
                <w:rFonts w:asciiTheme="minorHAnsi" w:hAnsiTheme="minorHAnsi"/>
              </w:rPr>
              <w:t>1-2A – Will there be a new Narrative?</w:t>
            </w:r>
          </w:p>
          <w:p w14:paraId="563F7CAF" w14:textId="77777777" w:rsidR="00C8692D" w:rsidRPr="00FF00AE" w:rsidRDefault="00C8692D" w:rsidP="00AD3280">
            <w:pPr>
              <w:rPr>
                <w:rFonts w:asciiTheme="minorHAnsi" w:eastAsia="Times New Roman" w:hAnsiTheme="minorHAnsi" w:cs="Arial"/>
                <w:b/>
                <w:u w:val="single"/>
              </w:rPr>
            </w:pPr>
          </w:p>
        </w:tc>
      </w:tr>
      <w:tr w:rsidR="00C8692D" w:rsidRPr="00FF00AE" w14:paraId="7951E2FD" w14:textId="77777777" w:rsidTr="004250C2">
        <w:tc>
          <w:tcPr>
            <w:tcW w:w="9350" w:type="dxa"/>
          </w:tcPr>
          <w:p w14:paraId="5F87D70C" w14:textId="77777777" w:rsidR="00C8692D" w:rsidRPr="00FF00AE" w:rsidRDefault="00C8692D" w:rsidP="00AD3280">
            <w:pPr>
              <w:rPr>
                <w:rFonts w:asciiTheme="minorHAnsi" w:eastAsia="Times New Roman" w:hAnsiTheme="minorHAnsi" w:cs="Arial"/>
                <w:i/>
              </w:rPr>
            </w:pPr>
            <w:r w:rsidRPr="00FF00AE">
              <w:rPr>
                <w:rFonts w:asciiTheme="minorHAnsi" w:eastAsia="Times New Roman" w:hAnsiTheme="minorHAnsi" w:cs="Arial"/>
                <w:i/>
              </w:rPr>
              <w:t>Reply:</w:t>
            </w:r>
            <w:r w:rsidR="00557B9F" w:rsidRPr="00FF00AE">
              <w:rPr>
                <w:rFonts w:asciiTheme="minorHAnsi" w:eastAsia="Times New Roman" w:hAnsiTheme="minorHAnsi" w:cs="Arial"/>
                <w:i/>
              </w:rPr>
              <w:t xml:space="preserve">  No, the Narrative that is currently used for Section 221(d)(4)/220 applications must be used.</w:t>
            </w:r>
          </w:p>
        </w:tc>
      </w:tr>
      <w:tr w:rsidR="00C8692D" w:rsidRPr="00FF00AE" w14:paraId="5CC171AE" w14:textId="77777777" w:rsidTr="004250C2">
        <w:tc>
          <w:tcPr>
            <w:tcW w:w="9350" w:type="dxa"/>
          </w:tcPr>
          <w:p w14:paraId="557DF8DF" w14:textId="77777777" w:rsidR="00C8692D" w:rsidRPr="00FF00AE" w:rsidRDefault="00C8692D" w:rsidP="00AD3280">
            <w:pPr>
              <w:rPr>
                <w:rFonts w:asciiTheme="minorHAnsi" w:eastAsia="Times New Roman" w:hAnsiTheme="minorHAnsi" w:cs="Arial"/>
                <w:b/>
                <w:u w:val="single"/>
              </w:rPr>
            </w:pPr>
          </w:p>
        </w:tc>
      </w:tr>
      <w:tr w:rsidR="00F3424E" w:rsidRPr="00FF00AE" w14:paraId="0B0B743B" w14:textId="77777777" w:rsidTr="004250C2">
        <w:tc>
          <w:tcPr>
            <w:tcW w:w="9350" w:type="dxa"/>
          </w:tcPr>
          <w:p w14:paraId="043304EB" w14:textId="527BB0B4" w:rsidR="00F3424E" w:rsidRPr="00FF00AE" w:rsidRDefault="00F3424E" w:rsidP="00F3424E">
            <w:r w:rsidRPr="00FF00AE">
              <w:rPr>
                <w:rFonts w:asciiTheme="minorHAnsi" w:eastAsia="Times New Roman" w:hAnsiTheme="minorHAnsi" w:cs="Arial"/>
                <w:b/>
                <w:u w:val="single"/>
              </w:rPr>
              <w:t>Question 5</w:t>
            </w:r>
            <w:r w:rsidR="00B97AB0" w:rsidRPr="00FF00AE">
              <w:rPr>
                <w:rFonts w:asciiTheme="minorHAnsi" w:eastAsia="Times New Roman" w:hAnsiTheme="minorHAnsi" w:cs="Arial"/>
                <w:b/>
                <w:u w:val="single"/>
              </w:rPr>
              <w:t>1</w:t>
            </w:r>
            <w:r w:rsidRPr="00FF00AE">
              <w:rPr>
                <w:rFonts w:asciiTheme="minorHAnsi" w:eastAsia="Times New Roman" w:hAnsiTheme="minorHAnsi" w:cs="Arial"/>
                <w:b/>
              </w:rPr>
              <w:t xml:space="preserve">: </w:t>
            </w:r>
            <w:r w:rsidRPr="00FF00AE">
              <w:t>Exhibit A 2-1A – Will the HUD 92264-T be required?</w:t>
            </w:r>
          </w:p>
          <w:p w14:paraId="345063A5" w14:textId="77777777" w:rsidR="00F3424E" w:rsidRPr="00FF00AE" w:rsidRDefault="00F3424E" w:rsidP="00AD3280">
            <w:pPr>
              <w:rPr>
                <w:rFonts w:asciiTheme="minorHAnsi" w:eastAsia="Times New Roman" w:hAnsiTheme="minorHAnsi" w:cs="Arial"/>
                <w:b/>
                <w:u w:val="single"/>
              </w:rPr>
            </w:pPr>
          </w:p>
        </w:tc>
      </w:tr>
      <w:tr w:rsidR="00F3424E" w:rsidRPr="00FF00AE" w14:paraId="51C7AAD1" w14:textId="77777777" w:rsidTr="004250C2">
        <w:tc>
          <w:tcPr>
            <w:tcW w:w="9350" w:type="dxa"/>
          </w:tcPr>
          <w:p w14:paraId="5176B341" w14:textId="77777777" w:rsidR="00F3424E" w:rsidRPr="00FF00AE" w:rsidRDefault="00F3424E" w:rsidP="00AD3280">
            <w:pPr>
              <w:rPr>
                <w:rFonts w:asciiTheme="minorHAnsi" w:eastAsia="Times New Roman" w:hAnsiTheme="minorHAnsi" w:cs="Arial"/>
                <w:i/>
              </w:rPr>
            </w:pPr>
            <w:r w:rsidRPr="00FF00AE">
              <w:rPr>
                <w:rFonts w:asciiTheme="minorHAnsi" w:eastAsia="Times New Roman" w:hAnsiTheme="minorHAnsi" w:cs="Arial"/>
                <w:i/>
              </w:rPr>
              <w:t>Reply:</w:t>
            </w:r>
            <w:r w:rsidR="00557B9F" w:rsidRPr="00FF00AE">
              <w:rPr>
                <w:rFonts w:asciiTheme="minorHAnsi" w:eastAsia="Times New Roman" w:hAnsiTheme="minorHAnsi" w:cs="Arial"/>
                <w:i/>
              </w:rPr>
              <w:t xml:space="preserve">  yes.</w:t>
            </w:r>
          </w:p>
        </w:tc>
      </w:tr>
      <w:tr w:rsidR="00BF6565" w:rsidRPr="00150790" w14:paraId="7D923542" w14:textId="77777777" w:rsidTr="00BE03AF">
        <w:tc>
          <w:tcPr>
            <w:tcW w:w="9350" w:type="dxa"/>
          </w:tcPr>
          <w:p w14:paraId="61899B67" w14:textId="5D40174E" w:rsidR="00BF6565" w:rsidRPr="00FF00AE" w:rsidRDefault="00BF6565" w:rsidP="00BF6565">
            <w:r w:rsidRPr="00FF00AE">
              <w:rPr>
                <w:rFonts w:asciiTheme="minorHAnsi" w:eastAsia="Times New Roman" w:hAnsiTheme="minorHAnsi" w:cs="Arial"/>
                <w:b/>
                <w:u w:val="single"/>
              </w:rPr>
              <w:t xml:space="preserve">Question </w:t>
            </w:r>
            <w:r w:rsidR="00B97AB0" w:rsidRPr="00FF00AE">
              <w:rPr>
                <w:rFonts w:asciiTheme="minorHAnsi" w:eastAsia="Times New Roman" w:hAnsiTheme="minorHAnsi" w:cs="Arial"/>
                <w:b/>
                <w:u w:val="single"/>
              </w:rPr>
              <w:t>52</w:t>
            </w:r>
            <w:r w:rsidRPr="00FF00AE">
              <w:rPr>
                <w:rFonts w:asciiTheme="minorHAnsi" w:eastAsia="Times New Roman" w:hAnsiTheme="minorHAnsi" w:cs="Arial"/>
                <w:b/>
              </w:rPr>
              <w:t>:</w:t>
            </w:r>
            <w:r w:rsidRPr="00FF00AE">
              <w:rPr>
                <w:rFonts w:asciiTheme="minorHAnsi" w:eastAsia="Times New Roman" w:hAnsiTheme="minorHAnsi" w:cs="Arial"/>
                <w:i/>
              </w:rPr>
              <w:t xml:space="preserve"> </w:t>
            </w:r>
            <w:r w:rsidRPr="00FF00AE">
              <w:t xml:space="preserve">Today’s market has TC Pay In at 10% at closing with 85% at completion &amp; 5% at 8609.   Will HUD re-consider </w:t>
            </w:r>
            <w:proofErr w:type="gramStart"/>
            <w:r w:rsidRPr="00FF00AE">
              <w:t>these requirement</w:t>
            </w:r>
            <w:proofErr w:type="gramEnd"/>
            <w:r w:rsidRPr="00FF00AE">
              <w:t>, if the lender can show the availability of funds to cover the development costs?</w:t>
            </w:r>
          </w:p>
          <w:p w14:paraId="771BB8EC" w14:textId="115BFE8A" w:rsidR="00BF6565" w:rsidRDefault="00BF6565" w:rsidP="00BE03AF">
            <w:pPr>
              <w:rPr>
                <w:rFonts w:asciiTheme="minorHAnsi" w:eastAsia="Times New Roman" w:hAnsiTheme="minorHAnsi" w:cs="Arial"/>
                <w:i/>
              </w:rPr>
            </w:pPr>
          </w:p>
        </w:tc>
      </w:tr>
      <w:tr w:rsidR="00BF6565" w:rsidRPr="00150790" w14:paraId="6D0F1D1C" w14:textId="77777777" w:rsidTr="00BE03AF">
        <w:tc>
          <w:tcPr>
            <w:tcW w:w="9350" w:type="dxa"/>
          </w:tcPr>
          <w:p w14:paraId="6D122B2C" w14:textId="1140B77F" w:rsidR="00BF6565" w:rsidRDefault="00FF00AE" w:rsidP="00BE03AF">
            <w:pPr>
              <w:rPr>
                <w:rFonts w:asciiTheme="minorHAnsi" w:eastAsia="Times New Roman" w:hAnsiTheme="minorHAnsi" w:cs="Arial"/>
                <w:i/>
              </w:rPr>
            </w:pPr>
            <w:r w:rsidRPr="00FF00AE">
              <w:rPr>
                <w:rFonts w:asciiTheme="minorHAnsi" w:eastAsia="Times New Roman" w:hAnsiTheme="minorHAnsi" w:cs="Arial"/>
                <w:i/>
              </w:rPr>
              <w:t xml:space="preserve">Reply:   HUD will consider this </w:t>
            </w:r>
            <w:proofErr w:type="gramStart"/>
            <w:r w:rsidRPr="00FF00AE">
              <w:rPr>
                <w:rFonts w:asciiTheme="minorHAnsi" w:eastAsia="Times New Roman" w:hAnsiTheme="minorHAnsi" w:cs="Arial"/>
                <w:i/>
              </w:rPr>
              <w:t>at a later time</w:t>
            </w:r>
            <w:proofErr w:type="gramEnd"/>
            <w:r w:rsidRPr="00FF00AE">
              <w:rPr>
                <w:rFonts w:asciiTheme="minorHAnsi" w:eastAsia="Times New Roman" w:hAnsiTheme="minorHAnsi" w:cs="Arial"/>
                <w:i/>
              </w:rPr>
              <w:t>.</w:t>
            </w:r>
          </w:p>
        </w:tc>
      </w:tr>
    </w:tbl>
    <w:p w14:paraId="1D34A0AA" w14:textId="2AF60EFD" w:rsidR="00D74C7F" w:rsidRDefault="00D74C7F">
      <w:pPr>
        <w:rPr>
          <w:rFonts w:asciiTheme="minorHAnsi" w:hAnsiTheme="minorHAnsi"/>
          <w:b/>
          <w:u w:val="single"/>
        </w:rPr>
      </w:pPr>
    </w:p>
    <w:p w14:paraId="3CA9D5EE" w14:textId="5A80D304" w:rsidR="00EE4B3B" w:rsidRDefault="00EE4B3B">
      <w:pPr>
        <w:rPr>
          <w:rFonts w:asciiTheme="minorHAnsi" w:hAnsiTheme="minorHAnsi"/>
          <w:b/>
          <w:u w:val="single"/>
        </w:rPr>
      </w:pPr>
    </w:p>
    <w:p w14:paraId="1B2C2C34" w14:textId="08A88203" w:rsidR="00EE4B3B" w:rsidRDefault="00EE4B3B">
      <w:pPr>
        <w:rPr>
          <w:rFonts w:asciiTheme="minorHAnsi" w:hAnsiTheme="minorHAnsi"/>
          <w:b/>
          <w:u w:val="single"/>
        </w:rPr>
      </w:pPr>
    </w:p>
    <w:p w14:paraId="43906CA1" w14:textId="16A43787" w:rsidR="00EE4B3B" w:rsidRDefault="00EE4B3B">
      <w:pPr>
        <w:rPr>
          <w:rFonts w:asciiTheme="minorHAnsi" w:hAnsiTheme="minorHAnsi"/>
          <w:b/>
          <w:u w:val="single"/>
        </w:rPr>
      </w:pPr>
    </w:p>
    <w:p w14:paraId="34F3041F" w14:textId="69F1D713" w:rsidR="00EE4B3B" w:rsidRDefault="00EE4B3B">
      <w:pPr>
        <w:rPr>
          <w:rFonts w:asciiTheme="minorHAnsi" w:hAnsiTheme="minorHAnsi"/>
          <w:b/>
          <w:u w:val="single"/>
        </w:rPr>
      </w:pPr>
    </w:p>
    <w:p w14:paraId="7DD4EE7B" w14:textId="6CCDEB2D" w:rsidR="00EE4B3B" w:rsidRDefault="00EE4B3B">
      <w:pPr>
        <w:rPr>
          <w:rFonts w:asciiTheme="minorHAnsi" w:hAnsiTheme="minorHAnsi"/>
          <w:b/>
          <w:u w:val="single"/>
        </w:rPr>
      </w:pPr>
    </w:p>
    <w:p w14:paraId="32C41F59" w14:textId="28F378DE" w:rsidR="00EE4B3B" w:rsidRDefault="00EE4B3B">
      <w:pPr>
        <w:rPr>
          <w:rFonts w:asciiTheme="minorHAnsi" w:hAnsiTheme="minorHAnsi"/>
          <w:b/>
          <w:u w:val="single"/>
        </w:rPr>
      </w:pPr>
    </w:p>
    <w:p w14:paraId="1F70A6D4" w14:textId="3FBCE61D" w:rsidR="00EE4B3B" w:rsidRDefault="00EE4B3B">
      <w:pPr>
        <w:rPr>
          <w:rFonts w:asciiTheme="minorHAnsi" w:hAnsiTheme="minorHAnsi"/>
          <w:b/>
          <w:u w:val="single"/>
        </w:rPr>
      </w:pPr>
    </w:p>
    <w:p w14:paraId="4CD4AADF" w14:textId="15ABF9AB" w:rsidR="00EE4B3B" w:rsidRDefault="00EE4B3B">
      <w:pPr>
        <w:rPr>
          <w:rFonts w:asciiTheme="minorHAnsi" w:hAnsiTheme="minorHAnsi"/>
          <w:b/>
          <w:u w:val="single"/>
        </w:rPr>
      </w:pPr>
    </w:p>
    <w:p w14:paraId="0195C1A2" w14:textId="69321347" w:rsidR="00EE4B3B" w:rsidRDefault="00EE4B3B">
      <w:pPr>
        <w:rPr>
          <w:rFonts w:asciiTheme="minorHAnsi" w:hAnsiTheme="minorHAnsi"/>
          <w:b/>
          <w:u w:val="single"/>
        </w:rPr>
      </w:pPr>
    </w:p>
    <w:p w14:paraId="411A8A2C" w14:textId="32339732" w:rsidR="00EE4B3B" w:rsidRDefault="00EE4B3B">
      <w:pPr>
        <w:rPr>
          <w:rFonts w:asciiTheme="minorHAnsi" w:hAnsiTheme="minorHAnsi"/>
          <w:b/>
          <w:u w:val="single"/>
        </w:rPr>
      </w:pPr>
    </w:p>
    <w:p w14:paraId="003C3182" w14:textId="204401A0" w:rsidR="00EE4B3B" w:rsidRDefault="00EE4B3B">
      <w:pPr>
        <w:rPr>
          <w:rFonts w:asciiTheme="minorHAnsi" w:hAnsiTheme="minorHAnsi"/>
          <w:b/>
          <w:u w:val="single"/>
        </w:rPr>
      </w:pPr>
    </w:p>
    <w:p w14:paraId="6BFF0FD8" w14:textId="330FCCF4" w:rsidR="00EE4B3B" w:rsidRDefault="00EE4B3B">
      <w:pPr>
        <w:rPr>
          <w:rFonts w:asciiTheme="minorHAnsi" w:hAnsiTheme="minorHAnsi"/>
          <w:b/>
          <w:u w:val="single"/>
        </w:rPr>
      </w:pPr>
    </w:p>
    <w:p w14:paraId="00366D4F" w14:textId="430C19CF" w:rsidR="00EE4B3B" w:rsidRDefault="00EE4B3B">
      <w:pPr>
        <w:rPr>
          <w:rFonts w:asciiTheme="minorHAnsi" w:hAnsiTheme="minorHAnsi"/>
          <w:b/>
          <w:u w:val="single"/>
        </w:rPr>
      </w:pPr>
    </w:p>
    <w:p w14:paraId="4246F730" w14:textId="3785BE43" w:rsidR="00EE4B3B" w:rsidRDefault="00EE4B3B">
      <w:pPr>
        <w:rPr>
          <w:rFonts w:asciiTheme="minorHAnsi" w:hAnsiTheme="minorHAnsi"/>
          <w:b/>
          <w:u w:val="single"/>
        </w:rPr>
      </w:pPr>
    </w:p>
    <w:p w14:paraId="20E0D14E" w14:textId="6BCA6351" w:rsidR="00EE4B3B" w:rsidRDefault="00EE4B3B">
      <w:pPr>
        <w:rPr>
          <w:rFonts w:asciiTheme="minorHAnsi" w:hAnsiTheme="minorHAnsi"/>
          <w:b/>
          <w:u w:val="single"/>
        </w:rPr>
      </w:pPr>
    </w:p>
    <w:p w14:paraId="4E510D4A" w14:textId="1677BB42" w:rsidR="00EE4B3B" w:rsidRDefault="00EE4B3B">
      <w:pPr>
        <w:rPr>
          <w:rFonts w:asciiTheme="minorHAnsi" w:hAnsiTheme="minorHAnsi"/>
          <w:b/>
          <w:u w:val="single"/>
        </w:rPr>
      </w:pPr>
    </w:p>
    <w:p w14:paraId="0A57919F" w14:textId="5C7A2E8B" w:rsidR="00EE4B3B" w:rsidRDefault="00EE4B3B">
      <w:pPr>
        <w:rPr>
          <w:rFonts w:asciiTheme="minorHAnsi" w:hAnsiTheme="minorHAnsi"/>
          <w:b/>
          <w:u w:val="single"/>
        </w:rPr>
      </w:pPr>
    </w:p>
    <w:p w14:paraId="565863A9" w14:textId="17F42A15" w:rsidR="00EE4B3B" w:rsidRDefault="00EE4B3B">
      <w:pPr>
        <w:rPr>
          <w:rFonts w:asciiTheme="minorHAnsi" w:hAnsiTheme="minorHAnsi"/>
          <w:b/>
          <w:u w:val="single"/>
        </w:rPr>
      </w:pPr>
    </w:p>
    <w:p w14:paraId="0CFF1962" w14:textId="317D8F75" w:rsidR="00EE4B3B" w:rsidRDefault="00EE4B3B">
      <w:pPr>
        <w:rPr>
          <w:rFonts w:asciiTheme="minorHAnsi" w:hAnsiTheme="minorHAnsi"/>
          <w:b/>
          <w:u w:val="single"/>
        </w:rPr>
      </w:pPr>
    </w:p>
    <w:p w14:paraId="38F54097" w14:textId="33BBA677" w:rsidR="00EE4B3B" w:rsidRDefault="00EE4B3B">
      <w:pPr>
        <w:rPr>
          <w:rFonts w:asciiTheme="minorHAnsi" w:hAnsiTheme="minorHAnsi"/>
          <w:b/>
          <w:u w:val="single"/>
        </w:rPr>
      </w:pPr>
    </w:p>
    <w:p w14:paraId="40EDF341" w14:textId="0399DE28" w:rsidR="00EE4B3B" w:rsidRDefault="00EE4B3B">
      <w:pPr>
        <w:rPr>
          <w:rFonts w:asciiTheme="minorHAnsi" w:hAnsiTheme="minorHAnsi"/>
          <w:b/>
          <w:u w:val="single"/>
        </w:rPr>
      </w:pPr>
    </w:p>
    <w:p w14:paraId="40EC5A54" w14:textId="46523264" w:rsidR="00EE4B3B" w:rsidRDefault="00EE4B3B">
      <w:pPr>
        <w:rPr>
          <w:rFonts w:asciiTheme="minorHAnsi" w:hAnsiTheme="minorHAnsi"/>
          <w:b/>
          <w:u w:val="single"/>
        </w:rPr>
      </w:pPr>
    </w:p>
    <w:p w14:paraId="5A63F30E" w14:textId="477039ED" w:rsidR="00EE4B3B" w:rsidRDefault="00EE4B3B">
      <w:pPr>
        <w:rPr>
          <w:rFonts w:asciiTheme="minorHAnsi" w:hAnsiTheme="minorHAnsi"/>
          <w:b/>
          <w:u w:val="single"/>
        </w:rPr>
      </w:pPr>
    </w:p>
    <w:p w14:paraId="376B0AC5" w14:textId="208900F5" w:rsidR="00EE4B3B" w:rsidRDefault="00EE4B3B">
      <w:pPr>
        <w:rPr>
          <w:rFonts w:asciiTheme="minorHAnsi" w:hAnsiTheme="minorHAnsi"/>
          <w:b/>
          <w:u w:val="single"/>
        </w:rPr>
      </w:pPr>
    </w:p>
    <w:p w14:paraId="42F6853B" w14:textId="0661F431" w:rsidR="00EE4B3B" w:rsidRDefault="00EE4B3B">
      <w:pPr>
        <w:rPr>
          <w:rFonts w:asciiTheme="minorHAnsi" w:hAnsiTheme="minorHAnsi"/>
          <w:b/>
          <w:u w:val="single"/>
        </w:rPr>
      </w:pPr>
    </w:p>
    <w:p w14:paraId="76E1A169" w14:textId="48FA4064" w:rsidR="00EE4B3B" w:rsidRDefault="00EE4B3B">
      <w:pPr>
        <w:rPr>
          <w:rFonts w:asciiTheme="minorHAnsi" w:hAnsiTheme="minorHAnsi"/>
          <w:b/>
          <w:u w:val="single"/>
        </w:rPr>
      </w:pPr>
    </w:p>
    <w:p w14:paraId="438510EC" w14:textId="62E70A58" w:rsidR="00EE4B3B" w:rsidRDefault="00EE4B3B">
      <w:pPr>
        <w:rPr>
          <w:rFonts w:asciiTheme="minorHAnsi" w:hAnsiTheme="minorHAnsi"/>
          <w:b/>
          <w:u w:val="single"/>
        </w:rPr>
      </w:pPr>
    </w:p>
    <w:p w14:paraId="5484BF4A" w14:textId="03AB5440" w:rsidR="00EE4B3B" w:rsidRDefault="00EE4B3B">
      <w:pPr>
        <w:rPr>
          <w:rFonts w:asciiTheme="minorHAnsi" w:hAnsiTheme="minorHAnsi"/>
          <w:b/>
          <w:u w:val="single"/>
        </w:rPr>
      </w:pPr>
    </w:p>
    <w:p w14:paraId="5ECBD0F9" w14:textId="4C1CC35D" w:rsidR="00EE4B3B" w:rsidRDefault="00EE4B3B">
      <w:pPr>
        <w:rPr>
          <w:rFonts w:asciiTheme="minorHAnsi" w:hAnsiTheme="minorHAnsi"/>
          <w:b/>
          <w:u w:val="single"/>
        </w:rPr>
      </w:pPr>
    </w:p>
    <w:p w14:paraId="067F97A3" w14:textId="67E8FB50" w:rsidR="00EE4B3B" w:rsidRDefault="00EE4B3B">
      <w:pPr>
        <w:rPr>
          <w:rFonts w:asciiTheme="minorHAnsi" w:hAnsiTheme="minorHAnsi"/>
          <w:b/>
          <w:u w:val="single"/>
        </w:rPr>
      </w:pPr>
    </w:p>
    <w:p w14:paraId="6FFE279E" w14:textId="0442C666" w:rsidR="00EE4B3B" w:rsidRDefault="00EE4B3B">
      <w:pPr>
        <w:rPr>
          <w:rFonts w:asciiTheme="minorHAnsi" w:hAnsiTheme="minorHAnsi"/>
          <w:b/>
          <w:u w:val="single"/>
        </w:rPr>
      </w:pPr>
    </w:p>
    <w:p w14:paraId="10C1DD0C" w14:textId="7849CC5B" w:rsidR="00EE4B3B" w:rsidRDefault="00EE4B3B">
      <w:pPr>
        <w:rPr>
          <w:rFonts w:asciiTheme="minorHAnsi" w:hAnsiTheme="minorHAnsi"/>
          <w:b/>
          <w:u w:val="single"/>
        </w:rPr>
      </w:pPr>
    </w:p>
    <w:p w14:paraId="4231A556" w14:textId="05A0ABD6" w:rsidR="00EE4B3B" w:rsidRDefault="00EE4B3B">
      <w:pPr>
        <w:rPr>
          <w:rFonts w:asciiTheme="minorHAnsi" w:hAnsiTheme="minorHAnsi"/>
          <w:b/>
          <w:u w:val="single"/>
        </w:rPr>
      </w:pPr>
    </w:p>
    <w:tbl>
      <w:tblPr>
        <w:tblStyle w:val="TableGrid"/>
        <w:tblW w:w="10800" w:type="dxa"/>
        <w:tblInd w:w="-725" w:type="dxa"/>
        <w:tblLook w:val="04A0" w:firstRow="1" w:lastRow="0" w:firstColumn="1" w:lastColumn="0" w:noHBand="0" w:noVBand="1"/>
      </w:tblPr>
      <w:tblGrid>
        <w:gridCol w:w="2366"/>
        <w:gridCol w:w="1547"/>
        <w:gridCol w:w="1577"/>
        <w:gridCol w:w="1530"/>
        <w:gridCol w:w="1524"/>
        <w:gridCol w:w="2256"/>
      </w:tblGrid>
      <w:tr w:rsidR="00EE4B3B" w:rsidRPr="00E86FC1" w14:paraId="5BA610D3" w14:textId="77777777" w:rsidTr="00261213">
        <w:trPr>
          <w:trHeight w:val="735"/>
        </w:trPr>
        <w:tc>
          <w:tcPr>
            <w:tcW w:w="10800" w:type="dxa"/>
            <w:gridSpan w:val="6"/>
            <w:hideMark/>
          </w:tcPr>
          <w:p w14:paraId="521A7277" w14:textId="77777777" w:rsidR="00EE4B3B" w:rsidRPr="00E86FC1" w:rsidRDefault="00EE4B3B" w:rsidP="00261213">
            <w:pPr>
              <w:rPr>
                <w:b/>
                <w:bCs/>
              </w:rPr>
            </w:pPr>
            <w:r w:rsidRPr="00E86FC1">
              <w:rPr>
                <w:b/>
                <w:bCs/>
              </w:rPr>
              <w:t>Section 221(d)(4)/220 New Const. and Sub. Rehab. Designated Pilot Underwriters</w:t>
            </w:r>
          </w:p>
        </w:tc>
      </w:tr>
      <w:tr w:rsidR="00EE4B3B" w:rsidRPr="00E86FC1" w14:paraId="38D6E63C" w14:textId="77777777" w:rsidTr="00261213">
        <w:trPr>
          <w:trHeight w:val="615"/>
        </w:trPr>
        <w:tc>
          <w:tcPr>
            <w:tcW w:w="2366" w:type="dxa"/>
            <w:hideMark/>
          </w:tcPr>
          <w:p w14:paraId="0CE06771" w14:textId="77777777" w:rsidR="00EE4B3B" w:rsidRPr="00E86FC1" w:rsidRDefault="00EE4B3B" w:rsidP="00261213">
            <w:pPr>
              <w:rPr>
                <w:b/>
                <w:bCs/>
              </w:rPr>
            </w:pPr>
          </w:p>
        </w:tc>
        <w:tc>
          <w:tcPr>
            <w:tcW w:w="1547" w:type="dxa"/>
            <w:hideMark/>
          </w:tcPr>
          <w:p w14:paraId="17ED0609" w14:textId="77777777" w:rsidR="00EE4B3B" w:rsidRPr="00E86FC1" w:rsidRDefault="00EE4B3B" w:rsidP="00261213">
            <w:pPr>
              <w:rPr>
                <w:b/>
                <w:bCs/>
              </w:rPr>
            </w:pPr>
            <w:r w:rsidRPr="00E86FC1">
              <w:rPr>
                <w:b/>
                <w:bCs/>
              </w:rPr>
              <w:t>Northeast Region</w:t>
            </w:r>
          </w:p>
        </w:tc>
        <w:tc>
          <w:tcPr>
            <w:tcW w:w="1577" w:type="dxa"/>
            <w:hideMark/>
          </w:tcPr>
          <w:p w14:paraId="7B0D52A5" w14:textId="77777777" w:rsidR="00EE4B3B" w:rsidRPr="00E86FC1" w:rsidRDefault="00EE4B3B" w:rsidP="00261213">
            <w:pPr>
              <w:rPr>
                <w:b/>
                <w:bCs/>
              </w:rPr>
            </w:pPr>
            <w:r w:rsidRPr="00E86FC1">
              <w:rPr>
                <w:b/>
                <w:bCs/>
              </w:rPr>
              <w:t>Midwest Region</w:t>
            </w:r>
          </w:p>
        </w:tc>
        <w:tc>
          <w:tcPr>
            <w:tcW w:w="1530" w:type="dxa"/>
            <w:hideMark/>
          </w:tcPr>
          <w:p w14:paraId="492879CE" w14:textId="77777777" w:rsidR="00EE4B3B" w:rsidRPr="00E86FC1" w:rsidRDefault="00EE4B3B" w:rsidP="00261213">
            <w:pPr>
              <w:rPr>
                <w:b/>
                <w:bCs/>
              </w:rPr>
            </w:pPr>
            <w:r w:rsidRPr="00E86FC1">
              <w:rPr>
                <w:b/>
                <w:bCs/>
              </w:rPr>
              <w:t>Southeast Region</w:t>
            </w:r>
          </w:p>
        </w:tc>
        <w:tc>
          <w:tcPr>
            <w:tcW w:w="1524" w:type="dxa"/>
            <w:hideMark/>
          </w:tcPr>
          <w:p w14:paraId="30D5A309" w14:textId="77777777" w:rsidR="00EE4B3B" w:rsidRPr="00E86FC1" w:rsidRDefault="00EE4B3B" w:rsidP="00261213">
            <w:pPr>
              <w:rPr>
                <w:b/>
                <w:bCs/>
              </w:rPr>
            </w:pPr>
            <w:r w:rsidRPr="00E86FC1">
              <w:rPr>
                <w:b/>
                <w:bCs/>
              </w:rPr>
              <w:t>Southwest Region</w:t>
            </w:r>
          </w:p>
        </w:tc>
        <w:tc>
          <w:tcPr>
            <w:tcW w:w="2256" w:type="dxa"/>
            <w:hideMark/>
          </w:tcPr>
          <w:p w14:paraId="0EDC69E3" w14:textId="77777777" w:rsidR="00EE4B3B" w:rsidRPr="00E86FC1" w:rsidRDefault="00EE4B3B" w:rsidP="00261213">
            <w:pPr>
              <w:rPr>
                <w:b/>
                <w:bCs/>
              </w:rPr>
            </w:pPr>
            <w:r w:rsidRPr="00E86FC1">
              <w:rPr>
                <w:b/>
                <w:bCs/>
              </w:rPr>
              <w:t>West Region</w:t>
            </w:r>
          </w:p>
        </w:tc>
      </w:tr>
      <w:tr w:rsidR="00EE4B3B" w:rsidRPr="00E86FC1" w14:paraId="3ED66EA4" w14:textId="77777777" w:rsidTr="00261213">
        <w:trPr>
          <w:trHeight w:val="690"/>
        </w:trPr>
        <w:tc>
          <w:tcPr>
            <w:tcW w:w="2366" w:type="dxa"/>
            <w:hideMark/>
          </w:tcPr>
          <w:p w14:paraId="274B4B30" w14:textId="77777777" w:rsidR="00EE4B3B" w:rsidRPr="00E86FC1" w:rsidRDefault="00EE4B3B" w:rsidP="00261213">
            <w:pPr>
              <w:rPr>
                <w:b/>
                <w:bCs/>
              </w:rPr>
            </w:pPr>
            <w:r w:rsidRPr="00E86FC1">
              <w:rPr>
                <w:b/>
                <w:bCs/>
              </w:rPr>
              <w:t>Regional Director</w:t>
            </w:r>
          </w:p>
        </w:tc>
        <w:tc>
          <w:tcPr>
            <w:tcW w:w="1547" w:type="dxa"/>
            <w:hideMark/>
          </w:tcPr>
          <w:p w14:paraId="0E903D8B" w14:textId="77777777" w:rsidR="00EE4B3B" w:rsidRPr="00E86FC1" w:rsidRDefault="00EE4B3B" w:rsidP="00261213">
            <w:r w:rsidRPr="00E86FC1">
              <w:t>Brett Wise                                                                                                                                   212-542-7888</w:t>
            </w:r>
          </w:p>
        </w:tc>
        <w:tc>
          <w:tcPr>
            <w:tcW w:w="1577" w:type="dxa"/>
            <w:hideMark/>
          </w:tcPr>
          <w:p w14:paraId="4E95AD73" w14:textId="77777777" w:rsidR="00EE4B3B" w:rsidRPr="00E86FC1" w:rsidRDefault="00EE4B3B" w:rsidP="00261213">
            <w:r w:rsidRPr="00E86FC1">
              <w:t>Daniel J. Burke                                 312-913-8152</w:t>
            </w:r>
          </w:p>
        </w:tc>
        <w:tc>
          <w:tcPr>
            <w:tcW w:w="1530" w:type="dxa"/>
            <w:hideMark/>
          </w:tcPr>
          <w:p w14:paraId="5F2BF835" w14:textId="77777777" w:rsidR="00EE4B3B" w:rsidRPr="00E86FC1" w:rsidRDefault="00EE4B3B" w:rsidP="00261213">
            <w:r w:rsidRPr="00E86FC1">
              <w:t>Ruben J. Brooks                                                                                                                                                                                    678-732-2363</w:t>
            </w:r>
          </w:p>
        </w:tc>
        <w:tc>
          <w:tcPr>
            <w:tcW w:w="1524" w:type="dxa"/>
            <w:hideMark/>
          </w:tcPr>
          <w:p w14:paraId="34DDE484" w14:textId="77777777" w:rsidR="00EE4B3B" w:rsidRPr="00E86FC1" w:rsidRDefault="00EE4B3B" w:rsidP="00261213">
            <w:r w:rsidRPr="00E86FC1">
              <w:t>Mary V. Walsh                                     817-978-5807</w:t>
            </w:r>
          </w:p>
        </w:tc>
        <w:tc>
          <w:tcPr>
            <w:tcW w:w="2256" w:type="dxa"/>
            <w:hideMark/>
          </w:tcPr>
          <w:p w14:paraId="3F947EEF" w14:textId="77777777" w:rsidR="00EE4B3B" w:rsidRPr="00E86FC1" w:rsidRDefault="00EE4B3B" w:rsidP="00261213">
            <w:r w:rsidRPr="00E86FC1">
              <w:t>Angela Corcoran (</w:t>
            </w:r>
            <w:proofErr w:type="gramStart"/>
            <w:r w:rsidRPr="00E86FC1">
              <w:t xml:space="preserve">Acting)   </w:t>
            </w:r>
            <w:proofErr w:type="gramEnd"/>
            <w:r w:rsidRPr="00E86FC1">
              <w:t xml:space="preserve">                                                                                                                                                                                                  415-489-6606</w:t>
            </w:r>
          </w:p>
        </w:tc>
      </w:tr>
      <w:tr w:rsidR="00EE4B3B" w:rsidRPr="00E86FC1" w14:paraId="52A4A46D" w14:textId="77777777" w:rsidTr="00261213">
        <w:trPr>
          <w:trHeight w:val="1035"/>
        </w:trPr>
        <w:tc>
          <w:tcPr>
            <w:tcW w:w="2366" w:type="dxa"/>
            <w:hideMark/>
          </w:tcPr>
          <w:p w14:paraId="435F5EEC" w14:textId="77777777" w:rsidR="00EE4B3B" w:rsidRPr="00E86FC1" w:rsidRDefault="00EE4B3B" w:rsidP="00261213">
            <w:pPr>
              <w:rPr>
                <w:b/>
                <w:bCs/>
              </w:rPr>
            </w:pPr>
            <w:r w:rsidRPr="00E86FC1">
              <w:rPr>
                <w:b/>
                <w:bCs/>
              </w:rPr>
              <w:t>MF Production Director</w:t>
            </w:r>
          </w:p>
        </w:tc>
        <w:tc>
          <w:tcPr>
            <w:tcW w:w="1547" w:type="dxa"/>
            <w:hideMark/>
          </w:tcPr>
          <w:p w14:paraId="3CC9594E" w14:textId="77777777" w:rsidR="00EE4B3B" w:rsidRPr="00E86FC1" w:rsidRDefault="00EE4B3B" w:rsidP="00261213">
            <w:r w:rsidRPr="00E86FC1">
              <w:t>Stacey L. Ashmore                                                                                                              212-542-7840</w:t>
            </w:r>
          </w:p>
        </w:tc>
        <w:tc>
          <w:tcPr>
            <w:tcW w:w="1577" w:type="dxa"/>
            <w:hideMark/>
          </w:tcPr>
          <w:p w14:paraId="1373C973" w14:textId="77777777" w:rsidR="00EE4B3B" w:rsidRPr="00E86FC1" w:rsidRDefault="00EE4B3B" w:rsidP="00261213">
            <w:r w:rsidRPr="00E86FC1">
              <w:t>Stephen P. Ott                                      312-913-8164</w:t>
            </w:r>
          </w:p>
        </w:tc>
        <w:tc>
          <w:tcPr>
            <w:tcW w:w="1530" w:type="dxa"/>
            <w:hideMark/>
          </w:tcPr>
          <w:p w14:paraId="5C03F886" w14:textId="77777777" w:rsidR="00EE4B3B" w:rsidRPr="00E86FC1" w:rsidRDefault="00EE4B3B" w:rsidP="00261213">
            <w:r w:rsidRPr="00E86FC1">
              <w:t>LaDonna B. Mills                                          678-732-2132</w:t>
            </w:r>
          </w:p>
        </w:tc>
        <w:tc>
          <w:tcPr>
            <w:tcW w:w="1524" w:type="dxa"/>
            <w:hideMark/>
          </w:tcPr>
          <w:p w14:paraId="1F620BEA" w14:textId="77777777" w:rsidR="00EE4B3B" w:rsidRPr="00E86FC1" w:rsidRDefault="00EE4B3B" w:rsidP="00261213">
            <w:r w:rsidRPr="00E86FC1">
              <w:t>Kenneth L. Cooper                                         817-978-5836</w:t>
            </w:r>
          </w:p>
        </w:tc>
        <w:tc>
          <w:tcPr>
            <w:tcW w:w="2256" w:type="dxa"/>
            <w:hideMark/>
          </w:tcPr>
          <w:p w14:paraId="0F6FE4AE" w14:textId="77777777" w:rsidR="00EE4B3B" w:rsidRPr="00E86FC1" w:rsidRDefault="00EE4B3B" w:rsidP="00261213">
            <w:r w:rsidRPr="00E86FC1">
              <w:t>Angela M. Corcoran                                                                                                                                                                                                                                                                         415-489-6606</w:t>
            </w:r>
          </w:p>
        </w:tc>
      </w:tr>
      <w:tr w:rsidR="00EE4B3B" w:rsidRPr="00E86FC1" w14:paraId="016967BE" w14:textId="77777777" w:rsidTr="00261213">
        <w:trPr>
          <w:trHeight w:val="1530"/>
        </w:trPr>
        <w:tc>
          <w:tcPr>
            <w:tcW w:w="2366" w:type="dxa"/>
            <w:hideMark/>
          </w:tcPr>
          <w:p w14:paraId="1144D2CD" w14:textId="77777777" w:rsidR="00EE4B3B" w:rsidRPr="00E86FC1" w:rsidRDefault="00EE4B3B" w:rsidP="00261213">
            <w:pPr>
              <w:rPr>
                <w:b/>
                <w:bCs/>
              </w:rPr>
            </w:pPr>
            <w:r w:rsidRPr="00E86FC1">
              <w:rPr>
                <w:b/>
                <w:bCs/>
              </w:rPr>
              <w:t>LIHTC Branch Chief</w:t>
            </w:r>
          </w:p>
        </w:tc>
        <w:tc>
          <w:tcPr>
            <w:tcW w:w="1547" w:type="dxa"/>
            <w:hideMark/>
          </w:tcPr>
          <w:p w14:paraId="1857B6DA" w14:textId="77777777" w:rsidR="00EE4B3B" w:rsidRPr="00E86FC1" w:rsidRDefault="00EE4B3B" w:rsidP="00261213">
            <w:r w:rsidRPr="00E86FC1">
              <w:t>Joseph McNealy                                                                                                                      617-994-8222</w:t>
            </w:r>
          </w:p>
        </w:tc>
        <w:tc>
          <w:tcPr>
            <w:tcW w:w="1577" w:type="dxa"/>
            <w:hideMark/>
          </w:tcPr>
          <w:p w14:paraId="780E7B65" w14:textId="77777777" w:rsidR="00EE4B3B" w:rsidRPr="00E86FC1" w:rsidRDefault="00EE4B3B" w:rsidP="00261213">
            <w:r w:rsidRPr="00E86FC1">
              <w:t>Scott R. Greuel                                 312-913-8193                                   Or                                                     Lesley Johnson                                 312-913-8266</w:t>
            </w:r>
          </w:p>
        </w:tc>
        <w:tc>
          <w:tcPr>
            <w:tcW w:w="1530" w:type="dxa"/>
            <w:hideMark/>
          </w:tcPr>
          <w:p w14:paraId="5EA0C65A" w14:textId="77777777" w:rsidR="00EE4B3B" w:rsidRPr="00E86FC1" w:rsidRDefault="00EE4B3B" w:rsidP="00261213">
            <w:r w:rsidRPr="00E86FC1">
              <w:t>Edward Wallace                                             678-732-2012</w:t>
            </w:r>
          </w:p>
        </w:tc>
        <w:tc>
          <w:tcPr>
            <w:tcW w:w="1524" w:type="dxa"/>
            <w:hideMark/>
          </w:tcPr>
          <w:p w14:paraId="58E663DA" w14:textId="77777777" w:rsidR="00EE4B3B" w:rsidRPr="00E86FC1" w:rsidRDefault="00EE4B3B" w:rsidP="00261213">
            <w:r w:rsidRPr="00E86FC1">
              <w:t>Susan Meyers                          817-978-5867</w:t>
            </w:r>
          </w:p>
        </w:tc>
        <w:tc>
          <w:tcPr>
            <w:tcW w:w="2256" w:type="dxa"/>
            <w:hideMark/>
          </w:tcPr>
          <w:p w14:paraId="19919763" w14:textId="77777777" w:rsidR="00EE4B3B" w:rsidRPr="00E86FC1" w:rsidRDefault="00EE4B3B" w:rsidP="00261213">
            <w:r w:rsidRPr="00E86FC1">
              <w:t>Erica B. Kodiyan                                                                                                                                                                                                                                                                                                                                                             415-489-6661</w:t>
            </w:r>
          </w:p>
        </w:tc>
      </w:tr>
      <w:tr w:rsidR="00EE4B3B" w:rsidRPr="00E86FC1" w14:paraId="2BE6B9C0" w14:textId="77777777" w:rsidTr="00261213">
        <w:trPr>
          <w:trHeight w:val="750"/>
        </w:trPr>
        <w:tc>
          <w:tcPr>
            <w:tcW w:w="2366" w:type="dxa"/>
            <w:hideMark/>
          </w:tcPr>
          <w:p w14:paraId="43BD8F08" w14:textId="77777777" w:rsidR="00EE4B3B" w:rsidRPr="00E86FC1" w:rsidRDefault="00EE4B3B" w:rsidP="00261213">
            <w:pPr>
              <w:rPr>
                <w:b/>
                <w:bCs/>
              </w:rPr>
            </w:pPr>
            <w:r w:rsidRPr="00E86FC1">
              <w:rPr>
                <w:b/>
                <w:bCs/>
              </w:rPr>
              <w:t>Designated Pilot Underwriters</w:t>
            </w:r>
          </w:p>
        </w:tc>
        <w:tc>
          <w:tcPr>
            <w:tcW w:w="1547" w:type="dxa"/>
            <w:hideMark/>
          </w:tcPr>
          <w:p w14:paraId="5A2509C9" w14:textId="77777777" w:rsidR="00EE4B3B" w:rsidRPr="00E86FC1" w:rsidRDefault="00EE4B3B" w:rsidP="00261213">
            <w:r w:rsidRPr="00E86FC1">
              <w:t>Jill Papoulias</w:t>
            </w:r>
          </w:p>
        </w:tc>
        <w:tc>
          <w:tcPr>
            <w:tcW w:w="1577" w:type="dxa"/>
            <w:hideMark/>
          </w:tcPr>
          <w:p w14:paraId="59F54E31" w14:textId="77777777" w:rsidR="00EE4B3B" w:rsidRPr="00E86FC1" w:rsidRDefault="00EE4B3B" w:rsidP="00261213">
            <w:r w:rsidRPr="00E86FC1">
              <w:t>Jesse Stewart</w:t>
            </w:r>
          </w:p>
        </w:tc>
        <w:tc>
          <w:tcPr>
            <w:tcW w:w="1530" w:type="dxa"/>
            <w:hideMark/>
          </w:tcPr>
          <w:p w14:paraId="32C59667" w14:textId="77777777" w:rsidR="00EE4B3B" w:rsidRPr="00E86FC1" w:rsidRDefault="00EE4B3B" w:rsidP="00261213">
            <w:r w:rsidRPr="00E86FC1">
              <w:t>Faith Boock</w:t>
            </w:r>
          </w:p>
        </w:tc>
        <w:tc>
          <w:tcPr>
            <w:tcW w:w="1524" w:type="dxa"/>
            <w:hideMark/>
          </w:tcPr>
          <w:p w14:paraId="6127B6C5" w14:textId="77777777" w:rsidR="00EE4B3B" w:rsidRPr="00E86FC1" w:rsidRDefault="00EE4B3B" w:rsidP="00261213">
            <w:r w:rsidRPr="00E86FC1">
              <w:t>Cynthia Johnson</w:t>
            </w:r>
          </w:p>
        </w:tc>
        <w:tc>
          <w:tcPr>
            <w:tcW w:w="2256" w:type="dxa"/>
            <w:hideMark/>
          </w:tcPr>
          <w:p w14:paraId="4B9B9D1A" w14:textId="77777777" w:rsidR="00EE4B3B" w:rsidRPr="00E86FC1" w:rsidRDefault="00EE4B3B" w:rsidP="00261213">
            <w:r w:rsidRPr="00E86FC1">
              <w:t>Danny Gallant</w:t>
            </w:r>
          </w:p>
        </w:tc>
        <w:bookmarkStart w:id="0" w:name="_GoBack"/>
        <w:bookmarkEnd w:id="0"/>
      </w:tr>
      <w:tr w:rsidR="00EE4B3B" w:rsidRPr="00E86FC1" w14:paraId="142B219C" w14:textId="77777777" w:rsidTr="00261213">
        <w:trPr>
          <w:trHeight w:val="375"/>
        </w:trPr>
        <w:tc>
          <w:tcPr>
            <w:tcW w:w="2366" w:type="dxa"/>
            <w:hideMark/>
          </w:tcPr>
          <w:p w14:paraId="4D70C348" w14:textId="77777777" w:rsidR="00EE4B3B" w:rsidRPr="00E86FC1" w:rsidRDefault="00EE4B3B" w:rsidP="00261213"/>
        </w:tc>
        <w:tc>
          <w:tcPr>
            <w:tcW w:w="1547" w:type="dxa"/>
            <w:hideMark/>
          </w:tcPr>
          <w:p w14:paraId="7A007466" w14:textId="77777777" w:rsidR="00EE4B3B" w:rsidRPr="00E86FC1" w:rsidRDefault="00EE4B3B" w:rsidP="00261213">
            <w:r w:rsidRPr="00E86FC1">
              <w:t>Neal Lydon</w:t>
            </w:r>
          </w:p>
        </w:tc>
        <w:tc>
          <w:tcPr>
            <w:tcW w:w="1577" w:type="dxa"/>
            <w:hideMark/>
          </w:tcPr>
          <w:p w14:paraId="7E7E65B0" w14:textId="77777777" w:rsidR="00EE4B3B" w:rsidRPr="00E86FC1" w:rsidRDefault="00EE4B3B" w:rsidP="00261213">
            <w:r w:rsidRPr="00E86FC1">
              <w:t>Ken Doresky</w:t>
            </w:r>
          </w:p>
        </w:tc>
        <w:tc>
          <w:tcPr>
            <w:tcW w:w="1530" w:type="dxa"/>
            <w:hideMark/>
          </w:tcPr>
          <w:p w14:paraId="520FFBDC" w14:textId="77777777" w:rsidR="00EE4B3B" w:rsidRPr="00E86FC1" w:rsidRDefault="00EE4B3B" w:rsidP="00261213">
            <w:r w:rsidRPr="00E86FC1">
              <w:t>Lisa Gibson</w:t>
            </w:r>
          </w:p>
        </w:tc>
        <w:tc>
          <w:tcPr>
            <w:tcW w:w="1524" w:type="dxa"/>
            <w:hideMark/>
          </w:tcPr>
          <w:p w14:paraId="4A3E088E" w14:textId="77777777" w:rsidR="00EE4B3B" w:rsidRPr="00E86FC1" w:rsidRDefault="00EE4B3B" w:rsidP="00261213">
            <w:r w:rsidRPr="00E86FC1">
              <w:t>Natalia Marin-Ontiveros</w:t>
            </w:r>
          </w:p>
        </w:tc>
        <w:tc>
          <w:tcPr>
            <w:tcW w:w="2256" w:type="dxa"/>
            <w:hideMark/>
          </w:tcPr>
          <w:p w14:paraId="48DAFD10" w14:textId="77777777" w:rsidR="00EE4B3B" w:rsidRPr="00E86FC1" w:rsidRDefault="00EE4B3B" w:rsidP="00261213">
            <w:r w:rsidRPr="00E86FC1">
              <w:t>Julie Carter</w:t>
            </w:r>
          </w:p>
        </w:tc>
      </w:tr>
      <w:tr w:rsidR="00EE4B3B" w:rsidRPr="00E86FC1" w14:paraId="55C48D55" w14:textId="77777777" w:rsidTr="00261213">
        <w:trPr>
          <w:trHeight w:val="375"/>
        </w:trPr>
        <w:tc>
          <w:tcPr>
            <w:tcW w:w="2366" w:type="dxa"/>
            <w:hideMark/>
          </w:tcPr>
          <w:p w14:paraId="55B52C7F" w14:textId="77777777" w:rsidR="00EE4B3B" w:rsidRPr="00E86FC1" w:rsidRDefault="00EE4B3B" w:rsidP="00261213"/>
        </w:tc>
        <w:tc>
          <w:tcPr>
            <w:tcW w:w="1547" w:type="dxa"/>
            <w:hideMark/>
          </w:tcPr>
          <w:p w14:paraId="2278E146" w14:textId="77777777" w:rsidR="00EE4B3B" w:rsidRPr="00E86FC1" w:rsidRDefault="00EE4B3B" w:rsidP="00261213">
            <w:r w:rsidRPr="00E86FC1">
              <w:t>George G. Keefe</w:t>
            </w:r>
          </w:p>
        </w:tc>
        <w:tc>
          <w:tcPr>
            <w:tcW w:w="1577" w:type="dxa"/>
            <w:hideMark/>
          </w:tcPr>
          <w:p w14:paraId="12670BCE" w14:textId="77777777" w:rsidR="00EE4B3B" w:rsidRPr="00E86FC1" w:rsidRDefault="00EE4B3B" w:rsidP="00261213">
            <w:r w:rsidRPr="00E86FC1">
              <w:t>Elizabeth Geer</w:t>
            </w:r>
          </w:p>
        </w:tc>
        <w:tc>
          <w:tcPr>
            <w:tcW w:w="1530" w:type="dxa"/>
            <w:hideMark/>
          </w:tcPr>
          <w:p w14:paraId="163C9B5B" w14:textId="77777777" w:rsidR="00EE4B3B" w:rsidRPr="00E86FC1" w:rsidRDefault="00EE4B3B" w:rsidP="00261213">
            <w:r w:rsidRPr="00E86FC1">
              <w:t>Kathy Brewer</w:t>
            </w:r>
          </w:p>
        </w:tc>
        <w:tc>
          <w:tcPr>
            <w:tcW w:w="1524" w:type="dxa"/>
            <w:hideMark/>
          </w:tcPr>
          <w:p w14:paraId="2E20AA68" w14:textId="77777777" w:rsidR="00EE4B3B" w:rsidRPr="00E86FC1" w:rsidRDefault="00EE4B3B" w:rsidP="00261213">
            <w:r w:rsidRPr="00E86FC1">
              <w:t>Marcus Warr</w:t>
            </w:r>
          </w:p>
        </w:tc>
        <w:tc>
          <w:tcPr>
            <w:tcW w:w="2256" w:type="dxa"/>
            <w:hideMark/>
          </w:tcPr>
          <w:p w14:paraId="36362209" w14:textId="77777777" w:rsidR="00EE4B3B" w:rsidRPr="00E86FC1" w:rsidRDefault="00EE4B3B" w:rsidP="00261213">
            <w:r w:rsidRPr="00E86FC1">
              <w:t>Heather Shea</w:t>
            </w:r>
          </w:p>
        </w:tc>
      </w:tr>
      <w:tr w:rsidR="00EE4B3B" w:rsidRPr="00E86FC1" w14:paraId="75CA6B78" w14:textId="77777777" w:rsidTr="00261213">
        <w:trPr>
          <w:trHeight w:val="375"/>
        </w:trPr>
        <w:tc>
          <w:tcPr>
            <w:tcW w:w="2366" w:type="dxa"/>
            <w:hideMark/>
          </w:tcPr>
          <w:p w14:paraId="706EDC74" w14:textId="77777777" w:rsidR="00EE4B3B" w:rsidRPr="00E86FC1" w:rsidRDefault="00EE4B3B" w:rsidP="00261213"/>
        </w:tc>
        <w:tc>
          <w:tcPr>
            <w:tcW w:w="1547" w:type="dxa"/>
            <w:hideMark/>
          </w:tcPr>
          <w:p w14:paraId="680C4187" w14:textId="77777777" w:rsidR="00EE4B3B" w:rsidRPr="00E86FC1" w:rsidRDefault="00EE4B3B" w:rsidP="00261213"/>
        </w:tc>
        <w:tc>
          <w:tcPr>
            <w:tcW w:w="1577" w:type="dxa"/>
            <w:hideMark/>
          </w:tcPr>
          <w:p w14:paraId="393ACDC2" w14:textId="77777777" w:rsidR="00EE4B3B" w:rsidRPr="00E86FC1" w:rsidRDefault="00EE4B3B" w:rsidP="00261213">
            <w:r w:rsidRPr="00E86FC1">
              <w:t>Andres Acosta</w:t>
            </w:r>
          </w:p>
        </w:tc>
        <w:tc>
          <w:tcPr>
            <w:tcW w:w="1530" w:type="dxa"/>
            <w:hideMark/>
          </w:tcPr>
          <w:p w14:paraId="1FF44CAB" w14:textId="77777777" w:rsidR="00EE4B3B" w:rsidRPr="00E86FC1" w:rsidRDefault="00EE4B3B" w:rsidP="00261213">
            <w:r w:rsidRPr="00E86FC1">
              <w:t>Bob Doran</w:t>
            </w:r>
          </w:p>
        </w:tc>
        <w:tc>
          <w:tcPr>
            <w:tcW w:w="1524" w:type="dxa"/>
            <w:hideMark/>
          </w:tcPr>
          <w:p w14:paraId="7A2DF0A5" w14:textId="77777777" w:rsidR="00EE4B3B" w:rsidRPr="00E86FC1" w:rsidRDefault="00EE4B3B" w:rsidP="00261213">
            <w:r w:rsidRPr="00E86FC1">
              <w:t>Anna Dupaty</w:t>
            </w:r>
          </w:p>
        </w:tc>
        <w:tc>
          <w:tcPr>
            <w:tcW w:w="2256" w:type="dxa"/>
            <w:hideMark/>
          </w:tcPr>
          <w:p w14:paraId="4F75D071" w14:textId="77777777" w:rsidR="00EE4B3B" w:rsidRPr="00E86FC1" w:rsidRDefault="00EE4B3B" w:rsidP="00261213">
            <w:r w:rsidRPr="00E86FC1">
              <w:t>Laura Stutzman</w:t>
            </w:r>
          </w:p>
        </w:tc>
      </w:tr>
      <w:tr w:rsidR="00EE4B3B" w:rsidRPr="00E86FC1" w14:paraId="39979618" w14:textId="77777777" w:rsidTr="00261213">
        <w:trPr>
          <w:trHeight w:val="375"/>
        </w:trPr>
        <w:tc>
          <w:tcPr>
            <w:tcW w:w="2366" w:type="dxa"/>
            <w:hideMark/>
          </w:tcPr>
          <w:p w14:paraId="7189D46D" w14:textId="77777777" w:rsidR="00EE4B3B" w:rsidRPr="00E86FC1" w:rsidRDefault="00EE4B3B" w:rsidP="00261213"/>
        </w:tc>
        <w:tc>
          <w:tcPr>
            <w:tcW w:w="1547" w:type="dxa"/>
            <w:hideMark/>
          </w:tcPr>
          <w:p w14:paraId="4FA740EC" w14:textId="77777777" w:rsidR="00EE4B3B" w:rsidRPr="00E86FC1" w:rsidRDefault="00EE4B3B" w:rsidP="00261213"/>
        </w:tc>
        <w:tc>
          <w:tcPr>
            <w:tcW w:w="1577" w:type="dxa"/>
            <w:hideMark/>
          </w:tcPr>
          <w:p w14:paraId="5E728A27" w14:textId="77777777" w:rsidR="00EE4B3B" w:rsidRPr="00E86FC1" w:rsidRDefault="00EE4B3B" w:rsidP="00261213">
            <w:r w:rsidRPr="00E86FC1">
              <w:t>Kevin Piggott</w:t>
            </w:r>
          </w:p>
        </w:tc>
        <w:tc>
          <w:tcPr>
            <w:tcW w:w="1530" w:type="dxa"/>
            <w:hideMark/>
          </w:tcPr>
          <w:p w14:paraId="6B2AF400" w14:textId="77777777" w:rsidR="00EE4B3B" w:rsidRPr="00E86FC1" w:rsidRDefault="00EE4B3B" w:rsidP="00261213">
            <w:r w:rsidRPr="00E86FC1">
              <w:t>Donald Winston</w:t>
            </w:r>
          </w:p>
        </w:tc>
        <w:tc>
          <w:tcPr>
            <w:tcW w:w="1524" w:type="dxa"/>
            <w:hideMark/>
          </w:tcPr>
          <w:p w14:paraId="69DF8B2D" w14:textId="77777777" w:rsidR="00EE4B3B" w:rsidRPr="00E86FC1" w:rsidRDefault="00EE4B3B" w:rsidP="00261213">
            <w:r w:rsidRPr="00E86FC1">
              <w:t>Shatorya Modkins</w:t>
            </w:r>
          </w:p>
        </w:tc>
        <w:tc>
          <w:tcPr>
            <w:tcW w:w="2256" w:type="dxa"/>
            <w:hideMark/>
          </w:tcPr>
          <w:p w14:paraId="3FEB1BD5" w14:textId="77777777" w:rsidR="00EE4B3B" w:rsidRPr="00E86FC1" w:rsidRDefault="00EE4B3B" w:rsidP="00261213"/>
        </w:tc>
      </w:tr>
      <w:tr w:rsidR="00EE4B3B" w:rsidRPr="00E86FC1" w14:paraId="42A48114" w14:textId="77777777" w:rsidTr="00261213">
        <w:trPr>
          <w:trHeight w:val="375"/>
        </w:trPr>
        <w:tc>
          <w:tcPr>
            <w:tcW w:w="2366" w:type="dxa"/>
            <w:hideMark/>
          </w:tcPr>
          <w:p w14:paraId="0765D6C9" w14:textId="77777777" w:rsidR="00EE4B3B" w:rsidRPr="00E86FC1" w:rsidRDefault="00EE4B3B" w:rsidP="00261213"/>
        </w:tc>
        <w:tc>
          <w:tcPr>
            <w:tcW w:w="1547" w:type="dxa"/>
            <w:hideMark/>
          </w:tcPr>
          <w:p w14:paraId="68ED9C1B" w14:textId="77777777" w:rsidR="00EE4B3B" w:rsidRPr="00E86FC1" w:rsidRDefault="00EE4B3B" w:rsidP="00261213"/>
        </w:tc>
        <w:tc>
          <w:tcPr>
            <w:tcW w:w="1577" w:type="dxa"/>
            <w:hideMark/>
          </w:tcPr>
          <w:p w14:paraId="7E8AB5C2" w14:textId="77777777" w:rsidR="00EE4B3B" w:rsidRPr="00E86FC1" w:rsidRDefault="00EE4B3B" w:rsidP="00261213">
            <w:r w:rsidRPr="00E86FC1">
              <w:t>Paul Vasilakos</w:t>
            </w:r>
          </w:p>
        </w:tc>
        <w:tc>
          <w:tcPr>
            <w:tcW w:w="1530" w:type="dxa"/>
            <w:hideMark/>
          </w:tcPr>
          <w:p w14:paraId="2A6BE0A5" w14:textId="77777777" w:rsidR="00EE4B3B" w:rsidRPr="00E86FC1" w:rsidRDefault="00EE4B3B" w:rsidP="00261213">
            <w:r w:rsidRPr="00E86FC1">
              <w:t>Jonathan Mosley</w:t>
            </w:r>
          </w:p>
        </w:tc>
        <w:tc>
          <w:tcPr>
            <w:tcW w:w="1524" w:type="dxa"/>
            <w:hideMark/>
          </w:tcPr>
          <w:p w14:paraId="0795D583" w14:textId="77777777" w:rsidR="00EE4B3B" w:rsidRPr="00E86FC1" w:rsidRDefault="00EE4B3B" w:rsidP="00261213"/>
        </w:tc>
        <w:tc>
          <w:tcPr>
            <w:tcW w:w="2256" w:type="dxa"/>
            <w:hideMark/>
          </w:tcPr>
          <w:p w14:paraId="1A2CC594" w14:textId="77777777" w:rsidR="00EE4B3B" w:rsidRPr="00E86FC1" w:rsidRDefault="00EE4B3B" w:rsidP="00261213"/>
        </w:tc>
      </w:tr>
      <w:tr w:rsidR="00EE4B3B" w:rsidRPr="00E86FC1" w14:paraId="2BCE6D45" w14:textId="77777777" w:rsidTr="00261213">
        <w:trPr>
          <w:trHeight w:val="375"/>
        </w:trPr>
        <w:tc>
          <w:tcPr>
            <w:tcW w:w="2366" w:type="dxa"/>
            <w:hideMark/>
          </w:tcPr>
          <w:p w14:paraId="3BF8AC97" w14:textId="77777777" w:rsidR="00EE4B3B" w:rsidRPr="00E86FC1" w:rsidRDefault="00EE4B3B" w:rsidP="00261213"/>
        </w:tc>
        <w:tc>
          <w:tcPr>
            <w:tcW w:w="1547" w:type="dxa"/>
            <w:hideMark/>
          </w:tcPr>
          <w:p w14:paraId="4E01EBE7" w14:textId="77777777" w:rsidR="00EE4B3B" w:rsidRPr="00E86FC1" w:rsidRDefault="00EE4B3B" w:rsidP="00261213"/>
        </w:tc>
        <w:tc>
          <w:tcPr>
            <w:tcW w:w="1577" w:type="dxa"/>
            <w:hideMark/>
          </w:tcPr>
          <w:p w14:paraId="3AC3EEF6" w14:textId="77777777" w:rsidR="00EE4B3B" w:rsidRPr="00E86FC1" w:rsidRDefault="00EE4B3B" w:rsidP="00261213">
            <w:r w:rsidRPr="00E86FC1">
              <w:t>Sara Bergen</w:t>
            </w:r>
          </w:p>
        </w:tc>
        <w:tc>
          <w:tcPr>
            <w:tcW w:w="1530" w:type="dxa"/>
            <w:hideMark/>
          </w:tcPr>
          <w:p w14:paraId="09B31861" w14:textId="77777777" w:rsidR="00EE4B3B" w:rsidRPr="00E86FC1" w:rsidRDefault="00EE4B3B" w:rsidP="00261213"/>
        </w:tc>
        <w:tc>
          <w:tcPr>
            <w:tcW w:w="1524" w:type="dxa"/>
            <w:hideMark/>
          </w:tcPr>
          <w:p w14:paraId="36BAFFE1" w14:textId="77777777" w:rsidR="00EE4B3B" w:rsidRPr="00E86FC1" w:rsidRDefault="00EE4B3B" w:rsidP="00261213"/>
        </w:tc>
        <w:tc>
          <w:tcPr>
            <w:tcW w:w="2256" w:type="dxa"/>
            <w:hideMark/>
          </w:tcPr>
          <w:p w14:paraId="3EF72EE2" w14:textId="77777777" w:rsidR="00EE4B3B" w:rsidRPr="00E86FC1" w:rsidRDefault="00EE4B3B" w:rsidP="00261213"/>
        </w:tc>
      </w:tr>
      <w:tr w:rsidR="00EE4B3B" w:rsidRPr="00E86FC1" w14:paraId="170BCD13" w14:textId="77777777" w:rsidTr="00261213">
        <w:trPr>
          <w:trHeight w:val="375"/>
        </w:trPr>
        <w:tc>
          <w:tcPr>
            <w:tcW w:w="2366" w:type="dxa"/>
            <w:hideMark/>
          </w:tcPr>
          <w:p w14:paraId="2942A963" w14:textId="77777777" w:rsidR="00EE4B3B" w:rsidRPr="00E86FC1" w:rsidRDefault="00EE4B3B" w:rsidP="00261213"/>
        </w:tc>
        <w:tc>
          <w:tcPr>
            <w:tcW w:w="1547" w:type="dxa"/>
            <w:hideMark/>
          </w:tcPr>
          <w:p w14:paraId="7D691314" w14:textId="77777777" w:rsidR="00EE4B3B" w:rsidRPr="00E86FC1" w:rsidRDefault="00EE4B3B" w:rsidP="00261213"/>
        </w:tc>
        <w:tc>
          <w:tcPr>
            <w:tcW w:w="1577" w:type="dxa"/>
            <w:hideMark/>
          </w:tcPr>
          <w:p w14:paraId="430DD77B" w14:textId="77777777" w:rsidR="00EE4B3B" w:rsidRPr="00E86FC1" w:rsidRDefault="00EE4B3B" w:rsidP="00261213">
            <w:r w:rsidRPr="00E86FC1">
              <w:t>John Karlen</w:t>
            </w:r>
          </w:p>
        </w:tc>
        <w:tc>
          <w:tcPr>
            <w:tcW w:w="1530" w:type="dxa"/>
            <w:hideMark/>
          </w:tcPr>
          <w:p w14:paraId="05107536" w14:textId="77777777" w:rsidR="00EE4B3B" w:rsidRPr="00E86FC1" w:rsidRDefault="00EE4B3B" w:rsidP="00261213"/>
        </w:tc>
        <w:tc>
          <w:tcPr>
            <w:tcW w:w="1524" w:type="dxa"/>
            <w:hideMark/>
          </w:tcPr>
          <w:p w14:paraId="636D3ED4" w14:textId="77777777" w:rsidR="00EE4B3B" w:rsidRPr="00E86FC1" w:rsidRDefault="00EE4B3B" w:rsidP="00261213"/>
        </w:tc>
        <w:tc>
          <w:tcPr>
            <w:tcW w:w="2256" w:type="dxa"/>
            <w:hideMark/>
          </w:tcPr>
          <w:p w14:paraId="71103D47" w14:textId="77777777" w:rsidR="00EE4B3B" w:rsidRPr="00E86FC1" w:rsidRDefault="00EE4B3B" w:rsidP="00261213"/>
        </w:tc>
      </w:tr>
      <w:tr w:rsidR="00EE4B3B" w:rsidRPr="00E86FC1" w14:paraId="754D1656" w14:textId="77777777" w:rsidTr="00261213">
        <w:trPr>
          <w:trHeight w:val="375"/>
        </w:trPr>
        <w:tc>
          <w:tcPr>
            <w:tcW w:w="2366" w:type="dxa"/>
            <w:hideMark/>
          </w:tcPr>
          <w:p w14:paraId="3AC7042E" w14:textId="77777777" w:rsidR="00EE4B3B" w:rsidRPr="00E86FC1" w:rsidRDefault="00EE4B3B" w:rsidP="00261213"/>
        </w:tc>
        <w:tc>
          <w:tcPr>
            <w:tcW w:w="1547" w:type="dxa"/>
            <w:hideMark/>
          </w:tcPr>
          <w:p w14:paraId="7FF82DFA" w14:textId="77777777" w:rsidR="00EE4B3B" w:rsidRPr="00E86FC1" w:rsidRDefault="00EE4B3B" w:rsidP="00261213"/>
        </w:tc>
        <w:tc>
          <w:tcPr>
            <w:tcW w:w="1577" w:type="dxa"/>
            <w:hideMark/>
          </w:tcPr>
          <w:p w14:paraId="6F08C4C8" w14:textId="77777777" w:rsidR="00EE4B3B" w:rsidRPr="00E86FC1" w:rsidRDefault="00EE4B3B" w:rsidP="00261213"/>
        </w:tc>
        <w:tc>
          <w:tcPr>
            <w:tcW w:w="1530" w:type="dxa"/>
            <w:hideMark/>
          </w:tcPr>
          <w:p w14:paraId="3E721B53" w14:textId="77777777" w:rsidR="00EE4B3B" w:rsidRPr="00E86FC1" w:rsidRDefault="00EE4B3B" w:rsidP="00261213"/>
        </w:tc>
        <w:tc>
          <w:tcPr>
            <w:tcW w:w="1524" w:type="dxa"/>
            <w:hideMark/>
          </w:tcPr>
          <w:p w14:paraId="3A8F23EE" w14:textId="77777777" w:rsidR="00EE4B3B" w:rsidRPr="00E86FC1" w:rsidRDefault="00EE4B3B" w:rsidP="00261213"/>
        </w:tc>
        <w:tc>
          <w:tcPr>
            <w:tcW w:w="2256" w:type="dxa"/>
            <w:hideMark/>
          </w:tcPr>
          <w:p w14:paraId="20624711" w14:textId="77777777" w:rsidR="00EE4B3B" w:rsidRPr="00E86FC1" w:rsidRDefault="00EE4B3B" w:rsidP="00261213"/>
        </w:tc>
      </w:tr>
      <w:tr w:rsidR="00EE4B3B" w:rsidRPr="00E86FC1" w14:paraId="739C386C" w14:textId="77777777" w:rsidTr="00261213">
        <w:trPr>
          <w:trHeight w:val="750"/>
        </w:trPr>
        <w:tc>
          <w:tcPr>
            <w:tcW w:w="2366" w:type="dxa"/>
            <w:hideMark/>
          </w:tcPr>
          <w:p w14:paraId="295EE62B" w14:textId="77777777" w:rsidR="00EE4B3B" w:rsidRDefault="00EE4B3B" w:rsidP="00261213">
            <w:pPr>
              <w:rPr>
                <w:b/>
                <w:bCs/>
              </w:rPr>
            </w:pPr>
            <w:r w:rsidRPr="00E86FC1">
              <w:rPr>
                <w:b/>
                <w:bCs/>
              </w:rPr>
              <w:t xml:space="preserve">DPU for deals in </w:t>
            </w:r>
          </w:p>
          <w:p w14:paraId="38B0BC17" w14:textId="77777777" w:rsidR="00EE4B3B" w:rsidRPr="00E86FC1" w:rsidRDefault="00EE4B3B" w:rsidP="00261213">
            <w:pPr>
              <w:rPr>
                <w:b/>
                <w:bCs/>
              </w:rPr>
            </w:pPr>
            <w:r>
              <w:rPr>
                <w:b/>
                <w:bCs/>
              </w:rPr>
              <w:t>Opportunity Zones</w:t>
            </w:r>
          </w:p>
        </w:tc>
        <w:tc>
          <w:tcPr>
            <w:tcW w:w="1547" w:type="dxa"/>
            <w:hideMark/>
          </w:tcPr>
          <w:p w14:paraId="6F2C883B" w14:textId="77777777" w:rsidR="00EE4B3B" w:rsidRPr="00E86FC1" w:rsidRDefault="00EE4B3B" w:rsidP="00261213">
            <w:r w:rsidRPr="00E86FC1">
              <w:t>Neal Lydon</w:t>
            </w:r>
          </w:p>
        </w:tc>
        <w:tc>
          <w:tcPr>
            <w:tcW w:w="1577" w:type="dxa"/>
            <w:hideMark/>
          </w:tcPr>
          <w:p w14:paraId="1A734363" w14:textId="77777777" w:rsidR="00EE4B3B" w:rsidRPr="00E86FC1" w:rsidRDefault="00EE4B3B" w:rsidP="00261213">
            <w:r w:rsidRPr="00E86FC1">
              <w:t>Jesse Stewart</w:t>
            </w:r>
          </w:p>
        </w:tc>
        <w:tc>
          <w:tcPr>
            <w:tcW w:w="1530" w:type="dxa"/>
            <w:hideMark/>
          </w:tcPr>
          <w:p w14:paraId="52ECDB7F" w14:textId="77777777" w:rsidR="00EE4B3B" w:rsidRPr="00E86FC1" w:rsidRDefault="00EE4B3B" w:rsidP="00261213">
            <w:r w:rsidRPr="00E86FC1">
              <w:t>Lisa Gibson</w:t>
            </w:r>
          </w:p>
        </w:tc>
        <w:tc>
          <w:tcPr>
            <w:tcW w:w="1524" w:type="dxa"/>
            <w:hideMark/>
          </w:tcPr>
          <w:p w14:paraId="63AD6942" w14:textId="77777777" w:rsidR="00EE4B3B" w:rsidRPr="00E86FC1" w:rsidRDefault="00EE4B3B" w:rsidP="00261213">
            <w:r w:rsidRPr="00E86FC1">
              <w:t>Natalia Marin-Ontiveros</w:t>
            </w:r>
          </w:p>
        </w:tc>
        <w:tc>
          <w:tcPr>
            <w:tcW w:w="2256" w:type="dxa"/>
            <w:hideMark/>
          </w:tcPr>
          <w:p w14:paraId="0EABE5D1" w14:textId="77777777" w:rsidR="00EE4B3B" w:rsidRPr="00E86FC1" w:rsidRDefault="00EE4B3B" w:rsidP="00261213">
            <w:r w:rsidRPr="00E86FC1">
              <w:t>Julie Carter</w:t>
            </w:r>
          </w:p>
        </w:tc>
      </w:tr>
      <w:tr w:rsidR="00EE4B3B" w:rsidRPr="00E86FC1" w14:paraId="7017ECAF" w14:textId="77777777" w:rsidTr="00261213">
        <w:trPr>
          <w:trHeight w:val="375"/>
        </w:trPr>
        <w:tc>
          <w:tcPr>
            <w:tcW w:w="2366" w:type="dxa"/>
            <w:hideMark/>
          </w:tcPr>
          <w:p w14:paraId="4B2D7B99" w14:textId="77777777" w:rsidR="00EE4B3B" w:rsidRPr="00E86FC1" w:rsidRDefault="00EE4B3B" w:rsidP="00261213"/>
        </w:tc>
        <w:tc>
          <w:tcPr>
            <w:tcW w:w="1547" w:type="dxa"/>
            <w:hideMark/>
          </w:tcPr>
          <w:p w14:paraId="2AEB79DF" w14:textId="77777777" w:rsidR="00EE4B3B" w:rsidRPr="00E86FC1" w:rsidRDefault="00EE4B3B" w:rsidP="00261213"/>
        </w:tc>
        <w:tc>
          <w:tcPr>
            <w:tcW w:w="1577" w:type="dxa"/>
            <w:hideMark/>
          </w:tcPr>
          <w:p w14:paraId="26AF18F6" w14:textId="77777777" w:rsidR="00EE4B3B" w:rsidRPr="00E86FC1" w:rsidRDefault="00EE4B3B" w:rsidP="00261213">
            <w:r w:rsidRPr="00E86FC1">
              <w:t>Ken Doresky</w:t>
            </w:r>
          </w:p>
        </w:tc>
        <w:tc>
          <w:tcPr>
            <w:tcW w:w="1530" w:type="dxa"/>
            <w:hideMark/>
          </w:tcPr>
          <w:p w14:paraId="265D4AA5" w14:textId="77777777" w:rsidR="00EE4B3B" w:rsidRPr="00E86FC1" w:rsidRDefault="00EE4B3B" w:rsidP="00261213"/>
        </w:tc>
        <w:tc>
          <w:tcPr>
            <w:tcW w:w="1524" w:type="dxa"/>
            <w:hideMark/>
          </w:tcPr>
          <w:p w14:paraId="64055509" w14:textId="77777777" w:rsidR="00EE4B3B" w:rsidRPr="00E86FC1" w:rsidRDefault="00EE4B3B" w:rsidP="00261213"/>
        </w:tc>
        <w:tc>
          <w:tcPr>
            <w:tcW w:w="2256" w:type="dxa"/>
            <w:hideMark/>
          </w:tcPr>
          <w:p w14:paraId="3B9C23D8" w14:textId="77777777" w:rsidR="00EE4B3B" w:rsidRPr="00E86FC1" w:rsidRDefault="00EE4B3B" w:rsidP="00261213">
            <w:r w:rsidRPr="00E86FC1">
              <w:t>Laura Stutzman</w:t>
            </w:r>
          </w:p>
        </w:tc>
      </w:tr>
      <w:tr w:rsidR="00EE4B3B" w:rsidRPr="00E86FC1" w14:paraId="4281CE7C" w14:textId="77777777" w:rsidTr="00261213">
        <w:trPr>
          <w:trHeight w:val="375"/>
        </w:trPr>
        <w:tc>
          <w:tcPr>
            <w:tcW w:w="2366" w:type="dxa"/>
            <w:hideMark/>
          </w:tcPr>
          <w:p w14:paraId="60DFDFE5" w14:textId="77777777" w:rsidR="00EE4B3B" w:rsidRPr="00E86FC1" w:rsidRDefault="00EE4B3B" w:rsidP="00261213"/>
        </w:tc>
        <w:tc>
          <w:tcPr>
            <w:tcW w:w="1547" w:type="dxa"/>
            <w:hideMark/>
          </w:tcPr>
          <w:p w14:paraId="079D4ACF" w14:textId="77777777" w:rsidR="00EE4B3B" w:rsidRPr="00E86FC1" w:rsidRDefault="00EE4B3B" w:rsidP="00261213"/>
        </w:tc>
        <w:tc>
          <w:tcPr>
            <w:tcW w:w="1577" w:type="dxa"/>
            <w:hideMark/>
          </w:tcPr>
          <w:p w14:paraId="384B88EB" w14:textId="77777777" w:rsidR="00EE4B3B" w:rsidRPr="00E86FC1" w:rsidRDefault="00EE4B3B" w:rsidP="00261213">
            <w:r w:rsidRPr="00E86FC1">
              <w:t>Elizabeth Geer</w:t>
            </w:r>
          </w:p>
        </w:tc>
        <w:tc>
          <w:tcPr>
            <w:tcW w:w="1530" w:type="dxa"/>
            <w:hideMark/>
          </w:tcPr>
          <w:p w14:paraId="44D06F2B" w14:textId="77777777" w:rsidR="00EE4B3B" w:rsidRPr="00E86FC1" w:rsidRDefault="00EE4B3B" w:rsidP="00261213"/>
        </w:tc>
        <w:tc>
          <w:tcPr>
            <w:tcW w:w="1524" w:type="dxa"/>
            <w:hideMark/>
          </w:tcPr>
          <w:p w14:paraId="0B45AF9F" w14:textId="77777777" w:rsidR="00EE4B3B" w:rsidRPr="00E86FC1" w:rsidRDefault="00EE4B3B" w:rsidP="00261213"/>
        </w:tc>
        <w:tc>
          <w:tcPr>
            <w:tcW w:w="2256" w:type="dxa"/>
            <w:hideMark/>
          </w:tcPr>
          <w:p w14:paraId="0B6F28ED" w14:textId="77777777" w:rsidR="00EE4B3B" w:rsidRPr="00E86FC1" w:rsidRDefault="00EE4B3B" w:rsidP="00261213"/>
        </w:tc>
      </w:tr>
      <w:tr w:rsidR="00EE4B3B" w:rsidRPr="00E86FC1" w14:paraId="0662AD2A" w14:textId="77777777" w:rsidTr="00261213">
        <w:trPr>
          <w:trHeight w:val="375"/>
        </w:trPr>
        <w:tc>
          <w:tcPr>
            <w:tcW w:w="2366" w:type="dxa"/>
            <w:hideMark/>
          </w:tcPr>
          <w:p w14:paraId="08DB4258" w14:textId="77777777" w:rsidR="00EE4B3B" w:rsidRPr="00E86FC1" w:rsidRDefault="00EE4B3B" w:rsidP="00261213"/>
        </w:tc>
        <w:tc>
          <w:tcPr>
            <w:tcW w:w="1547" w:type="dxa"/>
            <w:hideMark/>
          </w:tcPr>
          <w:p w14:paraId="5E8CCE88" w14:textId="77777777" w:rsidR="00EE4B3B" w:rsidRPr="00E86FC1" w:rsidRDefault="00EE4B3B" w:rsidP="00261213"/>
        </w:tc>
        <w:tc>
          <w:tcPr>
            <w:tcW w:w="1577" w:type="dxa"/>
            <w:hideMark/>
          </w:tcPr>
          <w:p w14:paraId="5ADC29D2" w14:textId="77777777" w:rsidR="00EE4B3B" w:rsidRPr="00E86FC1" w:rsidRDefault="00EE4B3B" w:rsidP="00261213"/>
        </w:tc>
        <w:tc>
          <w:tcPr>
            <w:tcW w:w="1530" w:type="dxa"/>
            <w:hideMark/>
          </w:tcPr>
          <w:p w14:paraId="4B3D4524" w14:textId="77777777" w:rsidR="00EE4B3B" w:rsidRPr="00E86FC1" w:rsidRDefault="00EE4B3B" w:rsidP="00261213"/>
        </w:tc>
        <w:tc>
          <w:tcPr>
            <w:tcW w:w="1524" w:type="dxa"/>
            <w:hideMark/>
          </w:tcPr>
          <w:p w14:paraId="0892467B" w14:textId="77777777" w:rsidR="00EE4B3B" w:rsidRPr="00E86FC1" w:rsidRDefault="00EE4B3B" w:rsidP="00261213"/>
        </w:tc>
        <w:tc>
          <w:tcPr>
            <w:tcW w:w="2256" w:type="dxa"/>
            <w:hideMark/>
          </w:tcPr>
          <w:p w14:paraId="6EA68C56" w14:textId="77777777" w:rsidR="00EE4B3B" w:rsidRPr="00E86FC1" w:rsidRDefault="00EE4B3B" w:rsidP="00261213"/>
        </w:tc>
      </w:tr>
    </w:tbl>
    <w:p w14:paraId="7FECF12D" w14:textId="77777777" w:rsidR="00EE4B3B" w:rsidRPr="00D74C7F" w:rsidRDefault="00EE4B3B">
      <w:pPr>
        <w:rPr>
          <w:rFonts w:asciiTheme="minorHAnsi" w:hAnsiTheme="minorHAnsi"/>
          <w:b/>
          <w:u w:val="single"/>
        </w:rPr>
      </w:pPr>
    </w:p>
    <w:sectPr w:rsidR="00EE4B3B" w:rsidRPr="00D74C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7D12" w14:textId="77777777" w:rsidR="004132D3" w:rsidRDefault="004132D3" w:rsidP="00F11A63">
      <w:r>
        <w:separator/>
      </w:r>
    </w:p>
  </w:endnote>
  <w:endnote w:type="continuationSeparator" w:id="0">
    <w:p w14:paraId="37036854" w14:textId="77777777" w:rsidR="004132D3" w:rsidRDefault="004132D3" w:rsidP="00F1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293765"/>
      <w:docPartObj>
        <w:docPartGallery w:val="Page Numbers (Bottom of Page)"/>
        <w:docPartUnique/>
      </w:docPartObj>
    </w:sdtPr>
    <w:sdtEndPr/>
    <w:sdtContent>
      <w:sdt>
        <w:sdtPr>
          <w:id w:val="1728636285"/>
          <w:docPartObj>
            <w:docPartGallery w:val="Page Numbers (Top of Page)"/>
            <w:docPartUnique/>
          </w:docPartObj>
        </w:sdtPr>
        <w:sdtEndPr/>
        <w:sdtContent>
          <w:p w14:paraId="3A11AE57" w14:textId="77777777" w:rsidR="00010094" w:rsidRDefault="000100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535A0BCF" w14:textId="77777777" w:rsidR="00010094" w:rsidRDefault="0001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8124" w14:textId="77777777" w:rsidR="004132D3" w:rsidRDefault="004132D3" w:rsidP="00F11A63">
      <w:r>
        <w:separator/>
      </w:r>
    </w:p>
  </w:footnote>
  <w:footnote w:type="continuationSeparator" w:id="0">
    <w:p w14:paraId="4147AC6C" w14:textId="77777777" w:rsidR="004132D3" w:rsidRDefault="004132D3" w:rsidP="00F1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92C"/>
    <w:multiLevelType w:val="hybridMultilevel"/>
    <w:tmpl w:val="503EAE44"/>
    <w:lvl w:ilvl="0" w:tplc="8BF6C01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07186"/>
    <w:multiLevelType w:val="hybridMultilevel"/>
    <w:tmpl w:val="63786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157B0"/>
    <w:multiLevelType w:val="hybridMultilevel"/>
    <w:tmpl w:val="8D5EC8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034166"/>
    <w:multiLevelType w:val="hybridMultilevel"/>
    <w:tmpl w:val="0726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AF1E80"/>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40DB7"/>
    <w:multiLevelType w:val="hybridMultilevel"/>
    <w:tmpl w:val="F608322E"/>
    <w:lvl w:ilvl="0" w:tplc="53A6702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70514"/>
    <w:multiLevelType w:val="hybridMultilevel"/>
    <w:tmpl w:val="FD568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708AC"/>
    <w:multiLevelType w:val="hybridMultilevel"/>
    <w:tmpl w:val="66E289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D6390"/>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521"/>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14419"/>
    <w:multiLevelType w:val="hybridMultilevel"/>
    <w:tmpl w:val="63786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647277"/>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4E7E"/>
    <w:multiLevelType w:val="hybridMultilevel"/>
    <w:tmpl w:val="D6E81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8C16F0"/>
    <w:multiLevelType w:val="hybridMultilevel"/>
    <w:tmpl w:val="94A60E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17F74"/>
    <w:multiLevelType w:val="hybridMultilevel"/>
    <w:tmpl w:val="E3F6F4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D20779"/>
    <w:multiLevelType w:val="hybridMultilevel"/>
    <w:tmpl w:val="E80808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44796"/>
    <w:multiLevelType w:val="hybridMultilevel"/>
    <w:tmpl w:val="94D8AA2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77370"/>
    <w:multiLevelType w:val="hybridMultilevel"/>
    <w:tmpl w:val="4334ADD0"/>
    <w:lvl w:ilvl="0" w:tplc="41A603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97AD9"/>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01C80"/>
    <w:multiLevelType w:val="hybridMultilevel"/>
    <w:tmpl w:val="0618257A"/>
    <w:lvl w:ilvl="0" w:tplc="6F1CF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76055"/>
    <w:multiLevelType w:val="hybridMultilevel"/>
    <w:tmpl w:val="F14220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060467"/>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D3BB7"/>
    <w:multiLevelType w:val="hybridMultilevel"/>
    <w:tmpl w:val="43462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341852"/>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05106"/>
    <w:multiLevelType w:val="hybridMultilevel"/>
    <w:tmpl w:val="63786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0636E4"/>
    <w:multiLevelType w:val="hybridMultilevel"/>
    <w:tmpl w:val="9C7228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F7886"/>
    <w:multiLevelType w:val="hybridMultilevel"/>
    <w:tmpl w:val="F0D25F3E"/>
    <w:lvl w:ilvl="0" w:tplc="6EA2D878">
      <w:start w:val="4"/>
      <w:numFmt w:val="bullet"/>
      <w:lvlText w:val="-"/>
      <w:lvlJc w:val="left"/>
      <w:pPr>
        <w:ind w:left="410" w:hanging="360"/>
      </w:pPr>
      <w:rPr>
        <w:rFonts w:ascii="Calibri" w:eastAsia="Times New Roman" w:hAnsi="Calibri"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24"/>
  </w:num>
  <w:num w:numId="5">
    <w:abstractNumId w:val="1"/>
  </w:num>
  <w:num w:numId="6">
    <w:abstractNumId w:val="18"/>
  </w:num>
  <w:num w:numId="7">
    <w:abstractNumId w:val="11"/>
  </w:num>
  <w:num w:numId="8">
    <w:abstractNumId w:val="21"/>
  </w:num>
  <w:num w:numId="9">
    <w:abstractNumId w:val="8"/>
  </w:num>
  <w:num w:numId="10">
    <w:abstractNumId w:val="4"/>
  </w:num>
  <w:num w:numId="11">
    <w:abstractNumId w:val="9"/>
  </w:num>
  <w:num w:numId="12">
    <w:abstractNumId w:val="23"/>
  </w:num>
  <w:num w:numId="13">
    <w:abstractNumId w:val="17"/>
  </w:num>
  <w:num w:numId="14">
    <w:abstractNumId w:val="19"/>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0"/>
  </w:num>
  <w:num w:numId="21">
    <w:abstractNumId w:val="25"/>
  </w:num>
  <w:num w:numId="22">
    <w:abstractNumId w:val="16"/>
  </w:num>
  <w:num w:numId="23">
    <w:abstractNumId w:val="13"/>
  </w:num>
  <w:num w:numId="24">
    <w:abstractNumId w:val="5"/>
  </w:num>
  <w:num w:numId="25">
    <w:abstractNumId w:val="15"/>
  </w:num>
  <w:num w:numId="26">
    <w:abstractNumId w:val="7"/>
  </w:num>
  <w:num w:numId="27">
    <w:abstractNumId w:val="2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02"/>
    <w:rsid w:val="0000125D"/>
    <w:rsid w:val="00010094"/>
    <w:rsid w:val="00012ABF"/>
    <w:rsid w:val="00032E10"/>
    <w:rsid w:val="000675FF"/>
    <w:rsid w:val="000854DC"/>
    <w:rsid w:val="000B6A63"/>
    <w:rsid w:val="000F2CF7"/>
    <w:rsid w:val="000F454C"/>
    <w:rsid w:val="00117E57"/>
    <w:rsid w:val="0012108A"/>
    <w:rsid w:val="00131819"/>
    <w:rsid w:val="00145B41"/>
    <w:rsid w:val="00150790"/>
    <w:rsid w:val="00175B37"/>
    <w:rsid w:val="001D01B7"/>
    <w:rsid w:val="001D3D61"/>
    <w:rsid w:val="00211623"/>
    <w:rsid w:val="0022422E"/>
    <w:rsid w:val="00241D8D"/>
    <w:rsid w:val="00283A5E"/>
    <w:rsid w:val="00284195"/>
    <w:rsid w:val="002844EE"/>
    <w:rsid w:val="00290E9A"/>
    <w:rsid w:val="002A2292"/>
    <w:rsid w:val="002C2D02"/>
    <w:rsid w:val="002C4F1D"/>
    <w:rsid w:val="002D0A84"/>
    <w:rsid w:val="002D16A6"/>
    <w:rsid w:val="002F27CD"/>
    <w:rsid w:val="002F50BA"/>
    <w:rsid w:val="00333C30"/>
    <w:rsid w:val="00354CA9"/>
    <w:rsid w:val="00375ECB"/>
    <w:rsid w:val="00377153"/>
    <w:rsid w:val="003C78B3"/>
    <w:rsid w:val="004132D3"/>
    <w:rsid w:val="004250C2"/>
    <w:rsid w:val="004406BF"/>
    <w:rsid w:val="0044321D"/>
    <w:rsid w:val="0046356F"/>
    <w:rsid w:val="0047570E"/>
    <w:rsid w:val="00492AEB"/>
    <w:rsid w:val="004C1B5C"/>
    <w:rsid w:val="004D10CD"/>
    <w:rsid w:val="004E6E3C"/>
    <w:rsid w:val="004E7137"/>
    <w:rsid w:val="005273E6"/>
    <w:rsid w:val="00534D9D"/>
    <w:rsid w:val="0055015C"/>
    <w:rsid w:val="005525B1"/>
    <w:rsid w:val="005566EE"/>
    <w:rsid w:val="00557B9F"/>
    <w:rsid w:val="00567414"/>
    <w:rsid w:val="00574299"/>
    <w:rsid w:val="005A2F1A"/>
    <w:rsid w:val="005B37AA"/>
    <w:rsid w:val="005B650F"/>
    <w:rsid w:val="005B66FC"/>
    <w:rsid w:val="005C1DCC"/>
    <w:rsid w:val="00653669"/>
    <w:rsid w:val="006565F9"/>
    <w:rsid w:val="00663489"/>
    <w:rsid w:val="00666A20"/>
    <w:rsid w:val="006A3E0E"/>
    <w:rsid w:val="006C4E4E"/>
    <w:rsid w:val="006D2BF3"/>
    <w:rsid w:val="006D4336"/>
    <w:rsid w:val="006D7EF9"/>
    <w:rsid w:val="006E3A4C"/>
    <w:rsid w:val="006E4642"/>
    <w:rsid w:val="00703033"/>
    <w:rsid w:val="00706660"/>
    <w:rsid w:val="0071487B"/>
    <w:rsid w:val="00721962"/>
    <w:rsid w:val="007301B4"/>
    <w:rsid w:val="00731A6B"/>
    <w:rsid w:val="00771179"/>
    <w:rsid w:val="00787F71"/>
    <w:rsid w:val="00790773"/>
    <w:rsid w:val="00792C8F"/>
    <w:rsid w:val="007A1CDA"/>
    <w:rsid w:val="007A6636"/>
    <w:rsid w:val="007A6CD0"/>
    <w:rsid w:val="007B3E6D"/>
    <w:rsid w:val="007C0384"/>
    <w:rsid w:val="007D257B"/>
    <w:rsid w:val="0080437D"/>
    <w:rsid w:val="00824A06"/>
    <w:rsid w:val="0086662A"/>
    <w:rsid w:val="008870C4"/>
    <w:rsid w:val="00892670"/>
    <w:rsid w:val="00892C36"/>
    <w:rsid w:val="0089569C"/>
    <w:rsid w:val="008C0270"/>
    <w:rsid w:val="008C35BE"/>
    <w:rsid w:val="008D27EE"/>
    <w:rsid w:val="009063FD"/>
    <w:rsid w:val="00924E70"/>
    <w:rsid w:val="00940D5C"/>
    <w:rsid w:val="00947E02"/>
    <w:rsid w:val="0095630C"/>
    <w:rsid w:val="00964938"/>
    <w:rsid w:val="00967248"/>
    <w:rsid w:val="00973C6B"/>
    <w:rsid w:val="00985873"/>
    <w:rsid w:val="009D2696"/>
    <w:rsid w:val="009D269C"/>
    <w:rsid w:val="00A143A1"/>
    <w:rsid w:val="00A37D38"/>
    <w:rsid w:val="00A4267D"/>
    <w:rsid w:val="00A432CC"/>
    <w:rsid w:val="00A52BD7"/>
    <w:rsid w:val="00A54AC7"/>
    <w:rsid w:val="00A64D65"/>
    <w:rsid w:val="00A808AC"/>
    <w:rsid w:val="00A82EB5"/>
    <w:rsid w:val="00A850DF"/>
    <w:rsid w:val="00AA41FE"/>
    <w:rsid w:val="00AB6343"/>
    <w:rsid w:val="00AD3280"/>
    <w:rsid w:val="00AD6D1C"/>
    <w:rsid w:val="00AE609C"/>
    <w:rsid w:val="00B30ABB"/>
    <w:rsid w:val="00B3150D"/>
    <w:rsid w:val="00B3181F"/>
    <w:rsid w:val="00B31C1A"/>
    <w:rsid w:val="00B47431"/>
    <w:rsid w:val="00B7131A"/>
    <w:rsid w:val="00B75DDD"/>
    <w:rsid w:val="00B77113"/>
    <w:rsid w:val="00B97AB0"/>
    <w:rsid w:val="00BD0254"/>
    <w:rsid w:val="00BE03AF"/>
    <w:rsid w:val="00BE2302"/>
    <w:rsid w:val="00BE3C6A"/>
    <w:rsid w:val="00BF6565"/>
    <w:rsid w:val="00C035AF"/>
    <w:rsid w:val="00C06456"/>
    <w:rsid w:val="00C556D7"/>
    <w:rsid w:val="00C86219"/>
    <w:rsid w:val="00C8692D"/>
    <w:rsid w:val="00C91A68"/>
    <w:rsid w:val="00C95DDD"/>
    <w:rsid w:val="00CA3AC3"/>
    <w:rsid w:val="00CE0E53"/>
    <w:rsid w:val="00CF44A4"/>
    <w:rsid w:val="00CF6B74"/>
    <w:rsid w:val="00D06FF5"/>
    <w:rsid w:val="00D11D25"/>
    <w:rsid w:val="00D44346"/>
    <w:rsid w:val="00D44F16"/>
    <w:rsid w:val="00D74C7F"/>
    <w:rsid w:val="00DA07A3"/>
    <w:rsid w:val="00DA13E6"/>
    <w:rsid w:val="00DC0BC2"/>
    <w:rsid w:val="00DC32CA"/>
    <w:rsid w:val="00DE5107"/>
    <w:rsid w:val="00DE54AC"/>
    <w:rsid w:val="00E17BCE"/>
    <w:rsid w:val="00E20F4B"/>
    <w:rsid w:val="00E21082"/>
    <w:rsid w:val="00E26E9F"/>
    <w:rsid w:val="00E362E0"/>
    <w:rsid w:val="00E668ED"/>
    <w:rsid w:val="00EC50EC"/>
    <w:rsid w:val="00ED1D77"/>
    <w:rsid w:val="00EE338E"/>
    <w:rsid w:val="00EE4B3B"/>
    <w:rsid w:val="00F11A63"/>
    <w:rsid w:val="00F230B8"/>
    <w:rsid w:val="00F32EA7"/>
    <w:rsid w:val="00F3424E"/>
    <w:rsid w:val="00FA3002"/>
    <w:rsid w:val="00FA5B66"/>
    <w:rsid w:val="00FF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D59C"/>
  <w15:chartTrackingRefBased/>
  <w15:docId w15:val="{99D988AF-EA25-4C54-849F-ACA0CA4A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0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002"/>
    <w:pPr>
      <w:ind w:left="720"/>
    </w:pPr>
  </w:style>
  <w:style w:type="table" w:styleId="TableGrid">
    <w:name w:val="Table Grid"/>
    <w:basedOn w:val="TableNormal"/>
    <w:uiPriority w:val="39"/>
    <w:rsid w:val="0017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A63"/>
    <w:pPr>
      <w:tabs>
        <w:tab w:val="center" w:pos="4680"/>
        <w:tab w:val="right" w:pos="9360"/>
      </w:tabs>
    </w:pPr>
  </w:style>
  <w:style w:type="character" w:customStyle="1" w:styleId="HeaderChar">
    <w:name w:val="Header Char"/>
    <w:basedOn w:val="DefaultParagraphFont"/>
    <w:link w:val="Header"/>
    <w:uiPriority w:val="99"/>
    <w:rsid w:val="00F11A63"/>
    <w:rPr>
      <w:rFonts w:ascii="Calibri" w:hAnsi="Calibri" w:cs="Times New Roman"/>
    </w:rPr>
  </w:style>
  <w:style w:type="paragraph" w:styleId="Footer">
    <w:name w:val="footer"/>
    <w:basedOn w:val="Normal"/>
    <w:link w:val="FooterChar"/>
    <w:uiPriority w:val="99"/>
    <w:unhideWhenUsed/>
    <w:rsid w:val="00F11A63"/>
    <w:pPr>
      <w:tabs>
        <w:tab w:val="center" w:pos="4680"/>
        <w:tab w:val="right" w:pos="9360"/>
      </w:tabs>
    </w:pPr>
  </w:style>
  <w:style w:type="character" w:customStyle="1" w:styleId="FooterChar">
    <w:name w:val="Footer Char"/>
    <w:basedOn w:val="DefaultParagraphFont"/>
    <w:link w:val="Footer"/>
    <w:uiPriority w:val="99"/>
    <w:rsid w:val="00F11A63"/>
    <w:rPr>
      <w:rFonts w:ascii="Calibri" w:hAnsi="Calibri" w:cs="Times New Roman"/>
    </w:rPr>
  </w:style>
  <w:style w:type="character" w:styleId="CommentReference">
    <w:name w:val="annotation reference"/>
    <w:basedOn w:val="DefaultParagraphFont"/>
    <w:uiPriority w:val="99"/>
    <w:semiHidden/>
    <w:unhideWhenUsed/>
    <w:rsid w:val="0055015C"/>
    <w:rPr>
      <w:sz w:val="16"/>
      <w:szCs w:val="16"/>
    </w:rPr>
  </w:style>
  <w:style w:type="paragraph" w:styleId="CommentText">
    <w:name w:val="annotation text"/>
    <w:basedOn w:val="Normal"/>
    <w:link w:val="CommentTextChar"/>
    <w:uiPriority w:val="99"/>
    <w:semiHidden/>
    <w:unhideWhenUsed/>
    <w:rsid w:val="0055015C"/>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5015C"/>
    <w:rPr>
      <w:sz w:val="20"/>
      <w:szCs w:val="20"/>
    </w:rPr>
  </w:style>
  <w:style w:type="paragraph" w:styleId="BalloonText">
    <w:name w:val="Balloon Text"/>
    <w:basedOn w:val="Normal"/>
    <w:link w:val="BalloonTextChar"/>
    <w:uiPriority w:val="99"/>
    <w:semiHidden/>
    <w:unhideWhenUsed/>
    <w:rsid w:val="00550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5C"/>
    <w:rPr>
      <w:rFonts w:ascii="Segoe UI" w:hAnsi="Segoe UI" w:cs="Segoe UI"/>
      <w:sz w:val="18"/>
      <w:szCs w:val="18"/>
    </w:rPr>
  </w:style>
  <w:style w:type="character" w:styleId="Hyperlink">
    <w:name w:val="Hyperlink"/>
    <w:basedOn w:val="DefaultParagraphFont"/>
    <w:uiPriority w:val="99"/>
    <w:unhideWhenUsed/>
    <w:rsid w:val="006E4642"/>
    <w:rPr>
      <w:color w:val="0563C1" w:themeColor="hyperlink"/>
      <w:u w:val="single"/>
    </w:rPr>
  </w:style>
  <w:style w:type="character" w:styleId="UnresolvedMention">
    <w:name w:val="Unresolved Mention"/>
    <w:basedOn w:val="DefaultParagraphFont"/>
    <w:uiPriority w:val="99"/>
    <w:semiHidden/>
    <w:unhideWhenUsed/>
    <w:rsid w:val="006E464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131A"/>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B7131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824">
      <w:bodyDiv w:val="1"/>
      <w:marLeft w:val="0"/>
      <w:marRight w:val="0"/>
      <w:marTop w:val="0"/>
      <w:marBottom w:val="0"/>
      <w:divBdr>
        <w:top w:val="none" w:sz="0" w:space="0" w:color="auto"/>
        <w:left w:val="none" w:sz="0" w:space="0" w:color="auto"/>
        <w:bottom w:val="none" w:sz="0" w:space="0" w:color="auto"/>
        <w:right w:val="none" w:sz="0" w:space="0" w:color="auto"/>
      </w:divBdr>
    </w:div>
    <w:div w:id="172035452">
      <w:bodyDiv w:val="1"/>
      <w:marLeft w:val="0"/>
      <w:marRight w:val="0"/>
      <w:marTop w:val="0"/>
      <w:marBottom w:val="0"/>
      <w:divBdr>
        <w:top w:val="none" w:sz="0" w:space="0" w:color="auto"/>
        <w:left w:val="none" w:sz="0" w:space="0" w:color="auto"/>
        <w:bottom w:val="none" w:sz="0" w:space="0" w:color="auto"/>
        <w:right w:val="none" w:sz="0" w:space="0" w:color="auto"/>
      </w:divBdr>
    </w:div>
    <w:div w:id="230695955">
      <w:bodyDiv w:val="1"/>
      <w:marLeft w:val="0"/>
      <w:marRight w:val="0"/>
      <w:marTop w:val="0"/>
      <w:marBottom w:val="0"/>
      <w:divBdr>
        <w:top w:val="none" w:sz="0" w:space="0" w:color="auto"/>
        <w:left w:val="none" w:sz="0" w:space="0" w:color="auto"/>
        <w:bottom w:val="none" w:sz="0" w:space="0" w:color="auto"/>
        <w:right w:val="none" w:sz="0" w:space="0" w:color="auto"/>
      </w:divBdr>
    </w:div>
    <w:div w:id="312756243">
      <w:bodyDiv w:val="1"/>
      <w:marLeft w:val="0"/>
      <w:marRight w:val="0"/>
      <w:marTop w:val="0"/>
      <w:marBottom w:val="0"/>
      <w:divBdr>
        <w:top w:val="none" w:sz="0" w:space="0" w:color="auto"/>
        <w:left w:val="none" w:sz="0" w:space="0" w:color="auto"/>
        <w:bottom w:val="none" w:sz="0" w:space="0" w:color="auto"/>
        <w:right w:val="none" w:sz="0" w:space="0" w:color="auto"/>
      </w:divBdr>
    </w:div>
    <w:div w:id="315576005">
      <w:bodyDiv w:val="1"/>
      <w:marLeft w:val="0"/>
      <w:marRight w:val="0"/>
      <w:marTop w:val="0"/>
      <w:marBottom w:val="0"/>
      <w:divBdr>
        <w:top w:val="none" w:sz="0" w:space="0" w:color="auto"/>
        <w:left w:val="none" w:sz="0" w:space="0" w:color="auto"/>
        <w:bottom w:val="none" w:sz="0" w:space="0" w:color="auto"/>
        <w:right w:val="none" w:sz="0" w:space="0" w:color="auto"/>
      </w:divBdr>
    </w:div>
    <w:div w:id="352388899">
      <w:bodyDiv w:val="1"/>
      <w:marLeft w:val="0"/>
      <w:marRight w:val="0"/>
      <w:marTop w:val="0"/>
      <w:marBottom w:val="0"/>
      <w:divBdr>
        <w:top w:val="none" w:sz="0" w:space="0" w:color="auto"/>
        <w:left w:val="none" w:sz="0" w:space="0" w:color="auto"/>
        <w:bottom w:val="none" w:sz="0" w:space="0" w:color="auto"/>
        <w:right w:val="none" w:sz="0" w:space="0" w:color="auto"/>
      </w:divBdr>
    </w:div>
    <w:div w:id="393091986">
      <w:bodyDiv w:val="1"/>
      <w:marLeft w:val="0"/>
      <w:marRight w:val="0"/>
      <w:marTop w:val="0"/>
      <w:marBottom w:val="0"/>
      <w:divBdr>
        <w:top w:val="none" w:sz="0" w:space="0" w:color="auto"/>
        <w:left w:val="none" w:sz="0" w:space="0" w:color="auto"/>
        <w:bottom w:val="none" w:sz="0" w:space="0" w:color="auto"/>
        <w:right w:val="none" w:sz="0" w:space="0" w:color="auto"/>
      </w:divBdr>
    </w:div>
    <w:div w:id="394397115">
      <w:bodyDiv w:val="1"/>
      <w:marLeft w:val="0"/>
      <w:marRight w:val="0"/>
      <w:marTop w:val="0"/>
      <w:marBottom w:val="0"/>
      <w:divBdr>
        <w:top w:val="none" w:sz="0" w:space="0" w:color="auto"/>
        <w:left w:val="none" w:sz="0" w:space="0" w:color="auto"/>
        <w:bottom w:val="none" w:sz="0" w:space="0" w:color="auto"/>
        <w:right w:val="none" w:sz="0" w:space="0" w:color="auto"/>
      </w:divBdr>
    </w:div>
    <w:div w:id="454713268">
      <w:bodyDiv w:val="1"/>
      <w:marLeft w:val="0"/>
      <w:marRight w:val="0"/>
      <w:marTop w:val="0"/>
      <w:marBottom w:val="0"/>
      <w:divBdr>
        <w:top w:val="none" w:sz="0" w:space="0" w:color="auto"/>
        <w:left w:val="none" w:sz="0" w:space="0" w:color="auto"/>
        <w:bottom w:val="none" w:sz="0" w:space="0" w:color="auto"/>
        <w:right w:val="none" w:sz="0" w:space="0" w:color="auto"/>
      </w:divBdr>
    </w:div>
    <w:div w:id="472672753">
      <w:bodyDiv w:val="1"/>
      <w:marLeft w:val="0"/>
      <w:marRight w:val="0"/>
      <w:marTop w:val="0"/>
      <w:marBottom w:val="0"/>
      <w:divBdr>
        <w:top w:val="none" w:sz="0" w:space="0" w:color="auto"/>
        <w:left w:val="none" w:sz="0" w:space="0" w:color="auto"/>
        <w:bottom w:val="none" w:sz="0" w:space="0" w:color="auto"/>
        <w:right w:val="none" w:sz="0" w:space="0" w:color="auto"/>
      </w:divBdr>
    </w:div>
    <w:div w:id="484318579">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504134202">
      <w:bodyDiv w:val="1"/>
      <w:marLeft w:val="0"/>
      <w:marRight w:val="0"/>
      <w:marTop w:val="0"/>
      <w:marBottom w:val="0"/>
      <w:divBdr>
        <w:top w:val="none" w:sz="0" w:space="0" w:color="auto"/>
        <w:left w:val="none" w:sz="0" w:space="0" w:color="auto"/>
        <w:bottom w:val="none" w:sz="0" w:space="0" w:color="auto"/>
        <w:right w:val="none" w:sz="0" w:space="0" w:color="auto"/>
      </w:divBdr>
    </w:div>
    <w:div w:id="517431130">
      <w:bodyDiv w:val="1"/>
      <w:marLeft w:val="0"/>
      <w:marRight w:val="0"/>
      <w:marTop w:val="0"/>
      <w:marBottom w:val="0"/>
      <w:divBdr>
        <w:top w:val="none" w:sz="0" w:space="0" w:color="auto"/>
        <w:left w:val="none" w:sz="0" w:space="0" w:color="auto"/>
        <w:bottom w:val="none" w:sz="0" w:space="0" w:color="auto"/>
        <w:right w:val="none" w:sz="0" w:space="0" w:color="auto"/>
      </w:divBdr>
    </w:div>
    <w:div w:id="611208236">
      <w:bodyDiv w:val="1"/>
      <w:marLeft w:val="0"/>
      <w:marRight w:val="0"/>
      <w:marTop w:val="0"/>
      <w:marBottom w:val="0"/>
      <w:divBdr>
        <w:top w:val="none" w:sz="0" w:space="0" w:color="auto"/>
        <w:left w:val="none" w:sz="0" w:space="0" w:color="auto"/>
        <w:bottom w:val="none" w:sz="0" w:space="0" w:color="auto"/>
        <w:right w:val="none" w:sz="0" w:space="0" w:color="auto"/>
      </w:divBdr>
    </w:div>
    <w:div w:id="688482329">
      <w:bodyDiv w:val="1"/>
      <w:marLeft w:val="0"/>
      <w:marRight w:val="0"/>
      <w:marTop w:val="0"/>
      <w:marBottom w:val="0"/>
      <w:divBdr>
        <w:top w:val="none" w:sz="0" w:space="0" w:color="auto"/>
        <w:left w:val="none" w:sz="0" w:space="0" w:color="auto"/>
        <w:bottom w:val="none" w:sz="0" w:space="0" w:color="auto"/>
        <w:right w:val="none" w:sz="0" w:space="0" w:color="auto"/>
      </w:divBdr>
    </w:div>
    <w:div w:id="838928982">
      <w:bodyDiv w:val="1"/>
      <w:marLeft w:val="0"/>
      <w:marRight w:val="0"/>
      <w:marTop w:val="0"/>
      <w:marBottom w:val="0"/>
      <w:divBdr>
        <w:top w:val="none" w:sz="0" w:space="0" w:color="auto"/>
        <w:left w:val="none" w:sz="0" w:space="0" w:color="auto"/>
        <w:bottom w:val="none" w:sz="0" w:space="0" w:color="auto"/>
        <w:right w:val="none" w:sz="0" w:space="0" w:color="auto"/>
      </w:divBdr>
    </w:div>
    <w:div w:id="885920778">
      <w:bodyDiv w:val="1"/>
      <w:marLeft w:val="0"/>
      <w:marRight w:val="0"/>
      <w:marTop w:val="0"/>
      <w:marBottom w:val="0"/>
      <w:divBdr>
        <w:top w:val="none" w:sz="0" w:space="0" w:color="auto"/>
        <w:left w:val="none" w:sz="0" w:space="0" w:color="auto"/>
        <w:bottom w:val="none" w:sz="0" w:space="0" w:color="auto"/>
        <w:right w:val="none" w:sz="0" w:space="0" w:color="auto"/>
      </w:divBdr>
    </w:div>
    <w:div w:id="975992879">
      <w:bodyDiv w:val="1"/>
      <w:marLeft w:val="0"/>
      <w:marRight w:val="0"/>
      <w:marTop w:val="0"/>
      <w:marBottom w:val="0"/>
      <w:divBdr>
        <w:top w:val="none" w:sz="0" w:space="0" w:color="auto"/>
        <w:left w:val="none" w:sz="0" w:space="0" w:color="auto"/>
        <w:bottom w:val="none" w:sz="0" w:space="0" w:color="auto"/>
        <w:right w:val="none" w:sz="0" w:space="0" w:color="auto"/>
      </w:divBdr>
    </w:div>
    <w:div w:id="1172717835">
      <w:bodyDiv w:val="1"/>
      <w:marLeft w:val="0"/>
      <w:marRight w:val="0"/>
      <w:marTop w:val="0"/>
      <w:marBottom w:val="0"/>
      <w:divBdr>
        <w:top w:val="none" w:sz="0" w:space="0" w:color="auto"/>
        <w:left w:val="none" w:sz="0" w:space="0" w:color="auto"/>
        <w:bottom w:val="none" w:sz="0" w:space="0" w:color="auto"/>
        <w:right w:val="none" w:sz="0" w:space="0" w:color="auto"/>
      </w:divBdr>
    </w:div>
    <w:div w:id="1229806211">
      <w:bodyDiv w:val="1"/>
      <w:marLeft w:val="0"/>
      <w:marRight w:val="0"/>
      <w:marTop w:val="0"/>
      <w:marBottom w:val="0"/>
      <w:divBdr>
        <w:top w:val="none" w:sz="0" w:space="0" w:color="auto"/>
        <w:left w:val="none" w:sz="0" w:space="0" w:color="auto"/>
        <w:bottom w:val="none" w:sz="0" w:space="0" w:color="auto"/>
        <w:right w:val="none" w:sz="0" w:space="0" w:color="auto"/>
      </w:divBdr>
    </w:div>
    <w:div w:id="1244029724">
      <w:bodyDiv w:val="1"/>
      <w:marLeft w:val="0"/>
      <w:marRight w:val="0"/>
      <w:marTop w:val="0"/>
      <w:marBottom w:val="0"/>
      <w:divBdr>
        <w:top w:val="none" w:sz="0" w:space="0" w:color="auto"/>
        <w:left w:val="none" w:sz="0" w:space="0" w:color="auto"/>
        <w:bottom w:val="none" w:sz="0" w:space="0" w:color="auto"/>
        <w:right w:val="none" w:sz="0" w:space="0" w:color="auto"/>
      </w:divBdr>
    </w:div>
    <w:div w:id="1300647246">
      <w:bodyDiv w:val="1"/>
      <w:marLeft w:val="0"/>
      <w:marRight w:val="0"/>
      <w:marTop w:val="0"/>
      <w:marBottom w:val="0"/>
      <w:divBdr>
        <w:top w:val="none" w:sz="0" w:space="0" w:color="auto"/>
        <w:left w:val="none" w:sz="0" w:space="0" w:color="auto"/>
        <w:bottom w:val="none" w:sz="0" w:space="0" w:color="auto"/>
        <w:right w:val="none" w:sz="0" w:space="0" w:color="auto"/>
      </w:divBdr>
    </w:div>
    <w:div w:id="1431009434">
      <w:bodyDiv w:val="1"/>
      <w:marLeft w:val="0"/>
      <w:marRight w:val="0"/>
      <w:marTop w:val="0"/>
      <w:marBottom w:val="0"/>
      <w:divBdr>
        <w:top w:val="none" w:sz="0" w:space="0" w:color="auto"/>
        <w:left w:val="none" w:sz="0" w:space="0" w:color="auto"/>
        <w:bottom w:val="none" w:sz="0" w:space="0" w:color="auto"/>
        <w:right w:val="none" w:sz="0" w:space="0" w:color="auto"/>
      </w:divBdr>
    </w:div>
    <w:div w:id="1443452845">
      <w:bodyDiv w:val="1"/>
      <w:marLeft w:val="0"/>
      <w:marRight w:val="0"/>
      <w:marTop w:val="0"/>
      <w:marBottom w:val="0"/>
      <w:divBdr>
        <w:top w:val="none" w:sz="0" w:space="0" w:color="auto"/>
        <w:left w:val="none" w:sz="0" w:space="0" w:color="auto"/>
        <w:bottom w:val="none" w:sz="0" w:space="0" w:color="auto"/>
        <w:right w:val="none" w:sz="0" w:space="0" w:color="auto"/>
      </w:divBdr>
    </w:div>
    <w:div w:id="1476948446">
      <w:bodyDiv w:val="1"/>
      <w:marLeft w:val="0"/>
      <w:marRight w:val="0"/>
      <w:marTop w:val="0"/>
      <w:marBottom w:val="0"/>
      <w:divBdr>
        <w:top w:val="none" w:sz="0" w:space="0" w:color="auto"/>
        <w:left w:val="none" w:sz="0" w:space="0" w:color="auto"/>
        <w:bottom w:val="none" w:sz="0" w:space="0" w:color="auto"/>
        <w:right w:val="none" w:sz="0" w:space="0" w:color="auto"/>
      </w:divBdr>
    </w:div>
    <w:div w:id="1607536968">
      <w:bodyDiv w:val="1"/>
      <w:marLeft w:val="0"/>
      <w:marRight w:val="0"/>
      <w:marTop w:val="0"/>
      <w:marBottom w:val="0"/>
      <w:divBdr>
        <w:top w:val="none" w:sz="0" w:space="0" w:color="auto"/>
        <w:left w:val="none" w:sz="0" w:space="0" w:color="auto"/>
        <w:bottom w:val="none" w:sz="0" w:space="0" w:color="auto"/>
        <w:right w:val="none" w:sz="0" w:space="0" w:color="auto"/>
      </w:divBdr>
    </w:div>
    <w:div w:id="1635795854">
      <w:bodyDiv w:val="1"/>
      <w:marLeft w:val="0"/>
      <w:marRight w:val="0"/>
      <w:marTop w:val="0"/>
      <w:marBottom w:val="0"/>
      <w:divBdr>
        <w:top w:val="none" w:sz="0" w:space="0" w:color="auto"/>
        <w:left w:val="none" w:sz="0" w:space="0" w:color="auto"/>
        <w:bottom w:val="none" w:sz="0" w:space="0" w:color="auto"/>
        <w:right w:val="none" w:sz="0" w:space="0" w:color="auto"/>
      </w:divBdr>
    </w:div>
    <w:div w:id="1701542217">
      <w:bodyDiv w:val="1"/>
      <w:marLeft w:val="0"/>
      <w:marRight w:val="0"/>
      <w:marTop w:val="0"/>
      <w:marBottom w:val="0"/>
      <w:divBdr>
        <w:top w:val="none" w:sz="0" w:space="0" w:color="auto"/>
        <w:left w:val="none" w:sz="0" w:space="0" w:color="auto"/>
        <w:bottom w:val="none" w:sz="0" w:space="0" w:color="auto"/>
        <w:right w:val="none" w:sz="0" w:space="0" w:color="auto"/>
      </w:divBdr>
    </w:div>
    <w:div w:id="1749811242">
      <w:bodyDiv w:val="1"/>
      <w:marLeft w:val="0"/>
      <w:marRight w:val="0"/>
      <w:marTop w:val="0"/>
      <w:marBottom w:val="0"/>
      <w:divBdr>
        <w:top w:val="none" w:sz="0" w:space="0" w:color="auto"/>
        <w:left w:val="none" w:sz="0" w:space="0" w:color="auto"/>
        <w:bottom w:val="none" w:sz="0" w:space="0" w:color="auto"/>
        <w:right w:val="none" w:sz="0" w:space="0" w:color="auto"/>
      </w:divBdr>
    </w:div>
    <w:div w:id="1772046662">
      <w:bodyDiv w:val="1"/>
      <w:marLeft w:val="0"/>
      <w:marRight w:val="0"/>
      <w:marTop w:val="0"/>
      <w:marBottom w:val="0"/>
      <w:divBdr>
        <w:top w:val="none" w:sz="0" w:space="0" w:color="auto"/>
        <w:left w:val="none" w:sz="0" w:space="0" w:color="auto"/>
        <w:bottom w:val="none" w:sz="0" w:space="0" w:color="auto"/>
        <w:right w:val="none" w:sz="0" w:space="0" w:color="auto"/>
      </w:divBdr>
    </w:div>
    <w:div w:id="1790201800">
      <w:bodyDiv w:val="1"/>
      <w:marLeft w:val="0"/>
      <w:marRight w:val="0"/>
      <w:marTop w:val="0"/>
      <w:marBottom w:val="0"/>
      <w:divBdr>
        <w:top w:val="none" w:sz="0" w:space="0" w:color="auto"/>
        <w:left w:val="none" w:sz="0" w:space="0" w:color="auto"/>
        <w:bottom w:val="none" w:sz="0" w:space="0" w:color="auto"/>
        <w:right w:val="none" w:sz="0" w:space="0" w:color="auto"/>
      </w:divBdr>
    </w:div>
    <w:div w:id="1833107706">
      <w:bodyDiv w:val="1"/>
      <w:marLeft w:val="0"/>
      <w:marRight w:val="0"/>
      <w:marTop w:val="0"/>
      <w:marBottom w:val="0"/>
      <w:divBdr>
        <w:top w:val="none" w:sz="0" w:space="0" w:color="auto"/>
        <w:left w:val="none" w:sz="0" w:space="0" w:color="auto"/>
        <w:bottom w:val="none" w:sz="0" w:space="0" w:color="auto"/>
        <w:right w:val="none" w:sz="0" w:space="0" w:color="auto"/>
      </w:divBdr>
    </w:div>
    <w:div w:id="1847204932">
      <w:bodyDiv w:val="1"/>
      <w:marLeft w:val="0"/>
      <w:marRight w:val="0"/>
      <w:marTop w:val="0"/>
      <w:marBottom w:val="0"/>
      <w:divBdr>
        <w:top w:val="none" w:sz="0" w:space="0" w:color="auto"/>
        <w:left w:val="none" w:sz="0" w:space="0" w:color="auto"/>
        <w:bottom w:val="none" w:sz="0" w:space="0" w:color="auto"/>
        <w:right w:val="none" w:sz="0" w:space="0" w:color="auto"/>
      </w:divBdr>
    </w:div>
    <w:div w:id="1875846741">
      <w:bodyDiv w:val="1"/>
      <w:marLeft w:val="0"/>
      <w:marRight w:val="0"/>
      <w:marTop w:val="0"/>
      <w:marBottom w:val="0"/>
      <w:divBdr>
        <w:top w:val="none" w:sz="0" w:space="0" w:color="auto"/>
        <w:left w:val="none" w:sz="0" w:space="0" w:color="auto"/>
        <w:bottom w:val="none" w:sz="0" w:space="0" w:color="auto"/>
        <w:right w:val="none" w:sz="0" w:space="0" w:color="auto"/>
      </w:divBdr>
    </w:div>
    <w:div w:id="1902515642">
      <w:bodyDiv w:val="1"/>
      <w:marLeft w:val="0"/>
      <w:marRight w:val="0"/>
      <w:marTop w:val="0"/>
      <w:marBottom w:val="0"/>
      <w:divBdr>
        <w:top w:val="none" w:sz="0" w:space="0" w:color="auto"/>
        <w:left w:val="none" w:sz="0" w:space="0" w:color="auto"/>
        <w:bottom w:val="none" w:sz="0" w:space="0" w:color="auto"/>
        <w:right w:val="none" w:sz="0" w:space="0" w:color="auto"/>
      </w:divBdr>
    </w:div>
    <w:div w:id="1971859388">
      <w:bodyDiv w:val="1"/>
      <w:marLeft w:val="0"/>
      <w:marRight w:val="0"/>
      <w:marTop w:val="0"/>
      <w:marBottom w:val="0"/>
      <w:divBdr>
        <w:top w:val="none" w:sz="0" w:space="0" w:color="auto"/>
        <w:left w:val="none" w:sz="0" w:space="0" w:color="auto"/>
        <w:bottom w:val="none" w:sz="0" w:space="0" w:color="auto"/>
        <w:right w:val="none" w:sz="0" w:space="0" w:color="auto"/>
      </w:divBdr>
    </w:div>
    <w:div w:id="21255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housing/mfh" TargetMode="External"/><Relationship Id="rId3" Type="http://schemas.openxmlformats.org/officeDocument/2006/relationships/settings" Target="settings.xml"/><Relationship Id="rId7" Type="http://schemas.openxmlformats.org/officeDocument/2006/relationships/hyperlink" Target="https://www.hud.gov/program_offices/housing/m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4696</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PNC Bank</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Wellman</dc:creator>
  <cp:keywords/>
  <dc:description/>
  <cp:lastModifiedBy>Arteaga, Elizabeth H</cp:lastModifiedBy>
  <cp:revision>3</cp:revision>
  <dcterms:created xsi:type="dcterms:W3CDTF">2019-03-12T20:49:00Z</dcterms:created>
  <dcterms:modified xsi:type="dcterms:W3CDTF">2019-03-15T16:45:00Z</dcterms:modified>
</cp:coreProperties>
</file>