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gridCol w:w="20"/>
        <w:gridCol w:w="20"/>
        <w:gridCol w:w="14"/>
      </w:tblGrid>
      <w:tr w:rsidR="00C8692D" w:rsidRPr="0043666E" w14:paraId="0C134D1B" w14:textId="77777777" w:rsidTr="00D937C8">
        <w:trPr>
          <w:gridAfter w:val="1"/>
          <w:wAfter w:w="14" w:type="dxa"/>
        </w:trPr>
        <w:tc>
          <w:tcPr>
            <w:tcW w:w="9351" w:type="dxa"/>
            <w:gridSpan w:val="3"/>
          </w:tcPr>
          <w:p w14:paraId="65306158" w14:textId="7810B4EF" w:rsidR="00175B37" w:rsidRPr="005A78D2" w:rsidRDefault="00175B37" w:rsidP="000F4375">
            <w:pPr>
              <w:rPr>
                <w:rFonts w:asciiTheme="minorHAnsi" w:eastAsia="Times New Roman" w:hAnsiTheme="minorHAnsi" w:cstheme="minorHAnsi"/>
              </w:rPr>
            </w:pPr>
            <w:r w:rsidRPr="005A78D2">
              <w:rPr>
                <w:rFonts w:asciiTheme="minorHAnsi" w:eastAsia="Times New Roman" w:hAnsiTheme="minorHAnsi" w:cstheme="minorHAnsi"/>
              </w:rPr>
              <w:t>Question</w:t>
            </w:r>
            <w:r w:rsidR="00AD3280" w:rsidRPr="005A78D2">
              <w:rPr>
                <w:rFonts w:asciiTheme="minorHAnsi" w:eastAsia="Times New Roman" w:hAnsiTheme="minorHAnsi" w:cstheme="minorHAnsi"/>
              </w:rPr>
              <w:t xml:space="preserve"> 1</w:t>
            </w:r>
            <w:r w:rsidRPr="005A78D2">
              <w:rPr>
                <w:rFonts w:asciiTheme="minorHAnsi" w:eastAsia="Times New Roman" w:hAnsiTheme="minorHAnsi" w:cstheme="minorHAnsi"/>
              </w:rPr>
              <w:t xml:space="preserve">: Page 2 of 24 – Section III.A – “the </w:t>
            </w:r>
            <w:r w:rsidRPr="005A78D2">
              <w:rPr>
                <w:rFonts w:asciiTheme="minorHAnsi" w:eastAsia="Times New Roman" w:hAnsiTheme="minorHAnsi" w:cstheme="minorHAnsi"/>
                <w:bCs/>
              </w:rPr>
              <w:t>market analysis</w:t>
            </w:r>
            <w:r w:rsidRPr="005A78D2">
              <w:rPr>
                <w:rFonts w:asciiTheme="minorHAnsi" w:eastAsia="Times New Roman" w:hAnsiTheme="minorHAnsi" w:cstheme="minorHAnsi"/>
              </w:rPr>
              <w:t>, appraisal and underwriting must conclude that the achievable LIHTC unit rents will be at least 10% below comparable market rents for each unit type.”  Under the current MAP Guide, the appraisal and underwritten LIHTC achievable unit rents need to be at least 10% below comparable market rents for each unit type.  Is HUD requiring that the LIHTC achievable rents concluded in the market study also be 10% below the appraiser’s unrestricted market rents for each unit type?</w:t>
            </w:r>
          </w:p>
        </w:tc>
        <w:bookmarkStart w:id="0" w:name="_GoBack"/>
        <w:bookmarkEnd w:id="0"/>
      </w:tr>
      <w:tr w:rsidR="00C8692D" w:rsidRPr="0043666E" w14:paraId="1AC9B738" w14:textId="77777777" w:rsidTr="00D937C8">
        <w:trPr>
          <w:gridAfter w:val="1"/>
          <w:wAfter w:w="14" w:type="dxa"/>
        </w:trPr>
        <w:tc>
          <w:tcPr>
            <w:tcW w:w="9351" w:type="dxa"/>
            <w:gridSpan w:val="3"/>
          </w:tcPr>
          <w:p w14:paraId="42ABFE6B" w14:textId="77777777" w:rsidR="0043021E" w:rsidRPr="005A78D2" w:rsidRDefault="0043021E" w:rsidP="00175B37">
            <w:pPr>
              <w:rPr>
                <w:rFonts w:asciiTheme="minorHAnsi" w:eastAsia="Times New Roman" w:hAnsiTheme="minorHAnsi" w:cstheme="minorHAnsi"/>
                <w:i/>
                <w:color w:val="0070C0"/>
              </w:rPr>
            </w:pPr>
          </w:p>
          <w:p w14:paraId="0CAE3E99" w14:textId="442AB461" w:rsidR="002C4A2B" w:rsidRPr="005A78D2" w:rsidRDefault="0002766C" w:rsidP="00175B37">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43021E" w:rsidRPr="005A78D2">
              <w:rPr>
                <w:rFonts w:asciiTheme="minorHAnsi" w:eastAsia="Times New Roman" w:hAnsiTheme="minorHAnsi" w:cstheme="minorHAnsi"/>
                <w:i/>
                <w:color w:val="0070C0"/>
              </w:rPr>
              <w:t xml:space="preserve">To remain consistent with the MAP Guide </w:t>
            </w:r>
            <w:r w:rsidRPr="005A78D2">
              <w:rPr>
                <w:rFonts w:asciiTheme="minorHAnsi" w:eastAsia="Times New Roman" w:hAnsiTheme="minorHAnsi" w:cstheme="minorHAnsi"/>
                <w:i/>
                <w:color w:val="0070C0"/>
              </w:rPr>
              <w:t xml:space="preserve">HUD will not require that the market analysis conclude that the achievable LIHTC unit rents be at least 10% below comparable market rents for each unit type. </w:t>
            </w:r>
            <w:r w:rsidR="00412FA2" w:rsidRPr="005A78D2">
              <w:rPr>
                <w:rFonts w:asciiTheme="minorHAnsi" w:eastAsia="Times New Roman" w:hAnsiTheme="minorHAnsi" w:cstheme="minorHAnsi"/>
                <w:i/>
                <w:color w:val="0070C0"/>
              </w:rPr>
              <w:t>The MAP Appraiser’s comparable rent analysis and conclusions will be used to determine the discount to market.</w:t>
            </w:r>
            <w:r w:rsidRPr="005A78D2">
              <w:rPr>
                <w:rFonts w:asciiTheme="minorHAnsi" w:eastAsia="Times New Roman" w:hAnsiTheme="minorHAnsi" w:cstheme="minorHAnsi"/>
                <w:i/>
                <w:color w:val="0070C0"/>
              </w:rPr>
              <w:t xml:space="preserve"> </w:t>
            </w:r>
          </w:p>
          <w:p w14:paraId="5B81BA02" w14:textId="69FAB2E0" w:rsidR="0041683A" w:rsidRPr="005A78D2" w:rsidRDefault="0041683A" w:rsidP="00175B37">
            <w:pPr>
              <w:rPr>
                <w:rFonts w:asciiTheme="minorHAnsi" w:eastAsia="Times New Roman" w:hAnsiTheme="minorHAnsi" w:cstheme="minorHAnsi"/>
                <w:i/>
              </w:rPr>
            </w:pPr>
          </w:p>
        </w:tc>
      </w:tr>
      <w:tr w:rsidR="00AD3280" w:rsidRPr="0043666E" w14:paraId="7899DCD5" w14:textId="77777777" w:rsidTr="00D937C8">
        <w:trPr>
          <w:gridAfter w:val="1"/>
          <w:wAfter w:w="14" w:type="dxa"/>
        </w:trPr>
        <w:tc>
          <w:tcPr>
            <w:tcW w:w="9351" w:type="dxa"/>
            <w:gridSpan w:val="3"/>
          </w:tcPr>
          <w:p w14:paraId="58FCE2E9" w14:textId="33FA2E22" w:rsidR="00AD3280" w:rsidRPr="005A78D2" w:rsidRDefault="00AD3280" w:rsidP="000F4375">
            <w:pPr>
              <w:contextualSpacing/>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981F8D" w:rsidRPr="005A78D2">
              <w:rPr>
                <w:rFonts w:asciiTheme="minorHAnsi" w:eastAsia="Times New Roman" w:hAnsiTheme="minorHAnsi" w:cstheme="minorHAnsi"/>
              </w:rPr>
              <w:t>2</w:t>
            </w:r>
            <w:r w:rsidRPr="005A78D2">
              <w:rPr>
                <w:rFonts w:asciiTheme="minorHAnsi" w:eastAsia="Times New Roman" w:hAnsiTheme="minorHAnsi" w:cstheme="minorHAnsi"/>
              </w:rPr>
              <w:t xml:space="preserve">: </w:t>
            </w:r>
            <w:r w:rsidRPr="005A78D2">
              <w:rPr>
                <w:rFonts w:asciiTheme="minorHAnsi" w:hAnsiTheme="minorHAnsi" w:cstheme="minorHAnsi"/>
              </w:rPr>
              <w:t>9% LIHTC New Construction - Market Analysis, Appraisal, and Underwriting must conclude that the achievable LIHTC rents will be at least 10% below comparable market rents. If the LIHTC investor requires the project to have rents below the achievable rent and that the required rent is 10% below market, would the project still qualify?</w:t>
            </w:r>
          </w:p>
        </w:tc>
      </w:tr>
      <w:tr w:rsidR="00AD3280" w:rsidRPr="0043666E" w14:paraId="105CAEA4" w14:textId="77777777" w:rsidTr="00D937C8">
        <w:trPr>
          <w:gridAfter w:val="1"/>
          <w:wAfter w:w="14" w:type="dxa"/>
        </w:trPr>
        <w:tc>
          <w:tcPr>
            <w:tcW w:w="9351" w:type="dxa"/>
            <w:gridSpan w:val="3"/>
          </w:tcPr>
          <w:p w14:paraId="6DF3B1FA" w14:textId="77777777" w:rsidR="0043021E" w:rsidRPr="005A78D2" w:rsidRDefault="0043021E" w:rsidP="008870C4">
            <w:pPr>
              <w:rPr>
                <w:rFonts w:asciiTheme="minorHAnsi" w:eastAsia="Times New Roman" w:hAnsiTheme="minorHAnsi" w:cstheme="minorHAnsi"/>
                <w:i/>
                <w:highlight w:val="yellow"/>
              </w:rPr>
            </w:pPr>
          </w:p>
          <w:p w14:paraId="13B44070" w14:textId="6F54FA7D" w:rsidR="00AD3280" w:rsidRPr="005A78D2" w:rsidRDefault="00AD3280" w:rsidP="008870C4">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8B254E" w:rsidRPr="005A78D2">
              <w:rPr>
                <w:rFonts w:asciiTheme="minorHAnsi" w:eastAsia="Times New Roman" w:hAnsiTheme="minorHAnsi" w:cstheme="minorHAnsi"/>
                <w:i/>
                <w:color w:val="0070C0"/>
              </w:rPr>
              <w:t xml:space="preserve"> </w:t>
            </w:r>
            <w:r w:rsidR="007E0432" w:rsidRPr="005A78D2">
              <w:rPr>
                <w:rFonts w:asciiTheme="minorHAnsi" w:eastAsia="Times New Roman" w:hAnsiTheme="minorHAnsi" w:cstheme="minorHAnsi"/>
                <w:i/>
                <w:color w:val="0070C0"/>
              </w:rPr>
              <w:t xml:space="preserve">As long as the </w:t>
            </w:r>
            <w:r w:rsidR="00412FA2" w:rsidRPr="005A78D2">
              <w:rPr>
                <w:rFonts w:asciiTheme="minorHAnsi" w:eastAsia="Times New Roman" w:hAnsiTheme="minorHAnsi" w:cstheme="minorHAnsi"/>
                <w:i/>
                <w:color w:val="0070C0"/>
              </w:rPr>
              <w:t xml:space="preserve">MAP Appraiser determines that the </w:t>
            </w:r>
            <w:r w:rsidR="008B254E" w:rsidRPr="005A78D2">
              <w:rPr>
                <w:rFonts w:asciiTheme="minorHAnsi" w:eastAsia="Times New Roman" w:hAnsiTheme="minorHAnsi" w:cstheme="minorHAnsi"/>
                <w:i/>
                <w:color w:val="0070C0"/>
              </w:rPr>
              <w:t xml:space="preserve">LIHTC rents </w:t>
            </w:r>
            <w:r w:rsidR="007E0432" w:rsidRPr="005A78D2">
              <w:rPr>
                <w:rFonts w:asciiTheme="minorHAnsi" w:eastAsia="Times New Roman" w:hAnsiTheme="minorHAnsi" w:cstheme="minorHAnsi"/>
                <w:i/>
                <w:color w:val="0070C0"/>
              </w:rPr>
              <w:t xml:space="preserve">are at </w:t>
            </w:r>
            <w:r w:rsidR="008B254E" w:rsidRPr="005A78D2">
              <w:rPr>
                <w:rFonts w:asciiTheme="minorHAnsi" w:eastAsia="Times New Roman" w:hAnsiTheme="minorHAnsi" w:cstheme="minorHAnsi"/>
                <w:i/>
                <w:color w:val="0070C0"/>
              </w:rPr>
              <w:t>least 10% below comparable market rent</w:t>
            </w:r>
            <w:r w:rsidR="007E0432" w:rsidRPr="005A78D2">
              <w:rPr>
                <w:rFonts w:asciiTheme="minorHAnsi" w:eastAsia="Times New Roman" w:hAnsiTheme="minorHAnsi" w:cstheme="minorHAnsi"/>
                <w:i/>
                <w:color w:val="0070C0"/>
              </w:rPr>
              <w:t>s, the project may qualify under the Pilot.</w:t>
            </w:r>
            <w:r w:rsidR="008B254E" w:rsidRPr="005A78D2">
              <w:rPr>
                <w:rFonts w:asciiTheme="minorHAnsi" w:eastAsia="Times New Roman" w:hAnsiTheme="minorHAnsi" w:cstheme="minorHAnsi"/>
                <w:i/>
                <w:color w:val="0070C0"/>
              </w:rPr>
              <w:t xml:space="preserve"> </w:t>
            </w:r>
          </w:p>
          <w:p w14:paraId="41B9CF90" w14:textId="5B4C2856" w:rsidR="0043021E" w:rsidRPr="005A78D2" w:rsidRDefault="0043021E" w:rsidP="008870C4">
            <w:pPr>
              <w:rPr>
                <w:rFonts w:asciiTheme="minorHAnsi" w:eastAsia="Times New Roman" w:hAnsiTheme="minorHAnsi" w:cstheme="minorHAnsi"/>
                <w:i/>
                <w:highlight w:val="yellow"/>
              </w:rPr>
            </w:pPr>
          </w:p>
        </w:tc>
      </w:tr>
      <w:tr w:rsidR="00AD3280" w:rsidRPr="0043666E" w14:paraId="60DED558" w14:textId="77777777" w:rsidTr="00D937C8">
        <w:trPr>
          <w:gridAfter w:val="1"/>
          <w:wAfter w:w="14" w:type="dxa"/>
        </w:trPr>
        <w:tc>
          <w:tcPr>
            <w:tcW w:w="9351" w:type="dxa"/>
            <w:gridSpan w:val="3"/>
          </w:tcPr>
          <w:p w14:paraId="4A41FEF5" w14:textId="1FC8AB31" w:rsidR="00AD3280" w:rsidRPr="005A78D2" w:rsidRDefault="00AD3280" w:rsidP="000F4375">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981F8D" w:rsidRPr="005A78D2">
              <w:rPr>
                <w:rFonts w:asciiTheme="minorHAnsi" w:eastAsia="Times New Roman" w:hAnsiTheme="minorHAnsi" w:cstheme="minorHAnsi"/>
              </w:rPr>
              <w:t>3</w:t>
            </w:r>
            <w:r w:rsidRPr="005A78D2">
              <w:rPr>
                <w:rFonts w:asciiTheme="minorHAnsi" w:eastAsia="Times New Roman" w:hAnsiTheme="minorHAnsi" w:cstheme="minorHAnsi"/>
              </w:rPr>
              <w:t xml:space="preserve">: </w:t>
            </w:r>
            <w:r w:rsidRPr="005A78D2">
              <w:rPr>
                <w:rFonts w:asciiTheme="minorHAnsi" w:hAnsiTheme="minorHAnsi" w:cstheme="minorHAnsi"/>
              </w:rPr>
              <w:t xml:space="preserve">Section III Paragraph A – The notice uses the language ‘achievable’ LIHTC rents will be at least 10% below market.  We prefer the term ‘underwritten’ LIHTC rents.  For example, you may have a scenario where max rents are </w:t>
            </w:r>
            <w:proofErr w:type="gramStart"/>
            <w:r w:rsidRPr="005A78D2">
              <w:rPr>
                <w:rFonts w:asciiTheme="minorHAnsi" w:hAnsiTheme="minorHAnsi" w:cstheme="minorHAnsi"/>
              </w:rPr>
              <w:t>achievable</w:t>
            </w:r>
            <w:proofErr w:type="gramEnd"/>
            <w:r w:rsidRPr="005A78D2">
              <w:rPr>
                <w:rFonts w:asciiTheme="minorHAnsi" w:hAnsiTheme="minorHAnsi" w:cstheme="minorHAnsi"/>
              </w:rPr>
              <w:t xml:space="preserve"> but you choose to underwrite a lower rent to ensure that you are 10% below market.</w:t>
            </w:r>
          </w:p>
        </w:tc>
      </w:tr>
      <w:tr w:rsidR="00AD3280" w:rsidRPr="0043666E" w14:paraId="4F106EA7" w14:textId="77777777" w:rsidTr="00D937C8">
        <w:trPr>
          <w:gridAfter w:val="1"/>
          <w:wAfter w:w="14" w:type="dxa"/>
        </w:trPr>
        <w:tc>
          <w:tcPr>
            <w:tcW w:w="9351" w:type="dxa"/>
            <w:gridSpan w:val="3"/>
          </w:tcPr>
          <w:p w14:paraId="7C4E5C0A" w14:textId="77777777" w:rsidR="00CE0F04" w:rsidRPr="005A78D2" w:rsidRDefault="00CE0F04" w:rsidP="00E937A8">
            <w:pPr>
              <w:autoSpaceDE w:val="0"/>
              <w:autoSpaceDN w:val="0"/>
              <w:adjustRightInd w:val="0"/>
              <w:rPr>
                <w:rFonts w:asciiTheme="minorHAnsi" w:eastAsia="Times New Roman" w:hAnsiTheme="minorHAnsi" w:cstheme="minorHAnsi"/>
                <w:i/>
              </w:rPr>
            </w:pPr>
          </w:p>
          <w:p w14:paraId="7073F205" w14:textId="6362A000" w:rsidR="00620AED" w:rsidRPr="005A78D2" w:rsidRDefault="00AD3280" w:rsidP="00E937A8">
            <w:pPr>
              <w:autoSpaceDE w:val="0"/>
              <w:autoSpaceDN w:val="0"/>
              <w:adjustRightInd w:val="0"/>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CE0F04" w:rsidRPr="005A78D2">
              <w:rPr>
                <w:rFonts w:asciiTheme="minorHAnsi" w:eastAsia="Times New Roman" w:hAnsiTheme="minorHAnsi" w:cstheme="minorHAnsi"/>
                <w:i/>
                <w:color w:val="0070C0"/>
              </w:rPr>
              <w:t>The term ‘achievable’ and/or ‘attainable’ is used throughout our guidance.  The Appraisal must demonstrate that the LIHTC rents being achieved are actually at least 10% below market.</w:t>
            </w:r>
            <w:r w:rsidR="00412FA2" w:rsidRPr="005A78D2">
              <w:rPr>
                <w:rFonts w:asciiTheme="minorHAnsi" w:eastAsia="Times New Roman" w:hAnsiTheme="minorHAnsi" w:cstheme="minorHAnsi"/>
                <w:i/>
                <w:color w:val="0070C0"/>
              </w:rPr>
              <w:t xml:space="preserve">  HUD will not accept transactions in which the underwriter has artificially constrained the underwritten LIHTC rent to 10% below comparable market rent established by the MAP Appraiser.</w:t>
            </w:r>
            <w:r w:rsidR="00CE0F04" w:rsidRPr="005A78D2">
              <w:rPr>
                <w:rFonts w:asciiTheme="minorHAnsi" w:eastAsia="Times New Roman" w:hAnsiTheme="minorHAnsi" w:cstheme="minorHAnsi"/>
                <w:i/>
                <w:color w:val="0070C0"/>
              </w:rPr>
              <w:t xml:space="preserve">  </w:t>
            </w:r>
          </w:p>
          <w:p w14:paraId="5FAB70BA" w14:textId="77777777" w:rsidR="00AD3280" w:rsidRPr="005A78D2" w:rsidRDefault="00AD3280" w:rsidP="00CE0F04">
            <w:pPr>
              <w:autoSpaceDE w:val="0"/>
              <w:autoSpaceDN w:val="0"/>
              <w:adjustRightInd w:val="0"/>
              <w:rPr>
                <w:rFonts w:asciiTheme="minorHAnsi" w:eastAsia="Times New Roman" w:hAnsiTheme="minorHAnsi" w:cstheme="minorHAnsi"/>
                <w:i/>
              </w:rPr>
            </w:pPr>
          </w:p>
        </w:tc>
      </w:tr>
      <w:tr w:rsidR="0080437D" w:rsidRPr="0043666E" w14:paraId="50BE8040" w14:textId="77777777" w:rsidTr="00D937C8">
        <w:trPr>
          <w:gridAfter w:val="1"/>
          <w:wAfter w:w="14" w:type="dxa"/>
        </w:trPr>
        <w:tc>
          <w:tcPr>
            <w:tcW w:w="9351" w:type="dxa"/>
            <w:gridSpan w:val="3"/>
          </w:tcPr>
          <w:p w14:paraId="684240D8" w14:textId="1F10D8E5" w:rsidR="0080437D" w:rsidRPr="005A78D2" w:rsidRDefault="0080437D" w:rsidP="008870C4">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981F8D" w:rsidRPr="005A78D2">
              <w:rPr>
                <w:rFonts w:asciiTheme="minorHAnsi" w:eastAsia="Times New Roman" w:hAnsiTheme="minorHAnsi" w:cstheme="minorHAnsi"/>
              </w:rPr>
              <w:t>4</w:t>
            </w:r>
            <w:r w:rsidRPr="005A78D2">
              <w:rPr>
                <w:rFonts w:asciiTheme="minorHAnsi" w:eastAsia="Times New Roman" w:hAnsiTheme="minorHAnsi" w:cstheme="minorHAnsi"/>
              </w:rPr>
              <w:t xml:space="preserve">: </w:t>
            </w:r>
            <w:r w:rsidR="00981F8D" w:rsidRPr="005A78D2">
              <w:rPr>
                <w:rFonts w:asciiTheme="minorHAnsi" w:eastAsia="Times New Roman" w:hAnsiTheme="minorHAnsi" w:cstheme="minorHAnsi"/>
              </w:rPr>
              <w:t xml:space="preserve"> </w:t>
            </w:r>
            <w:r w:rsidRPr="005A78D2">
              <w:rPr>
                <w:rFonts w:asciiTheme="minorHAnsi" w:hAnsiTheme="minorHAnsi" w:cstheme="minorHAnsi"/>
              </w:rPr>
              <w:t>Confirm if a new LIHTC 9% sub rehab, without PBRA, is eligible.</w:t>
            </w:r>
          </w:p>
        </w:tc>
      </w:tr>
      <w:tr w:rsidR="008A13B7" w:rsidRPr="0043666E" w14:paraId="514C2E50" w14:textId="77777777" w:rsidTr="00D937C8">
        <w:trPr>
          <w:gridAfter w:val="1"/>
          <w:wAfter w:w="14" w:type="dxa"/>
          <w:trHeight w:val="1343"/>
        </w:trPr>
        <w:tc>
          <w:tcPr>
            <w:tcW w:w="9351" w:type="dxa"/>
            <w:gridSpan w:val="3"/>
          </w:tcPr>
          <w:p w14:paraId="1E740FE3" w14:textId="77777777" w:rsidR="008A13B7" w:rsidRPr="005A78D2" w:rsidRDefault="008A13B7" w:rsidP="008870C4">
            <w:pPr>
              <w:rPr>
                <w:rFonts w:asciiTheme="minorHAnsi" w:eastAsia="Times New Roman" w:hAnsiTheme="minorHAnsi" w:cstheme="minorHAnsi"/>
                <w:i/>
                <w:color w:val="0070C0"/>
              </w:rPr>
            </w:pPr>
          </w:p>
          <w:p w14:paraId="6C6B13C8" w14:textId="1E583CD7" w:rsidR="008A13B7" w:rsidRPr="005A78D2" w:rsidRDefault="008A13B7" w:rsidP="008870C4">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LIHTC 9% substantial rehabilitation </w:t>
            </w:r>
            <w:r w:rsidR="00412FA2" w:rsidRPr="005A78D2">
              <w:rPr>
                <w:rFonts w:asciiTheme="minorHAnsi" w:eastAsia="Times New Roman" w:hAnsiTheme="minorHAnsi" w:cstheme="minorHAnsi"/>
                <w:i/>
                <w:color w:val="0070C0"/>
              </w:rPr>
              <w:t xml:space="preserve">transactions that convert an unrestricted market rate apartment property to a LIHTC-restricted property </w:t>
            </w:r>
            <w:r w:rsidRPr="005A78D2">
              <w:rPr>
                <w:rFonts w:asciiTheme="minorHAnsi" w:eastAsia="Times New Roman" w:hAnsiTheme="minorHAnsi" w:cstheme="minorHAnsi"/>
                <w:i/>
                <w:color w:val="0070C0"/>
              </w:rPr>
              <w:t>are not eligible under the Pilot due to the complexities</w:t>
            </w:r>
            <w:r w:rsidR="00412FA2" w:rsidRPr="005A78D2">
              <w:rPr>
                <w:rFonts w:asciiTheme="minorHAnsi" w:eastAsia="Times New Roman" w:hAnsiTheme="minorHAnsi" w:cstheme="minorHAnsi"/>
                <w:i/>
                <w:color w:val="0070C0"/>
              </w:rPr>
              <w:t xml:space="preserve"> involved in confirming qualified occupancy, income qualification of existing tenants and potential involuntary relocation issues that may arise due to over-income existing tenants.  </w:t>
            </w:r>
            <w:r w:rsidR="00DF57B6" w:rsidRPr="005A78D2">
              <w:rPr>
                <w:rFonts w:asciiTheme="minorHAnsi" w:eastAsia="Times New Roman" w:hAnsiTheme="minorHAnsi" w:cstheme="minorHAnsi"/>
                <w:i/>
                <w:color w:val="0070C0"/>
              </w:rPr>
              <w:t>A LIHTC 9% sub rehab transaction without PBRA is only eligible under the Pilot if the transaction involves re-syndication of an existing LIHTC transaction.</w:t>
            </w:r>
            <w:r w:rsidRPr="005A78D2">
              <w:rPr>
                <w:rFonts w:asciiTheme="minorHAnsi" w:eastAsia="Times New Roman" w:hAnsiTheme="minorHAnsi" w:cstheme="minorHAnsi"/>
                <w:i/>
                <w:color w:val="0070C0"/>
              </w:rPr>
              <w:t xml:space="preserve">  </w:t>
            </w:r>
          </w:p>
          <w:p w14:paraId="374AF2AA" w14:textId="1EF65D6E" w:rsidR="00C63991" w:rsidRPr="005A78D2" w:rsidRDefault="00C63991" w:rsidP="008870C4">
            <w:pPr>
              <w:rPr>
                <w:rFonts w:asciiTheme="minorHAnsi" w:eastAsia="Times New Roman" w:hAnsiTheme="minorHAnsi" w:cstheme="minorHAnsi"/>
                <w:i/>
              </w:rPr>
            </w:pPr>
          </w:p>
        </w:tc>
      </w:tr>
      <w:tr w:rsidR="00C8692D" w:rsidRPr="005A78D2" w14:paraId="7CD12797" w14:textId="77777777" w:rsidTr="00C63991">
        <w:trPr>
          <w:gridAfter w:val="2"/>
          <w:wAfter w:w="34" w:type="dxa"/>
        </w:trPr>
        <w:tc>
          <w:tcPr>
            <w:tcW w:w="9331" w:type="dxa"/>
            <w:gridSpan w:val="2"/>
          </w:tcPr>
          <w:p w14:paraId="3D8D9D1D" w14:textId="705C2C4C" w:rsidR="00D06FF5" w:rsidRPr="005A78D2" w:rsidRDefault="00175B37" w:rsidP="000F4375">
            <w:pPr>
              <w:rPr>
                <w:rFonts w:asciiTheme="minorHAnsi" w:eastAsia="Times New Roman" w:hAnsiTheme="minorHAnsi" w:cstheme="minorHAnsi"/>
                <w:highlight w:val="cyan"/>
              </w:rPr>
            </w:pPr>
            <w:r w:rsidRPr="005A78D2">
              <w:rPr>
                <w:rFonts w:asciiTheme="minorHAnsi" w:hAnsiTheme="minorHAnsi" w:cstheme="minorHAnsi"/>
              </w:rPr>
              <w:t xml:space="preserve">Question </w:t>
            </w:r>
            <w:r w:rsidR="00981F8D" w:rsidRPr="005A78D2">
              <w:rPr>
                <w:rFonts w:asciiTheme="minorHAnsi" w:hAnsiTheme="minorHAnsi" w:cstheme="minorHAnsi"/>
              </w:rPr>
              <w:t>5</w:t>
            </w:r>
            <w:r w:rsidRPr="005A78D2">
              <w:rPr>
                <w:rFonts w:asciiTheme="minorHAnsi" w:hAnsiTheme="minorHAnsi" w:cstheme="minorHAnsi"/>
              </w:rPr>
              <w:t>:</w:t>
            </w:r>
            <w:r w:rsidR="007211B8" w:rsidRPr="005A78D2">
              <w:rPr>
                <w:rFonts w:asciiTheme="minorHAnsi" w:hAnsiTheme="minorHAnsi" w:cstheme="minorHAnsi"/>
              </w:rPr>
              <w:t xml:space="preserve"> </w:t>
            </w:r>
            <w:r w:rsidRPr="005A78D2">
              <w:rPr>
                <w:rFonts w:asciiTheme="minorHAnsi" w:hAnsiTheme="minorHAnsi" w:cstheme="minorHAnsi"/>
              </w:rPr>
              <w:t xml:space="preserve"> Page 3, B – The Notice requires a new 20-Year HAP Contract, regardless of whether there is a multi-year contract in effect.  Would HUD consider properties with more than 15 years remaining on the HAP Contract, as is currently allowed for LIHTC projects?</w:t>
            </w:r>
          </w:p>
        </w:tc>
      </w:tr>
      <w:tr w:rsidR="00C8692D" w:rsidRPr="005A78D2" w14:paraId="42F4D844" w14:textId="77777777" w:rsidTr="00C63991">
        <w:trPr>
          <w:gridAfter w:val="2"/>
          <w:wAfter w:w="34" w:type="dxa"/>
        </w:trPr>
        <w:tc>
          <w:tcPr>
            <w:tcW w:w="9331" w:type="dxa"/>
            <w:gridSpan w:val="2"/>
          </w:tcPr>
          <w:p w14:paraId="3D1719DA" w14:textId="77777777" w:rsidR="00F37C26" w:rsidRPr="005A78D2" w:rsidRDefault="00F37C26" w:rsidP="00FA3002">
            <w:pPr>
              <w:rPr>
                <w:rFonts w:asciiTheme="minorHAnsi" w:eastAsia="Times New Roman" w:hAnsiTheme="minorHAnsi" w:cstheme="minorHAnsi"/>
                <w:i/>
              </w:rPr>
            </w:pPr>
          </w:p>
          <w:p w14:paraId="45783D37" w14:textId="319A0B1F" w:rsidR="00F37C26" w:rsidRPr="005A78D2" w:rsidRDefault="00175B37" w:rsidP="00727446">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7211B8" w:rsidRPr="005A78D2">
              <w:rPr>
                <w:rFonts w:asciiTheme="minorHAnsi" w:eastAsia="Times New Roman" w:hAnsiTheme="minorHAnsi" w:cstheme="minorHAnsi"/>
                <w:i/>
                <w:color w:val="0070C0"/>
              </w:rPr>
              <w:t xml:space="preserve"> Properties are no longer required to have a 20-y</w:t>
            </w:r>
            <w:r w:rsidR="00727446" w:rsidRPr="005A78D2">
              <w:rPr>
                <w:rFonts w:asciiTheme="minorHAnsi" w:eastAsia="Times New Roman" w:hAnsiTheme="minorHAnsi" w:cstheme="minorHAnsi"/>
                <w:i/>
                <w:color w:val="0070C0"/>
              </w:rPr>
              <w:t>e</w:t>
            </w:r>
            <w:r w:rsidR="007211B8" w:rsidRPr="005A78D2">
              <w:rPr>
                <w:rFonts w:asciiTheme="minorHAnsi" w:eastAsia="Times New Roman" w:hAnsiTheme="minorHAnsi" w:cstheme="minorHAnsi"/>
                <w:i/>
                <w:color w:val="0070C0"/>
              </w:rPr>
              <w:t>ar HAP contract executed in advance of, or in conjunction with, the financing transaction.  If a multi-year HAP contract term is already in effect, the Owner and HUD do not need to terminate it and execute a new Renewal Contract for a minimum 20-year term</w:t>
            </w:r>
            <w:r w:rsidR="00DB4B84" w:rsidRPr="005A78D2">
              <w:rPr>
                <w:rFonts w:asciiTheme="minorHAnsi" w:eastAsia="Times New Roman" w:hAnsiTheme="minorHAnsi" w:cstheme="minorHAnsi"/>
                <w:i/>
                <w:color w:val="0070C0"/>
              </w:rPr>
              <w:t xml:space="preserve"> (</w:t>
            </w:r>
            <w:r w:rsidR="007211B8" w:rsidRPr="005A78D2">
              <w:rPr>
                <w:rFonts w:asciiTheme="minorHAnsi" w:eastAsia="Times New Roman" w:hAnsiTheme="minorHAnsi" w:cstheme="minorHAnsi"/>
                <w:i/>
                <w:color w:val="0070C0"/>
              </w:rPr>
              <w:t>unless the Section 8 Renewal Guide requires it</w:t>
            </w:r>
            <w:r w:rsidR="00DB4B84" w:rsidRPr="005A78D2">
              <w:rPr>
                <w:rFonts w:asciiTheme="minorHAnsi" w:eastAsia="Times New Roman" w:hAnsiTheme="minorHAnsi" w:cstheme="minorHAnsi"/>
                <w:i/>
                <w:color w:val="0070C0"/>
              </w:rPr>
              <w:t>)</w:t>
            </w:r>
            <w:r w:rsidR="007211B8" w:rsidRPr="005A78D2">
              <w:rPr>
                <w:rFonts w:asciiTheme="minorHAnsi" w:eastAsia="Times New Roman" w:hAnsiTheme="minorHAnsi" w:cstheme="minorHAnsi"/>
                <w:i/>
                <w:color w:val="0070C0"/>
              </w:rPr>
              <w:t xml:space="preserve">.  Properties with </w:t>
            </w:r>
            <w:r w:rsidR="00DB4B84" w:rsidRPr="005A78D2">
              <w:rPr>
                <w:rFonts w:asciiTheme="minorHAnsi" w:eastAsia="Times New Roman" w:hAnsiTheme="minorHAnsi" w:cstheme="minorHAnsi"/>
                <w:i/>
                <w:color w:val="0070C0"/>
              </w:rPr>
              <w:t>a minimum of</w:t>
            </w:r>
            <w:r w:rsidR="007211B8" w:rsidRPr="005A78D2">
              <w:rPr>
                <w:rFonts w:asciiTheme="minorHAnsi" w:eastAsia="Times New Roman" w:hAnsiTheme="minorHAnsi" w:cstheme="minorHAnsi"/>
                <w:i/>
                <w:color w:val="0070C0"/>
              </w:rPr>
              <w:t xml:space="preserve"> 15 years </w:t>
            </w:r>
            <w:r w:rsidR="007211B8" w:rsidRPr="005A78D2">
              <w:rPr>
                <w:rFonts w:asciiTheme="minorHAnsi" w:eastAsia="Times New Roman" w:hAnsiTheme="minorHAnsi" w:cstheme="minorHAnsi"/>
                <w:i/>
                <w:color w:val="0070C0"/>
              </w:rPr>
              <w:lastRenderedPageBreak/>
              <w:t>remaining on the HAP Contract</w:t>
            </w:r>
            <w:r w:rsidR="00DF57B6" w:rsidRPr="005A78D2">
              <w:rPr>
                <w:rFonts w:asciiTheme="minorHAnsi" w:eastAsia="Times New Roman" w:hAnsiTheme="minorHAnsi" w:cstheme="minorHAnsi"/>
                <w:i/>
                <w:color w:val="0070C0"/>
              </w:rPr>
              <w:t>, as of the anticipated final endorsement date,</w:t>
            </w:r>
            <w:r w:rsidR="007211B8" w:rsidRPr="005A78D2">
              <w:rPr>
                <w:rFonts w:asciiTheme="minorHAnsi" w:eastAsia="Times New Roman" w:hAnsiTheme="minorHAnsi" w:cstheme="minorHAnsi"/>
                <w:i/>
                <w:color w:val="0070C0"/>
              </w:rPr>
              <w:t xml:space="preserve"> are eligible under the Pilot.  </w:t>
            </w:r>
          </w:p>
          <w:p w14:paraId="7EE8C5AF" w14:textId="585EBCA7" w:rsidR="00727446" w:rsidRPr="005A78D2" w:rsidRDefault="00727446" w:rsidP="00727446">
            <w:pPr>
              <w:rPr>
                <w:rFonts w:asciiTheme="minorHAnsi" w:eastAsia="Times New Roman" w:hAnsiTheme="minorHAnsi" w:cstheme="minorHAnsi"/>
                <w:i/>
              </w:rPr>
            </w:pPr>
          </w:p>
        </w:tc>
      </w:tr>
      <w:tr w:rsidR="001D3D61" w:rsidRPr="005A78D2" w14:paraId="0B982A97" w14:textId="77777777" w:rsidTr="00C63991">
        <w:trPr>
          <w:gridAfter w:val="2"/>
          <w:wAfter w:w="34" w:type="dxa"/>
        </w:trPr>
        <w:tc>
          <w:tcPr>
            <w:tcW w:w="9331" w:type="dxa"/>
            <w:gridSpan w:val="2"/>
          </w:tcPr>
          <w:p w14:paraId="65AF27D6" w14:textId="645C1919" w:rsidR="001D3D61" w:rsidRPr="005A78D2" w:rsidRDefault="001D3D61" w:rsidP="006262D6">
            <w:pPr>
              <w:rPr>
                <w:rFonts w:asciiTheme="minorHAnsi" w:eastAsia="Times New Roman" w:hAnsiTheme="minorHAnsi" w:cstheme="minorHAnsi"/>
              </w:rPr>
            </w:pPr>
            <w:r w:rsidRPr="005A78D2">
              <w:rPr>
                <w:rFonts w:asciiTheme="minorHAnsi" w:eastAsia="Times New Roman" w:hAnsiTheme="minorHAnsi" w:cstheme="minorHAnsi"/>
              </w:rPr>
              <w:lastRenderedPageBreak/>
              <w:t xml:space="preserve">Question </w:t>
            </w:r>
            <w:r w:rsidR="00365A81" w:rsidRPr="005A78D2">
              <w:rPr>
                <w:rFonts w:asciiTheme="minorHAnsi" w:eastAsia="Times New Roman" w:hAnsiTheme="minorHAnsi" w:cstheme="minorHAnsi"/>
              </w:rPr>
              <w:t>6</w:t>
            </w:r>
            <w:r w:rsidRPr="005A78D2">
              <w:rPr>
                <w:rFonts w:asciiTheme="minorHAnsi" w:eastAsia="Times New Roman" w:hAnsiTheme="minorHAnsi" w:cstheme="minorHAnsi"/>
              </w:rPr>
              <w:t>: Page 5 of 24 – Lender is responsible for review/approval of construction cost increase over 5% after Firm Commitment under certain circumstances.  My questions pertain to the following: If the loan is criterion 11 constrained and below the LTC threshold, would HUD allow for the FHA loan to increase (outside of the final locked rate being lower than the processed rate that would increase the DS constrained loan)?  I believe the answer is No.  If the Lender/Borrower was willing to have HUD review the changes for approval, would HUD entertain an increase in the loan amount to offset the increase in the costs (provided the LTC is below the acceptable threshold for expedited processing)?</w:t>
            </w:r>
          </w:p>
        </w:tc>
      </w:tr>
      <w:tr w:rsidR="00C8692D" w:rsidRPr="005A78D2" w14:paraId="7E85B9AA" w14:textId="77777777" w:rsidTr="00C63991">
        <w:trPr>
          <w:gridAfter w:val="2"/>
          <w:wAfter w:w="34" w:type="dxa"/>
        </w:trPr>
        <w:tc>
          <w:tcPr>
            <w:tcW w:w="9331" w:type="dxa"/>
            <w:gridSpan w:val="2"/>
          </w:tcPr>
          <w:p w14:paraId="022646CE" w14:textId="77777777" w:rsidR="00F37C26" w:rsidRPr="005A78D2" w:rsidRDefault="00F37C26" w:rsidP="00FA3002">
            <w:pPr>
              <w:rPr>
                <w:rFonts w:asciiTheme="minorHAnsi" w:eastAsia="Times New Roman" w:hAnsiTheme="minorHAnsi" w:cstheme="minorHAnsi"/>
                <w:i/>
                <w:color w:val="0070C0"/>
              </w:rPr>
            </w:pPr>
          </w:p>
          <w:p w14:paraId="1480034A" w14:textId="596592CD" w:rsidR="00D06FF5" w:rsidRPr="005A78D2" w:rsidRDefault="00D06FF5" w:rsidP="00FA3002">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2C69BF" w:rsidRPr="005A78D2">
              <w:rPr>
                <w:rFonts w:asciiTheme="minorHAnsi" w:eastAsia="Times New Roman" w:hAnsiTheme="minorHAnsi" w:cstheme="minorHAnsi"/>
                <w:i/>
                <w:color w:val="0070C0"/>
              </w:rPr>
              <w:t>HUD will consider an increase in the loan amount to offset increased mortgageable costs.  The LTC ratio must remain within the Pilot limits.</w:t>
            </w:r>
            <w:r w:rsidR="00DF57B6" w:rsidRPr="005A78D2">
              <w:rPr>
                <w:rFonts w:asciiTheme="minorHAnsi" w:eastAsia="Times New Roman" w:hAnsiTheme="minorHAnsi" w:cstheme="minorHAnsi"/>
                <w:i/>
                <w:color w:val="0070C0"/>
              </w:rPr>
              <w:t xml:space="preserve">  The NOI approved at Firm Commitment should not be increased.  The Lender is responsible for analysis and justification to demonstrate that the proposed mortgage increase does not increase the risk of the transaction.</w:t>
            </w:r>
            <w:r w:rsidR="002D08A7" w:rsidRPr="005A78D2">
              <w:rPr>
                <w:rFonts w:asciiTheme="minorHAnsi" w:eastAsia="Times New Roman" w:hAnsiTheme="minorHAnsi" w:cstheme="minorHAnsi"/>
                <w:i/>
                <w:color w:val="0070C0"/>
              </w:rPr>
              <w:t xml:space="preserve">  </w:t>
            </w:r>
          </w:p>
          <w:p w14:paraId="67A6A145" w14:textId="0D586DFC" w:rsidR="00F37C26" w:rsidRPr="005A78D2" w:rsidRDefault="00F37C26" w:rsidP="002C69BF">
            <w:pPr>
              <w:rPr>
                <w:rFonts w:asciiTheme="minorHAnsi" w:eastAsia="Times New Roman" w:hAnsiTheme="minorHAnsi" w:cstheme="minorHAnsi"/>
                <w:i/>
                <w:color w:val="0070C0"/>
              </w:rPr>
            </w:pPr>
          </w:p>
        </w:tc>
      </w:tr>
      <w:tr w:rsidR="00967248" w:rsidRPr="005A78D2" w14:paraId="32D00BBA" w14:textId="77777777" w:rsidTr="00C63991">
        <w:trPr>
          <w:gridAfter w:val="2"/>
          <w:wAfter w:w="34" w:type="dxa"/>
        </w:trPr>
        <w:tc>
          <w:tcPr>
            <w:tcW w:w="9331" w:type="dxa"/>
            <w:gridSpan w:val="2"/>
          </w:tcPr>
          <w:p w14:paraId="5B6AFF46" w14:textId="589A67C2" w:rsidR="00967248" w:rsidRPr="005A78D2" w:rsidRDefault="00967248" w:rsidP="006262D6">
            <w:pPr>
              <w:contextualSpacing/>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365A81" w:rsidRPr="005A78D2">
              <w:rPr>
                <w:rFonts w:asciiTheme="minorHAnsi" w:eastAsia="Times New Roman" w:hAnsiTheme="minorHAnsi" w:cstheme="minorHAnsi"/>
              </w:rPr>
              <w:t>7</w:t>
            </w:r>
            <w:r w:rsidRPr="005A78D2">
              <w:rPr>
                <w:rFonts w:asciiTheme="minorHAnsi" w:eastAsia="Times New Roman" w:hAnsiTheme="minorHAnsi" w:cstheme="minorHAnsi"/>
              </w:rPr>
              <w:t xml:space="preserve">:  </w:t>
            </w:r>
            <w:r w:rsidRPr="005A78D2">
              <w:rPr>
                <w:rFonts w:asciiTheme="minorHAnsi" w:hAnsiTheme="minorHAnsi" w:cstheme="minorHAnsi"/>
              </w:rPr>
              <w:t xml:space="preserve">A change (from FC to IE) in construction cost increases over 5% is approved by the lender.  What if construction costs </w:t>
            </w:r>
            <w:proofErr w:type="gramStart"/>
            <w:r w:rsidRPr="005A78D2">
              <w:rPr>
                <w:rFonts w:asciiTheme="minorHAnsi" w:hAnsiTheme="minorHAnsi" w:cstheme="minorHAnsi"/>
              </w:rPr>
              <w:t>decreases</w:t>
            </w:r>
            <w:proofErr w:type="gramEnd"/>
            <w:r w:rsidRPr="005A78D2">
              <w:rPr>
                <w:rFonts w:asciiTheme="minorHAnsi" w:hAnsiTheme="minorHAnsi" w:cstheme="minorHAnsi"/>
              </w:rPr>
              <w:t xml:space="preserve"> w/in 5%?</w:t>
            </w:r>
          </w:p>
        </w:tc>
      </w:tr>
      <w:tr w:rsidR="00967248" w:rsidRPr="005A78D2" w14:paraId="37765E93" w14:textId="77777777" w:rsidTr="00C63991">
        <w:trPr>
          <w:gridAfter w:val="2"/>
          <w:wAfter w:w="34" w:type="dxa"/>
        </w:trPr>
        <w:tc>
          <w:tcPr>
            <w:tcW w:w="9331" w:type="dxa"/>
            <w:gridSpan w:val="2"/>
          </w:tcPr>
          <w:p w14:paraId="70EECE06" w14:textId="77777777" w:rsidR="00DC532D" w:rsidRPr="005A78D2" w:rsidRDefault="00DC532D" w:rsidP="00FA3002">
            <w:pPr>
              <w:rPr>
                <w:rFonts w:asciiTheme="minorHAnsi" w:eastAsia="Times New Roman" w:hAnsiTheme="minorHAnsi" w:cstheme="minorHAnsi"/>
              </w:rPr>
            </w:pPr>
          </w:p>
          <w:p w14:paraId="7028948B" w14:textId="1D33072D" w:rsidR="00DC532D" w:rsidRPr="005A78D2" w:rsidRDefault="00880951" w:rsidP="00FA3002">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DF57B6" w:rsidRPr="005A78D2">
              <w:rPr>
                <w:rFonts w:asciiTheme="minorHAnsi" w:eastAsia="Times New Roman" w:hAnsiTheme="minorHAnsi" w:cstheme="minorHAnsi"/>
                <w:i/>
                <w:color w:val="0070C0"/>
              </w:rPr>
              <w:t xml:space="preserve">A reduction in cost would generally be acceptable, so long as the LTC ratio </w:t>
            </w:r>
            <w:r w:rsidR="00200C17" w:rsidRPr="005A78D2">
              <w:rPr>
                <w:rFonts w:asciiTheme="minorHAnsi" w:eastAsia="Times New Roman" w:hAnsiTheme="minorHAnsi" w:cstheme="minorHAnsi"/>
                <w:i/>
                <w:color w:val="0070C0"/>
              </w:rPr>
              <w:t>remains</w:t>
            </w:r>
            <w:r w:rsidR="00DF57B6" w:rsidRPr="005A78D2">
              <w:rPr>
                <w:rFonts w:asciiTheme="minorHAnsi" w:eastAsia="Times New Roman" w:hAnsiTheme="minorHAnsi" w:cstheme="minorHAnsi"/>
                <w:i/>
                <w:color w:val="0070C0"/>
              </w:rPr>
              <w:t xml:space="preserve"> within the Pilot limits and the Lender adequately demonstrates that </w:t>
            </w:r>
            <w:r w:rsidR="00DC532D" w:rsidRPr="005A78D2">
              <w:rPr>
                <w:rFonts w:asciiTheme="minorHAnsi" w:eastAsia="Times New Roman" w:hAnsiTheme="minorHAnsi" w:cstheme="minorHAnsi"/>
                <w:i/>
                <w:color w:val="0070C0"/>
              </w:rPr>
              <w:t xml:space="preserve">the cost decrease </w:t>
            </w:r>
            <w:r w:rsidR="00DF57B6" w:rsidRPr="005A78D2">
              <w:rPr>
                <w:rFonts w:asciiTheme="minorHAnsi" w:eastAsia="Times New Roman" w:hAnsiTheme="minorHAnsi" w:cstheme="minorHAnsi"/>
                <w:i/>
                <w:color w:val="0070C0"/>
              </w:rPr>
              <w:t xml:space="preserve">is not the result of </w:t>
            </w:r>
            <w:r w:rsidR="00DC532D" w:rsidRPr="005A78D2">
              <w:rPr>
                <w:rFonts w:asciiTheme="minorHAnsi" w:eastAsia="Times New Roman" w:hAnsiTheme="minorHAnsi" w:cstheme="minorHAnsi"/>
                <w:i/>
                <w:color w:val="0070C0"/>
              </w:rPr>
              <w:t xml:space="preserve">value engineering </w:t>
            </w:r>
            <w:r w:rsidR="00EA0E76" w:rsidRPr="005A78D2">
              <w:rPr>
                <w:rFonts w:asciiTheme="minorHAnsi" w:eastAsia="Times New Roman" w:hAnsiTheme="minorHAnsi" w:cstheme="minorHAnsi"/>
                <w:i/>
                <w:color w:val="0070C0"/>
              </w:rPr>
              <w:t xml:space="preserve">or diminishment in quality that will compromise the </w:t>
            </w:r>
            <w:r w:rsidR="00200C17" w:rsidRPr="005A78D2">
              <w:rPr>
                <w:rFonts w:asciiTheme="minorHAnsi" w:eastAsia="Times New Roman" w:hAnsiTheme="minorHAnsi" w:cstheme="minorHAnsi"/>
                <w:i/>
                <w:color w:val="0070C0"/>
              </w:rPr>
              <w:t>transaction</w:t>
            </w:r>
            <w:r w:rsidR="00DC532D" w:rsidRPr="005A78D2">
              <w:rPr>
                <w:rFonts w:asciiTheme="minorHAnsi" w:eastAsia="Times New Roman" w:hAnsiTheme="minorHAnsi" w:cstheme="minorHAnsi"/>
                <w:i/>
                <w:color w:val="0070C0"/>
              </w:rPr>
              <w:t xml:space="preserve"> </w:t>
            </w:r>
            <w:r w:rsidR="00EA0E76" w:rsidRPr="005A78D2">
              <w:rPr>
                <w:rFonts w:asciiTheme="minorHAnsi" w:eastAsia="Times New Roman" w:hAnsiTheme="minorHAnsi" w:cstheme="minorHAnsi"/>
                <w:i/>
                <w:color w:val="0070C0"/>
              </w:rPr>
              <w:t xml:space="preserve">HUD originally approved.  </w:t>
            </w:r>
          </w:p>
          <w:p w14:paraId="725EBC9A" w14:textId="5E6BFF28" w:rsidR="00DC532D" w:rsidRPr="005A78D2" w:rsidRDefault="00DC532D" w:rsidP="00FA3002">
            <w:pPr>
              <w:rPr>
                <w:rFonts w:asciiTheme="minorHAnsi" w:eastAsia="Times New Roman" w:hAnsiTheme="minorHAnsi" w:cstheme="minorHAnsi"/>
              </w:rPr>
            </w:pPr>
          </w:p>
        </w:tc>
      </w:tr>
      <w:tr w:rsidR="001D3D61" w:rsidRPr="005A78D2" w14:paraId="304180BF" w14:textId="77777777" w:rsidTr="00C63991">
        <w:trPr>
          <w:gridAfter w:val="2"/>
          <w:wAfter w:w="34" w:type="dxa"/>
        </w:trPr>
        <w:tc>
          <w:tcPr>
            <w:tcW w:w="9331" w:type="dxa"/>
            <w:gridSpan w:val="2"/>
          </w:tcPr>
          <w:p w14:paraId="18A94179" w14:textId="1D39923A" w:rsidR="001D3D61" w:rsidRPr="005A78D2" w:rsidRDefault="001D3D61" w:rsidP="006262D6">
            <w:pPr>
              <w:rPr>
                <w:rFonts w:asciiTheme="minorHAnsi" w:eastAsia="Times New Roman" w:hAnsiTheme="minorHAnsi" w:cstheme="minorHAnsi"/>
                <w:i/>
              </w:rPr>
            </w:pPr>
            <w:r w:rsidRPr="005A78D2">
              <w:rPr>
                <w:rFonts w:asciiTheme="minorHAnsi" w:hAnsiTheme="minorHAnsi" w:cstheme="minorHAnsi"/>
              </w:rPr>
              <w:t xml:space="preserve">Question </w:t>
            </w:r>
            <w:r w:rsidR="00365A81" w:rsidRPr="005A78D2">
              <w:rPr>
                <w:rFonts w:asciiTheme="minorHAnsi" w:hAnsiTheme="minorHAnsi" w:cstheme="minorHAnsi"/>
              </w:rPr>
              <w:t>8</w:t>
            </w:r>
            <w:r w:rsidRPr="005A78D2">
              <w:rPr>
                <w:rFonts w:asciiTheme="minorHAnsi" w:hAnsiTheme="minorHAnsi" w:cstheme="minorHAnsi"/>
              </w:rPr>
              <w:t xml:space="preserve">: Pg 5, Last paragraph – Numbers 1 and 5 are somewhat contradictory, aren’t they? You could have an increase in construction costs and have that be covered by the increase in mortgage proceeds due to a lower locked interest rate, could you not? </w:t>
            </w:r>
          </w:p>
        </w:tc>
      </w:tr>
      <w:tr w:rsidR="001D3D61" w:rsidRPr="005A78D2" w14:paraId="5D0D5A24" w14:textId="77777777" w:rsidTr="00C63991">
        <w:trPr>
          <w:gridAfter w:val="2"/>
          <w:wAfter w:w="34" w:type="dxa"/>
        </w:trPr>
        <w:tc>
          <w:tcPr>
            <w:tcW w:w="9331" w:type="dxa"/>
            <w:gridSpan w:val="2"/>
          </w:tcPr>
          <w:p w14:paraId="0F0C209F" w14:textId="77777777" w:rsidR="00815A5D" w:rsidRPr="005A78D2" w:rsidRDefault="00815A5D" w:rsidP="00815A5D">
            <w:pPr>
              <w:rPr>
                <w:rFonts w:asciiTheme="minorHAnsi" w:eastAsia="Times New Roman" w:hAnsiTheme="minorHAnsi" w:cstheme="minorHAnsi"/>
                <w:i/>
                <w:color w:val="0070C0"/>
              </w:rPr>
            </w:pPr>
          </w:p>
          <w:p w14:paraId="7CE774C2" w14:textId="0923F286" w:rsidR="00DC532D" w:rsidRPr="005A78D2" w:rsidRDefault="00815A5D" w:rsidP="00DC532D">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200C17" w:rsidRPr="005A78D2">
              <w:rPr>
                <w:rFonts w:asciiTheme="minorHAnsi" w:eastAsia="Times New Roman" w:hAnsiTheme="minorHAnsi" w:cstheme="minorHAnsi"/>
                <w:i/>
                <w:color w:val="0070C0"/>
              </w:rPr>
              <w:t xml:space="preserve">A cost increase may be covered by an increase in non-FHA subordinate financing or LIHTC equity, and thus presents </w:t>
            </w:r>
            <w:r w:rsidR="00365A81" w:rsidRPr="005A78D2">
              <w:rPr>
                <w:rFonts w:asciiTheme="minorHAnsi" w:eastAsia="Times New Roman" w:hAnsiTheme="minorHAnsi" w:cstheme="minorHAnsi"/>
                <w:i/>
                <w:color w:val="0070C0"/>
              </w:rPr>
              <w:t>minimal risk</w:t>
            </w:r>
            <w:r w:rsidR="00200C17" w:rsidRPr="005A78D2">
              <w:rPr>
                <w:rFonts w:asciiTheme="minorHAnsi" w:eastAsia="Times New Roman" w:hAnsiTheme="minorHAnsi" w:cstheme="minorHAnsi"/>
                <w:i/>
                <w:color w:val="0070C0"/>
              </w:rPr>
              <w:t xml:space="preserve"> to HUD, but may also be covered by an increase in mortgage proceeds due to a lower placed rate of interest if there are no additional subordinate sources or LIHTC equity available or those non-FHA sources are insufficient to fill the gap. </w:t>
            </w:r>
            <w:r w:rsidRPr="005A78D2">
              <w:rPr>
                <w:rFonts w:asciiTheme="minorHAnsi" w:eastAsia="Times New Roman" w:hAnsiTheme="minorHAnsi" w:cstheme="minorHAnsi"/>
                <w:i/>
                <w:color w:val="0070C0"/>
              </w:rPr>
              <w:t>HUD will consider an increase in the loan amount to offset increased mortgageable costs.  The LTC ratio must remain within the Pilot limits.</w:t>
            </w:r>
            <w:r w:rsidR="00200C17" w:rsidRPr="005A78D2">
              <w:rPr>
                <w:rFonts w:asciiTheme="minorHAnsi" w:eastAsia="Times New Roman" w:hAnsiTheme="minorHAnsi" w:cstheme="minorHAnsi"/>
                <w:i/>
                <w:color w:val="0070C0"/>
              </w:rPr>
              <w:t xml:space="preserve"> The NOI approved at Firm Commitment should not be increased.  The Lender is responsible for analysis and justification to demonstrate that the proposed mortgage increase does not increase the risk of the transaction. </w:t>
            </w:r>
            <w:r w:rsidRPr="005A78D2">
              <w:rPr>
                <w:rFonts w:asciiTheme="minorHAnsi" w:eastAsia="Times New Roman" w:hAnsiTheme="minorHAnsi" w:cstheme="minorHAnsi"/>
                <w:i/>
                <w:color w:val="0070C0"/>
              </w:rPr>
              <w:t xml:space="preserve">  </w:t>
            </w:r>
          </w:p>
          <w:p w14:paraId="5BF4E54B" w14:textId="567735DB" w:rsidR="00DC532D" w:rsidRPr="005A78D2" w:rsidRDefault="00DC532D" w:rsidP="00DC532D">
            <w:pPr>
              <w:rPr>
                <w:rFonts w:asciiTheme="minorHAnsi" w:eastAsia="Times New Roman" w:hAnsiTheme="minorHAnsi" w:cstheme="minorHAnsi"/>
                <w:i/>
                <w:color w:val="0070C0"/>
              </w:rPr>
            </w:pPr>
          </w:p>
        </w:tc>
      </w:tr>
      <w:tr w:rsidR="00967248" w:rsidRPr="0043666E" w14:paraId="48844E0A" w14:textId="77777777" w:rsidTr="00C63991">
        <w:tc>
          <w:tcPr>
            <w:tcW w:w="9365" w:type="dxa"/>
            <w:gridSpan w:val="4"/>
          </w:tcPr>
          <w:p w14:paraId="6A7D994B" w14:textId="4C9524A7" w:rsidR="00967248" w:rsidRPr="005A78D2" w:rsidRDefault="00967248" w:rsidP="00967248">
            <w:pPr>
              <w:contextualSpacing/>
              <w:rPr>
                <w:rFonts w:asciiTheme="minorHAnsi" w:hAnsiTheme="minorHAnsi" w:cstheme="minorHAnsi"/>
              </w:rPr>
            </w:pPr>
            <w:r w:rsidRPr="005A78D2">
              <w:rPr>
                <w:rFonts w:asciiTheme="minorHAnsi" w:eastAsia="Times New Roman" w:hAnsiTheme="minorHAnsi" w:cstheme="minorHAnsi"/>
              </w:rPr>
              <w:t xml:space="preserve">Question </w:t>
            </w:r>
            <w:r w:rsidR="00365A81" w:rsidRPr="005A78D2">
              <w:rPr>
                <w:rFonts w:asciiTheme="minorHAnsi" w:eastAsia="Times New Roman" w:hAnsiTheme="minorHAnsi" w:cstheme="minorHAnsi"/>
              </w:rPr>
              <w:t>9</w:t>
            </w:r>
            <w:r w:rsidRPr="005A78D2">
              <w:rPr>
                <w:rFonts w:asciiTheme="minorHAnsi" w:eastAsia="Times New Roman" w:hAnsiTheme="minorHAnsi" w:cstheme="minorHAnsi"/>
              </w:rPr>
              <w:t xml:space="preserve">: </w:t>
            </w:r>
            <w:r w:rsidRPr="005A78D2">
              <w:rPr>
                <w:rFonts w:asciiTheme="minorHAnsi" w:hAnsiTheme="minorHAnsi" w:cstheme="minorHAnsi"/>
              </w:rPr>
              <w:t>Page 6, 2</w:t>
            </w:r>
            <w:r w:rsidRPr="005A78D2">
              <w:rPr>
                <w:rFonts w:asciiTheme="minorHAnsi" w:hAnsiTheme="minorHAnsi" w:cstheme="minorHAnsi"/>
                <w:vertAlign w:val="superscript"/>
              </w:rPr>
              <w:t>nd</w:t>
            </w:r>
            <w:r w:rsidRPr="005A78D2">
              <w:rPr>
                <w:rFonts w:asciiTheme="minorHAnsi" w:hAnsiTheme="minorHAnsi" w:cstheme="minorHAnsi"/>
              </w:rPr>
              <w:t xml:space="preserve"> paragraph – During the construction phase, HUD does not need to approve the release of funds from the IOD, WC, and all other escrow accounts.</w:t>
            </w:r>
          </w:p>
          <w:p w14:paraId="10AC0884" w14:textId="77777777" w:rsidR="0043666E" w:rsidRPr="005A78D2" w:rsidRDefault="0043666E" w:rsidP="00967248">
            <w:pPr>
              <w:contextualSpacing/>
              <w:rPr>
                <w:rFonts w:asciiTheme="minorHAnsi" w:hAnsiTheme="minorHAnsi" w:cstheme="minorHAnsi"/>
              </w:rPr>
            </w:pPr>
          </w:p>
          <w:p w14:paraId="5EA05907" w14:textId="3744DCFB" w:rsidR="00967248" w:rsidRPr="005A78D2" w:rsidRDefault="005A2F1A" w:rsidP="006262D6">
            <w:pPr>
              <w:contextualSpacing/>
              <w:rPr>
                <w:rFonts w:asciiTheme="minorHAnsi" w:eastAsia="Times New Roman" w:hAnsiTheme="minorHAnsi" w:cstheme="minorHAnsi"/>
              </w:rPr>
            </w:pPr>
            <w:r w:rsidRPr="005A78D2">
              <w:rPr>
                <w:rFonts w:asciiTheme="minorHAnsi" w:hAnsiTheme="minorHAnsi" w:cstheme="minorHAnsi"/>
              </w:rPr>
              <w:t>(a) What other escrow accounts could exist?</w:t>
            </w:r>
          </w:p>
        </w:tc>
      </w:tr>
      <w:tr w:rsidR="00967248" w:rsidRPr="0043666E" w14:paraId="60198598" w14:textId="77777777" w:rsidTr="00C63991">
        <w:tc>
          <w:tcPr>
            <w:tcW w:w="9365" w:type="dxa"/>
            <w:gridSpan w:val="4"/>
          </w:tcPr>
          <w:p w14:paraId="2FFA9BAC" w14:textId="77777777" w:rsidR="00C51CC0" w:rsidRPr="005A78D2" w:rsidRDefault="00C51CC0" w:rsidP="006262D6">
            <w:pPr>
              <w:rPr>
                <w:rFonts w:asciiTheme="minorHAnsi" w:eastAsia="Times New Roman" w:hAnsiTheme="minorHAnsi" w:cstheme="minorHAnsi"/>
                <w:i/>
                <w:color w:val="0070C0"/>
              </w:rPr>
            </w:pPr>
          </w:p>
          <w:p w14:paraId="741C5744" w14:textId="77777777" w:rsidR="00967248" w:rsidRPr="005A78D2" w:rsidRDefault="005A2F1A" w:rsidP="006262D6">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Reply:</w:t>
            </w:r>
            <w:r w:rsidR="00C72A60" w:rsidRPr="005A78D2">
              <w:rPr>
                <w:rFonts w:asciiTheme="minorHAnsi" w:eastAsia="Times New Roman" w:hAnsiTheme="minorHAnsi" w:cstheme="minorHAnsi"/>
                <w:i/>
                <w:color w:val="0070C0"/>
              </w:rPr>
              <w:t xml:space="preserve">  Offsite escrow, tenant relocation escrow, other 3</w:t>
            </w:r>
            <w:r w:rsidR="00C72A60" w:rsidRPr="005A78D2">
              <w:rPr>
                <w:rFonts w:asciiTheme="minorHAnsi" w:eastAsia="Times New Roman" w:hAnsiTheme="minorHAnsi" w:cstheme="minorHAnsi"/>
                <w:i/>
                <w:color w:val="0070C0"/>
                <w:vertAlign w:val="superscript"/>
              </w:rPr>
              <w:t>rd</w:t>
            </w:r>
            <w:r w:rsidR="00C72A60" w:rsidRPr="005A78D2">
              <w:rPr>
                <w:rFonts w:asciiTheme="minorHAnsi" w:eastAsia="Times New Roman" w:hAnsiTheme="minorHAnsi" w:cstheme="minorHAnsi"/>
                <w:i/>
                <w:color w:val="0070C0"/>
              </w:rPr>
              <w:t xml:space="preserve"> party required escrows</w:t>
            </w:r>
            <w:r w:rsidR="00DC532D" w:rsidRPr="005A78D2">
              <w:rPr>
                <w:rFonts w:asciiTheme="minorHAnsi" w:eastAsia="Times New Roman" w:hAnsiTheme="minorHAnsi" w:cstheme="minorHAnsi"/>
                <w:i/>
                <w:color w:val="0070C0"/>
              </w:rPr>
              <w:t>.</w:t>
            </w:r>
          </w:p>
          <w:p w14:paraId="16B2B013" w14:textId="0F70C403" w:rsidR="006262D6" w:rsidRPr="005A78D2" w:rsidRDefault="006262D6" w:rsidP="006262D6">
            <w:pPr>
              <w:rPr>
                <w:rFonts w:asciiTheme="minorHAnsi" w:eastAsia="Times New Roman" w:hAnsiTheme="minorHAnsi" w:cstheme="minorHAnsi"/>
                <w:i/>
                <w:color w:val="0070C0"/>
              </w:rPr>
            </w:pPr>
          </w:p>
        </w:tc>
      </w:tr>
      <w:tr w:rsidR="005A2F1A" w:rsidRPr="0043666E" w14:paraId="005B7C4D" w14:textId="77777777" w:rsidTr="00C63991">
        <w:tc>
          <w:tcPr>
            <w:tcW w:w="9365" w:type="dxa"/>
            <w:gridSpan w:val="4"/>
          </w:tcPr>
          <w:p w14:paraId="5A155B46" w14:textId="7E4CC409" w:rsidR="005A2F1A" w:rsidRPr="005A78D2" w:rsidRDefault="005A2F1A" w:rsidP="006262D6">
            <w:pPr>
              <w:rPr>
                <w:rFonts w:asciiTheme="minorHAnsi" w:eastAsia="Times New Roman" w:hAnsiTheme="minorHAnsi" w:cstheme="minorHAnsi"/>
              </w:rPr>
            </w:pPr>
            <w:r w:rsidRPr="005A78D2">
              <w:rPr>
                <w:rFonts w:asciiTheme="minorHAnsi" w:eastAsia="Times New Roman" w:hAnsiTheme="minorHAnsi" w:cstheme="minorHAnsi"/>
              </w:rPr>
              <w:t xml:space="preserve">(b) </w:t>
            </w:r>
            <w:r w:rsidRPr="005A78D2">
              <w:rPr>
                <w:rFonts w:asciiTheme="minorHAnsi" w:hAnsiTheme="minorHAnsi" w:cstheme="minorHAnsi"/>
              </w:rPr>
              <w:t>When does the “construction phase” end – 100% inspection, commencement of amortization, final endorsement, etc.?  Definition of Construction Phase is needed.</w:t>
            </w:r>
          </w:p>
        </w:tc>
      </w:tr>
      <w:tr w:rsidR="005A2F1A" w:rsidRPr="0043666E" w14:paraId="637165E7" w14:textId="77777777" w:rsidTr="00C63991">
        <w:tc>
          <w:tcPr>
            <w:tcW w:w="9365" w:type="dxa"/>
            <w:gridSpan w:val="4"/>
          </w:tcPr>
          <w:p w14:paraId="21E73F54" w14:textId="77777777" w:rsidR="006262D6" w:rsidRPr="005A78D2" w:rsidRDefault="006262D6" w:rsidP="00AB6343">
            <w:pPr>
              <w:rPr>
                <w:rFonts w:asciiTheme="minorHAnsi" w:eastAsia="Times New Roman" w:hAnsiTheme="minorHAnsi" w:cstheme="minorHAnsi"/>
                <w:i/>
                <w:color w:val="0070C0"/>
              </w:rPr>
            </w:pPr>
          </w:p>
          <w:p w14:paraId="6D395C3F" w14:textId="7E6A1E94" w:rsidR="005A2F1A" w:rsidRPr="005A78D2" w:rsidRDefault="005A2F1A" w:rsidP="00AB6343">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lastRenderedPageBreak/>
              <w:t xml:space="preserve">Reply: </w:t>
            </w:r>
            <w:r w:rsidR="00444C9A" w:rsidRPr="005A78D2">
              <w:rPr>
                <w:rFonts w:asciiTheme="minorHAnsi" w:eastAsia="Times New Roman" w:hAnsiTheme="minorHAnsi" w:cstheme="minorHAnsi"/>
                <w:i/>
                <w:color w:val="0070C0"/>
              </w:rPr>
              <w:t xml:space="preserve">The final trip report </w:t>
            </w:r>
            <w:r w:rsidR="00365A81" w:rsidRPr="005A78D2">
              <w:rPr>
                <w:rFonts w:asciiTheme="minorHAnsi" w:eastAsia="Times New Roman" w:hAnsiTheme="minorHAnsi" w:cstheme="minorHAnsi"/>
                <w:i/>
                <w:color w:val="0070C0"/>
              </w:rPr>
              <w:t>determines</w:t>
            </w:r>
            <w:r w:rsidR="00444C9A" w:rsidRPr="005A78D2">
              <w:rPr>
                <w:rFonts w:asciiTheme="minorHAnsi" w:eastAsia="Times New Roman" w:hAnsiTheme="minorHAnsi" w:cstheme="minorHAnsi"/>
                <w:i/>
                <w:color w:val="0070C0"/>
              </w:rPr>
              <w:t xml:space="preserve"> when the construction period </w:t>
            </w:r>
            <w:proofErr w:type="gramStart"/>
            <w:r w:rsidR="00444C9A" w:rsidRPr="005A78D2">
              <w:rPr>
                <w:rFonts w:asciiTheme="minorHAnsi" w:eastAsia="Times New Roman" w:hAnsiTheme="minorHAnsi" w:cstheme="minorHAnsi"/>
                <w:i/>
                <w:color w:val="0070C0"/>
              </w:rPr>
              <w:t>ends</w:t>
            </w:r>
            <w:proofErr w:type="gramEnd"/>
            <w:r w:rsidR="00444C9A" w:rsidRPr="005A78D2">
              <w:rPr>
                <w:rFonts w:asciiTheme="minorHAnsi" w:eastAsia="Times New Roman" w:hAnsiTheme="minorHAnsi" w:cstheme="minorHAnsi"/>
                <w:i/>
                <w:color w:val="0070C0"/>
              </w:rPr>
              <w:t xml:space="preserve"> and project operations begin.</w:t>
            </w:r>
          </w:p>
          <w:p w14:paraId="50BC50B7" w14:textId="56D96660" w:rsidR="00DC532D" w:rsidRPr="005A78D2" w:rsidRDefault="00DC532D" w:rsidP="00AB6343">
            <w:pPr>
              <w:rPr>
                <w:rFonts w:asciiTheme="minorHAnsi" w:eastAsia="Times New Roman" w:hAnsiTheme="minorHAnsi" w:cstheme="minorHAnsi"/>
                <w:i/>
                <w:color w:val="0070C0"/>
              </w:rPr>
            </w:pPr>
          </w:p>
        </w:tc>
      </w:tr>
      <w:tr w:rsidR="005A2F1A" w:rsidRPr="0043666E" w14:paraId="6CD706BB" w14:textId="77777777" w:rsidTr="00C63991">
        <w:tc>
          <w:tcPr>
            <w:tcW w:w="9365" w:type="dxa"/>
            <w:gridSpan w:val="4"/>
          </w:tcPr>
          <w:p w14:paraId="22B3F552" w14:textId="3F75457E" w:rsidR="005A2F1A" w:rsidRPr="005A78D2" w:rsidRDefault="005A2F1A" w:rsidP="006262D6">
            <w:pPr>
              <w:contextualSpacing/>
              <w:rPr>
                <w:rFonts w:asciiTheme="minorHAnsi" w:eastAsia="Times New Roman" w:hAnsiTheme="minorHAnsi" w:cstheme="minorHAnsi"/>
              </w:rPr>
            </w:pPr>
            <w:r w:rsidRPr="005A78D2">
              <w:rPr>
                <w:rFonts w:asciiTheme="minorHAnsi" w:eastAsia="Times New Roman" w:hAnsiTheme="minorHAnsi" w:cstheme="minorHAnsi"/>
              </w:rPr>
              <w:lastRenderedPageBreak/>
              <w:t>(</w:t>
            </w:r>
            <w:r w:rsidR="00C51CC0" w:rsidRPr="005A78D2">
              <w:rPr>
                <w:rFonts w:asciiTheme="minorHAnsi" w:eastAsia="Times New Roman" w:hAnsiTheme="minorHAnsi" w:cstheme="minorHAnsi"/>
              </w:rPr>
              <w:t>c</w:t>
            </w:r>
            <w:r w:rsidRPr="005A78D2">
              <w:rPr>
                <w:rFonts w:asciiTheme="minorHAnsi" w:eastAsia="Times New Roman" w:hAnsiTheme="minorHAnsi" w:cstheme="minorHAnsi"/>
              </w:rPr>
              <w:t xml:space="preserve">) </w:t>
            </w:r>
            <w:r w:rsidRPr="005A78D2">
              <w:rPr>
                <w:rFonts w:asciiTheme="minorHAnsi" w:hAnsiTheme="minorHAnsi" w:cstheme="minorHAnsi"/>
              </w:rPr>
              <w:t>The escrows will most likely still be in place post construction phase.  At that point do we follow MAP guide guidance?</w:t>
            </w:r>
          </w:p>
        </w:tc>
      </w:tr>
      <w:tr w:rsidR="005A2F1A" w:rsidRPr="0043666E" w14:paraId="3A2B21FC" w14:textId="77777777" w:rsidTr="00C63991">
        <w:tc>
          <w:tcPr>
            <w:tcW w:w="9365" w:type="dxa"/>
            <w:gridSpan w:val="4"/>
          </w:tcPr>
          <w:p w14:paraId="6B58E55C" w14:textId="77777777" w:rsidR="00C51CC0" w:rsidRPr="005A78D2" w:rsidRDefault="00C51CC0" w:rsidP="00C51CC0">
            <w:pPr>
              <w:rPr>
                <w:rFonts w:asciiTheme="minorHAnsi" w:eastAsia="Times New Roman" w:hAnsiTheme="minorHAnsi" w:cstheme="minorHAnsi"/>
                <w:i/>
                <w:highlight w:val="yellow"/>
              </w:rPr>
            </w:pPr>
          </w:p>
          <w:p w14:paraId="124A3FA3" w14:textId="77777777" w:rsidR="00C51CC0" w:rsidRPr="005A78D2" w:rsidRDefault="005A2F1A" w:rsidP="00C51CC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703033" w:rsidRPr="005A78D2">
              <w:rPr>
                <w:rFonts w:asciiTheme="minorHAnsi" w:eastAsia="Times New Roman" w:hAnsiTheme="minorHAnsi" w:cstheme="minorHAnsi"/>
                <w:i/>
                <w:color w:val="0070C0"/>
              </w:rPr>
              <w:t>Yes</w:t>
            </w:r>
            <w:r w:rsidR="0081567E" w:rsidRPr="005A78D2">
              <w:rPr>
                <w:rFonts w:asciiTheme="minorHAnsi" w:eastAsia="Times New Roman" w:hAnsiTheme="minorHAnsi" w:cstheme="minorHAnsi"/>
                <w:i/>
                <w:color w:val="0070C0"/>
              </w:rPr>
              <w:t>, the MAP Guide must be followed</w:t>
            </w:r>
            <w:r w:rsidR="00DC532D" w:rsidRPr="005A78D2">
              <w:rPr>
                <w:rFonts w:asciiTheme="minorHAnsi" w:eastAsia="Times New Roman" w:hAnsiTheme="minorHAnsi" w:cstheme="minorHAnsi"/>
                <w:i/>
                <w:color w:val="0070C0"/>
              </w:rPr>
              <w:t xml:space="preserve"> unless modified by this Notice</w:t>
            </w:r>
            <w:r w:rsidR="00C51CC0" w:rsidRPr="005A78D2">
              <w:rPr>
                <w:rFonts w:asciiTheme="minorHAnsi" w:eastAsia="Times New Roman" w:hAnsiTheme="minorHAnsi" w:cstheme="minorHAnsi"/>
                <w:i/>
                <w:color w:val="0070C0"/>
              </w:rPr>
              <w:t>.</w:t>
            </w:r>
          </w:p>
          <w:p w14:paraId="102A19C4" w14:textId="37249A8F" w:rsidR="006262D6" w:rsidRPr="005A78D2" w:rsidRDefault="006262D6" w:rsidP="00C51CC0">
            <w:pPr>
              <w:rPr>
                <w:rFonts w:asciiTheme="minorHAnsi" w:eastAsia="Times New Roman" w:hAnsiTheme="minorHAnsi" w:cstheme="minorHAnsi"/>
                <w:i/>
              </w:rPr>
            </w:pPr>
          </w:p>
        </w:tc>
      </w:tr>
      <w:tr w:rsidR="005A2F1A" w:rsidRPr="0043666E" w14:paraId="25843C80" w14:textId="77777777" w:rsidTr="00C63991">
        <w:trPr>
          <w:trHeight w:val="234"/>
        </w:trPr>
        <w:tc>
          <w:tcPr>
            <w:tcW w:w="9365" w:type="dxa"/>
            <w:gridSpan w:val="4"/>
          </w:tcPr>
          <w:p w14:paraId="11C72297" w14:textId="26721BBE" w:rsidR="00E20F4B" w:rsidRPr="005A78D2" w:rsidRDefault="005A2F1A" w:rsidP="00E20F4B">
            <w:pPr>
              <w:contextualSpacing/>
              <w:rPr>
                <w:rFonts w:asciiTheme="minorHAnsi" w:hAnsiTheme="minorHAnsi" w:cstheme="minorHAnsi"/>
              </w:rPr>
            </w:pPr>
            <w:r w:rsidRPr="005A78D2">
              <w:rPr>
                <w:rFonts w:asciiTheme="minorHAnsi" w:eastAsia="Times New Roman" w:hAnsiTheme="minorHAnsi" w:cstheme="minorHAnsi"/>
              </w:rPr>
              <w:t>(</w:t>
            </w:r>
            <w:r w:rsidR="00C51CC0" w:rsidRPr="005A78D2">
              <w:rPr>
                <w:rFonts w:asciiTheme="minorHAnsi" w:eastAsia="Times New Roman" w:hAnsiTheme="minorHAnsi" w:cstheme="minorHAnsi"/>
              </w:rPr>
              <w:t>d</w:t>
            </w:r>
            <w:r w:rsidRPr="005A78D2">
              <w:rPr>
                <w:rFonts w:asciiTheme="minorHAnsi" w:eastAsia="Times New Roman" w:hAnsiTheme="minorHAnsi" w:cstheme="minorHAnsi"/>
              </w:rPr>
              <w:t xml:space="preserve">) </w:t>
            </w:r>
            <w:r w:rsidRPr="005A78D2">
              <w:rPr>
                <w:rFonts w:asciiTheme="minorHAnsi" w:hAnsiTheme="minorHAnsi" w:cstheme="minorHAnsi"/>
              </w:rPr>
              <w:t xml:space="preserve">The guidance then seems to suggest this allowance is not allowed for lenders related to the syndicator/investor.  </w:t>
            </w:r>
            <w:r w:rsidR="00E20F4B" w:rsidRPr="005A78D2">
              <w:rPr>
                <w:rFonts w:asciiTheme="minorHAnsi" w:hAnsiTheme="minorHAnsi" w:cstheme="minorHAnsi"/>
              </w:rPr>
              <w:t>To be clear, the guidance is that if the syndicator and lender are affiliates, then the lender can’t process the draws per the PILOT guidance, but the project can still be a PILOT deal?</w:t>
            </w:r>
          </w:p>
          <w:p w14:paraId="105B9C34" w14:textId="457801F8" w:rsidR="005A2F1A" w:rsidRPr="005A78D2" w:rsidRDefault="005A2F1A" w:rsidP="006262D6">
            <w:pPr>
              <w:contextualSpacing/>
              <w:rPr>
                <w:rFonts w:asciiTheme="minorHAnsi" w:eastAsia="Times New Roman" w:hAnsiTheme="minorHAnsi" w:cstheme="minorHAnsi"/>
              </w:rPr>
            </w:pPr>
            <w:r w:rsidRPr="005A78D2">
              <w:rPr>
                <w:rFonts w:asciiTheme="minorHAnsi" w:hAnsiTheme="minorHAnsi" w:cstheme="minorHAnsi"/>
              </w:rPr>
              <w:t>Please confirm.</w:t>
            </w:r>
          </w:p>
        </w:tc>
      </w:tr>
      <w:tr w:rsidR="005A2F1A" w:rsidRPr="0043666E" w14:paraId="0E935039" w14:textId="77777777" w:rsidTr="00C63991">
        <w:tc>
          <w:tcPr>
            <w:tcW w:w="9365" w:type="dxa"/>
            <w:gridSpan w:val="4"/>
          </w:tcPr>
          <w:p w14:paraId="353146FB" w14:textId="77777777" w:rsidR="00C63991" w:rsidRPr="005A78D2" w:rsidRDefault="00C63991" w:rsidP="00AB6343">
            <w:pPr>
              <w:rPr>
                <w:rFonts w:asciiTheme="minorHAnsi" w:eastAsia="Times New Roman" w:hAnsiTheme="minorHAnsi" w:cstheme="minorHAnsi"/>
                <w:i/>
                <w:color w:val="FF0000"/>
              </w:rPr>
            </w:pPr>
          </w:p>
          <w:p w14:paraId="5537ADB5" w14:textId="574B10B8" w:rsidR="005A2F1A" w:rsidRPr="005A78D2" w:rsidRDefault="005A2F1A" w:rsidP="00AB6343">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81567E" w:rsidRPr="005A78D2">
              <w:rPr>
                <w:rFonts w:asciiTheme="minorHAnsi" w:eastAsia="Times New Roman" w:hAnsiTheme="minorHAnsi" w:cstheme="minorHAnsi"/>
                <w:i/>
                <w:color w:val="0070C0"/>
              </w:rPr>
              <w:t xml:space="preserve"> </w:t>
            </w:r>
            <w:r w:rsidR="00703033" w:rsidRPr="005A78D2">
              <w:rPr>
                <w:rFonts w:asciiTheme="minorHAnsi" w:eastAsia="Times New Roman" w:hAnsiTheme="minorHAnsi" w:cstheme="minorHAnsi"/>
                <w:i/>
                <w:color w:val="0070C0"/>
              </w:rPr>
              <w:t>Correct</w:t>
            </w:r>
            <w:r w:rsidR="0081567E" w:rsidRPr="005A78D2">
              <w:rPr>
                <w:rFonts w:asciiTheme="minorHAnsi" w:eastAsia="Times New Roman" w:hAnsiTheme="minorHAnsi" w:cstheme="minorHAnsi"/>
                <w:i/>
                <w:color w:val="0070C0"/>
              </w:rPr>
              <w:t>.</w:t>
            </w:r>
            <w:r w:rsidR="00200C17" w:rsidRPr="005A78D2">
              <w:rPr>
                <w:rFonts w:asciiTheme="minorHAnsi" w:eastAsia="Times New Roman" w:hAnsiTheme="minorHAnsi" w:cstheme="minorHAnsi"/>
                <w:i/>
                <w:color w:val="0070C0"/>
              </w:rPr>
              <w:t xml:space="preserve"> </w:t>
            </w:r>
          </w:p>
          <w:p w14:paraId="5D11CA86" w14:textId="3E7CCFAB" w:rsidR="00C63991" w:rsidRPr="005A78D2" w:rsidRDefault="00C63991" w:rsidP="00AB6343">
            <w:pPr>
              <w:rPr>
                <w:rFonts w:asciiTheme="minorHAnsi" w:eastAsia="Times New Roman" w:hAnsiTheme="minorHAnsi" w:cstheme="minorHAnsi"/>
                <w:i/>
              </w:rPr>
            </w:pPr>
          </w:p>
        </w:tc>
      </w:tr>
      <w:tr w:rsidR="005A2F1A" w:rsidRPr="0043666E" w14:paraId="68AC2081" w14:textId="77777777" w:rsidTr="00C63991">
        <w:tc>
          <w:tcPr>
            <w:tcW w:w="9365" w:type="dxa"/>
            <w:gridSpan w:val="4"/>
          </w:tcPr>
          <w:p w14:paraId="7C9B30CD" w14:textId="27F051F3" w:rsidR="005A2F1A" w:rsidRPr="005A78D2" w:rsidRDefault="005A2F1A" w:rsidP="006262D6">
            <w:pPr>
              <w:contextualSpacing/>
              <w:rPr>
                <w:rFonts w:asciiTheme="minorHAnsi" w:eastAsia="Times New Roman" w:hAnsiTheme="minorHAnsi" w:cstheme="minorHAnsi"/>
              </w:rPr>
            </w:pPr>
            <w:r w:rsidRPr="005A78D2">
              <w:rPr>
                <w:rFonts w:asciiTheme="minorHAnsi" w:eastAsia="Times New Roman" w:hAnsiTheme="minorHAnsi" w:cstheme="minorHAnsi"/>
              </w:rPr>
              <w:t>(</w:t>
            </w:r>
            <w:r w:rsidR="00C51CC0" w:rsidRPr="005A78D2">
              <w:rPr>
                <w:rFonts w:asciiTheme="minorHAnsi" w:eastAsia="Times New Roman" w:hAnsiTheme="minorHAnsi" w:cstheme="minorHAnsi"/>
              </w:rPr>
              <w:t>e</w:t>
            </w:r>
            <w:r w:rsidRPr="005A78D2">
              <w:rPr>
                <w:rFonts w:asciiTheme="minorHAnsi" w:eastAsia="Times New Roman" w:hAnsiTheme="minorHAnsi" w:cstheme="minorHAnsi"/>
              </w:rPr>
              <w:t xml:space="preserve">) </w:t>
            </w:r>
            <w:r w:rsidRPr="005A78D2">
              <w:rPr>
                <w:rFonts w:asciiTheme="minorHAnsi" w:hAnsiTheme="minorHAnsi" w:cstheme="minorHAnsi"/>
              </w:rPr>
              <w:t>The guidance then seems to suggest this allowance is not allowed for lenders related to the syndicator/investor.  Please confirm.</w:t>
            </w:r>
          </w:p>
        </w:tc>
      </w:tr>
      <w:tr w:rsidR="005A2F1A" w:rsidRPr="0043666E" w14:paraId="6525DF5D" w14:textId="77777777" w:rsidTr="00C63991">
        <w:tc>
          <w:tcPr>
            <w:tcW w:w="9365" w:type="dxa"/>
            <w:gridSpan w:val="4"/>
          </w:tcPr>
          <w:p w14:paraId="01871AEF" w14:textId="77777777" w:rsidR="00C63991" w:rsidRPr="005A78D2" w:rsidRDefault="00C63991" w:rsidP="00AB6343">
            <w:pPr>
              <w:rPr>
                <w:rFonts w:asciiTheme="minorHAnsi" w:eastAsia="Times New Roman" w:hAnsiTheme="minorHAnsi" w:cstheme="minorHAnsi"/>
                <w:i/>
                <w:color w:val="FF0000"/>
              </w:rPr>
            </w:pPr>
          </w:p>
          <w:p w14:paraId="0567E73B" w14:textId="75CD35C9" w:rsidR="005A2F1A" w:rsidRPr="005A78D2" w:rsidRDefault="005A2F1A" w:rsidP="00AB6343">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703033" w:rsidRPr="005A78D2">
              <w:rPr>
                <w:rFonts w:asciiTheme="minorHAnsi" w:eastAsia="Times New Roman" w:hAnsiTheme="minorHAnsi" w:cstheme="minorHAnsi"/>
                <w:i/>
                <w:color w:val="0070C0"/>
              </w:rPr>
              <w:t>Correct</w:t>
            </w:r>
            <w:r w:rsidR="0081567E" w:rsidRPr="005A78D2">
              <w:rPr>
                <w:rFonts w:asciiTheme="minorHAnsi" w:eastAsia="Times New Roman" w:hAnsiTheme="minorHAnsi" w:cstheme="minorHAnsi"/>
                <w:i/>
                <w:color w:val="0070C0"/>
              </w:rPr>
              <w:t>.</w:t>
            </w:r>
          </w:p>
          <w:p w14:paraId="2E67F4C4" w14:textId="3720EE6F" w:rsidR="00C63991" w:rsidRPr="005A78D2" w:rsidRDefault="00C63991" w:rsidP="00AB6343">
            <w:pPr>
              <w:rPr>
                <w:rFonts w:asciiTheme="minorHAnsi" w:eastAsia="Times New Roman" w:hAnsiTheme="minorHAnsi" w:cstheme="minorHAnsi"/>
                <w:i/>
                <w:color w:val="FF0000"/>
              </w:rPr>
            </w:pPr>
          </w:p>
        </w:tc>
      </w:tr>
      <w:tr w:rsidR="005A2F1A" w:rsidRPr="0043666E" w14:paraId="1C99C671" w14:textId="77777777" w:rsidTr="00C63991">
        <w:tc>
          <w:tcPr>
            <w:tcW w:w="9365" w:type="dxa"/>
            <w:gridSpan w:val="4"/>
          </w:tcPr>
          <w:p w14:paraId="6C87461D" w14:textId="49849C5C" w:rsidR="005A2F1A" w:rsidRPr="005A78D2" w:rsidRDefault="005A2F1A" w:rsidP="006262D6">
            <w:pPr>
              <w:contextualSpacing/>
              <w:rPr>
                <w:rFonts w:asciiTheme="minorHAnsi" w:eastAsia="Times New Roman" w:hAnsiTheme="minorHAnsi" w:cstheme="minorHAnsi"/>
              </w:rPr>
            </w:pPr>
            <w:r w:rsidRPr="005A78D2">
              <w:rPr>
                <w:rFonts w:asciiTheme="minorHAnsi" w:eastAsia="Times New Roman" w:hAnsiTheme="minorHAnsi" w:cstheme="minorHAnsi"/>
              </w:rPr>
              <w:t>(</w:t>
            </w:r>
            <w:r w:rsidR="00C51CC0" w:rsidRPr="005A78D2">
              <w:rPr>
                <w:rFonts w:asciiTheme="minorHAnsi" w:eastAsia="Times New Roman" w:hAnsiTheme="minorHAnsi" w:cstheme="minorHAnsi"/>
              </w:rPr>
              <w:t>f</w:t>
            </w:r>
            <w:r w:rsidRPr="005A78D2">
              <w:rPr>
                <w:rFonts w:asciiTheme="minorHAnsi" w:eastAsia="Times New Roman" w:hAnsiTheme="minorHAnsi" w:cstheme="minorHAnsi"/>
              </w:rPr>
              <w:t xml:space="preserve">) </w:t>
            </w:r>
            <w:r w:rsidRPr="005A78D2">
              <w:rPr>
                <w:rFonts w:asciiTheme="minorHAnsi" w:hAnsiTheme="minorHAnsi" w:cstheme="minorHAnsi"/>
              </w:rPr>
              <w:t>Notice is silent to retainage reduction so presumably MAP Guide rules apply in that HUD must approve.</w:t>
            </w:r>
          </w:p>
        </w:tc>
      </w:tr>
      <w:tr w:rsidR="005A2F1A" w:rsidRPr="0043666E" w14:paraId="11375894" w14:textId="77777777" w:rsidTr="00C63991">
        <w:tc>
          <w:tcPr>
            <w:tcW w:w="9365" w:type="dxa"/>
            <w:gridSpan w:val="4"/>
          </w:tcPr>
          <w:p w14:paraId="6EF82FB6" w14:textId="77777777" w:rsidR="006262D6" w:rsidRPr="005A78D2" w:rsidRDefault="006262D6" w:rsidP="005A2F1A">
            <w:pPr>
              <w:contextualSpacing/>
              <w:rPr>
                <w:rFonts w:asciiTheme="minorHAnsi" w:eastAsia="Times New Roman" w:hAnsiTheme="minorHAnsi" w:cstheme="minorHAnsi"/>
                <w:i/>
                <w:color w:val="0070C0"/>
              </w:rPr>
            </w:pPr>
          </w:p>
          <w:p w14:paraId="5FA2F10D" w14:textId="77777777" w:rsidR="005A2F1A" w:rsidRPr="005A78D2" w:rsidRDefault="005A2F1A" w:rsidP="005A2F1A">
            <w:pPr>
              <w:contextualSpacing/>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FF2A9A" w:rsidRPr="005A78D2">
              <w:rPr>
                <w:rFonts w:asciiTheme="minorHAnsi" w:eastAsia="Times New Roman" w:hAnsiTheme="minorHAnsi" w:cstheme="minorHAnsi"/>
                <w:i/>
                <w:color w:val="0070C0"/>
              </w:rPr>
              <w:t>Correct, the MAP Guide applies</w:t>
            </w:r>
            <w:r w:rsidR="004E1D17" w:rsidRPr="005A78D2">
              <w:rPr>
                <w:rFonts w:asciiTheme="minorHAnsi" w:eastAsia="Times New Roman" w:hAnsiTheme="minorHAnsi" w:cstheme="minorHAnsi"/>
                <w:i/>
                <w:color w:val="0070C0"/>
              </w:rPr>
              <w:t xml:space="preserve"> unless changed in this Notice.</w:t>
            </w:r>
          </w:p>
          <w:p w14:paraId="525E92EC" w14:textId="424B5905" w:rsidR="006262D6" w:rsidRPr="005A78D2" w:rsidRDefault="006262D6" w:rsidP="005A2F1A">
            <w:pPr>
              <w:contextualSpacing/>
              <w:rPr>
                <w:rFonts w:asciiTheme="minorHAnsi" w:eastAsia="Times New Roman" w:hAnsiTheme="minorHAnsi" w:cstheme="minorHAnsi"/>
                <w:i/>
              </w:rPr>
            </w:pPr>
          </w:p>
        </w:tc>
      </w:tr>
      <w:tr w:rsidR="002F27CD" w:rsidRPr="0043666E" w14:paraId="7C68F5F1" w14:textId="77777777" w:rsidTr="00C63991">
        <w:tc>
          <w:tcPr>
            <w:tcW w:w="9365" w:type="dxa"/>
            <w:gridSpan w:val="4"/>
          </w:tcPr>
          <w:p w14:paraId="16DECCF1" w14:textId="2C5DF490" w:rsidR="00A52BD7" w:rsidRPr="005A78D2" w:rsidRDefault="002F27CD" w:rsidP="006262D6">
            <w:pPr>
              <w:contextualSpacing/>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981F8D" w:rsidRPr="005A78D2">
              <w:rPr>
                <w:rFonts w:asciiTheme="minorHAnsi" w:eastAsia="Times New Roman" w:hAnsiTheme="minorHAnsi" w:cstheme="minorHAnsi"/>
              </w:rPr>
              <w:t>1</w:t>
            </w:r>
            <w:r w:rsidR="00365A81" w:rsidRPr="005A78D2">
              <w:rPr>
                <w:rFonts w:asciiTheme="minorHAnsi" w:eastAsia="Times New Roman" w:hAnsiTheme="minorHAnsi" w:cstheme="minorHAnsi"/>
              </w:rPr>
              <w:t>0</w:t>
            </w:r>
            <w:r w:rsidRPr="005A78D2">
              <w:rPr>
                <w:rFonts w:asciiTheme="minorHAnsi" w:eastAsia="Times New Roman" w:hAnsiTheme="minorHAnsi" w:cstheme="minorHAnsi"/>
              </w:rPr>
              <w:t xml:space="preserve">: Are Working Capital waivers still allowed for tenant-in-place rehabs when it can be shown there is </w:t>
            </w:r>
            <w:proofErr w:type="gramStart"/>
            <w:r w:rsidRPr="005A78D2">
              <w:rPr>
                <w:rFonts w:asciiTheme="minorHAnsi" w:eastAsia="Times New Roman" w:hAnsiTheme="minorHAnsi" w:cstheme="minorHAnsi"/>
              </w:rPr>
              <w:t>sufficient</w:t>
            </w:r>
            <w:proofErr w:type="gramEnd"/>
            <w:r w:rsidRPr="005A78D2">
              <w:rPr>
                <w:rFonts w:asciiTheme="minorHAnsi" w:eastAsia="Times New Roman" w:hAnsiTheme="minorHAnsi" w:cstheme="minorHAnsi"/>
              </w:rPr>
              <w:t xml:space="preserve"> construction period income to pay for Working Capital-allowed items?</w:t>
            </w:r>
          </w:p>
        </w:tc>
      </w:tr>
      <w:tr w:rsidR="002F27CD" w:rsidRPr="0043666E" w14:paraId="39290B6F" w14:textId="77777777" w:rsidTr="00C63991">
        <w:tc>
          <w:tcPr>
            <w:tcW w:w="9365" w:type="dxa"/>
            <w:gridSpan w:val="4"/>
          </w:tcPr>
          <w:p w14:paraId="0C89576C" w14:textId="77777777" w:rsidR="00FC271D" w:rsidRPr="005A78D2" w:rsidRDefault="00FC271D" w:rsidP="006408B2">
            <w:pPr>
              <w:rPr>
                <w:rFonts w:asciiTheme="minorHAnsi" w:eastAsia="Times New Roman" w:hAnsiTheme="minorHAnsi" w:cstheme="minorHAnsi"/>
                <w:i/>
              </w:rPr>
            </w:pPr>
          </w:p>
          <w:p w14:paraId="0C2DD4B7" w14:textId="48C5BA67" w:rsidR="006408B2" w:rsidRPr="005A78D2" w:rsidRDefault="00A52BD7" w:rsidP="006408B2">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6408B2" w:rsidRPr="005A78D2">
              <w:rPr>
                <w:rFonts w:asciiTheme="minorHAnsi" w:hAnsiTheme="minorHAnsi" w:cstheme="minorHAnsi"/>
                <w:i/>
                <w:color w:val="0070C0"/>
                <w:sz w:val="24"/>
                <w:szCs w:val="24"/>
              </w:rPr>
              <w:t xml:space="preserve">A waiver of the 2% Working Capital Escrow requirement for substantial rehab deals with Section 8 rental assistance and LIHTC restrictions covering more than 90% of the units may be granted when the Lender can demonstrate there will be </w:t>
            </w:r>
            <w:r w:rsidR="00365A81" w:rsidRPr="005A78D2">
              <w:rPr>
                <w:rFonts w:asciiTheme="minorHAnsi" w:hAnsiTheme="minorHAnsi" w:cstheme="minorHAnsi"/>
                <w:i/>
                <w:color w:val="0070C0"/>
                <w:sz w:val="24"/>
                <w:szCs w:val="24"/>
              </w:rPr>
              <w:t>sufficient</w:t>
            </w:r>
            <w:r w:rsidR="006408B2" w:rsidRPr="005A78D2">
              <w:rPr>
                <w:rFonts w:asciiTheme="minorHAnsi" w:hAnsiTheme="minorHAnsi" w:cstheme="minorHAnsi"/>
                <w:i/>
                <w:color w:val="0070C0"/>
                <w:sz w:val="24"/>
                <w:szCs w:val="24"/>
              </w:rPr>
              <w:t xml:space="preserve"> income generated by the property during the rehab period to cover items typically funded by the Working Capital Escrow.  Waivers can be granted at the Regional Office level.  </w:t>
            </w:r>
          </w:p>
          <w:p w14:paraId="61B007D3" w14:textId="77777777" w:rsidR="002F27CD" w:rsidRPr="005A78D2" w:rsidRDefault="002F27CD" w:rsidP="005A2F1A">
            <w:pPr>
              <w:contextualSpacing/>
              <w:rPr>
                <w:rFonts w:asciiTheme="minorHAnsi" w:eastAsia="Times New Roman" w:hAnsiTheme="minorHAnsi" w:cstheme="minorHAnsi"/>
                <w:i/>
              </w:rPr>
            </w:pPr>
          </w:p>
        </w:tc>
      </w:tr>
      <w:tr w:rsidR="00C95DDD" w:rsidRPr="005A78D2" w14:paraId="711A8A28" w14:textId="77777777" w:rsidTr="00C63991">
        <w:trPr>
          <w:gridAfter w:val="2"/>
          <w:wAfter w:w="34" w:type="dxa"/>
        </w:trPr>
        <w:tc>
          <w:tcPr>
            <w:tcW w:w="9331" w:type="dxa"/>
            <w:gridSpan w:val="2"/>
          </w:tcPr>
          <w:p w14:paraId="267EFF72" w14:textId="0A6B28A9" w:rsidR="00C95DDD" w:rsidRPr="005A78D2" w:rsidRDefault="00C95DDD" w:rsidP="006262D6">
            <w:pPr>
              <w:contextualSpacing/>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F37C26" w:rsidRPr="005A78D2">
              <w:rPr>
                <w:rFonts w:asciiTheme="minorHAnsi" w:eastAsia="Times New Roman" w:hAnsiTheme="minorHAnsi" w:cstheme="minorHAnsi"/>
              </w:rPr>
              <w:t>1</w:t>
            </w:r>
            <w:r w:rsidR="00365A81" w:rsidRPr="005A78D2">
              <w:rPr>
                <w:rFonts w:asciiTheme="minorHAnsi" w:eastAsia="Times New Roman" w:hAnsiTheme="minorHAnsi" w:cstheme="minorHAnsi"/>
              </w:rPr>
              <w:t>1</w:t>
            </w:r>
            <w:r w:rsidRPr="005A78D2">
              <w:rPr>
                <w:rFonts w:asciiTheme="minorHAnsi" w:eastAsia="Times New Roman" w:hAnsiTheme="minorHAnsi" w:cstheme="minorHAnsi"/>
              </w:rPr>
              <w:t>: For Standard Processing, n</w:t>
            </w:r>
            <w:r w:rsidRPr="005A78D2">
              <w:rPr>
                <w:rFonts w:asciiTheme="minorHAnsi" w:hAnsiTheme="minorHAnsi" w:cstheme="minorHAnsi"/>
              </w:rPr>
              <w:t>o mention on IOD requirements?  Is it different than Expedited or the MAP Guide?</w:t>
            </w:r>
          </w:p>
        </w:tc>
      </w:tr>
      <w:tr w:rsidR="00C95DDD" w:rsidRPr="005A78D2" w14:paraId="1F75B2DF" w14:textId="77777777" w:rsidTr="00C63991">
        <w:trPr>
          <w:gridAfter w:val="2"/>
          <w:wAfter w:w="34" w:type="dxa"/>
        </w:trPr>
        <w:tc>
          <w:tcPr>
            <w:tcW w:w="9331" w:type="dxa"/>
            <w:gridSpan w:val="2"/>
          </w:tcPr>
          <w:p w14:paraId="154C78A5" w14:textId="77777777" w:rsidR="00F37C26" w:rsidRPr="005A78D2" w:rsidRDefault="00F37C26" w:rsidP="00FA3002">
            <w:pPr>
              <w:rPr>
                <w:rFonts w:asciiTheme="minorHAnsi" w:eastAsia="Times New Roman" w:hAnsiTheme="minorHAnsi" w:cstheme="minorHAnsi"/>
                <w:i/>
              </w:rPr>
            </w:pPr>
          </w:p>
          <w:p w14:paraId="3D9693BF" w14:textId="77777777" w:rsidR="00C95DDD" w:rsidRPr="005A78D2" w:rsidRDefault="0081567E" w:rsidP="00FA3002">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5E7262" w:rsidRPr="005A78D2">
              <w:rPr>
                <w:rFonts w:asciiTheme="minorHAnsi" w:eastAsia="Times New Roman" w:hAnsiTheme="minorHAnsi" w:cstheme="minorHAnsi"/>
                <w:i/>
                <w:color w:val="0070C0"/>
              </w:rPr>
              <w:t>Section XI</w:t>
            </w:r>
            <w:r w:rsidR="00DD1E03" w:rsidRPr="005A78D2">
              <w:rPr>
                <w:rFonts w:asciiTheme="minorHAnsi" w:eastAsia="Times New Roman" w:hAnsiTheme="minorHAnsi" w:cstheme="minorHAnsi"/>
                <w:i/>
                <w:color w:val="0070C0"/>
              </w:rPr>
              <w:t>.B and C</w:t>
            </w:r>
            <w:r w:rsidR="005E7262" w:rsidRPr="005A78D2">
              <w:rPr>
                <w:rFonts w:asciiTheme="minorHAnsi" w:eastAsia="Times New Roman" w:hAnsiTheme="minorHAnsi" w:cstheme="minorHAnsi"/>
                <w:i/>
                <w:color w:val="0070C0"/>
              </w:rPr>
              <w:t xml:space="preserve"> of the Notice address the IOD </w:t>
            </w:r>
            <w:r w:rsidR="00DD1E03" w:rsidRPr="005A78D2">
              <w:rPr>
                <w:rFonts w:asciiTheme="minorHAnsi" w:eastAsia="Times New Roman" w:hAnsiTheme="minorHAnsi" w:cstheme="minorHAnsi"/>
                <w:i/>
                <w:color w:val="0070C0"/>
              </w:rPr>
              <w:t xml:space="preserve">administration conditions and the IOD </w:t>
            </w:r>
            <w:r w:rsidR="005E7262" w:rsidRPr="005A78D2">
              <w:rPr>
                <w:rFonts w:asciiTheme="minorHAnsi" w:eastAsia="Times New Roman" w:hAnsiTheme="minorHAnsi" w:cstheme="minorHAnsi"/>
                <w:i/>
                <w:color w:val="0070C0"/>
              </w:rPr>
              <w:t xml:space="preserve">calculation for deals submitted under the Standard Approval Process track.  </w:t>
            </w:r>
          </w:p>
          <w:p w14:paraId="22332741" w14:textId="31BD1335" w:rsidR="00F37C26" w:rsidRPr="005A78D2" w:rsidRDefault="00F37C26" w:rsidP="00FA3002">
            <w:pPr>
              <w:rPr>
                <w:rFonts w:asciiTheme="minorHAnsi" w:eastAsia="Times New Roman" w:hAnsiTheme="minorHAnsi" w:cstheme="minorHAnsi"/>
                <w:i/>
              </w:rPr>
            </w:pPr>
          </w:p>
        </w:tc>
      </w:tr>
      <w:tr w:rsidR="00C95DDD" w:rsidRPr="005A78D2" w14:paraId="45A79A12" w14:textId="77777777" w:rsidTr="00C63991">
        <w:trPr>
          <w:gridAfter w:val="2"/>
          <w:wAfter w:w="34" w:type="dxa"/>
        </w:trPr>
        <w:tc>
          <w:tcPr>
            <w:tcW w:w="9331" w:type="dxa"/>
            <w:gridSpan w:val="2"/>
          </w:tcPr>
          <w:p w14:paraId="3685CA1D" w14:textId="41615D9B" w:rsidR="00C95DDD" w:rsidRPr="005A78D2" w:rsidRDefault="00C95DDD" w:rsidP="00FC271D">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F37C26" w:rsidRPr="005A78D2">
              <w:rPr>
                <w:rFonts w:asciiTheme="minorHAnsi" w:eastAsia="Times New Roman" w:hAnsiTheme="minorHAnsi" w:cstheme="minorHAnsi"/>
              </w:rPr>
              <w:t>1</w:t>
            </w:r>
            <w:r w:rsidR="00365A81" w:rsidRPr="005A78D2">
              <w:rPr>
                <w:rFonts w:asciiTheme="minorHAnsi" w:eastAsia="Times New Roman" w:hAnsiTheme="minorHAnsi" w:cstheme="minorHAnsi"/>
              </w:rPr>
              <w:t>2</w:t>
            </w:r>
            <w:r w:rsidRPr="005A78D2">
              <w:rPr>
                <w:rFonts w:asciiTheme="minorHAnsi" w:eastAsia="Times New Roman" w:hAnsiTheme="minorHAnsi" w:cstheme="minorHAnsi"/>
              </w:rPr>
              <w:t>: For Standard Processing, n</w:t>
            </w:r>
            <w:r w:rsidRPr="005A78D2">
              <w:rPr>
                <w:rFonts w:asciiTheme="minorHAnsi" w:hAnsiTheme="minorHAnsi" w:cstheme="minorHAnsi"/>
              </w:rPr>
              <w:t>o mention of delegation of escrow approval.  Is that intentional?</w:t>
            </w:r>
          </w:p>
        </w:tc>
      </w:tr>
      <w:tr w:rsidR="00C95DDD" w:rsidRPr="005A78D2" w14:paraId="0F7A5BF1" w14:textId="77777777" w:rsidTr="00C63991">
        <w:trPr>
          <w:gridAfter w:val="2"/>
          <w:wAfter w:w="34" w:type="dxa"/>
        </w:trPr>
        <w:tc>
          <w:tcPr>
            <w:tcW w:w="9331" w:type="dxa"/>
            <w:gridSpan w:val="2"/>
          </w:tcPr>
          <w:p w14:paraId="27309C44" w14:textId="77777777" w:rsidR="00F37C26" w:rsidRPr="005A78D2" w:rsidRDefault="00F37C26" w:rsidP="00FA3002">
            <w:pPr>
              <w:rPr>
                <w:rFonts w:asciiTheme="minorHAnsi" w:eastAsia="Times New Roman" w:hAnsiTheme="minorHAnsi" w:cstheme="minorHAnsi"/>
                <w:i/>
              </w:rPr>
            </w:pPr>
          </w:p>
          <w:p w14:paraId="6902734C" w14:textId="77777777" w:rsidR="00C95DDD" w:rsidRPr="005A78D2" w:rsidRDefault="00C95DDD" w:rsidP="00FA3002">
            <w:pPr>
              <w:rPr>
                <w:rFonts w:asciiTheme="minorHAnsi" w:eastAsia="Times New Roman" w:hAnsiTheme="minorHAnsi" w:cstheme="minorHAnsi"/>
                <w:i/>
              </w:rPr>
            </w:pPr>
            <w:r w:rsidRPr="005A78D2">
              <w:rPr>
                <w:rFonts w:asciiTheme="minorHAnsi" w:eastAsia="Times New Roman" w:hAnsiTheme="minorHAnsi" w:cstheme="minorHAnsi"/>
                <w:i/>
                <w:color w:val="0070C0"/>
              </w:rPr>
              <w:t xml:space="preserve">Reply: </w:t>
            </w:r>
            <w:r w:rsidR="0081567E" w:rsidRPr="005A78D2">
              <w:rPr>
                <w:rFonts w:asciiTheme="minorHAnsi" w:eastAsia="Times New Roman" w:hAnsiTheme="minorHAnsi" w:cstheme="minorHAnsi"/>
                <w:i/>
                <w:color w:val="0070C0"/>
              </w:rPr>
              <w:t>Section XI of the Notice addresses the IOD and Working Capital Administration conditions for deals submitted under the Standard Approval Process track</w:t>
            </w:r>
            <w:r w:rsidR="0081567E" w:rsidRPr="005A78D2">
              <w:rPr>
                <w:rFonts w:asciiTheme="minorHAnsi" w:eastAsia="Times New Roman" w:hAnsiTheme="minorHAnsi" w:cstheme="minorHAnsi"/>
                <w:i/>
              </w:rPr>
              <w:t>.</w:t>
            </w:r>
          </w:p>
          <w:p w14:paraId="49CE6EB8" w14:textId="0EE7ADC7" w:rsidR="00F37C26" w:rsidRPr="005A78D2" w:rsidRDefault="00F37C26" w:rsidP="00FA3002">
            <w:pPr>
              <w:rPr>
                <w:rFonts w:asciiTheme="minorHAnsi" w:eastAsia="Times New Roman" w:hAnsiTheme="minorHAnsi" w:cstheme="minorHAnsi"/>
                <w:i/>
              </w:rPr>
            </w:pPr>
          </w:p>
        </w:tc>
      </w:tr>
      <w:tr w:rsidR="00C8692D" w:rsidRPr="0043666E" w14:paraId="0827F78C" w14:textId="77777777" w:rsidTr="00C63991">
        <w:trPr>
          <w:gridAfter w:val="1"/>
          <w:wAfter w:w="14" w:type="dxa"/>
          <w:trHeight w:val="715"/>
        </w:trPr>
        <w:tc>
          <w:tcPr>
            <w:tcW w:w="9351" w:type="dxa"/>
            <w:gridSpan w:val="3"/>
          </w:tcPr>
          <w:p w14:paraId="182F01C0" w14:textId="69414F01" w:rsidR="005566EE" w:rsidRPr="005A78D2" w:rsidRDefault="00AB6343" w:rsidP="00AB6343">
            <w:pPr>
              <w:rPr>
                <w:rFonts w:asciiTheme="minorHAnsi" w:eastAsia="Times New Roman" w:hAnsiTheme="minorHAnsi" w:cstheme="minorHAnsi"/>
              </w:rPr>
            </w:pPr>
            <w:r w:rsidRPr="005A78D2">
              <w:rPr>
                <w:rFonts w:asciiTheme="minorHAnsi" w:eastAsia="Times New Roman" w:hAnsiTheme="minorHAnsi" w:cstheme="minorHAnsi"/>
              </w:rPr>
              <w:lastRenderedPageBreak/>
              <w:t xml:space="preserve">Question </w:t>
            </w:r>
            <w:r w:rsidR="00F37C26" w:rsidRPr="005A78D2">
              <w:rPr>
                <w:rFonts w:asciiTheme="minorHAnsi" w:eastAsia="Times New Roman" w:hAnsiTheme="minorHAnsi" w:cstheme="minorHAnsi"/>
              </w:rPr>
              <w:t>1</w:t>
            </w:r>
            <w:r w:rsidR="00365A81" w:rsidRPr="005A78D2">
              <w:rPr>
                <w:rFonts w:asciiTheme="minorHAnsi" w:eastAsia="Times New Roman" w:hAnsiTheme="minorHAnsi" w:cstheme="minorHAnsi"/>
              </w:rPr>
              <w:t>3</w:t>
            </w:r>
            <w:r w:rsidRPr="005A78D2">
              <w:rPr>
                <w:rFonts w:asciiTheme="minorHAnsi" w:eastAsia="Times New Roman" w:hAnsiTheme="minorHAnsi" w:cstheme="minorHAnsi"/>
              </w:rPr>
              <w:t xml:space="preserve">: </w:t>
            </w:r>
            <w:r w:rsidR="005566EE" w:rsidRPr="005A78D2">
              <w:rPr>
                <w:rFonts w:asciiTheme="minorHAnsi" w:eastAsia="Times New Roman" w:hAnsiTheme="minorHAnsi" w:cstheme="minorHAnsi"/>
              </w:rPr>
              <w:t>Deferred Developer Fee</w:t>
            </w:r>
          </w:p>
          <w:p w14:paraId="13A6FC41" w14:textId="0980CCE8" w:rsidR="005566EE" w:rsidRPr="005A78D2" w:rsidRDefault="005566EE" w:rsidP="00D937C8">
            <w:pPr>
              <w:rPr>
                <w:rFonts w:asciiTheme="minorHAnsi" w:eastAsia="Times New Roman" w:hAnsiTheme="minorHAnsi" w:cstheme="minorHAnsi"/>
              </w:rPr>
            </w:pPr>
            <w:r w:rsidRPr="005A78D2">
              <w:rPr>
                <w:rFonts w:asciiTheme="minorHAnsi" w:eastAsia="Times New Roman" w:hAnsiTheme="minorHAnsi" w:cstheme="minorHAnsi"/>
              </w:rPr>
              <w:t xml:space="preserve">(a) </w:t>
            </w:r>
            <w:r w:rsidR="00AB6343" w:rsidRPr="005A78D2">
              <w:rPr>
                <w:rFonts w:asciiTheme="minorHAnsi" w:eastAsia="Times New Roman" w:hAnsiTheme="minorHAnsi" w:cstheme="minorHAnsi"/>
              </w:rPr>
              <w:t xml:space="preserve">Page 8 of 24 - Section VI.E – at least 25%, but no more than 75% of the developer’s fee must be deferred and paid from available project cash flow during the initial LIHTC compliance period.  Why is there a requirement to limit the developer fee pay out?  There is no such requirement under the current MAP guidelines.  This could be very problematic for developers.  </w:t>
            </w:r>
          </w:p>
        </w:tc>
      </w:tr>
      <w:tr w:rsidR="00825905" w:rsidRPr="0043666E" w14:paraId="56AB34E4" w14:textId="77777777" w:rsidTr="00C63991">
        <w:trPr>
          <w:gridAfter w:val="1"/>
          <w:wAfter w:w="14" w:type="dxa"/>
          <w:trHeight w:val="715"/>
        </w:trPr>
        <w:tc>
          <w:tcPr>
            <w:tcW w:w="9351" w:type="dxa"/>
            <w:gridSpan w:val="3"/>
          </w:tcPr>
          <w:p w14:paraId="7AFE3CA0" w14:textId="77777777" w:rsidR="00D937C8" w:rsidRPr="005A78D2" w:rsidRDefault="00D937C8" w:rsidP="006262D6">
            <w:pPr>
              <w:rPr>
                <w:rFonts w:asciiTheme="minorHAnsi" w:eastAsia="Times New Roman" w:hAnsiTheme="minorHAnsi" w:cstheme="minorHAnsi"/>
                <w:i/>
                <w:color w:val="0070C0"/>
              </w:rPr>
            </w:pPr>
          </w:p>
          <w:p w14:paraId="5A7AEF93" w14:textId="2A5ADDDD" w:rsidR="006262D6" w:rsidRPr="005A78D2" w:rsidRDefault="006262D6" w:rsidP="006262D6">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Section VI.E of the Notice has been rescinded.  </w:t>
            </w:r>
            <w:proofErr w:type="gramStart"/>
            <w:r w:rsidRPr="005A78D2">
              <w:rPr>
                <w:rFonts w:asciiTheme="minorHAnsi" w:eastAsia="Times New Roman" w:hAnsiTheme="minorHAnsi" w:cstheme="minorHAnsi"/>
                <w:i/>
                <w:color w:val="0070C0"/>
              </w:rPr>
              <w:t>In an effort to</w:t>
            </w:r>
            <w:proofErr w:type="gramEnd"/>
            <w:r w:rsidRPr="005A78D2">
              <w:rPr>
                <w:rFonts w:asciiTheme="minorHAnsi" w:eastAsia="Times New Roman" w:hAnsiTheme="minorHAnsi" w:cstheme="minorHAnsi"/>
                <w:i/>
                <w:color w:val="0070C0"/>
              </w:rPr>
              <w:t xml:space="preserve"> encourage the development of affordable housing, and to keep in line with current MAP Guide policies that do not expose the Department to any additional risk, HUD will not set limits on the Deferred Developer Fee.</w:t>
            </w:r>
          </w:p>
          <w:p w14:paraId="51EEF148" w14:textId="77777777" w:rsidR="00825905" w:rsidRPr="005A78D2" w:rsidRDefault="00825905" w:rsidP="006262D6">
            <w:pPr>
              <w:rPr>
                <w:rFonts w:asciiTheme="minorHAnsi" w:eastAsia="Times New Roman" w:hAnsiTheme="minorHAnsi" w:cstheme="minorHAnsi"/>
              </w:rPr>
            </w:pPr>
          </w:p>
        </w:tc>
      </w:tr>
      <w:tr w:rsidR="00974858" w:rsidRPr="0043666E" w14:paraId="5D35FC41" w14:textId="77777777" w:rsidTr="00C63991">
        <w:trPr>
          <w:gridAfter w:val="1"/>
          <w:wAfter w:w="14" w:type="dxa"/>
        </w:trPr>
        <w:tc>
          <w:tcPr>
            <w:tcW w:w="9351" w:type="dxa"/>
            <w:gridSpan w:val="3"/>
          </w:tcPr>
          <w:p w14:paraId="73DC159C" w14:textId="48528533" w:rsidR="00974858" w:rsidRPr="005A78D2" w:rsidRDefault="00974858" w:rsidP="006262D6">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F37C26" w:rsidRPr="005A78D2">
              <w:rPr>
                <w:rFonts w:asciiTheme="minorHAnsi" w:eastAsia="Times New Roman" w:hAnsiTheme="minorHAnsi" w:cstheme="minorHAnsi"/>
              </w:rPr>
              <w:t>1</w:t>
            </w:r>
            <w:r w:rsidR="00365A81" w:rsidRPr="005A78D2">
              <w:rPr>
                <w:rFonts w:asciiTheme="minorHAnsi" w:eastAsia="Times New Roman" w:hAnsiTheme="minorHAnsi" w:cstheme="minorHAnsi"/>
              </w:rPr>
              <w:t>4</w:t>
            </w:r>
            <w:r w:rsidRPr="005A78D2">
              <w:rPr>
                <w:rFonts w:asciiTheme="minorHAnsi" w:eastAsia="Times New Roman" w:hAnsiTheme="minorHAnsi" w:cstheme="minorHAnsi"/>
              </w:rPr>
              <w:t xml:space="preserve">: Page 9 of 24 – Section VII – what does HUD mean by “significant demolition” or “gut rehabilitation”? </w:t>
            </w:r>
            <w:r w:rsidRPr="005A78D2">
              <w:rPr>
                <w:rFonts w:asciiTheme="minorHAnsi" w:hAnsiTheme="minorHAnsi" w:cstheme="minorHAnsi"/>
              </w:rPr>
              <w:t xml:space="preserve">E &amp; F talk about projects involving significant demolition or gut rehabilitation.  What is the threshold for significant demolition?  Seems like that could be very subjective.  What is the difference between a substantial rehabilitation and gut rehabilitation?  </w:t>
            </w:r>
            <w:proofErr w:type="gramStart"/>
            <w:r w:rsidRPr="005A78D2">
              <w:rPr>
                <w:rFonts w:asciiTheme="minorHAnsi" w:hAnsiTheme="minorHAnsi" w:cstheme="minorHAnsi"/>
              </w:rPr>
              <w:t>Again</w:t>
            </w:r>
            <w:proofErr w:type="gramEnd"/>
            <w:r w:rsidRPr="005A78D2">
              <w:rPr>
                <w:rFonts w:asciiTheme="minorHAnsi" w:hAnsiTheme="minorHAnsi" w:cstheme="minorHAnsi"/>
              </w:rPr>
              <w:t xml:space="preserve"> seems very subjective.</w:t>
            </w:r>
          </w:p>
        </w:tc>
      </w:tr>
      <w:tr w:rsidR="00974858" w:rsidRPr="0043666E" w14:paraId="5C1D5FF3" w14:textId="77777777" w:rsidTr="00C63991">
        <w:trPr>
          <w:gridAfter w:val="1"/>
          <w:wAfter w:w="14" w:type="dxa"/>
        </w:trPr>
        <w:tc>
          <w:tcPr>
            <w:tcW w:w="9351" w:type="dxa"/>
            <w:gridSpan w:val="3"/>
          </w:tcPr>
          <w:p w14:paraId="05B81597" w14:textId="77777777" w:rsidR="004E1D17" w:rsidRPr="005A78D2" w:rsidRDefault="004E1D17" w:rsidP="00974858">
            <w:pPr>
              <w:rPr>
                <w:rFonts w:asciiTheme="minorHAnsi" w:eastAsia="Times New Roman" w:hAnsiTheme="minorHAnsi" w:cstheme="minorHAnsi"/>
                <w:i/>
              </w:rPr>
            </w:pPr>
          </w:p>
          <w:p w14:paraId="646E39A3" w14:textId="1A212C95" w:rsidR="00974858" w:rsidRPr="005A78D2" w:rsidRDefault="00974858" w:rsidP="00974858">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285928" w:rsidRPr="005A78D2">
              <w:rPr>
                <w:rFonts w:asciiTheme="minorHAnsi" w:eastAsia="Times New Roman" w:hAnsiTheme="minorHAnsi" w:cstheme="minorHAnsi"/>
                <w:i/>
                <w:color w:val="0070C0"/>
              </w:rPr>
              <w:t xml:space="preserve"> Per the MAP Guide, </w:t>
            </w:r>
            <w:r w:rsidR="009201EA" w:rsidRPr="005A78D2">
              <w:rPr>
                <w:rFonts w:asciiTheme="minorHAnsi" w:eastAsia="Times New Roman" w:hAnsiTheme="minorHAnsi" w:cstheme="minorHAnsi"/>
                <w:i/>
                <w:color w:val="0070C0"/>
              </w:rPr>
              <w:t xml:space="preserve">gut rehabilitation is when a rehabilitation scope of work retains little more than the structural frame of a building.  </w:t>
            </w:r>
          </w:p>
          <w:p w14:paraId="430B2804" w14:textId="77777777" w:rsidR="009201EA" w:rsidRPr="005A78D2" w:rsidRDefault="009201EA" w:rsidP="00974858">
            <w:pPr>
              <w:rPr>
                <w:rFonts w:asciiTheme="minorHAnsi" w:eastAsia="Times New Roman" w:hAnsiTheme="minorHAnsi" w:cstheme="minorHAnsi"/>
                <w:i/>
                <w:color w:val="0070C0"/>
              </w:rPr>
            </w:pPr>
          </w:p>
          <w:p w14:paraId="40D6B448" w14:textId="782A38B3" w:rsidR="007F10E8" w:rsidRPr="005A78D2" w:rsidRDefault="009201EA" w:rsidP="008E7194">
            <w:pPr>
              <w:rPr>
                <w:rFonts w:asciiTheme="minorHAnsi" w:hAnsiTheme="minorHAnsi" w:cstheme="minorHAnsi"/>
                <w:i/>
                <w:color w:val="0070C0"/>
              </w:rPr>
            </w:pPr>
            <w:r w:rsidRPr="005A78D2">
              <w:rPr>
                <w:rFonts w:asciiTheme="minorHAnsi" w:eastAsia="Times New Roman" w:hAnsiTheme="minorHAnsi" w:cstheme="minorHAnsi"/>
                <w:i/>
                <w:color w:val="0070C0"/>
              </w:rPr>
              <w:t xml:space="preserve">In general, significant demolition relates to demolition of large </w:t>
            </w:r>
            <w:r w:rsidR="007C727B" w:rsidRPr="005A78D2">
              <w:rPr>
                <w:rFonts w:asciiTheme="minorHAnsi" w:eastAsia="Times New Roman" w:hAnsiTheme="minorHAnsi" w:cstheme="minorHAnsi"/>
                <w:i/>
                <w:color w:val="0070C0"/>
              </w:rPr>
              <w:t xml:space="preserve">multistory </w:t>
            </w:r>
            <w:r w:rsidRPr="005A78D2">
              <w:rPr>
                <w:rFonts w:asciiTheme="minorHAnsi" w:eastAsia="Times New Roman" w:hAnsiTheme="minorHAnsi" w:cstheme="minorHAnsi"/>
                <w:i/>
                <w:color w:val="0070C0"/>
              </w:rPr>
              <w:t xml:space="preserve">buildings on a proposed new construction site.  </w:t>
            </w:r>
            <w:r w:rsidR="007C727B" w:rsidRPr="005A78D2">
              <w:rPr>
                <w:rFonts w:asciiTheme="minorHAnsi" w:eastAsia="Times New Roman" w:hAnsiTheme="minorHAnsi" w:cstheme="minorHAnsi"/>
                <w:i/>
                <w:color w:val="0070C0"/>
              </w:rPr>
              <w:t>However, e</w:t>
            </w:r>
            <w:r w:rsidR="00C25BC5" w:rsidRPr="005A78D2">
              <w:rPr>
                <w:rFonts w:asciiTheme="minorHAnsi" w:eastAsia="Times New Roman" w:hAnsiTheme="minorHAnsi" w:cstheme="minorHAnsi"/>
                <w:i/>
                <w:color w:val="0070C0"/>
              </w:rPr>
              <w:t xml:space="preserve">xisting buildings </w:t>
            </w:r>
            <w:r w:rsidR="007C727B" w:rsidRPr="005A78D2">
              <w:rPr>
                <w:rFonts w:asciiTheme="minorHAnsi" w:eastAsia="Times New Roman" w:hAnsiTheme="minorHAnsi" w:cstheme="minorHAnsi"/>
                <w:i/>
                <w:color w:val="0070C0"/>
              </w:rPr>
              <w:t xml:space="preserve">of any size that may contain environmental risks </w:t>
            </w:r>
            <w:r w:rsidR="00C25BC5" w:rsidRPr="005A78D2">
              <w:rPr>
                <w:rFonts w:asciiTheme="minorHAnsi" w:eastAsia="Times New Roman" w:hAnsiTheme="minorHAnsi" w:cstheme="minorHAnsi"/>
                <w:i/>
                <w:color w:val="0070C0"/>
              </w:rPr>
              <w:t>complicate the environmental review and</w:t>
            </w:r>
            <w:r w:rsidR="008E7194" w:rsidRPr="005A78D2">
              <w:rPr>
                <w:rFonts w:asciiTheme="minorHAnsi" w:eastAsia="Times New Roman" w:hAnsiTheme="minorHAnsi" w:cstheme="minorHAnsi"/>
                <w:i/>
                <w:color w:val="0070C0"/>
              </w:rPr>
              <w:t xml:space="preserve"> make it difficult to characterize the environmental issues on a site given the potential for unforeseen environmental risks below the foundation of that building.  </w:t>
            </w:r>
            <w:r w:rsidRPr="005A78D2">
              <w:rPr>
                <w:rFonts w:asciiTheme="minorHAnsi" w:hAnsiTheme="minorHAnsi" w:cstheme="minorHAnsi"/>
                <w:i/>
                <w:color w:val="0070C0"/>
              </w:rPr>
              <w:t xml:space="preserve">The intent is to allow relatively “clean” sites under the Pilot to avoid environmental </w:t>
            </w:r>
            <w:r w:rsidR="008E7194" w:rsidRPr="005A78D2">
              <w:rPr>
                <w:rFonts w:asciiTheme="minorHAnsi" w:hAnsiTheme="minorHAnsi" w:cstheme="minorHAnsi"/>
                <w:i/>
                <w:color w:val="0070C0"/>
              </w:rPr>
              <w:t xml:space="preserve">risks </w:t>
            </w:r>
            <w:r w:rsidRPr="005A78D2">
              <w:rPr>
                <w:rFonts w:asciiTheme="minorHAnsi" w:hAnsiTheme="minorHAnsi" w:cstheme="minorHAnsi"/>
                <w:i/>
                <w:color w:val="0070C0"/>
              </w:rPr>
              <w:t xml:space="preserve">which may require a review by someone other than the DPU and/or the FEO or REO.  </w:t>
            </w:r>
          </w:p>
          <w:p w14:paraId="7B1B29BE" w14:textId="447B14B8" w:rsidR="008E7194" w:rsidRPr="005A78D2" w:rsidRDefault="008E7194" w:rsidP="008E7194">
            <w:pPr>
              <w:rPr>
                <w:rFonts w:asciiTheme="minorHAnsi" w:eastAsia="Times New Roman" w:hAnsiTheme="minorHAnsi" w:cstheme="minorHAnsi"/>
                <w:i/>
              </w:rPr>
            </w:pPr>
          </w:p>
        </w:tc>
      </w:tr>
      <w:tr w:rsidR="00F3424E" w:rsidRPr="0043666E" w14:paraId="10D042C6" w14:textId="77777777" w:rsidTr="00C63991">
        <w:trPr>
          <w:gridAfter w:val="1"/>
          <w:wAfter w:w="14" w:type="dxa"/>
        </w:trPr>
        <w:tc>
          <w:tcPr>
            <w:tcW w:w="9351" w:type="dxa"/>
            <w:gridSpan w:val="3"/>
          </w:tcPr>
          <w:p w14:paraId="755674EB" w14:textId="2BED8452" w:rsidR="00F3424E" w:rsidRPr="005A78D2" w:rsidRDefault="00F3424E" w:rsidP="006262D6">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F37C26" w:rsidRPr="005A78D2">
              <w:rPr>
                <w:rFonts w:asciiTheme="minorHAnsi" w:eastAsia="Times New Roman" w:hAnsiTheme="minorHAnsi" w:cstheme="minorHAnsi"/>
              </w:rPr>
              <w:t>1</w:t>
            </w:r>
            <w:r w:rsidR="007C727B" w:rsidRPr="005A78D2">
              <w:rPr>
                <w:rFonts w:asciiTheme="minorHAnsi" w:eastAsia="Times New Roman" w:hAnsiTheme="minorHAnsi" w:cstheme="minorHAnsi"/>
              </w:rPr>
              <w:t>5</w:t>
            </w:r>
            <w:r w:rsidRPr="005A78D2">
              <w:rPr>
                <w:rFonts w:asciiTheme="minorHAnsi" w:eastAsia="Times New Roman" w:hAnsiTheme="minorHAnsi" w:cstheme="minorHAnsi"/>
              </w:rPr>
              <w:t xml:space="preserve">: </w:t>
            </w:r>
            <w:r w:rsidRPr="005A78D2">
              <w:rPr>
                <w:rFonts w:asciiTheme="minorHAnsi" w:hAnsiTheme="minorHAnsi" w:cstheme="minorHAnsi"/>
              </w:rPr>
              <w:t>Section X, 2a – vi. Refers to the HUD 92329.  Isn’t this now done in the C.N.A. eTool?</w:t>
            </w:r>
          </w:p>
        </w:tc>
      </w:tr>
      <w:tr w:rsidR="00F3424E" w:rsidRPr="0043666E" w14:paraId="79AA107B" w14:textId="77777777" w:rsidTr="00C63991">
        <w:trPr>
          <w:gridAfter w:val="1"/>
          <w:wAfter w:w="14" w:type="dxa"/>
          <w:trHeight w:val="60"/>
        </w:trPr>
        <w:tc>
          <w:tcPr>
            <w:tcW w:w="9351" w:type="dxa"/>
            <w:gridSpan w:val="3"/>
          </w:tcPr>
          <w:p w14:paraId="12E2CB7B" w14:textId="77777777" w:rsidR="006262D6" w:rsidRPr="005A78D2" w:rsidRDefault="006262D6" w:rsidP="00FA3002">
            <w:pPr>
              <w:rPr>
                <w:rFonts w:asciiTheme="minorHAnsi" w:eastAsia="Times New Roman" w:hAnsiTheme="minorHAnsi" w:cstheme="minorHAnsi"/>
                <w:i/>
                <w:color w:val="0070C0"/>
              </w:rPr>
            </w:pPr>
          </w:p>
          <w:p w14:paraId="4F755B83" w14:textId="77777777" w:rsidR="00F3424E" w:rsidRPr="005A78D2" w:rsidRDefault="00F3424E" w:rsidP="00FA3002">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Reply:</w:t>
            </w:r>
            <w:r w:rsidR="00AB752A" w:rsidRPr="005A78D2">
              <w:rPr>
                <w:rFonts w:asciiTheme="minorHAnsi" w:eastAsia="Times New Roman" w:hAnsiTheme="minorHAnsi" w:cstheme="minorHAnsi"/>
                <w:i/>
                <w:color w:val="0070C0"/>
              </w:rPr>
              <w:t xml:space="preserve">  Yes, the form HUD 92329 may now be completed via the CNA e-Tool.</w:t>
            </w:r>
          </w:p>
          <w:p w14:paraId="209E72E2" w14:textId="21A4EF19" w:rsidR="006262D6" w:rsidRPr="005A78D2" w:rsidRDefault="006262D6" w:rsidP="00FA3002">
            <w:pPr>
              <w:rPr>
                <w:rFonts w:asciiTheme="minorHAnsi" w:eastAsia="Times New Roman" w:hAnsiTheme="minorHAnsi" w:cstheme="minorHAnsi"/>
                <w:i/>
                <w:color w:val="0070C0"/>
              </w:rPr>
            </w:pPr>
          </w:p>
        </w:tc>
      </w:tr>
      <w:tr w:rsidR="00771179" w:rsidRPr="0043666E" w14:paraId="0D68ACB1" w14:textId="77777777" w:rsidTr="00C63991">
        <w:trPr>
          <w:gridAfter w:val="1"/>
          <w:wAfter w:w="14" w:type="dxa"/>
        </w:trPr>
        <w:tc>
          <w:tcPr>
            <w:tcW w:w="9351" w:type="dxa"/>
            <w:gridSpan w:val="3"/>
          </w:tcPr>
          <w:p w14:paraId="3428699E" w14:textId="172C6834" w:rsidR="00771179" w:rsidRPr="005A78D2" w:rsidRDefault="00771179" w:rsidP="006262D6">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496431" w:rsidRPr="005A78D2">
              <w:rPr>
                <w:rFonts w:asciiTheme="minorHAnsi" w:eastAsia="Times New Roman" w:hAnsiTheme="minorHAnsi" w:cstheme="minorHAnsi"/>
              </w:rPr>
              <w:t>1</w:t>
            </w:r>
            <w:r w:rsidR="007C727B" w:rsidRPr="005A78D2">
              <w:rPr>
                <w:rFonts w:asciiTheme="minorHAnsi" w:eastAsia="Times New Roman" w:hAnsiTheme="minorHAnsi" w:cstheme="minorHAnsi"/>
              </w:rPr>
              <w:t>6</w:t>
            </w:r>
            <w:r w:rsidRPr="005A78D2">
              <w:rPr>
                <w:rFonts w:asciiTheme="minorHAnsi" w:eastAsia="Times New Roman" w:hAnsiTheme="minorHAnsi" w:cstheme="minorHAnsi"/>
              </w:rPr>
              <w:t>: X.</w:t>
            </w:r>
            <w:r w:rsidRPr="005A78D2">
              <w:rPr>
                <w:rFonts w:asciiTheme="minorHAnsi" w:hAnsiTheme="minorHAnsi" w:cstheme="minorHAnsi"/>
              </w:rPr>
              <w:t>A.3 – Do final plans need to evidence local permit approval 30 days prior to Initial Endorsement if permits are not required until initial endorsement?</w:t>
            </w:r>
          </w:p>
        </w:tc>
      </w:tr>
      <w:tr w:rsidR="00771179" w:rsidRPr="0043666E" w14:paraId="6E0F8942" w14:textId="77777777" w:rsidTr="00C63991">
        <w:trPr>
          <w:gridAfter w:val="1"/>
          <w:wAfter w:w="14" w:type="dxa"/>
        </w:trPr>
        <w:tc>
          <w:tcPr>
            <w:tcW w:w="9351" w:type="dxa"/>
            <w:gridSpan w:val="3"/>
          </w:tcPr>
          <w:p w14:paraId="25852090" w14:textId="77777777" w:rsidR="006262D6" w:rsidRPr="005A78D2" w:rsidRDefault="006262D6" w:rsidP="00496431">
            <w:pPr>
              <w:rPr>
                <w:rFonts w:asciiTheme="minorHAnsi" w:eastAsia="Times New Roman" w:hAnsiTheme="minorHAnsi" w:cstheme="minorHAnsi"/>
                <w:i/>
                <w:color w:val="0070C0"/>
              </w:rPr>
            </w:pPr>
          </w:p>
          <w:p w14:paraId="3F940CF9" w14:textId="1DA646AB" w:rsidR="00496431" w:rsidRPr="005A78D2" w:rsidRDefault="00496431" w:rsidP="00496431">
            <w:pPr>
              <w:rPr>
                <w:rFonts w:asciiTheme="minorHAnsi" w:eastAsia="Times New Roman" w:hAnsiTheme="minorHAnsi" w:cstheme="minorHAnsi"/>
                <w:i/>
                <w:color w:val="FF0000"/>
              </w:rPr>
            </w:pPr>
            <w:r w:rsidRPr="005A78D2">
              <w:rPr>
                <w:rFonts w:asciiTheme="minorHAnsi" w:eastAsia="Times New Roman" w:hAnsiTheme="minorHAnsi" w:cstheme="minorHAnsi"/>
                <w:i/>
                <w:color w:val="0070C0"/>
              </w:rPr>
              <w:t>Reply:  Local permit approval is not required 30 days prior to Initial Endorsement however, assurance that the permitting process will be achieved by closing should be provided.   The plans and specifications should be sufficiently complete to go through the permitting process and to receive the permit by initial closing.</w:t>
            </w:r>
            <w:r w:rsidR="007B17DB" w:rsidRPr="005A78D2">
              <w:rPr>
                <w:rFonts w:asciiTheme="minorHAnsi" w:eastAsia="Times New Roman" w:hAnsiTheme="minorHAnsi" w:cstheme="minorHAnsi"/>
                <w:i/>
                <w:color w:val="0070C0"/>
              </w:rPr>
              <w:t xml:space="preserve">  </w:t>
            </w:r>
          </w:p>
          <w:p w14:paraId="03B5BC90" w14:textId="79054E1B" w:rsidR="00554C6A" w:rsidRPr="005A78D2" w:rsidRDefault="00554C6A" w:rsidP="00771179">
            <w:pPr>
              <w:rPr>
                <w:rFonts w:asciiTheme="minorHAnsi" w:eastAsia="Times New Roman" w:hAnsiTheme="minorHAnsi" w:cstheme="minorHAnsi"/>
                <w:i/>
              </w:rPr>
            </w:pPr>
          </w:p>
        </w:tc>
      </w:tr>
      <w:tr w:rsidR="008870C4" w:rsidRPr="0043666E" w14:paraId="20EB5CCF" w14:textId="77777777" w:rsidTr="00C63991">
        <w:trPr>
          <w:gridAfter w:val="1"/>
          <w:wAfter w:w="14" w:type="dxa"/>
        </w:trPr>
        <w:tc>
          <w:tcPr>
            <w:tcW w:w="9351" w:type="dxa"/>
            <w:gridSpan w:val="3"/>
          </w:tcPr>
          <w:p w14:paraId="49CB8CF5" w14:textId="704A1663" w:rsidR="008870C4" w:rsidRPr="005A78D2" w:rsidRDefault="008870C4" w:rsidP="006262D6">
            <w:pPr>
              <w:rPr>
                <w:rFonts w:asciiTheme="minorHAnsi" w:eastAsia="Times New Roman" w:hAnsiTheme="minorHAnsi" w:cstheme="minorHAnsi"/>
              </w:rPr>
            </w:pPr>
            <w:r w:rsidRPr="005A78D2">
              <w:rPr>
                <w:rFonts w:asciiTheme="minorHAnsi" w:eastAsia="Times New Roman" w:hAnsiTheme="minorHAnsi" w:cstheme="minorHAnsi"/>
              </w:rPr>
              <w:t>Question</w:t>
            </w:r>
            <w:r w:rsidR="0089569C" w:rsidRPr="005A78D2">
              <w:rPr>
                <w:rFonts w:asciiTheme="minorHAnsi" w:eastAsia="Times New Roman" w:hAnsiTheme="minorHAnsi" w:cstheme="minorHAnsi"/>
              </w:rPr>
              <w:t xml:space="preserve"> </w:t>
            </w:r>
            <w:r w:rsidR="00E23CF2" w:rsidRPr="005A78D2">
              <w:rPr>
                <w:rFonts w:asciiTheme="minorHAnsi" w:eastAsia="Times New Roman" w:hAnsiTheme="minorHAnsi" w:cstheme="minorHAnsi"/>
              </w:rPr>
              <w:t>1</w:t>
            </w:r>
            <w:r w:rsidR="007C727B" w:rsidRPr="005A78D2">
              <w:rPr>
                <w:rFonts w:asciiTheme="minorHAnsi" w:eastAsia="Times New Roman" w:hAnsiTheme="minorHAnsi" w:cstheme="minorHAnsi"/>
              </w:rPr>
              <w:t>7</w:t>
            </w:r>
            <w:r w:rsidRPr="005A78D2">
              <w:rPr>
                <w:rFonts w:asciiTheme="minorHAnsi" w:eastAsia="Times New Roman" w:hAnsiTheme="minorHAnsi" w:cstheme="minorHAnsi"/>
              </w:rPr>
              <w:t xml:space="preserve">: </w:t>
            </w:r>
            <w:r w:rsidRPr="005A78D2">
              <w:rPr>
                <w:rFonts w:asciiTheme="minorHAnsi" w:hAnsiTheme="minorHAnsi" w:cstheme="minorHAnsi"/>
              </w:rPr>
              <w:t>V.A.5 &amp; X.A.6.v – Would a waiver of the mortgage increase be possible if the mortgage had been limited by a requested loan amount?</w:t>
            </w:r>
          </w:p>
        </w:tc>
      </w:tr>
      <w:tr w:rsidR="008870C4" w:rsidRPr="0043666E" w14:paraId="3C53F5DE" w14:textId="77777777" w:rsidTr="00C63991">
        <w:trPr>
          <w:gridAfter w:val="1"/>
          <w:wAfter w:w="14" w:type="dxa"/>
        </w:trPr>
        <w:tc>
          <w:tcPr>
            <w:tcW w:w="9351" w:type="dxa"/>
            <w:gridSpan w:val="3"/>
          </w:tcPr>
          <w:p w14:paraId="2676EDC2" w14:textId="77777777" w:rsidR="006262D6" w:rsidRPr="005A78D2" w:rsidRDefault="006262D6" w:rsidP="00AD3280">
            <w:pPr>
              <w:rPr>
                <w:rFonts w:asciiTheme="minorHAnsi" w:eastAsia="Times New Roman" w:hAnsiTheme="minorHAnsi" w:cstheme="minorHAnsi"/>
                <w:i/>
                <w:color w:val="0070C0"/>
              </w:rPr>
            </w:pPr>
          </w:p>
          <w:p w14:paraId="464D6731" w14:textId="1861C04C" w:rsidR="00A80C9C" w:rsidRPr="005A78D2" w:rsidRDefault="008870C4"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Reply:</w:t>
            </w:r>
            <w:r w:rsidR="00241098" w:rsidRPr="005A78D2">
              <w:rPr>
                <w:rFonts w:asciiTheme="minorHAnsi" w:eastAsia="Times New Roman" w:hAnsiTheme="minorHAnsi" w:cstheme="minorHAnsi"/>
                <w:i/>
                <w:color w:val="0070C0"/>
              </w:rPr>
              <w:t xml:space="preserve">  </w:t>
            </w:r>
            <w:r w:rsidR="00F6247A" w:rsidRPr="005A78D2">
              <w:rPr>
                <w:rFonts w:asciiTheme="minorHAnsi" w:eastAsia="Times New Roman" w:hAnsiTheme="minorHAnsi" w:cstheme="minorHAnsi"/>
                <w:i/>
                <w:color w:val="0070C0"/>
              </w:rPr>
              <w:t>Mortgage increase</w:t>
            </w:r>
            <w:r w:rsidR="00241098" w:rsidRPr="005A78D2">
              <w:rPr>
                <w:rFonts w:asciiTheme="minorHAnsi" w:eastAsia="Times New Roman" w:hAnsiTheme="minorHAnsi" w:cstheme="minorHAnsi"/>
                <w:i/>
                <w:color w:val="0070C0"/>
              </w:rPr>
              <w:t xml:space="preserve"> </w:t>
            </w:r>
            <w:r w:rsidR="00F6247A" w:rsidRPr="005A78D2">
              <w:rPr>
                <w:rFonts w:asciiTheme="minorHAnsi" w:eastAsia="Times New Roman" w:hAnsiTheme="minorHAnsi" w:cstheme="minorHAnsi"/>
                <w:i/>
                <w:color w:val="0070C0"/>
              </w:rPr>
              <w:t xml:space="preserve">requests (not including those resulting from interest rate reductions) </w:t>
            </w:r>
            <w:r w:rsidR="009A0933" w:rsidRPr="005A78D2">
              <w:rPr>
                <w:rFonts w:asciiTheme="minorHAnsi" w:eastAsia="Times New Roman" w:hAnsiTheme="minorHAnsi" w:cstheme="minorHAnsi"/>
                <w:i/>
                <w:color w:val="0070C0"/>
              </w:rPr>
              <w:t>may</w:t>
            </w:r>
            <w:r w:rsidR="00F6247A" w:rsidRPr="005A78D2">
              <w:rPr>
                <w:rFonts w:asciiTheme="minorHAnsi" w:eastAsia="Times New Roman" w:hAnsiTheme="minorHAnsi" w:cstheme="minorHAnsi"/>
                <w:i/>
                <w:color w:val="0070C0"/>
              </w:rPr>
              <w:t xml:space="preserve"> take additional review time and </w:t>
            </w:r>
            <w:r w:rsidR="009A0933" w:rsidRPr="005A78D2">
              <w:rPr>
                <w:rFonts w:asciiTheme="minorHAnsi" w:eastAsia="Times New Roman" w:hAnsiTheme="minorHAnsi" w:cstheme="minorHAnsi"/>
                <w:i/>
                <w:color w:val="0070C0"/>
              </w:rPr>
              <w:t xml:space="preserve">can </w:t>
            </w:r>
            <w:r w:rsidR="00F6247A" w:rsidRPr="005A78D2">
              <w:rPr>
                <w:rFonts w:asciiTheme="minorHAnsi" w:eastAsia="Times New Roman" w:hAnsiTheme="minorHAnsi" w:cstheme="minorHAnsi"/>
                <w:i/>
                <w:color w:val="0070C0"/>
              </w:rPr>
              <w:t xml:space="preserve">delay the closing process.  Since the intent of the Pilot is to review and close deals quickly, mortgage increase requests will </w:t>
            </w:r>
            <w:r w:rsidR="009A0933" w:rsidRPr="005A78D2">
              <w:rPr>
                <w:rFonts w:asciiTheme="minorHAnsi" w:eastAsia="Times New Roman" w:hAnsiTheme="minorHAnsi" w:cstheme="minorHAnsi"/>
                <w:i/>
                <w:color w:val="0070C0"/>
              </w:rPr>
              <w:t>be considered on c</w:t>
            </w:r>
            <w:r w:rsidR="00A80C9C" w:rsidRPr="005A78D2">
              <w:rPr>
                <w:rFonts w:asciiTheme="minorHAnsi" w:eastAsia="Times New Roman" w:hAnsiTheme="minorHAnsi" w:cstheme="minorHAnsi"/>
                <w:i/>
                <w:color w:val="0070C0"/>
              </w:rPr>
              <w:t>ase-by-case basis.</w:t>
            </w:r>
            <w:r w:rsidR="007B17DB" w:rsidRPr="005A78D2">
              <w:rPr>
                <w:rFonts w:asciiTheme="minorHAnsi" w:eastAsia="Times New Roman" w:hAnsiTheme="minorHAnsi" w:cstheme="minorHAnsi"/>
                <w:i/>
                <w:color w:val="0070C0"/>
              </w:rPr>
              <w:t xml:space="preserve"> The LTC ratio must remain within the Pilot limits. The NOI approved at Firm Commitment should not be increased.  The Lender is responsible for analysis and justification to demonstrate that the proposed mortgage increase does not increase the risk of the transaction.   </w:t>
            </w:r>
          </w:p>
          <w:p w14:paraId="005447D2" w14:textId="3E8E0555" w:rsidR="00A80C9C" w:rsidRPr="005A78D2" w:rsidRDefault="00A80C9C" w:rsidP="00AD3280">
            <w:pPr>
              <w:rPr>
                <w:rFonts w:asciiTheme="minorHAnsi" w:eastAsia="Times New Roman" w:hAnsiTheme="minorHAnsi" w:cstheme="minorHAnsi"/>
                <w:i/>
              </w:rPr>
            </w:pPr>
          </w:p>
        </w:tc>
      </w:tr>
      <w:tr w:rsidR="00E362E0" w:rsidRPr="0043666E" w14:paraId="0AF10D1C" w14:textId="77777777" w:rsidTr="00C63991">
        <w:trPr>
          <w:gridAfter w:val="1"/>
          <w:wAfter w:w="14" w:type="dxa"/>
        </w:trPr>
        <w:tc>
          <w:tcPr>
            <w:tcW w:w="9351" w:type="dxa"/>
            <w:gridSpan w:val="3"/>
          </w:tcPr>
          <w:p w14:paraId="4248053D" w14:textId="2DD99B21" w:rsidR="00E362E0" w:rsidRPr="005A78D2" w:rsidRDefault="00E362E0" w:rsidP="00E362E0">
            <w:pPr>
              <w:contextualSpacing/>
              <w:rPr>
                <w:rFonts w:asciiTheme="minorHAnsi" w:hAnsiTheme="minorHAnsi" w:cstheme="minorHAnsi"/>
              </w:rPr>
            </w:pPr>
            <w:r w:rsidRPr="005A78D2">
              <w:rPr>
                <w:rFonts w:asciiTheme="minorHAnsi" w:eastAsia="Times New Roman" w:hAnsiTheme="minorHAnsi" w:cstheme="minorHAnsi"/>
              </w:rPr>
              <w:lastRenderedPageBreak/>
              <w:t xml:space="preserve">Question </w:t>
            </w:r>
            <w:r w:rsidR="007C727B" w:rsidRPr="005A78D2">
              <w:rPr>
                <w:rFonts w:asciiTheme="minorHAnsi" w:eastAsia="Times New Roman" w:hAnsiTheme="minorHAnsi" w:cstheme="minorHAnsi"/>
              </w:rPr>
              <w:t>18</w:t>
            </w:r>
            <w:r w:rsidRPr="005A78D2">
              <w:rPr>
                <w:rFonts w:asciiTheme="minorHAnsi" w:eastAsia="Times New Roman" w:hAnsiTheme="minorHAnsi" w:cstheme="minorHAnsi"/>
              </w:rPr>
              <w:t xml:space="preserve">: </w:t>
            </w:r>
            <w:r w:rsidRPr="005A78D2">
              <w:rPr>
                <w:rFonts w:asciiTheme="minorHAnsi" w:hAnsiTheme="minorHAnsi" w:cstheme="minorHAnsi"/>
              </w:rPr>
              <w:t>Change Order Approval – HUD does not approve, but the HUD inspector must make a preliminary determination of technical acceptability before the change is submitted to the lender.  HUD may reject changes w/in 5 business days of receipt of the change request.  If rejected, HUD will inform the HUD inspector of the disapproval and the HUD inspector will modify the amount of the Contractor’s Requisition to cover any noncompliance or construction removal.</w:t>
            </w:r>
          </w:p>
          <w:p w14:paraId="5FFDD751" w14:textId="77777777" w:rsidR="00E362E0" w:rsidRPr="005A78D2" w:rsidRDefault="00E362E0" w:rsidP="00BE03AF">
            <w:pPr>
              <w:rPr>
                <w:rFonts w:asciiTheme="minorHAnsi" w:eastAsia="Times New Roman" w:hAnsiTheme="minorHAnsi" w:cstheme="minorHAnsi"/>
              </w:rPr>
            </w:pPr>
          </w:p>
          <w:p w14:paraId="5776FDBD" w14:textId="33F789A1" w:rsidR="00E362E0" w:rsidRPr="005A78D2" w:rsidRDefault="00E362E0" w:rsidP="006262D6">
            <w:pPr>
              <w:contextualSpacing/>
              <w:rPr>
                <w:rFonts w:asciiTheme="minorHAnsi" w:eastAsia="Times New Roman" w:hAnsiTheme="minorHAnsi" w:cstheme="minorHAnsi"/>
              </w:rPr>
            </w:pPr>
            <w:r w:rsidRPr="005A78D2">
              <w:rPr>
                <w:rFonts w:asciiTheme="minorHAnsi" w:hAnsiTheme="minorHAnsi" w:cstheme="minorHAnsi"/>
              </w:rPr>
              <w:t>What form is the technical acceptability evidenced in?</w:t>
            </w:r>
          </w:p>
        </w:tc>
      </w:tr>
      <w:tr w:rsidR="00E362E0" w:rsidRPr="0043666E" w14:paraId="186F22DF" w14:textId="77777777" w:rsidTr="00C63991">
        <w:trPr>
          <w:gridAfter w:val="1"/>
          <w:wAfter w:w="14" w:type="dxa"/>
        </w:trPr>
        <w:tc>
          <w:tcPr>
            <w:tcW w:w="9351" w:type="dxa"/>
            <w:gridSpan w:val="3"/>
          </w:tcPr>
          <w:p w14:paraId="7E5D0792" w14:textId="77777777" w:rsidR="006262D6" w:rsidRPr="005A78D2" w:rsidRDefault="006262D6" w:rsidP="00BE03AF">
            <w:pPr>
              <w:rPr>
                <w:rFonts w:asciiTheme="minorHAnsi" w:eastAsia="Times New Roman" w:hAnsiTheme="minorHAnsi" w:cstheme="minorHAnsi"/>
                <w:i/>
                <w:color w:val="0070C0"/>
              </w:rPr>
            </w:pPr>
          </w:p>
          <w:p w14:paraId="4F16ACFF" w14:textId="3A3B8D95" w:rsidR="0071606F" w:rsidRPr="005A78D2" w:rsidRDefault="0071606F" w:rsidP="00BB7BFF">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The HUD inspector may not </w:t>
            </w:r>
            <w:r w:rsidR="00BB7BFF" w:rsidRPr="005A78D2">
              <w:rPr>
                <w:rFonts w:asciiTheme="minorHAnsi" w:eastAsia="Times New Roman" w:hAnsiTheme="minorHAnsi" w:cstheme="minorHAnsi"/>
                <w:i/>
                <w:color w:val="0070C0"/>
              </w:rPr>
              <w:t xml:space="preserve">approve or disapprove change </w:t>
            </w:r>
            <w:r w:rsidR="005A2756" w:rsidRPr="005A78D2">
              <w:rPr>
                <w:rFonts w:asciiTheme="minorHAnsi" w:eastAsia="Times New Roman" w:hAnsiTheme="minorHAnsi" w:cstheme="minorHAnsi"/>
                <w:i/>
                <w:color w:val="0070C0"/>
              </w:rPr>
              <w:t>orders,</w:t>
            </w:r>
            <w:r w:rsidR="00BB7BFF" w:rsidRPr="005A78D2">
              <w:rPr>
                <w:rFonts w:asciiTheme="minorHAnsi" w:eastAsia="Times New Roman" w:hAnsiTheme="minorHAnsi" w:cstheme="minorHAnsi"/>
                <w:i/>
                <w:color w:val="0070C0"/>
              </w:rPr>
              <w:t xml:space="preserve"> but </w:t>
            </w:r>
            <w:r w:rsidRPr="005A78D2">
              <w:rPr>
                <w:rFonts w:asciiTheme="minorHAnsi" w:eastAsia="Times New Roman" w:hAnsiTheme="minorHAnsi" w:cstheme="minorHAnsi"/>
                <w:i/>
                <w:color w:val="0070C0"/>
              </w:rPr>
              <w:t xml:space="preserve">they are required to </w:t>
            </w:r>
            <w:r w:rsidR="00BB7BFF" w:rsidRPr="005A78D2">
              <w:rPr>
                <w:rFonts w:asciiTheme="minorHAnsi" w:eastAsia="Times New Roman" w:hAnsiTheme="minorHAnsi" w:cstheme="minorHAnsi"/>
                <w:i/>
                <w:color w:val="0070C0"/>
              </w:rPr>
              <w:t>review</w:t>
            </w:r>
            <w:r w:rsidRPr="005A78D2">
              <w:rPr>
                <w:rFonts w:asciiTheme="minorHAnsi" w:eastAsia="Times New Roman" w:hAnsiTheme="minorHAnsi" w:cstheme="minorHAnsi"/>
                <w:i/>
                <w:color w:val="0070C0"/>
              </w:rPr>
              <w:t xml:space="preserve"> contemplated changes with the architect, contractor and owner before the change </w:t>
            </w:r>
            <w:r w:rsidR="001B41D3" w:rsidRPr="005A78D2">
              <w:rPr>
                <w:rFonts w:asciiTheme="minorHAnsi" w:eastAsia="Times New Roman" w:hAnsiTheme="minorHAnsi" w:cstheme="minorHAnsi"/>
                <w:i/>
                <w:color w:val="0070C0"/>
              </w:rPr>
              <w:t>is</w:t>
            </w:r>
            <w:r w:rsidRPr="005A78D2">
              <w:rPr>
                <w:rFonts w:asciiTheme="minorHAnsi" w:eastAsia="Times New Roman" w:hAnsiTheme="minorHAnsi" w:cstheme="minorHAnsi"/>
                <w:i/>
                <w:color w:val="0070C0"/>
              </w:rPr>
              <w:t xml:space="preserve"> submitted for approval to the lender and the HUD office. </w:t>
            </w:r>
          </w:p>
          <w:p w14:paraId="2CCB9064" w14:textId="177A6F90" w:rsidR="00BB7BFF" w:rsidRPr="005A78D2" w:rsidRDefault="00BB7BFF" w:rsidP="00BB7BFF">
            <w:pPr>
              <w:rPr>
                <w:rFonts w:asciiTheme="minorHAnsi" w:eastAsia="Times New Roman" w:hAnsiTheme="minorHAnsi" w:cstheme="minorHAnsi"/>
                <w:color w:val="0070C0"/>
              </w:rPr>
            </w:pPr>
          </w:p>
        </w:tc>
      </w:tr>
      <w:tr w:rsidR="00E362E0" w:rsidRPr="0043666E" w14:paraId="2493EF74" w14:textId="77777777" w:rsidTr="00C63991">
        <w:trPr>
          <w:gridAfter w:val="1"/>
          <w:wAfter w:w="14" w:type="dxa"/>
        </w:trPr>
        <w:tc>
          <w:tcPr>
            <w:tcW w:w="9351" w:type="dxa"/>
            <w:gridSpan w:val="3"/>
          </w:tcPr>
          <w:p w14:paraId="3CAFE1E9" w14:textId="42FC6247" w:rsidR="00E362E0" w:rsidRPr="005A78D2" w:rsidRDefault="00E362E0" w:rsidP="00E362E0">
            <w:pPr>
              <w:contextualSpacing/>
              <w:rPr>
                <w:rFonts w:asciiTheme="minorHAnsi" w:hAnsiTheme="minorHAnsi" w:cstheme="minorHAnsi"/>
              </w:rPr>
            </w:pPr>
            <w:r w:rsidRPr="005A78D2">
              <w:rPr>
                <w:rFonts w:asciiTheme="minorHAnsi" w:eastAsia="Times New Roman" w:hAnsiTheme="minorHAnsi" w:cstheme="minorHAnsi"/>
              </w:rPr>
              <w:t xml:space="preserve">Question </w:t>
            </w:r>
            <w:r w:rsidR="00BB7BFF" w:rsidRPr="005A78D2">
              <w:rPr>
                <w:rFonts w:asciiTheme="minorHAnsi" w:eastAsia="Times New Roman" w:hAnsiTheme="minorHAnsi" w:cstheme="minorHAnsi"/>
              </w:rPr>
              <w:t>19</w:t>
            </w:r>
            <w:r w:rsidRPr="005A78D2">
              <w:rPr>
                <w:rFonts w:asciiTheme="minorHAnsi" w:eastAsia="Times New Roman" w:hAnsiTheme="minorHAnsi" w:cstheme="minorHAnsi"/>
              </w:rPr>
              <w:t xml:space="preserve">: </w:t>
            </w:r>
            <w:r w:rsidRPr="005A78D2">
              <w:rPr>
                <w:rFonts w:asciiTheme="minorHAnsi" w:hAnsiTheme="minorHAnsi" w:cstheme="minorHAnsi"/>
              </w:rPr>
              <w:t xml:space="preserve">Betterments or </w:t>
            </w:r>
            <w:r w:rsidR="00771179" w:rsidRPr="005A78D2">
              <w:rPr>
                <w:rFonts w:asciiTheme="minorHAnsi" w:hAnsiTheme="minorHAnsi" w:cstheme="minorHAnsi"/>
              </w:rPr>
              <w:t>I</w:t>
            </w:r>
            <w:r w:rsidRPr="005A78D2">
              <w:rPr>
                <w:rFonts w:asciiTheme="minorHAnsi" w:hAnsiTheme="minorHAnsi" w:cstheme="minorHAnsi"/>
              </w:rPr>
              <w:t xml:space="preserve">mprovements </w:t>
            </w:r>
          </w:p>
          <w:p w14:paraId="70C083FA" w14:textId="41EA5D72" w:rsidR="00E362E0" w:rsidRPr="005A78D2" w:rsidRDefault="00E362E0" w:rsidP="006262D6">
            <w:pPr>
              <w:contextualSpacing/>
              <w:rPr>
                <w:rFonts w:asciiTheme="minorHAnsi" w:eastAsia="Times New Roman" w:hAnsiTheme="minorHAnsi" w:cstheme="minorHAnsi"/>
              </w:rPr>
            </w:pPr>
            <w:r w:rsidRPr="005A78D2">
              <w:rPr>
                <w:rFonts w:asciiTheme="minorHAnsi" w:hAnsiTheme="minorHAnsi" w:cstheme="minorHAnsi"/>
              </w:rPr>
              <w:t>(a) The guidance for equivalents would seem to also apply to betterments/improvements?</w:t>
            </w:r>
          </w:p>
        </w:tc>
      </w:tr>
      <w:tr w:rsidR="00E362E0" w:rsidRPr="0043666E" w14:paraId="30B21A11" w14:textId="77777777" w:rsidTr="00C63991">
        <w:trPr>
          <w:gridAfter w:val="1"/>
          <w:wAfter w:w="14" w:type="dxa"/>
        </w:trPr>
        <w:tc>
          <w:tcPr>
            <w:tcW w:w="9351" w:type="dxa"/>
            <w:gridSpan w:val="3"/>
          </w:tcPr>
          <w:p w14:paraId="0E0BAA98" w14:textId="77777777" w:rsidR="006262D6" w:rsidRPr="00862A67" w:rsidRDefault="006262D6" w:rsidP="00B56B0D">
            <w:pPr>
              <w:pStyle w:val="Default"/>
              <w:rPr>
                <w:rFonts w:asciiTheme="minorHAnsi" w:eastAsia="Times New Roman" w:hAnsiTheme="minorHAnsi" w:cstheme="minorHAnsi"/>
                <w:i/>
                <w:color w:val="0070C0"/>
                <w:sz w:val="22"/>
                <w:szCs w:val="22"/>
              </w:rPr>
            </w:pPr>
          </w:p>
          <w:p w14:paraId="388DC630" w14:textId="77777777" w:rsidR="00862A67" w:rsidRPr="00DF2EBA" w:rsidRDefault="00862A67" w:rsidP="00862A67">
            <w:pPr>
              <w:autoSpaceDE w:val="0"/>
              <w:autoSpaceDN w:val="0"/>
              <w:adjustRightInd w:val="0"/>
              <w:rPr>
                <w:rFonts w:asciiTheme="minorHAnsi" w:hAnsiTheme="minorHAnsi" w:cstheme="minorHAnsi"/>
                <w:i/>
                <w:color w:val="0070C0"/>
              </w:rPr>
            </w:pPr>
            <w:r w:rsidRPr="00DF2EBA">
              <w:rPr>
                <w:rFonts w:asciiTheme="minorHAnsi" w:hAnsiTheme="minorHAnsi" w:cstheme="minorHAnsi"/>
                <w:i/>
                <w:color w:val="0070C0"/>
              </w:rPr>
              <w:t xml:space="preserve">Betterment changes are those that are economically justified. They must either: </w:t>
            </w:r>
          </w:p>
          <w:p w14:paraId="31F8DFCD" w14:textId="77777777" w:rsidR="00862A67" w:rsidRPr="00DF2EBA" w:rsidRDefault="00862A67" w:rsidP="00862A67">
            <w:pPr>
              <w:autoSpaceDE w:val="0"/>
              <w:autoSpaceDN w:val="0"/>
              <w:adjustRightInd w:val="0"/>
              <w:rPr>
                <w:rFonts w:asciiTheme="minorHAnsi" w:hAnsiTheme="minorHAnsi" w:cstheme="minorHAnsi"/>
                <w:i/>
                <w:color w:val="0070C0"/>
              </w:rPr>
            </w:pPr>
            <w:r w:rsidRPr="00DF2EBA">
              <w:rPr>
                <w:rFonts w:asciiTheme="minorHAnsi" w:hAnsiTheme="minorHAnsi" w:cstheme="minorHAnsi"/>
                <w:i/>
                <w:color w:val="0070C0"/>
              </w:rPr>
              <w:t xml:space="preserve">a. Increase net income; </w:t>
            </w:r>
          </w:p>
          <w:p w14:paraId="33AE9670" w14:textId="77777777" w:rsidR="00862A67" w:rsidRPr="00DF2EBA" w:rsidRDefault="00862A67" w:rsidP="00862A67">
            <w:pPr>
              <w:autoSpaceDE w:val="0"/>
              <w:autoSpaceDN w:val="0"/>
              <w:adjustRightInd w:val="0"/>
              <w:rPr>
                <w:rFonts w:asciiTheme="minorHAnsi" w:hAnsiTheme="minorHAnsi" w:cstheme="minorHAnsi"/>
                <w:i/>
                <w:color w:val="0070C0"/>
              </w:rPr>
            </w:pPr>
            <w:r w:rsidRPr="00DF2EBA">
              <w:rPr>
                <w:rFonts w:asciiTheme="minorHAnsi" w:hAnsiTheme="minorHAnsi" w:cstheme="minorHAnsi"/>
                <w:i/>
                <w:color w:val="0070C0"/>
              </w:rPr>
              <w:t xml:space="preserve">b. Reduce long-term project maintenance and/or operating expenses; or </w:t>
            </w:r>
          </w:p>
          <w:p w14:paraId="4BCE0DCB" w14:textId="77777777" w:rsidR="00862A67" w:rsidRPr="00DF2EBA" w:rsidRDefault="00862A67" w:rsidP="00862A67">
            <w:pPr>
              <w:autoSpaceDE w:val="0"/>
              <w:autoSpaceDN w:val="0"/>
              <w:adjustRightInd w:val="0"/>
              <w:rPr>
                <w:rFonts w:asciiTheme="minorHAnsi" w:hAnsiTheme="minorHAnsi" w:cstheme="minorHAnsi"/>
                <w:i/>
                <w:color w:val="0070C0"/>
              </w:rPr>
            </w:pPr>
            <w:r w:rsidRPr="00DF2EBA">
              <w:rPr>
                <w:rFonts w:asciiTheme="minorHAnsi" w:hAnsiTheme="minorHAnsi" w:cstheme="minorHAnsi"/>
                <w:i/>
                <w:color w:val="0070C0"/>
              </w:rPr>
              <w:t xml:space="preserve">c. Otherwise enhance the mortgage security. </w:t>
            </w:r>
          </w:p>
          <w:p w14:paraId="3AF40D0C" w14:textId="77777777" w:rsidR="00862A67" w:rsidRPr="00DF2EBA" w:rsidRDefault="00862A67" w:rsidP="00862A67">
            <w:pPr>
              <w:autoSpaceDE w:val="0"/>
              <w:autoSpaceDN w:val="0"/>
              <w:adjustRightInd w:val="0"/>
              <w:rPr>
                <w:rFonts w:asciiTheme="minorHAnsi" w:hAnsiTheme="minorHAnsi" w:cstheme="minorHAnsi"/>
                <w:i/>
                <w:color w:val="0070C0"/>
              </w:rPr>
            </w:pPr>
            <w:r w:rsidRPr="00DF2EBA">
              <w:rPr>
                <w:rFonts w:asciiTheme="minorHAnsi" w:hAnsiTheme="minorHAnsi" w:cstheme="minorHAnsi"/>
                <w:i/>
                <w:color w:val="0070C0"/>
              </w:rPr>
              <w:t xml:space="preserve">3. Equivalent changes are those proposed because: </w:t>
            </w:r>
          </w:p>
          <w:p w14:paraId="3FA55934" w14:textId="77777777" w:rsidR="00862A67" w:rsidRPr="00DF2EBA" w:rsidRDefault="00862A67" w:rsidP="00862A67">
            <w:pPr>
              <w:autoSpaceDE w:val="0"/>
              <w:autoSpaceDN w:val="0"/>
              <w:adjustRightInd w:val="0"/>
              <w:rPr>
                <w:rFonts w:asciiTheme="minorHAnsi" w:hAnsiTheme="minorHAnsi" w:cstheme="minorHAnsi"/>
                <w:i/>
                <w:color w:val="0070C0"/>
              </w:rPr>
            </w:pPr>
            <w:r w:rsidRPr="00DF2EBA">
              <w:rPr>
                <w:rFonts w:asciiTheme="minorHAnsi" w:hAnsiTheme="minorHAnsi" w:cstheme="minorHAnsi"/>
                <w:i/>
                <w:color w:val="0070C0"/>
              </w:rPr>
              <w:t xml:space="preserve">a. A specified item is not readily </w:t>
            </w:r>
            <w:proofErr w:type="gramStart"/>
            <w:r w:rsidRPr="00DF2EBA">
              <w:rPr>
                <w:rFonts w:asciiTheme="minorHAnsi" w:hAnsiTheme="minorHAnsi" w:cstheme="minorHAnsi"/>
                <w:i/>
                <w:color w:val="0070C0"/>
              </w:rPr>
              <w:t>available</w:t>
            </w:r>
            <w:proofErr w:type="gramEnd"/>
            <w:r w:rsidRPr="00DF2EBA">
              <w:rPr>
                <w:rFonts w:asciiTheme="minorHAnsi" w:hAnsiTheme="minorHAnsi" w:cstheme="minorHAnsi"/>
                <w:i/>
                <w:color w:val="0070C0"/>
              </w:rPr>
              <w:t xml:space="preserve"> and the substitution provides equivalent or better utility and performance, or </w:t>
            </w:r>
          </w:p>
          <w:p w14:paraId="455C038C" w14:textId="77777777" w:rsidR="00862A67" w:rsidRPr="00862A67" w:rsidRDefault="00862A67" w:rsidP="00862A67">
            <w:pPr>
              <w:pStyle w:val="Default"/>
              <w:rPr>
                <w:rFonts w:asciiTheme="minorHAnsi" w:eastAsia="Times New Roman" w:hAnsiTheme="minorHAnsi" w:cstheme="minorHAnsi"/>
                <w:i/>
                <w:color w:val="0070C0"/>
                <w:sz w:val="22"/>
                <w:szCs w:val="22"/>
              </w:rPr>
            </w:pPr>
            <w:r w:rsidRPr="00862A67">
              <w:rPr>
                <w:rFonts w:asciiTheme="minorHAnsi" w:hAnsiTheme="minorHAnsi" w:cstheme="minorHAnsi"/>
                <w:i/>
                <w:color w:val="0070C0"/>
                <w:sz w:val="22"/>
                <w:szCs w:val="22"/>
              </w:rPr>
              <w:t>b. The proposed substitution reduces the contract price but provides equivalent or better utility and performance.</w:t>
            </w:r>
          </w:p>
          <w:p w14:paraId="5A5602B1" w14:textId="67531C47" w:rsidR="006262D6" w:rsidRPr="00862A67" w:rsidRDefault="006262D6" w:rsidP="00862A67">
            <w:pPr>
              <w:rPr>
                <w:rFonts w:asciiTheme="minorHAnsi" w:eastAsia="Times New Roman" w:hAnsiTheme="minorHAnsi" w:cstheme="minorHAnsi"/>
                <w:i/>
                <w:color w:val="FF0000"/>
              </w:rPr>
            </w:pPr>
          </w:p>
        </w:tc>
      </w:tr>
      <w:tr w:rsidR="00771179" w:rsidRPr="0043666E" w14:paraId="07398752" w14:textId="77777777" w:rsidTr="00C63991">
        <w:trPr>
          <w:gridAfter w:val="1"/>
          <w:wAfter w:w="14" w:type="dxa"/>
        </w:trPr>
        <w:tc>
          <w:tcPr>
            <w:tcW w:w="9351" w:type="dxa"/>
            <w:gridSpan w:val="3"/>
          </w:tcPr>
          <w:p w14:paraId="4371FE67" w14:textId="4F705A4A" w:rsidR="00771179" w:rsidRPr="005A78D2" w:rsidRDefault="00981F8D" w:rsidP="006262D6">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F37C26" w:rsidRPr="005A78D2">
              <w:rPr>
                <w:rFonts w:asciiTheme="minorHAnsi" w:eastAsia="Times New Roman" w:hAnsiTheme="minorHAnsi" w:cstheme="minorHAnsi"/>
              </w:rPr>
              <w:t>2</w:t>
            </w:r>
            <w:r w:rsidR="00BB7BFF" w:rsidRPr="005A78D2">
              <w:rPr>
                <w:rFonts w:asciiTheme="minorHAnsi" w:eastAsia="Times New Roman" w:hAnsiTheme="minorHAnsi" w:cstheme="minorHAnsi"/>
              </w:rPr>
              <w:t>0</w:t>
            </w:r>
            <w:r w:rsidRPr="005A78D2">
              <w:rPr>
                <w:rFonts w:asciiTheme="minorHAnsi" w:eastAsia="Times New Roman" w:hAnsiTheme="minorHAnsi" w:cstheme="minorHAnsi"/>
              </w:rPr>
              <w:t>:</w:t>
            </w:r>
            <w:r w:rsidR="00771179" w:rsidRPr="005A78D2">
              <w:rPr>
                <w:rFonts w:asciiTheme="minorHAnsi" w:eastAsia="Times New Roman" w:hAnsiTheme="minorHAnsi" w:cstheme="minorHAnsi"/>
              </w:rPr>
              <w:t xml:space="preserve">  </w:t>
            </w:r>
            <w:r w:rsidR="00771179" w:rsidRPr="005A78D2">
              <w:rPr>
                <w:rFonts w:asciiTheme="minorHAnsi" w:hAnsiTheme="minorHAnsi" w:cstheme="minorHAnsi"/>
              </w:rPr>
              <w:t>Is there a reason to limit volume to $250 million per year for 3 years?</w:t>
            </w:r>
          </w:p>
        </w:tc>
      </w:tr>
      <w:tr w:rsidR="00771179" w:rsidRPr="0043666E" w14:paraId="03DFE94A" w14:textId="77777777" w:rsidTr="00C63991">
        <w:trPr>
          <w:gridAfter w:val="1"/>
          <w:wAfter w:w="14" w:type="dxa"/>
        </w:trPr>
        <w:tc>
          <w:tcPr>
            <w:tcW w:w="9351" w:type="dxa"/>
            <w:gridSpan w:val="3"/>
          </w:tcPr>
          <w:p w14:paraId="09E8ACCD" w14:textId="77777777" w:rsidR="006262D6" w:rsidRPr="005A78D2" w:rsidRDefault="006262D6" w:rsidP="00AD3280">
            <w:pPr>
              <w:rPr>
                <w:rFonts w:asciiTheme="minorHAnsi" w:eastAsia="Times New Roman" w:hAnsiTheme="minorHAnsi" w:cstheme="minorHAnsi"/>
                <w:i/>
                <w:color w:val="0070C0"/>
              </w:rPr>
            </w:pPr>
          </w:p>
          <w:p w14:paraId="4C56800A" w14:textId="66AEC416" w:rsidR="006262D6" w:rsidRPr="005A78D2" w:rsidRDefault="00771179"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Reply:</w:t>
            </w:r>
            <w:r w:rsidR="00A143A1" w:rsidRPr="005A78D2">
              <w:rPr>
                <w:rFonts w:asciiTheme="minorHAnsi" w:eastAsia="Times New Roman" w:hAnsiTheme="minorHAnsi" w:cstheme="minorHAnsi"/>
                <w:i/>
                <w:color w:val="0070C0"/>
              </w:rPr>
              <w:t xml:space="preserve"> </w:t>
            </w:r>
            <w:r w:rsidR="00485732" w:rsidRPr="005A78D2">
              <w:rPr>
                <w:rFonts w:asciiTheme="minorHAnsi" w:eastAsia="Times New Roman" w:hAnsiTheme="minorHAnsi" w:cstheme="minorHAnsi"/>
                <w:i/>
                <w:color w:val="0070C0"/>
              </w:rPr>
              <w:t xml:space="preserve"> This was established to limit </w:t>
            </w:r>
            <w:r w:rsidR="00D35FF1" w:rsidRPr="005A78D2">
              <w:rPr>
                <w:rFonts w:asciiTheme="minorHAnsi" w:eastAsia="Times New Roman" w:hAnsiTheme="minorHAnsi" w:cstheme="minorHAnsi"/>
                <w:i/>
                <w:color w:val="0070C0"/>
              </w:rPr>
              <w:t>HUD</w:t>
            </w:r>
            <w:r w:rsidR="00FA081B" w:rsidRPr="005A78D2">
              <w:rPr>
                <w:rFonts w:asciiTheme="minorHAnsi" w:eastAsia="Times New Roman" w:hAnsiTheme="minorHAnsi" w:cstheme="minorHAnsi"/>
                <w:i/>
                <w:color w:val="0070C0"/>
              </w:rPr>
              <w:t>’s</w:t>
            </w:r>
            <w:r w:rsidR="00D35FF1" w:rsidRPr="005A78D2">
              <w:rPr>
                <w:rFonts w:asciiTheme="minorHAnsi" w:eastAsia="Times New Roman" w:hAnsiTheme="minorHAnsi" w:cstheme="minorHAnsi"/>
                <w:i/>
                <w:color w:val="0070C0"/>
              </w:rPr>
              <w:t xml:space="preserve"> exposure to risk</w:t>
            </w:r>
            <w:r w:rsidR="00485732" w:rsidRPr="005A78D2">
              <w:rPr>
                <w:rFonts w:asciiTheme="minorHAnsi" w:eastAsia="Times New Roman" w:hAnsiTheme="minorHAnsi" w:cstheme="minorHAnsi"/>
                <w:i/>
                <w:color w:val="0070C0"/>
              </w:rPr>
              <w:t>.</w:t>
            </w:r>
          </w:p>
          <w:p w14:paraId="4508F65B" w14:textId="3E39D96A" w:rsidR="00771179" w:rsidRPr="005A78D2" w:rsidRDefault="00485732" w:rsidP="00AD3280">
            <w:pPr>
              <w:rPr>
                <w:rFonts w:asciiTheme="minorHAnsi" w:eastAsia="Times New Roman" w:hAnsiTheme="minorHAnsi" w:cstheme="minorHAnsi"/>
                <w:i/>
              </w:rPr>
            </w:pPr>
            <w:r w:rsidRPr="005A78D2">
              <w:rPr>
                <w:rFonts w:asciiTheme="minorHAnsi" w:eastAsia="Times New Roman" w:hAnsiTheme="minorHAnsi" w:cstheme="minorHAnsi"/>
                <w:i/>
                <w:color w:val="0070C0"/>
              </w:rPr>
              <w:t xml:space="preserve"> </w:t>
            </w:r>
            <w:r w:rsidR="00D35FF1" w:rsidRPr="005A78D2">
              <w:rPr>
                <w:rFonts w:asciiTheme="minorHAnsi" w:eastAsia="Times New Roman" w:hAnsiTheme="minorHAnsi" w:cstheme="minorHAnsi"/>
                <w:i/>
                <w:color w:val="0070C0"/>
              </w:rPr>
              <w:t xml:space="preserve"> </w:t>
            </w:r>
            <w:r w:rsidRPr="005A78D2">
              <w:rPr>
                <w:rFonts w:asciiTheme="minorHAnsi" w:eastAsia="Times New Roman" w:hAnsiTheme="minorHAnsi" w:cstheme="minorHAnsi"/>
                <w:i/>
                <w:color w:val="0070C0"/>
              </w:rPr>
              <w:t xml:space="preserve"> </w:t>
            </w:r>
          </w:p>
        </w:tc>
      </w:tr>
      <w:tr w:rsidR="00492AEB" w:rsidRPr="0043666E" w14:paraId="5360B20C" w14:textId="77777777" w:rsidTr="00C63991">
        <w:trPr>
          <w:gridAfter w:val="1"/>
          <w:wAfter w:w="14" w:type="dxa"/>
        </w:trPr>
        <w:tc>
          <w:tcPr>
            <w:tcW w:w="9351" w:type="dxa"/>
            <w:gridSpan w:val="3"/>
          </w:tcPr>
          <w:p w14:paraId="338A1552" w14:textId="79E3D0B3" w:rsidR="00492AEB" w:rsidRPr="005A78D2" w:rsidRDefault="00981F8D" w:rsidP="006262D6">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F37C26" w:rsidRPr="005A78D2">
              <w:rPr>
                <w:rFonts w:asciiTheme="minorHAnsi" w:eastAsia="Times New Roman" w:hAnsiTheme="minorHAnsi" w:cstheme="minorHAnsi"/>
              </w:rPr>
              <w:t>2</w:t>
            </w:r>
            <w:r w:rsidR="00BB7BFF" w:rsidRPr="005A78D2">
              <w:rPr>
                <w:rFonts w:asciiTheme="minorHAnsi" w:eastAsia="Times New Roman" w:hAnsiTheme="minorHAnsi" w:cstheme="minorHAnsi"/>
              </w:rPr>
              <w:t>1</w:t>
            </w:r>
            <w:r w:rsidRPr="005A78D2">
              <w:rPr>
                <w:rFonts w:asciiTheme="minorHAnsi" w:eastAsia="Times New Roman" w:hAnsiTheme="minorHAnsi" w:cstheme="minorHAnsi"/>
              </w:rPr>
              <w:t xml:space="preserve">: </w:t>
            </w:r>
            <w:r w:rsidR="00492AEB" w:rsidRPr="005A78D2">
              <w:rPr>
                <w:rFonts w:asciiTheme="minorHAnsi" w:eastAsia="Times New Roman" w:hAnsiTheme="minorHAnsi" w:cstheme="minorHAnsi"/>
              </w:rPr>
              <w:t xml:space="preserve"> </w:t>
            </w:r>
            <w:r w:rsidR="00492AEB" w:rsidRPr="005A78D2">
              <w:rPr>
                <w:rFonts w:asciiTheme="minorHAnsi" w:hAnsiTheme="minorHAnsi" w:cstheme="minorHAnsi"/>
              </w:rPr>
              <w:t xml:space="preserve">How much of the $250 million are you expecting to utilize each year? </w:t>
            </w:r>
          </w:p>
        </w:tc>
      </w:tr>
      <w:tr w:rsidR="00492AEB" w:rsidRPr="0043666E" w14:paraId="42E23766" w14:textId="77777777" w:rsidTr="00C63991">
        <w:trPr>
          <w:gridAfter w:val="1"/>
          <w:wAfter w:w="14" w:type="dxa"/>
        </w:trPr>
        <w:tc>
          <w:tcPr>
            <w:tcW w:w="9351" w:type="dxa"/>
            <w:gridSpan w:val="3"/>
          </w:tcPr>
          <w:p w14:paraId="632C1055" w14:textId="77777777" w:rsidR="00D35FF1" w:rsidRPr="005A78D2" w:rsidRDefault="00D35FF1" w:rsidP="00AD3280">
            <w:pPr>
              <w:rPr>
                <w:rFonts w:asciiTheme="minorHAnsi" w:eastAsia="Times New Roman" w:hAnsiTheme="minorHAnsi" w:cstheme="minorHAnsi"/>
                <w:i/>
                <w:highlight w:val="yellow"/>
              </w:rPr>
            </w:pPr>
          </w:p>
          <w:p w14:paraId="2B4A7157" w14:textId="0ED5328F" w:rsidR="00492AEB" w:rsidRPr="005A78D2" w:rsidRDefault="00BF6565"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Reply:</w:t>
            </w:r>
            <w:r w:rsidR="00F852CD" w:rsidRPr="005A78D2">
              <w:rPr>
                <w:rFonts w:asciiTheme="minorHAnsi" w:eastAsia="Times New Roman" w:hAnsiTheme="minorHAnsi" w:cstheme="minorHAnsi"/>
                <w:i/>
                <w:color w:val="0070C0"/>
              </w:rPr>
              <w:t xml:space="preserve">  </w:t>
            </w:r>
            <w:r w:rsidR="00121B63" w:rsidRPr="005A78D2">
              <w:rPr>
                <w:rFonts w:asciiTheme="minorHAnsi" w:eastAsia="Times New Roman" w:hAnsiTheme="minorHAnsi" w:cstheme="minorHAnsi"/>
                <w:i/>
                <w:color w:val="0070C0"/>
              </w:rPr>
              <w:t>We expect to meet the $250 million threshold.</w:t>
            </w:r>
          </w:p>
          <w:p w14:paraId="3F9B463C" w14:textId="7FDBB8B8" w:rsidR="00121B63" w:rsidRPr="005A78D2" w:rsidRDefault="00121B63" w:rsidP="00AD3280">
            <w:pPr>
              <w:rPr>
                <w:rFonts w:asciiTheme="minorHAnsi" w:eastAsia="Times New Roman" w:hAnsiTheme="minorHAnsi" w:cstheme="minorHAnsi"/>
                <w:i/>
              </w:rPr>
            </w:pPr>
          </w:p>
        </w:tc>
      </w:tr>
      <w:tr w:rsidR="00C8692D" w:rsidRPr="0043666E" w14:paraId="1500E09D" w14:textId="77777777" w:rsidTr="00C63991">
        <w:trPr>
          <w:gridAfter w:val="1"/>
          <w:wAfter w:w="14" w:type="dxa"/>
        </w:trPr>
        <w:tc>
          <w:tcPr>
            <w:tcW w:w="9351" w:type="dxa"/>
            <w:gridSpan w:val="3"/>
          </w:tcPr>
          <w:p w14:paraId="1E754C67" w14:textId="77A0D0EB" w:rsidR="004250C2" w:rsidRPr="005A78D2" w:rsidRDefault="004250C2" w:rsidP="006262D6">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D35FF1" w:rsidRPr="005A78D2">
              <w:rPr>
                <w:rFonts w:asciiTheme="minorHAnsi" w:eastAsia="Times New Roman" w:hAnsiTheme="minorHAnsi" w:cstheme="minorHAnsi"/>
              </w:rPr>
              <w:t>2</w:t>
            </w:r>
            <w:r w:rsidR="00BB7BFF" w:rsidRPr="005A78D2">
              <w:rPr>
                <w:rFonts w:asciiTheme="minorHAnsi" w:eastAsia="Times New Roman" w:hAnsiTheme="minorHAnsi" w:cstheme="minorHAnsi"/>
              </w:rPr>
              <w:t>2</w:t>
            </w:r>
            <w:r w:rsidRPr="005A78D2">
              <w:rPr>
                <w:rFonts w:asciiTheme="minorHAnsi" w:eastAsia="Times New Roman" w:hAnsiTheme="minorHAnsi" w:cstheme="minorHAnsi"/>
              </w:rPr>
              <w:t>: Exhibit A – Section 5-</w:t>
            </w:r>
            <w:proofErr w:type="gramStart"/>
            <w:r w:rsidRPr="005A78D2">
              <w:rPr>
                <w:rFonts w:asciiTheme="minorHAnsi" w:eastAsia="Times New Roman" w:hAnsiTheme="minorHAnsi" w:cstheme="minorHAnsi"/>
              </w:rPr>
              <w:t>7.A</w:t>
            </w:r>
            <w:proofErr w:type="gramEnd"/>
            <w:r w:rsidRPr="005A78D2">
              <w:rPr>
                <w:rFonts w:asciiTheme="minorHAnsi" w:eastAsia="Times New Roman" w:hAnsiTheme="minorHAnsi" w:cstheme="minorHAnsi"/>
              </w:rPr>
              <w:t xml:space="preserve"> – Requests REO / Maturing Debt Schedules for GC – is an REO required for a GC?</w:t>
            </w:r>
          </w:p>
        </w:tc>
      </w:tr>
      <w:tr w:rsidR="00C8692D" w:rsidRPr="0043666E" w14:paraId="1DFAA27A" w14:textId="77777777" w:rsidTr="00C63991">
        <w:trPr>
          <w:gridAfter w:val="1"/>
          <w:wAfter w:w="14" w:type="dxa"/>
        </w:trPr>
        <w:tc>
          <w:tcPr>
            <w:tcW w:w="9351" w:type="dxa"/>
            <w:gridSpan w:val="3"/>
          </w:tcPr>
          <w:p w14:paraId="7BF9711E" w14:textId="77777777" w:rsidR="006262D6" w:rsidRPr="005A78D2" w:rsidRDefault="006262D6" w:rsidP="00AD3280">
            <w:pPr>
              <w:rPr>
                <w:rFonts w:asciiTheme="minorHAnsi" w:eastAsia="Times New Roman" w:hAnsiTheme="minorHAnsi" w:cstheme="minorHAnsi"/>
                <w:i/>
                <w:color w:val="0070C0"/>
              </w:rPr>
            </w:pPr>
          </w:p>
          <w:p w14:paraId="55E32655" w14:textId="196F9D54" w:rsidR="004250C2" w:rsidRPr="005A78D2" w:rsidRDefault="004250C2"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Reply:</w:t>
            </w:r>
            <w:r w:rsidR="00A4515F" w:rsidRPr="005A78D2">
              <w:rPr>
                <w:rFonts w:asciiTheme="minorHAnsi" w:eastAsia="Times New Roman" w:hAnsiTheme="minorHAnsi" w:cstheme="minorHAnsi"/>
                <w:i/>
                <w:color w:val="0070C0"/>
              </w:rPr>
              <w:t xml:space="preserve"> </w:t>
            </w:r>
            <w:r w:rsidR="000028E6" w:rsidRPr="005A78D2">
              <w:rPr>
                <w:rFonts w:asciiTheme="minorHAnsi" w:eastAsia="Times New Roman" w:hAnsiTheme="minorHAnsi" w:cstheme="minorHAnsi"/>
                <w:i/>
                <w:color w:val="0070C0"/>
              </w:rPr>
              <w:t>Per the MAP Guide 2016- Questions and Answers</w:t>
            </w:r>
            <w:r w:rsidR="000129F5" w:rsidRPr="005A78D2">
              <w:rPr>
                <w:rFonts w:asciiTheme="minorHAnsi" w:eastAsia="Times New Roman" w:hAnsiTheme="minorHAnsi" w:cstheme="minorHAnsi"/>
                <w:i/>
                <w:color w:val="0070C0"/>
              </w:rPr>
              <w:t xml:space="preserve"> issued July, 2016</w:t>
            </w:r>
            <w:r w:rsidR="000028E6" w:rsidRPr="005A78D2">
              <w:rPr>
                <w:rFonts w:asciiTheme="minorHAnsi" w:eastAsia="Times New Roman" w:hAnsiTheme="minorHAnsi" w:cstheme="minorHAnsi"/>
                <w:i/>
                <w:color w:val="0070C0"/>
              </w:rPr>
              <w:t xml:space="preserve">, a general contractor with an identity of interest in the borrower entity is required to provide an REO schedule where it has a significant financial interest or  contribution and has a role to direct the project operations; however non-IOI general contractors or general contractors with only a nominal equity interest </w:t>
            </w:r>
            <w:r w:rsidR="00C24117">
              <w:rPr>
                <w:rFonts w:asciiTheme="minorHAnsi" w:eastAsia="Times New Roman" w:hAnsiTheme="minorHAnsi" w:cstheme="minorHAnsi"/>
                <w:i/>
                <w:color w:val="0070C0"/>
              </w:rPr>
              <w:t>in</w:t>
            </w:r>
            <w:r w:rsidR="000028E6" w:rsidRPr="005A78D2">
              <w:rPr>
                <w:rFonts w:asciiTheme="minorHAnsi" w:eastAsia="Times New Roman" w:hAnsiTheme="minorHAnsi" w:cstheme="minorHAnsi"/>
                <w:i/>
                <w:color w:val="0070C0"/>
              </w:rPr>
              <w:t xml:space="preserve"> the Borrower entity do not.  </w:t>
            </w:r>
          </w:p>
          <w:p w14:paraId="5DB5AEAA" w14:textId="2B758103" w:rsidR="006262D6" w:rsidRPr="005A78D2" w:rsidRDefault="006262D6" w:rsidP="00AD3280">
            <w:pPr>
              <w:rPr>
                <w:rFonts w:asciiTheme="minorHAnsi" w:eastAsia="Times New Roman" w:hAnsiTheme="minorHAnsi" w:cstheme="minorHAnsi"/>
                <w:i/>
              </w:rPr>
            </w:pPr>
          </w:p>
        </w:tc>
      </w:tr>
      <w:tr w:rsidR="00F3424E" w:rsidRPr="0043666E" w14:paraId="632377F4" w14:textId="77777777" w:rsidTr="00C63991">
        <w:trPr>
          <w:gridAfter w:val="1"/>
          <w:wAfter w:w="14" w:type="dxa"/>
        </w:trPr>
        <w:tc>
          <w:tcPr>
            <w:tcW w:w="9351" w:type="dxa"/>
            <w:gridSpan w:val="3"/>
          </w:tcPr>
          <w:p w14:paraId="6370380F" w14:textId="77BBA591" w:rsidR="00F3424E" w:rsidRPr="005A78D2" w:rsidRDefault="00F11A63" w:rsidP="006262D6">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D35FF1" w:rsidRPr="005A78D2">
              <w:rPr>
                <w:rFonts w:asciiTheme="minorHAnsi" w:eastAsia="Times New Roman" w:hAnsiTheme="minorHAnsi" w:cstheme="minorHAnsi"/>
              </w:rPr>
              <w:t>2</w:t>
            </w:r>
            <w:r w:rsidR="00BB7BFF" w:rsidRPr="005A78D2">
              <w:rPr>
                <w:rFonts w:asciiTheme="minorHAnsi" w:eastAsia="Times New Roman" w:hAnsiTheme="minorHAnsi" w:cstheme="minorHAnsi"/>
              </w:rPr>
              <w:t>3</w:t>
            </w:r>
            <w:r w:rsidRPr="005A78D2">
              <w:rPr>
                <w:rFonts w:asciiTheme="minorHAnsi" w:eastAsia="Times New Roman" w:hAnsiTheme="minorHAnsi" w:cstheme="minorHAnsi"/>
              </w:rPr>
              <w:t xml:space="preserve">: </w:t>
            </w:r>
            <w:r w:rsidR="001A1667" w:rsidRPr="005A78D2">
              <w:rPr>
                <w:rFonts w:asciiTheme="minorHAnsi" w:eastAsia="Times New Roman" w:hAnsiTheme="minorHAnsi" w:cstheme="minorHAnsi"/>
              </w:rPr>
              <w:t xml:space="preserve"> </w:t>
            </w:r>
            <w:r w:rsidRPr="005A78D2">
              <w:rPr>
                <w:rFonts w:asciiTheme="minorHAnsi" w:hAnsiTheme="minorHAnsi" w:cstheme="minorHAnsi"/>
              </w:rPr>
              <w:t xml:space="preserve">Exhibit A doesn’t refer to situations where you have a non-profit sponsor.  It seems implied that for anything the notice is silent on you </w:t>
            </w:r>
            <w:proofErr w:type="gramStart"/>
            <w:r w:rsidRPr="005A78D2">
              <w:rPr>
                <w:rFonts w:asciiTheme="minorHAnsi" w:hAnsiTheme="minorHAnsi" w:cstheme="minorHAnsi"/>
              </w:rPr>
              <w:t>refer back</w:t>
            </w:r>
            <w:proofErr w:type="gramEnd"/>
            <w:r w:rsidRPr="005A78D2">
              <w:rPr>
                <w:rFonts w:asciiTheme="minorHAnsi" w:hAnsiTheme="minorHAnsi" w:cstheme="minorHAnsi"/>
              </w:rPr>
              <w:t xml:space="preserve"> to the MAP Guide but thought we would note this.</w:t>
            </w:r>
          </w:p>
        </w:tc>
      </w:tr>
      <w:tr w:rsidR="00F3424E" w:rsidRPr="0043666E" w14:paraId="25FCF23F" w14:textId="77777777" w:rsidTr="00C63991">
        <w:trPr>
          <w:gridAfter w:val="1"/>
          <w:wAfter w:w="14" w:type="dxa"/>
        </w:trPr>
        <w:tc>
          <w:tcPr>
            <w:tcW w:w="9351" w:type="dxa"/>
            <w:gridSpan w:val="3"/>
          </w:tcPr>
          <w:p w14:paraId="1539F385" w14:textId="77777777" w:rsidR="006262D6" w:rsidRPr="005A78D2" w:rsidRDefault="006262D6" w:rsidP="00AD3280">
            <w:pPr>
              <w:rPr>
                <w:rFonts w:asciiTheme="minorHAnsi" w:eastAsia="Times New Roman" w:hAnsiTheme="minorHAnsi" w:cstheme="minorHAnsi"/>
                <w:i/>
                <w:color w:val="0070C0"/>
              </w:rPr>
            </w:pPr>
          </w:p>
          <w:p w14:paraId="5BD4EDED" w14:textId="3C8353FD" w:rsidR="00F3424E" w:rsidRPr="005A78D2" w:rsidRDefault="00F11A63"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lastRenderedPageBreak/>
              <w:t xml:space="preserve">Reply: </w:t>
            </w:r>
            <w:r w:rsidR="00654086" w:rsidRPr="005A78D2">
              <w:rPr>
                <w:rFonts w:asciiTheme="minorHAnsi" w:eastAsia="Times New Roman" w:hAnsiTheme="minorHAnsi" w:cstheme="minorHAnsi"/>
                <w:i/>
                <w:color w:val="0070C0"/>
              </w:rPr>
              <w:t>A list of required exhibits</w:t>
            </w:r>
            <w:r w:rsidR="001A1667" w:rsidRPr="005A78D2">
              <w:rPr>
                <w:rFonts w:asciiTheme="minorHAnsi" w:eastAsia="Times New Roman" w:hAnsiTheme="minorHAnsi" w:cstheme="minorHAnsi"/>
                <w:i/>
                <w:color w:val="0070C0"/>
              </w:rPr>
              <w:t xml:space="preserve"> for Nonprofit Mortgagors was </w:t>
            </w:r>
            <w:r w:rsidR="00100698" w:rsidRPr="005A78D2">
              <w:rPr>
                <w:rFonts w:asciiTheme="minorHAnsi" w:eastAsia="Times New Roman" w:hAnsiTheme="minorHAnsi" w:cstheme="minorHAnsi"/>
                <w:i/>
                <w:color w:val="0070C0"/>
              </w:rPr>
              <w:t xml:space="preserve">inadvertently </w:t>
            </w:r>
            <w:r w:rsidR="001A1667" w:rsidRPr="005A78D2">
              <w:rPr>
                <w:rFonts w:asciiTheme="minorHAnsi" w:eastAsia="Times New Roman" w:hAnsiTheme="minorHAnsi" w:cstheme="minorHAnsi"/>
                <w:i/>
                <w:color w:val="0070C0"/>
              </w:rPr>
              <w:t>omitted from ‘Exhibit A’ of the Notice</w:t>
            </w:r>
            <w:r w:rsidR="00100698" w:rsidRPr="005A78D2">
              <w:rPr>
                <w:rFonts w:asciiTheme="minorHAnsi" w:eastAsia="Times New Roman" w:hAnsiTheme="minorHAnsi" w:cstheme="minorHAnsi"/>
                <w:i/>
                <w:color w:val="0070C0"/>
              </w:rPr>
              <w:t xml:space="preserve">.  </w:t>
            </w:r>
            <w:r w:rsidR="001A1667" w:rsidRPr="005A78D2">
              <w:rPr>
                <w:rFonts w:asciiTheme="minorHAnsi" w:eastAsia="Times New Roman" w:hAnsiTheme="minorHAnsi" w:cstheme="minorHAnsi"/>
                <w:i/>
                <w:color w:val="0070C0"/>
              </w:rPr>
              <w:t>Please refer to the MAP Guide, specially chapter 8.8.H, for documentation requirements.</w:t>
            </w:r>
          </w:p>
          <w:p w14:paraId="62BDCA0B" w14:textId="27D9711B" w:rsidR="00A80C9C" w:rsidRPr="005A78D2" w:rsidRDefault="00A80C9C" w:rsidP="00AD3280">
            <w:pPr>
              <w:rPr>
                <w:rFonts w:asciiTheme="minorHAnsi" w:eastAsia="Times New Roman" w:hAnsiTheme="minorHAnsi" w:cstheme="minorHAnsi"/>
                <w:i/>
              </w:rPr>
            </w:pPr>
          </w:p>
        </w:tc>
      </w:tr>
      <w:tr w:rsidR="00F11A63" w:rsidRPr="0043666E" w14:paraId="03416CA3" w14:textId="77777777" w:rsidTr="00C63991">
        <w:trPr>
          <w:gridAfter w:val="1"/>
          <w:wAfter w:w="14" w:type="dxa"/>
        </w:trPr>
        <w:tc>
          <w:tcPr>
            <w:tcW w:w="9351" w:type="dxa"/>
            <w:gridSpan w:val="3"/>
          </w:tcPr>
          <w:p w14:paraId="43FE0638" w14:textId="4379B4E7" w:rsidR="00F11A63" w:rsidRPr="005A78D2" w:rsidRDefault="00F11A63" w:rsidP="006262D6">
            <w:pPr>
              <w:rPr>
                <w:rFonts w:asciiTheme="minorHAnsi" w:eastAsia="Times New Roman" w:hAnsiTheme="minorHAnsi" w:cstheme="minorHAnsi"/>
              </w:rPr>
            </w:pPr>
            <w:r w:rsidRPr="005A78D2">
              <w:rPr>
                <w:rFonts w:asciiTheme="minorHAnsi" w:eastAsia="Times New Roman" w:hAnsiTheme="minorHAnsi" w:cstheme="minorHAnsi"/>
              </w:rPr>
              <w:lastRenderedPageBreak/>
              <w:t xml:space="preserve">Question </w:t>
            </w:r>
            <w:r w:rsidR="00100698" w:rsidRPr="005A78D2">
              <w:rPr>
                <w:rFonts w:asciiTheme="minorHAnsi" w:eastAsia="Times New Roman" w:hAnsiTheme="minorHAnsi" w:cstheme="minorHAnsi"/>
              </w:rPr>
              <w:t>2</w:t>
            </w:r>
            <w:r w:rsidR="00BB7BFF" w:rsidRPr="005A78D2">
              <w:rPr>
                <w:rFonts w:asciiTheme="minorHAnsi" w:eastAsia="Times New Roman" w:hAnsiTheme="minorHAnsi" w:cstheme="minorHAnsi"/>
              </w:rPr>
              <w:t>4</w:t>
            </w:r>
            <w:r w:rsidRPr="005A78D2">
              <w:rPr>
                <w:rFonts w:asciiTheme="minorHAnsi" w:eastAsia="Times New Roman" w:hAnsiTheme="minorHAnsi" w:cstheme="minorHAnsi"/>
              </w:rPr>
              <w:t xml:space="preserve">: </w:t>
            </w:r>
            <w:r w:rsidRPr="005A78D2">
              <w:rPr>
                <w:rFonts w:asciiTheme="minorHAnsi" w:hAnsiTheme="minorHAnsi" w:cstheme="minorHAnsi"/>
              </w:rPr>
              <w:t xml:space="preserve">Exhibit A 4-1 – Should the existing HAP Contract be a required exhibit here?  Understood that you </w:t>
            </w:r>
            <w:proofErr w:type="gramStart"/>
            <w:r w:rsidRPr="005A78D2">
              <w:rPr>
                <w:rFonts w:asciiTheme="minorHAnsi" w:hAnsiTheme="minorHAnsi" w:cstheme="minorHAnsi"/>
              </w:rPr>
              <w:t>have to</w:t>
            </w:r>
            <w:proofErr w:type="gramEnd"/>
            <w:r w:rsidRPr="005A78D2">
              <w:rPr>
                <w:rFonts w:asciiTheme="minorHAnsi" w:hAnsiTheme="minorHAnsi" w:cstheme="minorHAnsi"/>
              </w:rPr>
              <w:t xml:space="preserve"> terminate existing HAP and get new 20-year contract.</w:t>
            </w:r>
          </w:p>
        </w:tc>
      </w:tr>
      <w:tr w:rsidR="00F11A63" w:rsidRPr="0043666E" w14:paraId="68C8AC1F" w14:textId="77777777" w:rsidTr="00C63991">
        <w:trPr>
          <w:gridAfter w:val="1"/>
          <w:wAfter w:w="14" w:type="dxa"/>
        </w:trPr>
        <w:tc>
          <w:tcPr>
            <w:tcW w:w="9351" w:type="dxa"/>
            <w:gridSpan w:val="3"/>
          </w:tcPr>
          <w:p w14:paraId="7DD57938" w14:textId="77777777" w:rsidR="006262D6" w:rsidRPr="005A78D2" w:rsidRDefault="006262D6" w:rsidP="00AD3280">
            <w:pPr>
              <w:rPr>
                <w:rFonts w:asciiTheme="minorHAnsi" w:eastAsia="Times New Roman" w:hAnsiTheme="minorHAnsi" w:cstheme="minorHAnsi"/>
                <w:i/>
                <w:color w:val="0070C0"/>
              </w:rPr>
            </w:pPr>
          </w:p>
          <w:p w14:paraId="4E28B0BD" w14:textId="6458F4F8" w:rsidR="00F11A63" w:rsidRPr="005A78D2" w:rsidRDefault="00F11A63"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ED0EAF" w:rsidRPr="005A78D2">
              <w:rPr>
                <w:rFonts w:asciiTheme="minorHAnsi" w:eastAsia="Times New Roman" w:hAnsiTheme="minorHAnsi" w:cstheme="minorHAnsi"/>
                <w:i/>
                <w:color w:val="0070C0"/>
              </w:rPr>
              <w:t xml:space="preserve">  </w:t>
            </w:r>
            <w:r w:rsidR="00ED0594" w:rsidRPr="005A78D2">
              <w:rPr>
                <w:rFonts w:asciiTheme="minorHAnsi" w:eastAsia="Times New Roman" w:hAnsiTheme="minorHAnsi" w:cstheme="minorHAnsi"/>
                <w:i/>
                <w:color w:val="0070C0"/>
              </w:rPr>
              <w:t xml:space="preserve">Since HUD has copies of existing Section 8 HAP Contracts, we cannot require that copies be provided.  </w:t>
            </w:r>
            <w:r w:rsidR="00100698" w:rsidRPr="005A78D2">
              <w:rPr>
                <w:rFonts w:asciiTheme="minorHAnsi" w:eastAsia="Times New Roman" w:hAnsiTheme="minorHAnsi" w:cstheme="minorHAnsi"/>
                <w:i/>
                <w:color w:val="0070C0"/>
              </w:rPr>
              <w:t>However, p</w:t>
            </w:r>
            <w:r w:rsidR="000E55AD" w:rsidRPr="005A78D2">
              <w:rPr>
                <w:rFonts w:asciiTheme="minorHAnsi" w:eastAsia="Times New Roman" w:hAnsiTheme="minorHAnsi" w:cstheme="minorHAnsi"/>
                <w:i/>
                <w:color w:val="0070C0"/>
              </w:rPr>
              <w:t xml:space="preserve">roviding it will </w:t>
            </w:r>
            <w:r w:rsidR="00BB7BFF" w:rsidRPr="005A78D2">
              <w:rPr>
                <w:rFonts w:asciiTheme="minorHAnsi" w:eastAsia="Times New Roman" w:hAnsiTheme="minorHAnsi" w:cstheme="minorHAnsi"/>
                <w:i/>
                <w:color w:val="0070C0"/>
              </w:rPr>
              <w:t>expedite</w:t>
            </w:r>
            <w:r w:rsidR="000E55AD" w:rsidRPr="005A78D2">
              <w:rPr>
                <w:rFonts w:asciiTheme="minorHAnsi" w:eastAsia="Times New Roman" w:hAnsiTheme="minorHAnsi" w:cstheme="minorHAnsi"/>
                <w:i/>
                <w:color w:val="0070C0"/>
              </w:rPr>
              <w:t xml:space="preserve"> </w:t>
            </w:r>
            <w:r w:rsidR="00100698" w:rsidRPr="005A78D2">
              <w:rPr>
                <w:rFonts w:asciiTheme="minorHAnsi" w:eastAsia="Times New Roman" w:hAnsiTheme="minorHAnsi" w:cstheme="minorHAnsi"/>
                <w:i/>
                <w:color w:val="0070C0"/>
              </w:rPr>
              <w:t xml:space="preserve">the HUD review </w:t>
            </w:r>
            <w:r w:rsidR="000E55AD" w:rsidRPr="005A78D2">
              <w:rPr>
                <w:rFonts w:asciiTheme="minorHAnsi" w:eastAsia="Times New Roman" w:hAnsiTheme="minorHAnsi" w:cstheme="minorHAnsi"/>
                <w:i/>
                <w:color w:val="0070C0"/>
              </w:rPr>
              <w:t xml:space="preserve">process.  </w:t>
            </w:r>
          </w:p>
          <w:p w14:paraId="7FF157F7" w14:textId="0198635E" w:rsidR="006262D6" w:rsidRPr="005A78D2" w:rsidRDefault="006262D6" w:rsidP="00AD3280">
            <w:pPr>
              <w:rPr>
                <w:rFonts w:asciiTheme="minorHAnsi" w:eastAsia="Times New Roman" w:hAnsiTheme="minorHAnsi" w:cstheme="minorHAnsi"/>
                <w:i/>
                <w:highlight w:val="yellow"/>
              </w:rPr>
            </w:pPr>
          </w:p>
        </w:tc>
      </w:tr>
      <w:tr w:rsidR="00F11A63" w:rsidRPr="0043666E" w14:paraId="24887803" w14:textId="77777777" w:rsidTr="00C63991">
        <w:trPr>
          <w:gridAfter w:val="1"/>
          <w:wAfter w:w="14" w:type="dxa"/>
        </w:trPr>
        <w:tc>
          <w:tcPr>
            <w:tcW w:w="9351" w:type="dxa"/>
            <w:gridSpan w:val="3"/>
          </w:tcPr>
          <w:p w14:paraId="54282E63" w14:textId="6B0B6A85" w:rsidR="00D80CEE" w:rsidRPr="005A78D2" w:rsidRDefault="00F11A63" w:rsidP="006262D6">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100698" w:rsidRPr="005A78D2">
              <w:rPr>
                <w:rFonts w:asciiTheme="minorHAnsi" w:eastAsia="Times New Roman" w:hAnsiTheme="minorHAnsi" w:cstheme="minorHAnsi"/>
              </w:rPr>
              <w:t>2</w:t>
            </w:r>
            <w:r w:rsidR="00BB7BFF" w:rsidRPr="005A78D2">
              <w:rPr>
                <w:rFonts w:asciiTheme="minorHAnsi" w:eastAsia="Times New Roman" w:hAnsiTheme="minorHAnsi" w:cstheme="minorHAnsi"/>
              </w:rPr>
              <w:t>5</w:t>
            </w:r>
            <w:r w:rsidRPr="005A78D2">
              <w:rPr>
                <w:rFonts w:asciiTheme="minorHAnsi" w:eastAsia="Times New Roman" w:hAnsiTheme="minorHAnsi" w:cstheme="minorHAnsi"/>
              </w:rPr>
              <w:t xml:space="preserve">: </w:t>
            </w:r>
            <w:r w:rsidRPr="005A78D2">
              <w:rPr>
                <w:rFonts w:asciiTheme="minorHAnsi" w:hAnsiTheme="minorHAnsi" w:cstheme="minorHAnsi"/>
              </w:rPr>
              <w:t>Exhibit A 5-5 – Verification of EIN is not included in this section and seems like it should be.</w:t>
            </w:r>
          </w:p>
        </w:tc>
      </w:tr>
      <w:tr w:rsidR="00F11A63" w:rsidRPr="0043666E" w14:paraId="5F9E150C" w14:textId="77777777" w:rsidTr="00C63991">
        <w:trPr>
          <w:gridAfter w:val="1"/>
          <w:wAfter w:w="14" w:type="dxa"/>
        </w:trPr>
        <w:tc>
          <w:tcPr>
            <w:tcW w:w="9351" w:type="dxa"/>
            <w:gridSpan w:val="3"/>
          </w:tcPr>
          <w:p w14:paraId="3DDB5FF4" w14:textId="77777777" w:rsidR="006262D6" w:rsidRPr="005A78D2" w:rsidRDefault="006262D6" w:rsidP="00AD3280">
            <w:pPr>
              <w:rPr>
                <w:rFonts w:asciiTheme="minorHAnsi" w:eastAsia="Times New Roman" w:hAnsiTheme="minorHAnsi" w:cstheme="minorHAnsi"/>
                <w:i/>
                <w:color w:val="0070C0"/>
              </w:rPr>
            </w:pPr>
          </w:p>
          <w:p w14:paraId="3C764F35" w14:textId="4F1A4524" w:rsidR="00F11A63" w:rsidRPr="005A78D2" w:rsidRDefault="00D80CEE"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Reply:  At this time, we only have authority to collect this information on the form HUD-2530.</w:t>
            </w:r>
          </w:p>
          <w:p w14:paraId="2270E215" w14:textId="05522C33" w:rsidR="00D80CEE" w:rsidRPr="005A78D2" w:rsidRDefault="00D80CEE" w:rsidP="00AD3280">
            <w:pPr>
              <w:rPr>
                <w:rFonts w:asciiTheme="minorHAnsi" w:eastAsia="Times New Roman" w:hAnsiTheme="minorHAnsi" w:cstheme="minorHAnsi"/>
                <w:highlight w:val="yellow"/>
              </w:rPr>
            </w:pPr>
          </w:p>
        </w:tc>
      </w:tr>
      <w:tr w:rsidR="00F11A63" w:rsidRPr="0043666E" w14:paraId="137AFEFC" w14:textId="77777777" w:rsidTr="00C63991">
        <w:trPr>
          <w:gridAfter w:val="1"/>
          <w:wAfter w:w="14" w:type="dxa"/>
        </w:trPr>
        <w:tc>
          <w:tcPr>
            <w:tcW w:w="9351" w:type="dxa"/>
            <w:gridSpan w:val="3"/>
          </w:tcPr>
          <w:p w14:paraId="1011BC8C" w14:textId="65DD6FEE" w:rsidR="00F11A63" w:rsidRPr="00156F26" w:rsidRDefault="00F11A63" w:rsidP="00100698">
            <w:pPr>
              <w:rPr>
                <w:rFonts w:asciiTheme="minorHAnsi" w:eastAsia="Times New Roman" w:hAnsiTheme="minorHAnsi" w:cstheme="minorHAnsi"/>
              </w:rPr>
            </w:pPr>
            <w:r w:rsidRPr="00156F26">
              <w:rPr>
                <w:rFonts w:asciiTheme="minorHAnsi" w:eastAsia="Times New Roman" w:hAnsiTheme="minorHAnsi" w:cstheme="minorHAnsi"/>
              </w:rPr>
              <w:t xml:space="preserve">Question </w:t>
            </w:r>
            <w:r w:rsidR="00100698" w:rsidRPr="00156F26">
              <w:rPr>
                <w:rFonts w:asciiTheme="minorHAnsi" w:eastAsia="Times New Roman" w:hAnsiTheme="minorHAnsi" w:cstheme="minorHAnsi"/>
              </w:rPr>
              <w:t>2</w:t>
            </w:r>
            <w:r w:rsidR="00BB7BFF" w:rsidRPr="00156F26">
              <w:rPr>
                <w:rFonts w:asciiTheme="minorHAnsi" w:eastAsia="Times New Roman" w:hAnsiTheme="minorHAnsi" w:cstheme="minorHAnsi"/>
              </w:rPr>
              <w:t>6</w:t>
            </w:r>
            <w:r w:rsidRPr="00156F26">
              <w:rPr>
                <w:rFonts w:asciiTheme="minorHAnsi" w:eastAsia="Times New Roman" w:hAnsiTheme="minorHAnsi" w:cstheme="minorHAnsi"/>
              </w:rPr>
              <w:t xml:space="preserve">:  </w:t>
            </w:r>
            <w:r w:rsidRPr="00156F26">
              <w:rPr>
                <w:rFonts w:asciiTheme="minorHAnsi" w:hAnsiTheme="minorHAnsi" w:cstheme="minorHAnsi"/>
              </w:rPr>
              <w:t xml:space="preserve">Soils report is already included under Exhibit 2-4.  Is this repetitive?  </w:t>
            </w:r>
          </w:p>
        </w:tc>
      </w:tr>
      <w:tr w:rsidR="00F11A63" w:rsidRPr="0043666E" w14:paraId="156C3D9F" w14:textId="77777777" w:rsidTr="00C63991">
        <w:trPr>
          <w:gridAfter w:val="1"/>
          <w:wAfter w:w="14" w:type="dxa"/>
        </w:trPr>
        <w:tc>
          <w:tcPr>
            <w:tcW w:w="9351" w:type="dxa"/>
            <w:gridSpan w:val="3"/>
          </w:tcPr>
          <w:p w14:paraId="1D49D8B5" w14:textId="77777777" w:rsidR="00100698" w:rsidRPr="005A78D2" w:rsidRDefault="00100698" w:rsidP="00AD3280">
            <w:pPr>
              <w:rPr>
                <w:rFonts w:asciiTheme="minorHAnsi" w:eastAsia="Times New Roman" w:hAnsiTheme="minorHAnsi" w:cstheme="minorHAnsi"/>
                <w:i/>
                <w:highlight w:val="yellow"/>
              </w:rPr>
            </w:pPr>
          </w:p>
          <w:p w14:paraId="37384FFD" w14:textId="3F80E7C0" w:rsidR="00F11A63" w:rsidRPr="00535709" w:rsidRDefault="00F11A63" w:rsidP="00AD3280">
            <w:pPr>
              <w:rPr>
                <w:rFonts w:asciiTheme="minorHAnsi" w:eastAsia="Times New Roman" w:hAnsiTheme="minorHAnsi" w:cstheme="minorHAnsi"/>
                <w:i/>
                <w:color w:val="0070C0"/>
              </w:rPr>
            </w:pPr>
            <w:r w:rsidRPr="00535709">
              <w:rPr>
                <w:rFonts w:asciiTheme="minorHAnsi" w:eastAsia="Times New Roman" w:hAnsiTheme="minorHAnsi" w:cstheme="minorHAnsi"/>
                <w:i/>
                <w:color w:val="0070C0"/>
              </w:rPr>
              <w:t xml:space="preserve">Reply: </w:t>
            </w:r>
            <w:r w:rsidR="0033655C" w:rsidRPr="00535709">
              <w:rPr>
                <w:rFonts w:asciiTheme="minorHAnsi" w:eastAsia="Times New Roman" w:hAnsiTheme="minorHAnsi" w:cstheme="minorHAnsi"/>
                <w:i/>
                <w:color w:val="0070C0"/>
              </w:rPr>
              <w:t xml:space="preserve"> </w:t>
            </w:r>
            <w:r w:rsidR="00535709" w:rsidRPr="00535709">
              <w:rPr>
                <w:rFonts w:asciiTheme="minorHAnsi" w:eastAsia="Times New Roman" w:hAnsiTheme="minorHAnsi" w:cstheme="minorHAnsi"/>
                <w:i/>
                <w:color w:val="0070C0"/>
              </w:rPr>
              <w:t xml:space="preserve">This exhibit was listed twice inadvertently.  Please include the document under Section </w:t>
            </w:r>
            <w:r w:rsidR="0033655C" w:rsidRPr="00535709">
              <w:rPr>
                <w:rFonts w:asciiTheme="minorHAnsi" w:eastAsia="Times New Roman" w:hAnsiTheme="minorHAnsi" w:cstheme="minorHAnsi"/>
                <w:i/>
                <w:color w:val="0070C0"/>
              </w:rPr>
              <w:t>6-2 A</w:t>
            </w:r>
            <w:r w:rsidR="00535709" w:rsidRPr="00535709">
              <w:rPr>
                <w:rFonts w:asciiTheme="minorHAnsi" w:eastAsia="Times New Roman" w:hAnsiTheme="minorHAnsi" w:cstheme="minorHAnsi"/>
                <w:i/>
                <w:color w:val="0070C0"/>
              </w:rPr>
              <w:t xml:space="preserve"> and make reference to it under Section 2-</w:t>
            </w:r>
            <w:proofErr w:type="gramStart"/>
            <w:r w:rsidR="00535709" w:rsidRPr="00535709">
              <w:rPr>
                <w:rFonts w:asciiTheme="minorHAnsi" w:eastAsia="Times New Roman" w:hAnsiTheme="minorHAnsi" w:cstheme="minorHAnsi"/>
                <w:i/>
                <w:color w:val="0070C0"/>
              </w:rPr>
              <w:t>4.A.</w:t>
            </w:r>
            <w:proofErr w:type="gramEnd"/>
            <w:r w:rsidR="00535709" w:rsidRPr="00535709">
              <w:rPr>
                <w:rFonts w:asciiTheme="minorHAnsi" w:eastAsia="Times New Roman" w:hAnsiTheme="minorHAnsi" w:cstheme="minorHAnsi"/>
                <w:i/>
                <w:color w:val="0070C0"/>
              </w:rPr>
              <w:t>3</w:t>
            </w:r>
            <w:r w:rsidR="0033655C" w:rsidRPr="00535709">
              <w:rPr>
                <w:rFonts w:asciiTheme="minorHAnsi" w:eastAsia="Times New Roman" w:hAnsiTheme="minorHAnsi" w:cstheme="minorHAnsi"/>
                <w:i/>
                <w:color w:val="0070C0"/>
              </w:rPr>
              <w:t xml:space="preserve">.  </w:t>
            </w:r>
          </w:p>
          <w:p w14:paraId="7094BEE5" w14:textId="23FCE05F" w:rsidR="006262D6" w:rsidRPr="005A78D2" w:rsidRDefault="006262D6" w:rsidP="00AD3280">
            <w:pPr>
              <w:rPr>
                <w:rFonts w:asciiTheme="minorHAnsi" w:eastAsia="Times New Roman" w:hAnsiTheme="minorHAnsi" w:cstheme="minorHAnsi"/>
                <w:i/>
                <w:highlight w:val="yellow"/>
              </w:rPr>
            </w:pPr>
          </w:p>
        </w:tc>
      </w:tr>
      <w:tr w:rsidR="00F11A63" w:rsidRPr="0043666E" w14:paraId="08B4FE11" w14:textId="77777777" w:rsidTr="00C63991">
        <w:trPr>
          <w:gridAfter w:val="1"/>
          <w:wAfter w:w="14" w:type="dxa"/>
        </w:trPr>
        <w:tc>
          <w:tcPr>
            <w:tcW w:w="9351" w:type="dxa"/>
            <w:gridSpan w:val="3"/>
          </w:tcPr>
          <w:p w14:paraId="298B7CDD" w14:textId="791EF41D" w:rsidR="00F11A63" w:rsidRPr="005A78D2" w:rsidRDefault="00F11A63" w:rsidP="00F11A63">
            <w:pPr>
              <w:rPr>
                <w:rFonts w:asciiTheme="minorHAnsi" w:eastAsia="Times New Roman" w:hAnsiTheme="minorHAnsi" w:cstheme="minorHAnsi"/>
              </w:rPr>
            </w:pPr>
            <w:r w:rsidRPr="005A78D2">
              <w:rPr>
                <w:rFonts w:asciiTheme="minorHAnsi" w:eastAsia="Times New Roman" w:hAnsiTheme="minorHAnsi" w:cstheme="minorHAnsi"/>
              </w:rPr>
              <w:t xml:space="preserve">Question </w:t>
            </w:r>
            <w:r w:rsidR="00D937C8" w:rsidRPr="005A78D2">
              <w:rPr>
                <w:rFonts w:asciiTheme="minorHAnsi" w:eastAsia="Times New Roman" w:hAnsiTheme="minorHAnsi" w:cstheme="minorHAnsi"/>
              </w:rPr>
              <w:t>2</w:t>
            </w:r>
            <w:r w:rsidR="00BB7BFF" w:rsidRPr="005A78D2">
              <w:rPr>
                <w:rFonts w:asciiTheme="minorHAnsi" w:eastAsia="Times New Roman" w:hAnsiTheme="minorHAnsi" w:cstheme="minorHAnsi"/>
              </w:rPr>
              <w:t>7</w:t>
            </w:r>
            <w:r w:rsidRPr="005A78D2">
              <w:rPr>
                <w:rFonts w:asciiTheme="minorHAnsi" w:eastAsia="Times New Roman" w:hAnsiTheme="minorHAnsi" w:cstheme="minorHAnsi"/>
              </w:rPr>
              <w:t>: In a comparison of Exhibit A with what is required in the MAP Guide, the following items were noted as missing from Exhibit A. Should these still be included in the application?</w:t>
            </w:r>
          </w:p>
          <w:p w14:paraId="6840CCD7" w14:textId="77777777" w:rsidR="00F11A63" w:rsidRPr="005A78D2" w:rsidRDefault="00F11A63" w:rsidP="00F11A63">
            <w:pPr>
              <w:rPr>
                <w:rFonts w:asciiTheme="minorHAnsi" w:eastAsia="Times New Roman" w:hAnsiTheme="minorHAnsi" w:cstheme="minorHAnsi"/>
              </w:rPr>
            </w:pPr>
            <w:r w:rsidRPr="005A78D2">
              <w:rPr>
                <w:rFonts w:asciiTheme="minorHAnsi" w:eastAsia="Times New Roman" w:hAnsiTheme="minorHAnsi" w:cstheme="minorHAnsi"/>
              </w:rPr>
              <w:t xml:space="preserve">        Missing Exhibits</w:t>
            </w:r>
          </w:p>
          <w:p w14:paraId="18FF4F4A"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eastAsia="Times New Roman" w:hAnsiTheme="minorHAnsi" w:cstheme="minorHAnsi"/>
              </w:rPr>
              <w:t xml:space="preserve"> </w:t>
            </w:r>
            <w:r w:rsidRPr="005A78D2">
              <w:rPr>
                <w:rFonts w:asciiTheme="minorHAnsi" w:hAnsiTheme="minorHAnsi" w:cstheme="minorHAnsi"/>
              </w:rPr>
              <w:t>Verification of EIN/SSN</w:t>
            </w:r>
          </w:p>
          <w:p w14:paraId="1591950A"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General Contractor’s License</w:t>
            </w:r>
          </w:p>
          <w:p w14:paraId="0D0F5B3B"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General Contractor’s Liability Insurance</w:t>
            </w:r>
          </w:p>
          <w:p w14:paraId="212B9B8F"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Architect's License</w:t>
            </w:r>
          </w:p>
          <w:p w14:paraId="20FB8E79"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Architect's Professional Liability Insurance</w:t>
            </w:r>
          </w:p>
          <w:p w14:paraId="6D958368"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Developer's Agreement</w:t>
            </w:r>
          </w:p>
          <w:p w14:paraId="1BDF299D"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Marketing and Le</w:t>
            </w:r>
            <w:r w:rsidR="00E668ED" w:rsidRPr="005A78D2">
              <w:rPr>
                <w:rFonts w:asciiTheme="minorHAnsi" w:hAnsiTheme="minorHAnsi" w:cstheme="minorHAnsi"/>
              </w:rPr>
              <w:t>asing Plan for New Construction</w:t>
            </w:r>
          </w:p>
          <w:p w14:paraId="5B4C3730"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Asbestos Reports for Sub-Rehabs</w:t>
            </w:r>
          </w:p>
          <w:p w14:paraId="15EE0D66"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REAC Report</w:t>
            </w:r>
          </w:p>
          <w:p w14:paraId="4674313C" w14:textId="34F9A5DB" w:rsidR="00F11A63" w:rsidRPr="005A78D2" w:rsidRDefault="00F11A63" w:rsidP="00F11A63">
            <w:pPr>
              <w:rPr>
                <w:rFonts w:asciiTheme="minorHAnsi" w:eastAsia="Times New Roman" w:hAnsiTheme="minorHAnsi" w:cstheme="minorHAnsi"/>
              </w:rPr>
            </w:pPr>
            <w:r w:rsidRPr="005A78D2">
              <w:rPr>
                <w:rFonts w:asciiTheme="minorHAnsi" w:eastAsia="Times New Roman" w:hAnsiTheme="minorHAnsi" w:cstheme="minorHAnsi"/>
              </w:rPr>
              <w:t xml:space="preserve">        Missing Forms</w:t>
            </w:r>
          </w:p>
          <w:p w14:paraId="7291963F"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Architect Accessibility Letter</w:t>
            </w:r>
          </w:p>
          <w:p w14:paraId="563DEBB7"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Architect Energy Letter</w:t>
            </w:r>
          </w:p>
          <w:p w14:paraId="2088BD00"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Architect 5H.3 (Insurance Cert)</w:t>
            </w:r>
          </w:p>
          <w:p w14:paraId="38C76398"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Architect Foundation Cert</w:t>
            </w:r>
          </w:p>
          <w:p w14:paraId="544499B5"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 xml:space="preserve">GC's 92010, Equal Employment </w:t>
            </w:r>
            <w:proofErr w:type="gramStart"/>
            <w:r w:rsidRPr="005A78D2">
              <w:rPr>
                <w:rFonts w:asciiTheme="minorHAnsi" w:hAnsiTheme="minorHAnsi" w:cstheme="minorHAnsi"/>
              </w:rPr>
              <w:t>Opportunity  Cert</w:t>
            </w:r>
            <w:proofErr w:type="gramEnd"/>
          </w:p>
          <w:p w14:paraId="66C98646" w14:textId="77777777" w:rsidR="00F11A63" w:rsidRPr="005A78D2" w:rsidRDefault="00F11A63" w:rsidP="00F11A63">
            <w:pPr>
              <w:pStyle w:val="ListParagraph"/>
              <w:numPr>
                <w:ilvl w:val="0"/>
                <w:numId w:val="19"/>
              </w:numPr>
              <w:contextualSpacing/>
              <w:rPr>
                <w:rFonts w:asciiTheme="minorHAnsi" w:hAnsiTheme="minorHAnsi" w:cstheme="minorHAnsi"/>
              </w:rPr>
            </w:pPr>
            <w:r w:rsidRPr="005A78D2">
              <w:rPr>
                <w:rFonts w:asciiTheme="minorHAnsi" w:hAnsiTheme="minorHAnsi" w:cstheme="minorHAnsi"/>
              </w:rPr>
              <w:t>Occupancy History for last 3 years, if sub-rehab</w:t>
            </w:r>
          </w:p>
          <w:p w14:paraId="633BD05A" w14:textId="685C9640" w:rsidR="00F11A63" w:rsidRPr="005A78D2" w:rsidRDefault="00F11A63" w:rsidP="006262D6">
            <w:pPr>
              <w:pStyle w:val="ListParagraph"/>
              <w:numPr>
                <w:ilvl w:val="0"/>
                <w:numId w:val="19"/>
              </w:numPr>
              <w:contextualSpacing/>
              <w:rPr>
                <w:rFonts w:asciiTheme="minorHAnsi" w:eastAsia="Times New Roman" w:hAnsiTheme="minorHAnsi" w:cstheme="minorHAnsi"/>
              </w:rPr>
            </w:pPr>
            <w:r w:rsidRPr="005A78D2">
              <w:rPr>
                <w:rFonts w:asciiTheme="minorHAnsi" w:hAnsiTheme="minorHAnsi" w:cstheme="minorHAnsi"/>
              </w:rPr>
              <w:t>5372</w:t>
            </w:r>
          </w:p>
        </w:tc>
      </w:tr>
      <w:tr w:rsidR="000257CA" w:rsidRPr="0043666E" w14:paraId="3A3E473A" w14:textId="77777777" w:rsidTr="00C63991">
        <w:trPr>
          <w:gridAfter w:val="1"/>
          <w:wAfter w:w="14" w:type="dxa"/>
        </w:trPr>
        <w:tc>
          <w:tcPr>
            <w:tcW w:w="9351" w:type="dxa"/>
            <w:gridSpan w:val="3"/>
          </w:tcPr>
          <w:p w14:paraId="4BB82259" w14:textId="77777777" w:rsidR="000257CA" w:rsidRPr="005A78D2" w:rsidRDefault="000257CA" w:rsidP="00F11A63">
            <w:pPr>
              <w:rPr>
                <w:rFonts w:asciiTheme="minorHAnsi" w:eastAsia="Times New Roman" w:hAnsiTheme="minorHAnsi" w:cs="Arial"/>
                <w:i/>
              </w:rPr>
            </w:pPr>
          </w:p>
          <w:p w14:paraId="1A46A171" w14:textId="77777777" w:rsidR="000257CA" w:rsidRPr="005A78D2" w:rsidRDefault="000257CA" w:rsidP="00F11A63">
            <w:pPr>
              <w:rPr>
                <w:rFonts w:asciiTheme="minorHAnsi" w:eastAsia="Times New Roman" w:hAnsiTheme="minorHAnsi" w:cs="Arial"/>
                <w:i/>
                <w:color w:val="0070C0"/>
              </w:rPr>
            </w:pPr>
            <w:r w:rsidRPr="005A78D2">
              <w:rPr>
                <w:rFonts w:asciiTheme="minorHAnsi" w:eastAsia="Times New Roman" w:hAnsiTheme="minorHAnsi" w:cs="Arial"/>
                <w:i/>
                <w:color w:val="0070C0"/>
              </w:rPr>
              <w:t xml:space="preserve">Reply:  Since many of the exhibits and forms listed above are not included on the application checklist for Multifamily New Construction/Substantial Rehab, they were not included under ‘Exhibit A’ to the Notice either.  However, if they are required elsewhere in the MAP Guide, then they must be submitted in the application.  Please note that we collect EIN/SSN information on the form HUD- </w:t>
            </w:r>
            <w:proofErr w:type="gramStart"/>
            <w:r w:rsidRPr="005A78D2">
              <w:rPr>
                <w:rFonts w:asciiTheme="minorHAnsi" w:eastAsia="Times New Roman" w:hAnsiTheme="minorHAnsi" w:cs="Arial"/>
                <w:i/>
                <w:color w:val="0070C0"/>
              </w:rPr>
              <w:t>2530</w:t>
            </w:r>
            <w:proofErr w:type="gramEnd"/>
            <w:r w:rsidRPr="005A78D2">
              <w:rPr>
                <w:rFonts w:asciiTheme="minorHAnsi" w:eastAsia="Times New Roman" w:hAnsiTheme="minorHAnsi" w:cs="Arial"/>
                <w:i/>
                <w:color w:val="0070C0"/>
              </w:rPr>
              <w:t xml:space="preserve"> and we have copies of the REAC Inspection Report.</w:t>
            </w:r>
          </w:p>
          <w:p w14:paraId="175BDD1C" w14:textId="720A9016" w:rsidR="000257CA" w:rsidRPr="005A78D2" w:rsidRDefault="000257CA" w:rsidP="00F11A63">
            <w:pPr>
              <w:rPr>
                <w:rFonts w:asciiTheme="minorHAnsi" w:eastAsia="Times New Roman" w:hAnsiTheme="minorHAnsi" w:cstheme="minorHAnsi"/>
              </w:rPr>
            </w:pPr>
          </w:p>
        </w:tc>
      </w:tr>
      <w:tr w:rsidR="00FA5B66" w:rsidRPr="0043666E" w14:paraId="2AA57780" w14:textId="77777777" w:rsidTr="00C63991">
        <w:trPr>
          <w:gridAfter w:val="1"/>
          <w:wAfter w:w="14" w:type="dxa"/>
        </w:trPr>
        <w:tc>
          <w:tcPr>
            <w:tcW w:w="9351" w:type="dxa"/>
            <w:gridSpan w:val="3"/>
          </w:tcPr>
          <w:p w14:paraId="696D8C1F" w14:textId="1FCF5568" w:rsidR="00FA5B66" w:rsidRPr="005A78D2" w:rsidRDefault="00FA5B66" w:rsidP="006262D6">
            <w:pPr>
              <w:rPr>
                <w:rFonts w:asciiTheme="minorHAnsi" w:eastAsia="Times New Roman" w:hAnsiTheme="minorHAnsi" w:cstheme="minorHAnsi"/>
              </w:rPr>
            </w:pPr>
            <w:r w:rsidRPr="005A78D2">
              <w:rPr>
                <w:rFonts w:asciiTheme="minorHAnsi" w:eastAsia="Times New Roman" w:hAnsiTheme="minorHAnsi" w:cstheme="minorHAnsi"/>
              </w:rPr>
              <w:lastRenderedPageBreak/>
              <w:t xml:space="preserve">Question </w:t>
            </w:r>
            <w:r w:rsidR="00BB7BFF" w:rsidRPr="005A78D2">
              <w:rPr>
                <w:rFonts w:asciiTheme="minorHAnsi" w:eastAsia="Times New Roman" w:hAnsiTheme="minorHAnsi" w:cstheme="minorHAnsi"/>
              </w:rPr>
              <w:t>28</w:t>
            </w:r>
            <w:r w:rsidR="00981F8D" w:rsidRPr="005A78D2">
              <w:rPr>
                <w:rFonts w:asciiTheme="minorHAnsi" w:eastAsia="Times New Roman" w:hAnsiTheme="minorHAnsi" w:cstheme="minorHAnsi"/>
              </w:rPr>
              <w:t xml:space="preserve">: </w:t>
            </w:r>
            <w:r w:rsidRPr="005A78D2">
              <w:rPr>
                <w:rFonts w:asciiTheme="minorHAnsi" w:eastAsia="Times New Roman" w:hAnsiTheme="minorHAnsi" w:cstheme="minorHAnsi"/>
              </w:rPr>
              <w:t xml:space="preserve"> 5-</w:t>
            </w:r>
            <w:proofErr w:type="gramStart"/>
            <w:r w:rsidRPr="005A78D2">
              <w:rPr>
                <w:rFonts w:asciiTheme="minorHAnsi" w:eastAsia="Times New Roman" w:hAnsiTheme="minorHAnsi" w:cstheme="minorHAnsi"/>
              </w:rPr>
              <w:t>8.A.</w:t>
            </w:r>
            <w:proofErr w:type="gramEnd"/>
            <w:r w:rsidRPr="005A78D2">
              <w:rPr>
                <w:rFonts w:asciiTheme="minorHAnsi" w:eastAsia="Times New Roman" w:hAnsiTheme="minorHAnsi" w:cstheme="minorHAnsi"/>
              </w:rPr>
              <w:t>7 calls for HUD 2880. This form is generally used for Subsidy Layering Reviews, which are not required for FHA financing. Is this form really needed?</w:t>
            </w:r>
          </w:p>
        </w:tc>
      </w:tr>
      <w:tr w:rsidR="00FA5B66" w:rsidRPr="0043666E" w14:paraId="22900ADA" w14:textId="77777777" w:rsidTr="00C63991">
        <w:trPr>
          <w:gridAfter w:val="1"/>
          <w:wAfter w:w="14" w:type="dxa"/>
        </w:trPr>
        <w:tc>
          <w:tcPr>
            <w:tcW w:w="9351" w:type="dxa"/>
            <w:gridSpan w:val="3"/>
          </w:tcPr>
          <w:p w14:paraId="00864493" w14:textId="77777777" w:rsidR="006262D6" w:rsidRPr="005A78D2" w:rsidRDefault="006262D6" w:rsidP="00AD3280">
            <w:pPr>
              <w:rPr>
                <w:rFonts w:asciiTheme="minorHAnsi" w:eastAsia="Times New Roman" w:hAnsiTheme="minorHAnsi" w:cstheme="minorHAnsi"/>
                <w:i/>
                <w:color w:val="0070C0"/>
              </w:rPr>
            </w:pPr>
          </w:p>
          <w:p w14:paraId="58C8987F" w14:textId="27977E9F" w:rsidR="006658A6" w:rsidRPr="005A78D2" w:rsidRDefault="00FA5B66"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w:t>
            </w:r>
            <w:r w:rsidR="0013020F" w:rsidRPr="005A78D2">
              <w:rPr>
                <w:rFonts w:asciiTheme="minorHAnsi" w:eastAsia="Times New Roman" w:hAnsiTheme="minorHAnsi" w:cstheme="minorHAnsi"/>
                <w:i/>
                <w:color w:val="0070C0"/>
              </w:rPr>
              <w:t xml:space="preserve"> </w:t>
            </w:r>
            <w:r w:rsidR="00100698" w:rsidRPr="005A78D2">
              <w:rPr>
                <w:rFonts w:asciiTheme="minorHAnsi" w:eastAsia="Times New Roman" w:hAnsiTheme="minorHAnsi" w:cstheme="minorHAnsi"/>
                <w:i/>
                <w:color w:val="0070C0"/>
              </w:rPr>
              <w:t>Form HUD 2880</w:t>
            </w:r>
            <w:r w:rsidR="0013020F" w:rsidRPr="005A78D2">
              <w:rPr>
                <w:rFonts w:asciiTheme="minorHAnsi" w:eastAsia="Times New Roman" w:hAnsiTheme="minorHAnsi" w:cstheme="minorHAnsi"/>
                <w:i/>
                <w:color w:val="0070C0"/>
              </w:rPr>
              <w:t xml:space="preserve"> </w:t>
            </w:r>
            <w:r w:rsidR="005A2756" w:rsidRPr="005A78D2">
              <w:rPr>
                <w:rFonts w:asciiTheme="minorHAnsi" w:eastAsia="Times New Roman" w:hAnsiTheme="minorHAnsi" w:cstheme="minorHAnsi"/>
                <w:i/>
                <w:color w:val="0070C0"/>
              </w:rPr>
              <w:t>is not required to be submitted</w:t>
            </w:r>
            <w:r w:rsidR="00100698" w:rsidRPr="005A78D2">
              <w:rPr>
                <w:rFonts w:asciiTheme="minorHAnsi" w:eastAsia="Times New Roman" w:hAnsiTheme="minorHAnsi" w:cstheme="minorHAnsi"/>
                <w:i/>
                <w:color w:val="0070C0"/>
              </w:rPr>
              <w:t xml:space="preserve"> under the Pilot.</w:t>
            </w:r>
          </w:p>
          <w:p w14:paraId="28E6351B" w14:textId="4DABF451" w:rsidR="00FA5B66" w:rsidRPr="005A78D2" w:rsidRDefault="006658A6" w:rsidP="00AD3280">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 </w:t>
            </w:r>
          </w:p>
        </w:tc>
      </w:tr>
      <w:tr w:rsidR="005050CF" w:rsidRPr="005A78D2" w14:paraId="1FFB75AD" w14:textId="77777777" w:rsidTr="008E1401">
        <w:trPr>
          <w:gridAfter w:val="3"/>
          <w:wAfter w:w="54" w:type="dxa"/>
          <w:trHeight w:val="1530"/>
        </w:trPr>
        <w:tc>
          <w:tcPr>
            <w:tcW w:w="9311" w:type="dxa"/>
          </w:tcPr>
          <w:p w14:paraId="58D289C0" w14:textId="65FEE0F8" w:rsidR="005050CF" w:rsidRPr="005A78D2" w:rsidRDefault="005050CF" w:rsidP="00897585">
            <w:pPr>
              <w:rPr>
                <w:rFonts w:asciiTheme="minorHAnsi" w:eastAsia="Times New Roman" w:hAnsiTheme="minorHAnsi" w:cs="Arial"/>
              </w:rPr>
            </w:pPr>
            <w:r w:rsidRPr="005A78D2">
              <w:rPr>
                <w:rFonts w:asciiTheme="minorHAnsi" w:eastAsia="Times New Roman" w:hAnsiTheme="minorHAnsi" w:cs="Arial"/>
              </w:rPr>
              <w:t xml:space="preserve">Question </w:t>
            </w:r>
            <w:r w:rsidR="005A2756" w:rsidRPr="005A78D2">
              <w:rPr>
                <w:rFonts w:asciiTheme="minorHAnsi" w:eastAsia="Times New Roman" w:hAnsiTheme="minorHAnsi" w:cs="Arial"/>
              </w:rPr>
              <w:t>29</w:t>
            </w:r>
            <w:r w:rsidRPr="005A78D2">
              <w:rPr>
                <w:rFonts w:asciiTheme="minorHAnsi" w:eastAsia="Times New Roman" w:hAnsiTheme="minorHAnsi" w:cs="Arial"/>
              </w:rPr>
              <w:t xml:space="preserve">: Page 3 of 24 (paragraph above IV Opportunity Zones) – “Re-syndicated LIHTC projects without Section 8 must be underwritten with EGI no greater than 110% of that achieved in the </w:t>
            </w:r>
            <w:r w:rsidRPr="005A78D2">
              <w:rPr>
                <w:rFonts w:asciiTheme="minorHAnsi" w:eastAsia="Times New Roman" w:hAnsiTheme="minorHAnsi" w:cs="Arial"/>
                <w:bCs/>
              </w:rPr>
              <w:t>last full calendar year</w:t>
            </w:r>
            <w:r w:rsidRPr="005A78D2">
              <w:rPr>
                <w:rFonts w:asciiTheme="minorHAnsi" w:eastAsia="Times New Roman" w:hAnsiTheme="minorHAnsi" w:cs="Arial"/>
              </w:rPr>
              <w:t xml:space="preserve"> before application and with expenses no lower than 90% of the prior year’s operating expenses.”  Is there any leeway for the Lender to utilize a recent T-12 instead of the last full calendar year NOI when applying the EGI / operating expense thresholds?</w:t>
            </w:r>
          </w:p>
        </w:tc>
      </w:tr>
      <w:tr w:rsidR="005050CF" w:rsidRPr="005A78D2" w14:paraId="41D95181" w14:textId="77777777" w:rsidTr="00C63991">
        <w:trPr>
          <w:gridAfter w:val="3"/>
          <w:wAfter w:w="54" w:type="dxa"/>
        </w:trPr>
        <w:tc>
          <w:tcPr>
            <w:tcW w:w="9311" w:type="dxa"/>
          </w:tcPr>
          <w:p w14:paraId="56C446EB" w14:textId="77777777" w:rsidR="00D02CB0" w:rsidRPr="005A78D2" w:rsidRDefault="00D02CB0" w:rsidP="00897585">
            <w:pPr>
              <w:rPr>
                <w:rFonts w:asciiTheme="minorHAnsi" w:eastAsia="Times New Roman" w:hAnsiTheme="minorHAnsi" w:cs="Arial"/>
                <w:i/>
                <w:color w:val="0070C0"/>
              </w:rPr>
            </w:pPr>
          </w:p>
          <w:p w14:paraId="1809E44D" w14:textId="54A1EF8E" w:rsidR="005050CF" w:rsidRPr="005A78D2" w:rsidRDefault="005050CF" w:rsidP="00897585">
            <w:pPr>
              <w:rPr>
                <w:rFonts w:asciiTheme="minorHAnsi" w:eastAsia="Times New Roman" w:hAnsiTheme="minorHAnsi" w:cs="Arial"/>
                <w:i/>
                <w:color w:val="0070C0"/>
              </w:rPr>
            </w:pPr>
            <w:r w:rsidRPr="005A78D2">
              <w:rPr>
                <w:rFonts w:asciiTheme="minorHAnsi" w:eastAsia="Times New Roman" w:hAnsiTheme="minorHAnsi" w:cs="Arial"/>
                <w:i/>
                <w:color w:val="0070C0"/>
              </w:rPr>
              <w:t xml:space="preserve">Reply: </w:t>
            </w:r>
            <w:r w:rsidR="005A2756" w:rsidRPr="005A78D2">
              <w:rPr>
                <w:rFonts w:asciiTheme="minorHAnsi" w:eastAsia="Times New Roman" w:hAnsiTheme="minorHAnsi" w:cs="Arial"/>
                <w:i/>
                <w:color w:val="0070C0"/>
              </w:rPr>
              <w:t>HUD requires the last full calendar year to make this determination.</w:t>
            </w:r>
          </w:p>
          <w:p w14:paraId="0CDE290B" w14:textId="669FB5AF" w:rsidR="00D02CB0" w:rsidRPr="005A78D2" w:rsidRDefault="00D02CB0" w:rsidP="00897585">
            <w:pPr>
              <w:rPr>
                <w:rFonts w:asciiTheme="minorHAnsi" w:eastAsia="Times New Roman" w:hAnsiTheme="minorHAnsi" w:cs="Arial"/>
                <w:i/>
              </w:rPr>
            </w:pPr>
          </w:p>
        </w:tc>
      </w:tr>
      <w:tr w:rsidR="005050CF" w:rsidRPr="005A78D2" w14:paraId="3D68A0E6" w14:textId="77777777" w:rsidTr="00C63991">
        <w:trPr>
          <w:gridAfter w:val="3"/>
          <w:wAfter w:w="54" w:type="dxa"/>
        </w:trPr>
        <w:tc>
          <w:tcPr>
            <w:tcW w:w="9311" w:type="dxa"/>
          </w:tcPr>
          <w:p w14:paraId="63BBF9BD" w14:textId="5AF158E4" w:rsidR="005050CF" w:rsidRPr="005A78D2" w:rsidRDefault="005050CF" w:rsidP="0087486A">
            <w:pPr>
              <w:contextualSpacing/>
              <w:rPr>
                <w:rFonts w:asciiTheme="minorHAnsi" w:eastAsia="Times New Roman" w:hAnsiTheme="minorHAnsi" w:cs="Arial"/>
              </w:rPr>
            </w:pPr>
            <w:r w:rsidRPr="005A78D2">
              <w:rPr>
                <w:rFonts w:asciiTheme="minorHAnsi" w:eastAsia="Times New Roman" w:hAnsiTheme="minorHAnsi" w:cs="Arial"/>
              </w:rPr>
              <w:t xml:space="preserve">Question </w:t>
            </w:r>
            <w:r w:rsidR="009F2C31" w:rsidRPr="005A78D2">
              <w:rPr>
                <w:rFonts w:asciiTheme="minorHAnsi" w:eastAsia="Times New Roman" w:hAnsiTheme="minorHAnsi" w:cs="Arial"/>
              </w:rPr>
              <w:t>3</w:t>
            </w:r>
            <w:r w:rsidR="005A2756" w:rsidRPr="005A78D2">
              <w:rPr>
                <w:rFonts w:asciiTheme="minorHAnsi" w:eastAsia="Times New Roman" w:hAnsiTheme="minorHAnsi" w:cs="Arial"/>
              </w:rPr>
              <w:t>0</w:t>
            </w:r>
            <w:r w:rsidRPr="005A78D2">
              <w:rPr>
                <w:rFonts w:asciiTheme="minorHAnsi" w:eastAsia="Times New Roman" w:hAnsiTheme="minorHAnsi" w:cs="Arial"/>
              </w:rPr>
              <w:t xml:space="preserve">:  </w:t>
            </w:r>
            <w:r w:rsidRPr="005A78D2">
              <w:t>Page 5, 3</w:t>
            </w:r>
            <w:r w:rsidRPr="005A78D2">
              <w:rPr>
                <w:vertAlign w:val="superscript"/>
              </w:rPr>
              <w:t>rd</w:t>
            </w:r>
            <w:r w:rsidRPr="005A78D2">
              <w:t xml:space="preserve"> paragraph – c) LBP remediation is an “acceptable” environmental risk factor.  See page 7 of the Standard process?</w:t>
            </w:r>
          </w:p>
        </w:tc>
      </w:tr>
      <w:tr w:rsidR="00FA081B" w:rsidRPr="005A78D2" w14:paraId="58838B3F" w14:textId="77777777" w:rsidTr="00C63991">
        <w:trPr>
          <w:gridAfter w:val="3"/>
          <w:wAfter w:w="54" w:type="dxa"/>
          <w:trHeight w:val="1539"/>
        </w:trPr>
        <w:tc>
          <w:tcPr>
            <w:tcW w:w="9311" w:type="dxa"/>
          </w:tcPr>
          <w:p w14:paraId="2769E562" w14:textId="77777777" w:rsidR="00786CE3" w:rsidRPr="005A78D2" w:rsidRDefault="00786CE3" w:rsidP="00FA081B">
            <w:pPr>
              <w:rPr>
                <w:rFonts w:asciiTheme="minorHAnsi" w:eastAsia="Times New Roman" w:hAnsiTheme="minorHAnsi" w:cs="Arial"/>
                <w:i/>
              </w:rPr>
            </w:pPr>
          </w:p>
          <w:p w14:paraId="71F17E34" w14:textId="18564C18" w:rsidR="00FA081B" w:rsidRPr="005A78D2" w:rsidRDefault="00FA081B" w:rsidP="00FA081B">
            <w:pPr>
              <w:rPr>
                <w:rFonts w:asciiTheme="minorHAnsi" w:eastAsia="Times New Roman" w:hAnsiTheme="minorHAnsi" w:cs="Arial"/>
                <w:i/>
              </w:rPr>
            </w:pPr>
            <w:r w:rsidRPr="0087486A">
              <w:rPr>
                <w:rFonts w:asciiTheme="minorHAnsi" w:eastAsia="Times New Roman" w:hAnsiTheme="minorHAnsi" w:cs="Arial"/>
                <w:i/>
                <w:color w:val="0070C0"/>
              </w:rPr>
              <w:t xml:space="preserve">Reply:  </w:t>
            </w:r>
            <w:r w:rsidR="00A45786" w:rsidRPr="0087486A">
              <w:rPr>
                <w:color w:val="0070C0"/>
              </w:rPr>
              <w:t>A project that contains Lead Based Paint may proceed under either the Expedited or the Standard Approval Process if the application includes the LBP inspection report, and regulated lead-based paint abatement is specified, with lead safety requirements incorporated into the project design and included in the construction costs as required in the MAP guide.</w:t>
            </w:r>
          </w:p>
        </w:tc>
      </w:tr>
      <w:tr w:rsidR="00FA081B" w:rsidRPr="005A78D2" w14:paraId="5EFAEC39" w14:textId="77777777" w:rsidTr="00C63991">
        <w:trPr>
          <w:gridAfter w:val="3"/>
          <w:wAfter w:w="54" w:type="dxa"/>
        </w:trPr>
        <w:tc>
          <w:tcPr>
            <w:tcW w:w="9311" w:type="dxa"/>
          </w:tcPr>
          <w:p w14:paraId="24DF6A52" w14:textId="5AC9F1C0" w:rsidR="00FA081B" w:rsidRPr="005A78D2" w:rsidRDefault="00FA081B" w:rsidP="00FA081B">
            <w:pPr>
              <w:contextualSpacing/>
            </w:pPr>
            <w:r w:rsidRPr="005A78D2">
              <w:rPr>
                <w:rFonts w:asciiTheme="minorHAnsi" w:eastAsia="Times New Roman" w:hAnsiTheme="minorHAnsi" w:cs="Arial"/>
              </w:rPr>
              <w:t>Question 3</w:t>
            </w:r>
            <w:r w:rsidR="0043666E" w:rsidRPr="005A78D2">
              <w:rPr>
                <w:rFonts w:asciiTheme="minorHAnsi" w:eastAsia="Times New Roman" w:hAnsiTheme="minorHAnsi" w:cs="Arial"/>
              </w:rPr>
              <w:t>1</w:t>
            </w:r>
            <w:r w:rsidRPr="005A78D2">
              <w:rPr>
                <w:rFonts w:asciiTheme="minorHAnsi" w:eastAsia="Times New Roman" w:hAnsiTheme="minorHAnsi" w:cs="Arial"/>
              </w:rPr>
              <w:t xml:space="preserve">: </w:t>
            </w:r>
            <w:r w:rsidRPr="005A78D2">
              <w:t>Page 7, Environmental Conditions</w:t>
            </w:r>
          </w:p>
          <w:p w14:paraId="29FE8CAE" w14:textId="77777777" w:rsidR="00FA081B" w:rsidRPr="005A78D2" w:rsidRDefault="00FA081B" w:rsidP="00FA081B">
            <w:pPr>
              <w:contextualSpacing/>
            </w:pPr>
          </w:p>
          <w:p w14:paraId="1593B7B2" w14:textId="64D2FD2B" w:rsidR="00FA081B" w:rsidRPr="005A78D2" w:rsidRDefault="00FA081B" w:rsidP="00FA081B">
            <w:pPr>
              <w:contextualSpacing/>
              <w:rPr>
                <w:rFonts w:asciiTheme="minorHAnsi" w:eastAsia="Times New Roman" w:hAnsiTheme="minorHAnsi" w:cs="Arial"/>
              </w:rPr>
            </w:pPr>
            <w:r w:rsidRPr="005A78D2">
              <w:t>(a) Identifies the types of Environmental risk factors that are not eligible for Expedited.  Includes not being LBP free, but the Expedited track allows LBP remediation?</w:t>
            </w:r>
          </w:p>
        </w:tc>
      </w:tr>
      <w:tr w:rsidR="00FA081B" w:rsidRPr="005A78D2" w14:paraId="07267F37" w14:textId="77777777" w:rsidTr="00C63991">
        <w:trPr>
          <w:gridAfter w:val="3"/>
          <w:wAfter w:w="54" w:type="dxa"/>
        </w:trPr>
        <w:tc>
          <w:tcPr>
            <w:tcW w:w="9311" w:type="dxa"/>
          </w:tcPr>
          <w:p w14:paraId="41EABBEF" w14:textId="77777777" w:rsidR="00FA081B" w:rsidRPr="005A78D2" w:rsidRDefault="00FA081B" w:rsidP="00FA081B">
            <w:pPr>
              <w:rPr>
                <w:rFonts w:asciiTheme="minorHAnsi" w:eastAsia="Times New Roman" w:hAnsiTheme="minorHAnsi" w:cs="Arial"/>
                <w:i/>
                <w:color w:val="00B050"/>
              </w:rPr>
            </w:pPr>
          </w:p>
          <w:p w14:paraId="69D9C969" w14:textId="77777777" w:rsidR="00A45786" w:rsidRPr="0087486A" w:rsidRDefault="00A45786" w:rsidP="00A45786">
            <w:pPr>
              <w:rPr>
                <w:rFonts w:asciiTheme="minorHAnsi" w:eastAsia="Times New Roman" w:hAnsiTheme="minorHAnsi" w:cs="Arial"/>
                <w:color w:val="0070C0"/>
              </w:rPr>
            </w:pPr>
            <w:r w:rsidRPr="0087486A">
              <w:rPr>
                <w:rFonts w:asciiTheme="minorHAnsi" w:eastAsia="Times New Roman" w:hAnsiTheme="minorHAnsi" w:cs="Arial"/>
                <w:i/>
                <w:color w:val="0070C0"/>
              </w:rPr>
              <w:t xml:space="preserve">Reply: </w:t>
            </w:r>
            <w:r w:rsidRPr="0087486A">
              <w:rPr>
                <w:rFonts w:asciiTheme="minorHAnsi" w:eastAsia="Times New Roman" w:hAnsiTheme="minorHAnsi" w:cs="Arial"/>
                <w:color w:val="0070C0"/>
              </w:rPr>
              <w:t>A project that contains Lead Based Paint may proceed under either the Standard Approval Process or the Expedited Process if the application includes the LBP inspection report, and regulated lead-based paint abatement is specified, with lead safety requirements incorporated into the project design and included in the construction costs as required in the MAP guide.</w:t>
            </w:r>
          </w:p>
          <w:p w14:paraId="5B452843" w14:textId="0B0CD71F" w:rsidR="00786CE3" w:rsidRPr="005A78D2" w:rsidRDefault="00786CE3" w:rsidP="00A45786">
            <w:pPr>
              <w:rPr>
                <w:rFonts w:asciiTheme="minorHAnsi" w:eastAsia="Times New Roman" w:hAnsiTheme="minorHAnsi" w:cs="Arial"/>
                <w:i/>
              </w:rPr>
            </w:pPr>
          </w:p>
        </w:tc>
      </w:tr>
      <w:tr w:rsidR="00FA081B" w:rsidRPr="005A78D2" w14:paraId="2C60AFB8" w14:textId="77777777" w:rsidTr="00C63991">
        <w:trPr>
          <w:gridAfter w:val="3"/>
          <w:wAfter w:w="54" w:type="dxa"/>
        </w:trPr>
        <w:tc>
          <w:tcPr>
            <w:tcW w:w="9311" w:type="dxa"/>
          </w:tcPr>
          <w:p w14:paraId="6C91B1D8" w14:textId="4F395086" w:rsidR="00FA081B" w:rsidRPr="005A78D2" w:rsidRDefault="00FA081B" w:rsidP="00FA081B">
            <w:pPr>
              <w:rPr>
                <w:rFonts w:asciiTheme="minorHAnsi" w:eastAsia="Times New Roman" w:hAnsiTheme="minorHAnsi" w:cs="Arial"/>
              </w:rPr>
            </w:pPr>
            <w:r w:rsidRPr="005A78D2">
              <w:rPr>
                <w:rFonts w:asciiTheme="minorHAnsi" w:eastAsia="Times New Roman" w:hAnsiTheme="minorHAnsi" w:cs="Arial"/>
              </w:rPr>
              <w:t xml:space="preserve">(b) </w:t>
            </w:r>
            <w:r w:rsidRPr="005A78D2">
              <w:t>Paragraph 7: Clarification- So all types of Pilot eligible transactions use standard processing (including 9% new construction and 4/9% SR of &gt; 90% S8), for example if there are environmental issues?  #7 says LBP remediation is not eligible for expedited but the expedited section says LBP remediation is OK.</w:t>
            </w:r>
          </w:p>
        </w:tc>
      </w:tr>
      <w:tr w:rsidR="00FA081B" w:rsidRPr="005A78D2" w14:paraId="40AA88E3" w14:textId="77777777" w:rsidTr="00C63991">
        <w:trPr>
          <w:gridAfter w:val="3"/>
          <w:wAfter w:w="54" w:type="dxa"/>
        </w:trPr>
        <w:tc>
          <w:tcPr>
            <w:tcW w:w="9311" w:type="dxa"/>
          </w:tcPr>
          <w:p w14:paraId="228CDB1D" w14:textId="77777777" w:rsidR="00A45786" w:rsidRPr="0087486A" w:rsidRDefault="00A45786" w:rsidP="00A45786">
            <w:pPr>
              <w:rPr>
                <w:rFonts w:asciiTheme="minorHAnsi" w:eastAsia="Times New Roman" w:hAnsiTheme="minorHAnsi" w:cs="Arial"/>
                <w:i/>
                <w:color w:val="0070C0"/>
              </w:rPr>
            </w:pPr>
          </w:p>
          <w:p w14:paraId="59FD2D29" w14:textId="10BEACC6" w:rsidR="00FA081B" w:rsidRPr="0087486A" w:rsidRDefault="00A45786" w:rsidP="00FA081B">
            <w:pPr>
              <w:rPr>
                <w:rFonts w:asciiTheme="minorHAnsi" w:eastAsia="Times New Roman" w:hAnsiTheme="minorHAnsi" w:cs="Arial"/>
                <w:i/>
                <w:color w:val="0070C0"/>
              </w:rPr>
            </w:pPr>
            <w:r w:rsidRPr="0087486A">
              <w:rPr>
                <w:rFonts w:asciiTheme="minorHAnsi" w:eastAsia="Times New Roman" w:hAnsiTheme="minorHAnsi" w:cs="Arial"/>
                <w:i/>
                <w:color w:val="0070C0"/>
              </w:rPr>
              <w:t xml:space="preserve">Reply: </w:t>
            </w:r>
            <w:r w:rsidRPr="0087486A">
              <w:rPr>
                <w:rFonts w:asciiTheme="minorHAnsi" w:eastAsia="Times New Roman" w:hAnsiTheme="minorHAnsi" w:cs="Arial"/>
                <w:color w:val="0070C0"/>
              </w:rPr>
              <w:t>A project that contains Lead Based Paint may proceed under either the Standard Approval Process or the Expedited Process if the application includes the LBP inspection report, and regulated lead-based paint abatement is specified, with lead safety requirements incorporated into the project design and included in the construction costs as required in the MAP guide.</w:t>
            </w:r>
          </w:p>
          <w:p w14:paraId="1441F040" w14:textId="77777777" w:rsidR="00FA081B" w:rsidRPr="005A78D2" w:rsidRDefault="00FA081B" w:rsidP="00A45786">
            <w:pPr>
              <w:rPr>
                <w:rFonts w:asciiTheme="minorHAnsi" w:eastAsia="Times New Roman" w:hAnsiTheme="minorHAnsi" w:cs="Arial"/>
                <w:i/>
              </w:rPr>
            </w:pPr>
          </w:p>
        </w:tc>
      </w:tr>
      <w:tr w:rsidR="00FA081B" w:rsidRPr="005A78D2" w14:paraId="053B9085" w14:textId="77777777" w:rsidTr="00C63991">
        <w:trPr>
          <w:gridAfter w:val="3"/>
          <w:wAfter w:w="54" w:type="dxa"/>
        </w:trPr>
        <w:tc>
          <w:tcPr>
            <w:tcW w:w="9311" w:type="dxa"/>
          </w:tcPr>
          <w:p w14:paraId="0BE2574B" w14:textId="0D474852" w:rsidR="00FA081B" w:rsidRPr="005A78D2" w:rsidRDefault="00FA081B" w:rsidP="00FA081B">
            <w:pPr>
              <w:rPr>
                <w:rFonts w:asciiTheme="minorHAnsi" w:eastAsia="Times New Roman" w:hAnsiTheme="minorHAnsi" w:cs="Arial"/>
              </w:rPr>
            </w:pPr>
            <w:r w:rsidRPr="005A78D2">
              <w:rPr>
                <w:rFonts w:asciiTheme="minorHAnsi" w:eastAsia="Times New Roman" w:hAnsiTheme="minorHAnsi" w:cs="Arial"/>
              </w:rPr>
              <w:t xml:space="preserve">(c) LBP – The Notice seems to indicate that all LBP must be completely remediated/removed in order to the considered for both Expedited and Standard Processing? Is this correct? This is a heavier requirement than under the MAP Guide. Currently, LBP can be managed under an O&amp;M plan, if present and not being remediated. What about </w:t>
            </w:r>
            <w:proofErr w:type="gramStart"/>
            <w:r w:rsidRPr="005A78D2">
              <w:rPr>
                <w:rFonts w:asciiTheme="minorHAnsi" w:eastAsia="Times New Roman" w:hAnsiTheme="minorHAnsi" w:cs="Arial"/>
              </w:rPr>
              <w:t>seniors</w:t>
            </w:r>
            <w:proofErr w:type="gramEnd"/>
            <w:r w:rsidRPr="005A78D2">
              <w:rPr>
                <w:rFonts w:asciiTheme="minorHAnsi" w:eastAsia="Times New Roman" w:hAnsiTheme="minorHAnsi" w:cs="Arial"/>
              </w:rPr>
              <w:t xml:space="preserve"> projects where LBP is not as great concern as in family projects? This requirement makes the Pilot less attractive and more expensive.</w:t>
            </w:r>
          </w:p>
        </w:tc>
      </w:tr>
      <w:tr w:rsidR="00786CE3" w:rsidRPr="005A78D2" w14:paraId="555E4F21" w14:textId="77777777" w:rsidTr="00C63991">
        <w:trPr>
          <w:gridAfter w:val="3"/>
          <w:wAfter w:w="54" w:type="dxa"/>
        </w:trPr>
        <w:tc>
          <w:tcPr>
            <w:tcW w:w="9311" w:type="dxa"/>
          </w:tcPr>
          <w:p w14:paraId="13795CBD" w14:textId="77777777" w:rsidR="00A45786" w:rsidRDefault="00A45786" w:rsidP="00A45786">
            <w:pPr>
              <w:rPr>
                <w:rFonts w:asciiTheme="minorHAnsi" w:eastAsia="Times New Roman" w:hAnsiTheme="minorHAnsi" w:cs="Arial"/>
                <w:i/>
                <w:color w:val="00B050"/>
              </w:rPr>
            </w:pPr>
          </w:p>
          <w:p w14:paraId="015A8152" w14:textId="59EA7AE4" w:rsidR="00A45786" w:rsidRPr="0087486A" w:rsidRDefault="00A45786" w:rsidP="00A45786">
            <w:pPr>
              <w:rPr>
                <w:rFonts w:asciiTheme="minorHAnsi" w:eastAsia="Times New Roman" w:hAnsiTheme="minorHAnsi" w:cs="Arial"/>
                <w:i/>
                <w:color w:val="0070C0"/>
              </w:rPr>
            </w:pPr>
            <w:r w:rsidRPr="0087486A">
              <w:rPr>
                <w:rFonts w:asciiTheme="minorHAnsi" w:eastAsia="Times New Roman" w:hAnsiTheme="minorHAnsi" w:cs="Arial"/>
                <w:i/>
                <w:color w:val="0070C0"/>
              </w:rPr>
              <w:lastRenderedPageBreak/>
              <w:t xml:space="preserve">Reply: The LIHTC notice doesn’t impose additional LBP requirements.  However, in contrast to rehabilitation projects that have assistance of no more than $25,000 per unit, for which the Lead Safe Housing Rule allows interim controls of LBP hazards, substantial rehabilitation projects require LBP abatement under the Rule, in accordance with Congressional direction to HUD. </w:t>
            </w:r>
          </w:p>
          <w:p w14:paraId="5924019A" w14:textId="13E24A13" w:rsidR="00786CE3" w:rsidRPr="005A78D2" w:rsidRDefault="00786CE3" w:rsidP="00A45786">
            <w:pPr>
              <w:rPr>
                <w:rFonts w:asciiTheme="minorHAnsi" w:eastAsia="Times New Roman" w:hAnsiTheme="minorHAnsi" w:cs="Arial"/>
                <w:i/>
              </w:rPr>
            </w:pPr>
          </w:p>
        </w:tc>
      </w:tr>
      <w:tr w:rsidR="00786CE3" w:rsidRPr="005A78D2" w14:paraId="695BF5BC" w14:textId="77777777" w:rsidTr="00C63991">
        <w:trPr>
          <w:gridAfter w:val="3"/>
          <w:wAfter w:w="54" w:type="dxa"/>
        </w:trPr>
        <w:tc>
          <w:tcPr>
            <w:tcW w:w="9311" w:type="dxa"/>
          </w:tcPr>
          <w:p w14:paraId="58770732" w14:textId="064FE8C1" w:rsidR="00786CE3" w:rsidRPr="005A78D2" w:rsidRDefault="00786CE3" w:rsidP="00786CE3">
            <w:pPr>
              <w:rPr>
                <w:rFonts w:asciiTheme="minorHAnsi" w:eastAsia="Times New Roman" w:hAnsiTheme="minorHAnsi" w:cs="Arial"/>
              </w:rPr>
            </w:pPr>
            <w:r w:rsidRPr="005A78D2">
              <w:rPr>
                <w:rFonts w:asciiTheme="minorHAnsi" w:eastAsia="Times New Roman" w:hAnsiTheme="minorHAnsi" w:cs="Arial"/>
              </w:rPr>
              <w:lastRenderedPageBreak/>
              <w:t xml:space="preserve">(d) </w:t>
            </w:r>
            <w:r w:rsidRPr="005A78D2">
              <w:rPr>
                <w:rFonts w:eastAsia="Times New Roman"/>
              </w:rPr>
              <w:t xml:space="preserve">Excluding projects from expedited processing that involve LBP remediation does not make sense.  LBP remediation has been around for decades and presents no greater complexity than asbestos abatement.  </w:t>
            </w:r>
            <w:proofErr w:type="gramStart"/>
            <w:r w:rsidRPr="005A78D2">
              <w:rPr>
                <w:rFonts w:eastAsia="Times New Roman"/>
              </w:rPr>
              <w:t>Also</w:t>
            </w:r>
            <w:proofErr w:type="gramEnd"/>
            <w:r w:rsidRPr="005A78D2">
              <w:rPr>
                <w:rFonts w:eastAsia="Times New Roman"/>
              </w:rPr>
              <w:t xml:space="preserve"> most inner city per-1978 structure rehabilitation projects feature some form of lead risk reduction.  This needs to be revised to </w:t>
            </w:r>
            <w:proofErr w:type="gramStart"/>
            <w:r w:rsidRPr="005A78D2">
              <w:rPr>
                <w:rFonts w:eastAsia="Times New Roman"/>
              </w:rPr>
              <w:t>say</w:t>
            </w:r>
            <w:proofErr w:type="gramEnd"/>
            <w:r w:rsidRPr="005A78D2">
              <w:rPr>
                <w:rFonts w:eastAsia="Times New Roman"/>
              </w:rPr>
              <w:t xml:space="preserve"> “regulated lead-based paint abatement.”  The concern is most pre-1978 properties have some degree of LBP removal during rehabilitation, but this does NOT constitute abatement.   This environmental exclusion will bar most pilot projects from entering the new process.</w:t>
            </w:r>
          </w:p>
        </w:tc>
      </w:tr>
      <w:tr w:rsidR="00786CE3" w:rsidRPr="005A78D2" w14:paraId="7913EE52" w14:textId="77777777" w:rsidTr="00C63991">
        <w:trPr>
          <w:gridAfter w:val="3"/>
          <w:wAfter w:w="54" w:type="dxa"/>
        </w:trPr>
        <w:tc>
          <w:tcPr>
            <w:tcW w:w="9311" w:type="dxa"/>
          </w:tcPr>
          <w:p w14:paraId="16DFC977" w14:textId="77777777" w:rsidR="00786CE3" w:rsidRPr="005A78D2" w:rsidRDefault="00786CE3" w:rsidP="00786CE3">
            <w:pPr>
              <w:rPr>
                <w:rFonts w:asciiTheme="minorHAnsi" w:eastAsia="Times New Roman" w:hAnsiTheme="minorHAnsi" w:cs="Arial"/>
                <w:i/>
                <w:color w:val="00B050"/>
              </w:rPr>
            </w:pPr>
          </w:p>
          <w:p w14:paraId="24070232" w14:textId="77777777" w:rsidR="00A45786" w:rsidRPr="0087486A" w:rsidRDefault="00A45786" w:rsidP="00A45786">
            <w:pPr>
              <w:rPr>
                <w:i/>
                <w:color w:val="0070C0"/>
              </w:rPr>
            </w:pPr>
            <w:r w:rsidRPr="0087486A">
              <w:rPr>
                <w:rFonts w:asciiTheme="minorHAnsi" w:eastAsia="Times New Roman" w:hAnsiTheme="minorHAnsi" w:cs="Arial"/>
                <w:i/>
                <w:color w:val="0070C0"/>
              </w:rPr>
              <w:t xml:space="preserve">Reply: </w:t>
            </w:r>
            <w:r w:rsidRPr="0087486A">
              <w:rPr>
                <w:i/>
                <w:color w:val="0070C0"/>
              </w:rPr>
              <w:t>A project that contains Lead Based Paint may proceed under either the Standard Approval Process or the Expedited Approval Process if the application includes the LBP inspection report, and regulated lead-based paint abatement is specified, with lead safety requirements incorporated into the project design and included in the construction costs as required in the MAP guide. As recommended by this questioner, we will be describing the LBP abatement as “regulated.”  This reflects that the abatement is regulated by HUD’s Lead Safe Housing Rule (24 CFR part 35) and the EPA’s LBP activities rule (40 CFR part 745).  In contrast to rehabilitation projects that have assistance of no more than $25,000 per unit, for which the Lead Safe Housing Rule allows interim controls of LBP hazards, these substantial rehabilitation projects require LBP abatement under the Rule, in accordance with Congressional direction to HUD.</w:t>
            </w:r>
          </w:p>
          <w:p w14:paraId="07EF0EB5" w14:textId="6C5A896F" w:rsidR="00786CE3" w:rsidRPr="005A78D2" w:rsidRDefault="00786CE3" w:rsidP="00A45786">
            <w:pPr>
              <w:rPr>
                <w:rFonts w:asciiTheme="minorHAnsi" w:eastAsia="Times New Roman" w:hAnsiTheme="minorHAnsi" w:cs="Arial"/>
                <w:i/>
              </w:rPr>
            </w:pPr>
          </w:p>
        </w:tc>
      </w:tr>
      <w:tr w:rsidR="00786CE3" w:rsidRPr="005A78D2" w14:paraId="56EE9AAB" w14:textId="77777777" w:rsidTr="00C63991">
        <w:trPr>
          <w:gridAfter w:val="2"/>
          <w:wAfter w:w="34" w:type="dxa"/>
        </w:trPr>
        <w:tc>
          <w:tcPr>
            <w:tcW w:w="9331" w:type="dxa"/>
            <w:gridSpan w:val="2"/>
          </w:tcPr>
          <w:p w14:paraId="68927DBD" w14:textId="5717DA5A" w:rsidR="00786CE3" w:rsidRPr="005A78D2" w:rsidRDefault="00786CE3" w:rsidP="00786CE3">
            <w:pPr>
              <w:rPr>
                <w:rFonts w:asciiTheme="minorHAnsi" w:eastAsia="Times New Roman" w:hAnsiTheme="minorHAnsi" w:cs="Arial"/>
              </w:rPr>
            </w:pPr>
            <w:r w:rsidRPr="005A78D2">
              <w:rPr>
                <w:rFonts w:asciiTheme="minorHAnsi" w:eastAsia="Times New Roman" w:hAnsiTheme="minorHAnsi" w:cs="Arial"/>
              </w:rPr>
              <w:t>Question 3</w:t>
            </w:r>
            <w:r w:rsidR="0043666E" w:rsidRPr="005A78D2">
              <w:rPr>
                <w:rFonts w:asciiTheme="minorHAnsi" w:eastAsia="Times New Roman" w:hAnsiTheme="minorHAnsi" w:cs="Arial"/>
              </w:rPr>
              <w:t>2</w:t>
            </w:r>
            <w:r w:rsidRPr="00A45786">
              <w:rPr>
                <w:rFonts w:asciiTheme="minorHAnsi" w:eastAsia="Times New Roman" w:hAnsiTheme="minorHAnsi" w:cs="Arial"/>
              </w:rPr>
              <w:t xml:space="preserve">: </w:t>
            </w:r>
            <w:proofErr w:type="spellStart"/>
            <w:r w:rsidRPr="00A45786">
              <w:t>Pg</w:t>
            </w:r>
            <w:proofErr w:type="spellEnd"/>
            <w:r w:rsidRPr="00A45786">
              <w:t xml:space="preserve"> 9, G – Is this any different than the Phase I’s provided under the current MAP guidance? Or is this stating that there needs to be a separate Lender’s Environmental narrative included outside of the section in the underwriter’s narrative. Clarify the Phase I ESA w/HEROS meets this requirement.</w:t>
            </w:r>
          </w:p>
        </w:tc>
      </w:tr>
      <w:tr w:rsidR="00786CE3" w:rsidRPr="005A78D2" w14:paraId="7F01F8D3" w14:textId="77777777" w:rsidTr="00C63991">
        <w:trPr>
          <w:gridAfter w:val="2"/>
          <w:wAfter w:w="34" w:type="dxa"/>
        </w:trPr>
        <w:tc>
          <w:tcPr>
            <w:tcW w:w="9331" w:type="dxa"/>
            <w:gridSpan w:val="2"/>
          </w:tcPr>
          <w:p w14:paraId="7539BA77" w14:textId="77777777" w:rsidR="00786CE3" w:rsidRPr="005A78D2" w:rsidRDefault="00786CE3" w:rsidP="00786CE3">
            <w:pPr>
              <w:rPr>
                <w:rFonts w:asciiTheme="minorHAnsi" w:eastAsia="Times New Roman" w:hAnsiTheme="minorHAnsi" w:cs="Arial"/>
                <w:i/>
              </w:rPr>
            </w:pPr>
          </w:p>
          <w:p w14:paraId="7768C0EF" w14:textId="1FD40797" w:rsidR="00786CE3" w:rsidRPr="0087486A" w:rsidRDefault="00786CE3" w:rsidP="00786CE3">
            <w:pPr>
              <w:rPr>
                <w:rFonts w:asciiTheme="minorHAnsi" w:eastAsia="Times New Roman" w:hAnsiTheme="minorHAnsi" w:cs="Arial"/>
                <w:i/>
                <w:color w:val="0070C0"/>
              </w:rPr>
            </w:pPr>
            <w:r w:rsidRPr="0087486A">
              <w:rPr>
                <w:rFonts w:asciiTheme="minorHAnsi" w:eastAsia="Times New Roman" w:hAnsiTheme="minorHAnsi" w:cs="Arial"/>
                <w:i/>
                <w:color w:val="0070C0"/>
              </w:rPr>
              <w:t xml:space="preserve">Reply: </w:t>
            </w:r>
            <w:r w:rsidR="00A45786" w:rsidRPr="0087486A">
              <w:rPr>
                <w:i/>
                <w:color w:val="0070C0"/>
              </w:rPr>
              <w:t>All environmental reviews for the pilot should be completed following the standard MAP process.  Lenders are strongly encouraged to have their 3</w:t>
            </w:r>
            <w:r w:rsidR="00A45786" w:rsidRPr="0087486A">
              <w:rPr>
                <w:i/>
                <w:color w:val="0070C0"/>
                <w:vertAlign w:val="superscript"/>
              </w:rPr>
              <w:t>rd</w:t>
            </w:r>
            <w:r w:rsidR="00A45786" w:rsidRPr="0087486A">
              <w:rPr>
                <w:i/>
                <w:color w:val="0070C0"/>
              </w:rPr>
              <w:t xml:space="preserve"> Parties enter the environmental information directly into HEROS to help streamline the process.</w:t>
            </w:r>
          </w:p>
          <w:p w14:paraId="1AB07840" w14:textId="42B3664F" w:rsidR="00786CE3" w:rsidRPr="005A78D2" w:rsidRDefault="00786CE3" w:rsidP="00786CE3">
            <w:pPr>
              <w:rPr>
                <w:rFonts w:asciiTheme="minorHAnsi" w:eastAsia="Times New Roman" w:hAnsiTheme="minorHAnsi" w:cs="Arial"/>
                <w:i/>
              </w:rPr>
            </w:pPr>
          </w:p>
        </w:tc>
      </w:tr>
      <w:tr w:rsidR="00786CE3" w:rsidRPr="005A78D2" w14:paraId="130A1375" w14:textId="77777777" w:rsidTr="00A45786">
        <w:trPr>
          <w:gridAfter w:val="2"/>
          <w:wAfter w:w="34" w:type="dxa"/>
        </w:trPr>
        <w:tc>
          <w:tcPr>
            <w:tcW w:w="9331" w:type="dxa"/>
            <w:gridSpan w:val="2"/>
            <w:shd w:val="clear" w:color="auto" w:fill="auto"/>
          </w:tcPr>
          <w:p w14:paraId="04992F6C" w14:textId="0175F22F" w:rsidR="00786CE3" w:rsidRPr="00A45786" w:rsidRDefault="00786CE3" w:rsidP="00786CE3">
            <w:pPr>
              <w:outlineLvl w:val="0"/>
              <w:rPr>
                <w:rFonts w:asciiTheme="minorHAnsi" w:hAnsiTheme="minorHAnsi" w:cstheme="minorHAnsi"/>
              </w:rPr>
            </w:pPr>
            <w:bookmarkStart w:id="1" w:name="_Hlk7599575"/>
            <w:r w:rsidRPr="00A45786">
              <w:rPr>
                <w:rFonts w:asciiTheme="minorHAnsi" w:hAnsiTheme="minorHAnsi" w:cstheme="minorHAnsi"/>
              </w:rPr>
              <w:t>Question 3</w:t>
            </w:r>
            <w:r w:rsidR="0043666E" w:rsidRPr="00A45786">
              <w:rPr>
                <w:rFonts w:asciiTheme="minorHAnsi" w:hAnsiTheme="minorHAnsi" w:cstheme="minorHAnsi"/>
              </w:rPr>
              <w:t>3</w:t>
            </w:r>
            <w:r w:rsidRPr="00A45786">
              <w:rPr>
                <w:rFonts w:asciiTheme="minorHAnsi" w:hAnsiTheme="minorHAnsi" w:cstheme="minorHAnsi"/>
              </w:rPr>
              <w:t xml:space="preserve">:  The LIHTC Pilot indicates that a property with noise over 65 dBs is not eligible for expedited processing.  If we were working on a Substantial Rehab (existing buildings) and the noise level at the building was over 65 dBs but the building materials resulted in noise attenuation to 45 dBs on the interior, would the property be eligible for expedited processing still (since the buildings are already attenuated below 45 dBs)?  </w:t>
            </w:r>
          </w:p>
          <w:p w14:paraId="03BCF364" w14:textId="77777777" w:rsidR="00786CE3" w:rsidRPr="00A45786" w:rsidRDefault="00786CE3" w:rsidP="00786CE3">
            <w:pPr>
              <w:rPr>
                <w:rFonts w:asciiTheme="minorHAnsi" w:hAnsiTheme="minorHAnsi" w:cstheme="minorHAnsi"/>
              </w:rPr>
            </w:pPr>
          </w:p>
          <w:p w14:paraId="401F7CF8" w14:textId="385BDA2E" w:rsidR="00786CE3" w:rsidRPr="005A78D2" w:rsidRDefault="00786CE3" w:rsidP="0087486A">
            <w:pPr>
              <w:rPr>
                <w:rFonts w:asciiTheme="minorHAnsi" w:eastAsia="Times New Roman" w:hAnsiTheme="minorHAnsi" w:cs="Arial"/>
                <w:i/>
              </w:rPr>
            </w:pPr>
            <w:r w:rsidRPr="00A45786">
              <w:rPr>
                <w:rFonts w:asciiTheme="minorHAnsi" w:hAnsiTheme="minorHAnsi" w:cstheme="minorHAnsi"/>
              </w:rPr>
              <w:t>For a Sub Rehab where an outdoor amenity has a noise level above 65 dBs, would the property no longer qualify for expedited processing (since noise attenuation measures would be required)?  I’m assuming yes but looking for confirmation.  Sometimes, a borrower may relocate the outdoor amenities with the sub rehab to a location below 65 dBs, would the property then qualify for expedited processing?</w:t>
            </w:r>
            <w:r w:rsidRPr="005A78D2">
              <w:rPr>
                <w:rFonts w:asciiTheme="minorHAnsi" w:hAnsiTheme="minorHAnsi" w:cstheme="minorHAnsi"/>
              </w:rPr>
              <w:t> </w:t>
            </w:r>
          </w:p>
        </w:tc>
      </w:tr>
      <w:bookmarkEnd w:id="1"/>
      <w:tr w:rsidR="0090771E" w:rsidRPr="005A78D2" w14:paraId="094A8041" w14:textId="77777777" w:rsidTr="00C63991">
        <w:trPr>
          <w:gridAfter w:val="2"/>
          <w:wAfter w:w="34" w:type="dxa"/>
        </w:trPr>
        <w:tc>
          <w:tcPr>
            <w:tcW w:w="9331" w:type="dxa"/>
            <w:gridSpan w:val="2"/>
          </w:tcPr>
          <w:p w14:paraId="4284C074" w14:textId="77777777" w:rsidR="0090771E" w:rsidRDefault="0090771E" w:rsidP="0090771E">
            <w:pPr>
              <w:outlineLvl w:val="0"/>
              <w:rPr>
                <w:rFonts w:ascii="Arial" w:hAnsi="Arial" w:cs="Arial"/>
              </w:rPr>
            </w:pPr>
          </w:p>
          <w:p w14:paraId="79D802A5" w14:textId="77777777" w:rsidR="0090771E" w:rsidRPr="0087486A" w:rsidRDefault="0090771E" w:rsidP="0090771E">
            <w:pPr>
              <w:pStyle w:val="NormalWeb"/>
              <w:shd w:val="clear" w:color="auto" w:fill="FFFFFF"/>
              <w:spacing w:before="0" w:beforeAutospacing="0" w:after="0" w:afterAutospacing="0"/>
              <w:rPr>
                <w:rFonts w:ascii="Calibri" w:hAnsi="Calibri"/>
                <w:color w:val="0070C0"/>
                <w:sz w:val="22"/>
                <w:szCs w:val="22"/>
              </w:rPr>
            </w:pPr>
            <w:r w:rsidRPr="0087486A">
              <w:rPr>
                <w:rFonts w:asciiTheme="minorHAnsi" w:hAnsiTheme="minorHAnsi" w:cstheme="minorHAnsi"/>
                <w:i/>
                <w:color w:val="0070C0"/>
              </w:rPr>
              <w:t>Reply:</w:t>
            </w:r>
            <w:r w:rsidRPr="0087486A">
              <w:rPr>
                <w:color w:val="0070C0"/>
              </w:rPr>
              <w:t xml:space="preserve"> </w:t>
            </w:r>
            <w:r w:rsidRPr="0087486A">
              <w:rPr>
                <w:rFonts w:ascii="Calibri" w:hAnsi="Calibri"/>
                <w:color w:val="0070C0"/>
                <w:sz w:val="22"/>
                <w:szCs w:val="22"/>
              </w:rPr>
              <w:t xml:space="preserve">If new construction or conversion of a non-residential building to residential, projects may not be submitted under the Expedited Processing track if noise is over 65.  For rehabilitation of an existing </w:t>
            </w:r>
            <w:r w:rsidRPr="0087486A">
              <w:rPr>
                <w:rFonts w:ascii="Calibri" w:hAnsi="Calibri"/>
                <w:color w:val="0070C0"/>
                <w:sz w:val="22"/>
                <w:szCs w:val="22"/>
              </w:rPr>
              <w:lastRenderedPageBreak/>
              <w:t>residential building, MF will consider whether the project can use the Expedited Processing track on a case by case basis at the entrance conference.  The factors MF will consider are as follows:</w:t>
            </w:r>
          </w:p>
          <w:p w14:paraId="6EEA7258" w14:textId="77777777" w:rsidR="0090771E" w:rsidRPr="0087486A" w:rsidRDefault="0090771E" w:rsidP="0090771E">
            <w:pPr>
              <w:pStyle w:val="NormalWeb"/>
              <w:shd w:val="clear" w:color="auto" w:fill="FFFFFF"/>
              <w:spacing w:before="0" w:beforeAutospacing="0" w:after="0" w:afterAutospacing="0"/>
              <w:rPr>
                <w:rFonts w:ascii="Calibri" w:hAnsi="Calibri"/>
                <w:color w:val="0070C0"/>
                <w:sz w:val="22"/>
                <w:szCs w:val="22"/>
              </w:rPr>
            </w:pPr>
          </w:p>
          <w:p w14:paraId="3331844B" w14:textId="77777777" w:rsidR="0090771E" w:rsidRPr="0087486A" w:rsidRDefault="0090771E" w:rsidP="00D216BB">
            <w:pPr>
              <w:pStyle w:val="NormalWeb"/>
              <w:shd w:val="clear" w:color="auto" w:fill="FFFFFF"/>
              <w:spacing w:before="0" w:beforeAutospacing="0" w:after="0" w:afterAutospacing="0"/>
              <w:ind w:left="720"/>
              <w:rPr>
                <w:rFonts w:ascii="Calibri" w:hAnsi="Calibri"/>
                <w:color w:val="0070C0"/>
                <w:sz w:val="22"/>
                <w:szCs w:val="22"/>
              </w:rPr>
            </w:pPr>
            <w:r w:rsidRPr="0087486A">
              <w:rPr>
                <w:rFonts w:ascii="Calibri" w:hAnsi="Calibri"/>
                <w:color w:val="0070C0"/>
                <w:sz w:val="22"/>
                <w:szCs w:val="22"/>
              </w:rPr>
              <w:t>Does the rehab require an Environmental Assessment Level of Review or a Categorically Excluded Level of Review? EAs are required for rehab that change unit density by more than 20% or where the estimated cost of rehab is more than 75% of the total estimated cost of replacement after rehab.  Projects that are at the CEST level of review will likely be approved to use the Expedited Track.  </w:t>
            </w:r>
          </w:p>
          <w:p w14:paraId="0DAD017F" w14:textId="77777777" w:rsidR="0090771E" w:rsidRPr="0087486A" w:rsidRDefault="0090771E" w:rsidP="0090771E">
            <w:pPr>
              <w:shd w:val="clear" w:color="auto" w:fill="FFFFFF"/>
              <w:rPr>
                <w:rFonts w:eastAsia="Times New Roman"/>
                <w:color w:val="0070C0"/>
              </w:rPr>
            </w:pPr>
            <w:r w:rsidRPr="0087486A">
              <w:rPr>
                <w:rFonts w:eastAsia="Times New Roman"/>
                <w:color w:val="0070C0"/>
              </w:rPr>
              <w:t> </w:t>
            </w:r>
          </w:p>
          <w:p w14:paraId="411F2D38" w14:textId="77777777" w:rsidR="0090771E" w:rsidRPr="0087486A" w:rsidRDefault="0090771E" w:rsidP="00D216BB">
            <w:pPr>
              <w:shd w:val="clear" w:color="auto" w:fill="FFFFFF"/>
              <w:ind w:left="720"/>
              <w:rPr>
                <w:rFonts w:eastAsia="Times New Roman" w:cs="Segoe UI"/>
                <w:color w:val="0070C0"/>
              </w:rPr>
            </w:pPr>
            <w:r w:rsidRPr="0087486A">
              <w:rPr>
                <w:rFonts w:eastAsia="Times New Roman" w:cs="Segoe UI"/>
                <w:iCs/>
                <w:color w:val="0070C0"/>
              </w:rPr>
              <w:t xml:space="preserve">For EA level rehabilitation projects, the lender must provide the noise measurements and the proposed noise mitigation at concept meeting.  The lender should also provide information about any outdoor noise sensitive uses at the site.  MF will determine whether the project will require additional technical evaluation and if the answer is yes, the project may not proceed under the Expedited Track. </w:t>
            </w:r>
          </w:p>
          <w:p w14:paraId="64168D24" w14:textId="77777777" w:rsidR="0090771E" w:rsidRPr="0087486A" w:rsidRDefault="0090771E" w:rsidP="0090771E">
            <w:pPr>
              <w:shd w:val="clear" w:color="auto" w:fill="FFFFFF"/>
              <w:rPr>
                <w:rFonts w:eastAsia="Times New Roman"/>
                <w:color w:val="0070C0"/>
              </w:rPr>
            </w:pPr>
            <w:r w:rsidRPr="0087486A">
              <w:rPr>
                <w:rFonts w:eastAsia="Times New Roman"/>
                <w:color w:val="0070C0"/>
              </w:rPr>
              <w:t> </w:t>
            </w:r>
          </w:p>
          <w:p w14:paraId="1764866E" w14:textId="77777777" w:rsidR="0090771E" w:rsidRPr="0087486A" w:rsidRDefault="0090771E" w:rsidP="0090771E">
            <w:pPr>
              <w:outlineLvl w:val="0"/>
              <w:rPr>
                <w:color w:val="0070C0"/>
              </w:rPr>
            </w:pPr>
            <w:r w:rsidRPr="0087486A">
              <w:rPr>
                <w:color w:val="0070C0"/>
              </w:rPr>
              <w:t>Multifamily will decide at concept if they will allow existing projects into the expedited track. </w:t>
            </w:r>
          </w:p>
          <w:p w14:paraId="350B3058" w14:textId="11429618" w:rsidR="0090771E" w:rsidRPr="005A78D2" w:rsidRDefault="0090771E" w:rsidP="0090771E">
            <w:pPr>
              <w:rPr>
                <w:rFonts w:ascii="Arial" w:hAnsi="Arial" w:cs="Arial"/>
              </w:rPr>
            </w:pPr>
          </w:p>
        </w:tc>
      </w:tr>
      <w:tr w:rsidR="0090771E" w:rsidRPr="0043666E" w14:paraId="250B7735" w14:textId="77777777" w:rsidTr="00C63991">
        <w:trPr>
          <w:gridAfter w:val="1"/>
          <w:wAfter w:w="14" w:type="dxa"/>
        </w:trPr>
        <w:tc>
          <w:tcPr>
            <w:tcW w:w="9351" w:type="dxa"/>
            <w:gridSpan w:val="3"/>
          </w:tcPr>
          <w:p w14:paraId="485A9AC6" w14:textId="2892E635" w:rsidR="0090771E" w:rsidRPr="005A78D2" w:rsidRDefault="0090771E" w:rsidP="0090771E">
            <w:pPr>
              <w:contextualSpacing/>
            </w:pPr>
            <w:r w:rsidRPr="005A78D2">
              <w:rPr>
                <w:rFonts w:asciiTheme="minorHAnsi" w:eastAsia="Times New Roman" w:hAnsiTheme="minorHAnsi" w:cs="Arial"/>
              </w:rPr>
              <w:lastRenderedPageBreak/>
              <w:t xml:space="preserve">Question 34: </w:t>
            </w:r>
            <w:r w:rsidRPr="005A78D2">
              <w:t>Change Order Approval – HUD does not approve, but the HUD inspector must make a preliminary determination of technical acceptability before the change is submitted to the lender.  HUD may reject changes w/in 5 business days of receipt of the change request.  If rejected, HUD will inform the HUD inspector of the disapproval and the HUD inspector will modify the amount of the Contractor’s Requisition to cover any noncompliance or construction removal.</w:t>
            </w:r>
          </w:p>
          <w:p w14:paraId="56F07692" w14:textId="77777777" w:rsidR="0090771E" w:rsidRPr="005A78D2" w:rsidRDefault="0090771E" w:rsidP="0090771E">
            <w:pPr>
              <w:rPr>
                <w:rFonts w:asciiTheme="minorHAnsi" w:eastAsia="Times New Roman" w:hAnsiTheme="minorHAnsi" w:cs="Arial"/>
              </w:rPr>
            </w:pPr>
          </w:p>
          <w:p w14:paraId="71A3694C" w14:textId="1CD326A2" w:rsidR="0090771E" w:rsidRPr="005A78D2" w:rsidRDefault="0090771E" w:rsidP="0090771E">
            <w:pPr>
              <w:contextualSpacing/>
              <w:rPr>
                <w:rFonts w:asciiTheme="minorHAnsi" w:eastAsia="Times New Roman" w:hAnsiTheme="minorHAnsi" w:cs="Arial"/>
              </w:rPr>
            </w:pPr>
            <w:r w:rsidRPr="005A78D2">
              <w:rPr>
                <w:rFonts w:asciiTheme="minorHAnsi" w:eastAsia="Times New Roman" w:hAnsiTheme="minorHAnsi" w:cs="Arial"/>
              </w:rPr>
              <w:t xml:space="preserve">(a) </w:t>
            </w:r>
            <w:r w:rsidRPr="005A78D2">
              <w:t>What form is the technical acceptability evidenced in?</w:t>
            </w:r>
          </w:p>
        </w:tc>
      </w:tr>
      <w:tr w:rsidR="0090771E" w:rsidRPr="0043666E" w14:paraId="0EABC804" w14:textId="77777777" w:rsidTr="00C63991">
        <w:trPr>
          <w:gridAfter w:val="1"/>
          <w:wAfter w:w="14" w:type="dxa"/>
        </w:trPr>
        <w:tc>
          <w:tcPr>
            <w:tcW w:w="9351" w:type="dxa"/>
            <w:gridSpan w:val="3"/>
          </w:tcPr>
          <w:p w14:paraId="23F5343E" w14:textId="77777777" w:rsidR="0090771E" w:rsidRPr="005A78D2" w:rsidRDefault="0090771E" w:rsidP="0090771E">
            <w:pPr>
              <w:rPr>
                <w:rFonts w:asciiTheme="minorHAnsi" w:eastAsia="Times New Roman" w:hAnsiTheme="minorHAnsi" w:cs="Arial"/>
                <w:i/>
              </w:rPr>
            </w:pPr>
          </w:p>
          <w:p w14:paraId="3D72621D" w14:textId="77777777" w:rsidR="0090771E" w:rsidRPr="005A78D2" w:rsidRDefault="0090771E" w:rsidP="0090771E">
            <w:pPr>
              <w:rPr>
                <w:rFonts w:asciiTheme="minorHAnsi" w:eastAsia="Times New Roman" w:hAnsiTheme="minorHAnsi" w:cstheme="minorHAnsi"/>
                <w:i/>
                <w:color w:val="0070C0"/>
              </w:rPr>
            </w:pPr>
            <w:r w:rsidRPr="005A78D2">
              <w:rPr>
                <w:rFonts w:asciiTheme="minorHAnsi" w:eastAsia="Times New Roman" w:hAnsiTheme="minorHAnsi" w:cstheme="minorHAnsi"/>
                <w:i/>
                <w:color w:val="0070C0"/>
              </w:rPr>
              <w:t xml:space="preserve">Reply:  The HUD inspector may not approve or disapprove change orders, but they are required to review contemplated changes with the architect, contractor and owner before the change is submitted for approval to the lender and the HUD office. </w:t>
            </w:r>
          </w:p>
          <w:p w14:paraId="587153E1" w14:textId="77777777" w:rsidR="0090771E" w:rsidRPr="005A78D2" w:rsidRDefault="0090771E" w:rsidP="0090771E">
            <w:pPr>
              <w:rPr>
                <w:rFonts w:asciiTheme="minorHAnsi" w:eastAsia="Times New Roman" w:hAnsiTheme="minorHAnsi" w:cs="Arial"/>
              </w:rPr>
            </w:pPr>
          </w:p>
        </w:tc>
      </w:tr>
      <w:tr w:rsidR="0090771E" w:rsidRPr="0043666E" w14:paraId="01200057" w14:textId="77777777" w:rsidTr="00C63991">
        <w:trPr>
          <w:gridAfter w:val="1"/>
          <w:wAfter w:w="14" w:type="dxa"/>
        </w:trPr>
        <w:tc>
          <w:tcPr>
            <w:tcW w:w="9351" w:type="dxa"/>
            <w:gridSpan w:val="3"/>
          </w:tcPr>
          <w:p w14:paraId="7902F28D" w14:textId="6B7DC328" w:rsidR="0090771E" w:rsidRPr="005A78D2" w:rsidRDefault="0090771E" w:rsidP="0090771E">
            <w:pPr>
              <w:contextualSpacing/>
              <w:rPr>
                <w:rFonts w:asciiTheme="minorHAnsi" w:eastAsia="Times New Roman" w:hAnsiTheme="minorHAnsi" w:cs="Arial"/>
              </w:rPr>
            </w:pPr>
            <w:r w:rsidRPr="005A78D2">
              <w:rPr>
                <w:rFonts w:asciiTheme="minorHAnsi" w:eastAsia="Times New Roman" w:hAnsiTheme="minorHAnsi" w:cs="Arial"/>
              </w:rPr>
              <w:t>(b) How d</w:t>
            </w:r>
            <w:r w:rsidRPr="005A78D2">
              <w:t xml:space="preserve">oes this rejection process work </w:t>
            </w:r>
            <w:proofErr w:type="gramStart"/>
            <w:r w:rsidRPr="005A78D2">
              <w:t>in reality given</w:t>
            </w:r>
            <w:proofErr w:type="gramEnd"/>
            <w:r w:rsidRPr="005A78D2">
              <w:t xml:space="preserve"> many change orders are requested after work is completed?</w:t>
            </w:r>
          </w:p>
        </w:tc>
      </w:tr>
      <w:tr w:rsidR="0090771E" w:rsidRPr="0043666E" w14:paraId="7C3E177D" w14:textId="77777777" w:rsidTr="00C63991">
        <w:trPr>
          <w:gridAfter w:val="1"/>
          <w:wAfter w:w="14" w:type="dxa"/>
        </w:trPr>
        <w:tc>
          <w:tcPr>
            <w:tcW w:w="9351" w:type="dxa"/>
            <w:gridSpan w:val="3"/>
          </w:tcPr>
          <w:p w14:paraId="7A2E5071" w14:textId="77777777" w:rsidR="0090771E" w:rsidRPr="005A78D2" w:rsidRDefault="0090771E" w:rsidP="0090771E">
            <w:pPr>
              <w:rPr>
                <w:rFonts w:asciiTheme="minorHAnsi" w:eastAsia="Times New Roman" w:hAnsiTheme="minorHAnsi" w:cs="Arial"/>
                <w:i/>
              </w:rPr>
            </w:pPr>
          </w:p>
          <w:p w14:paraId="5CC47C48" w14:textId="79771388" w:rsidR="0090771E" w:rsidRPr="005A78D2" w:rsidRDefault="0090771E" w:rsidP="0090771E">
            <w:pPr>
              <w:rPr>
                <w:rFonts w:asciiTheme="minorHAnsi" w:eastAsia="Times New Roman" w:hAnsiTheme="minorHAnsi" w:cs="Arial"/>
                <w:i/>
                <w:color w:val="0070C0"/>
              </w:rPr>
            </w:pPr>
            <w:r w:rsidRPr="005A78D2">
              <w:rPr>
                <w:rFonts w:asciiTheme="minorHAnsi" w:eastAsia="Times New Roman" w:hAnsiTheme="minorHAnsi" w:cs="Arial"/>
                <w:i/>
                <w:color w:val="0070C0"/>
              </w:rPr>
              <w:t>Reply:  Work contemplated by a change order should not be initiated until after the Change Order has been submitted and approved by all required approving parties.</w:t>
            </w:r>
          </w:p>
          <w:p w14:paraId="71B9B412" w14:textId="2F39F04D" w:rsidR="0090771E" w:rsidRPr="005A78D2" w:rsidRDefault="0090771E" w:rsidP="0090771E">
            <w:pPr>
              <w:rPr>
                <w:rFonts w:asciiTheme="minorHAnsi" w:eastAsia="Times New Roman" w:hAnsiTheme="minorHAnsi" w:cs="Arial"/>
                <w:i/>
              </w:rPr>
            </w:pPr>
          </w:p>
        </w:tc>
      </w:tr>
      <w:tr w:rsidR="0090771E" w:rsidRPr="0043666E" w14:paraId="7B06892C" w14:textId="77777777" w:rsidTr="00C63991">
        <w:trPr>
          <w:gridAfter w:val="1"/>
          <w:wAfter w:w="14" w:type="dxa"/>
        </w:trPr>
        <w:tc>
          <w:tcPr>
            <w:tcW w:w="9351" w:type="dxa"/>
            <w:gridSpan w:val="3"/>
          </w:tcPr>
          <w:p w14:paraId="35E3B0E8" w14:textId="5DD1071E" w:rsidR="0090771E" w:rsidRPr="005A78D2" w:rsidRDefault="0090771E" w:rsidP="0090771E">
            <w:pPr>
              <w:rPr>
                <w:rFonts w:asciiTheme="minorHAnsi" w:eastAsia="Times New Roman" w:hAnsiTheme="minorHAnsi" w:cs="Arial"/>
              </w:rPr>
            </w:pPr>
            <w:r w:rsidRPr="005A78D2">
              <w:rPr>
                <w:rFonts w:asciiTheme="minorHAnsi" w:eastAsia="Times New Roman" w:hAnsiTheme="minorHAnsi" w:cs="Arial"/>
              </w:rPr>
              <w:t xml:space="preserve">(c) </w:t>
            </w:r>
            <w:r w:rsidRPr="005A78D2">
              <w:t>Change orders, how is the lender going to be notified of the CA or contract inspector has made a preliminary determination of technical acceptability.  With this be provided through the trip report or sign-off of the change order?</w:t>
            </w:r>
          </w:p>
        </w:tc>
      </w:tr>
      <w:tr w:rsidR="0090771E" w:rsidRPr="0043666E" w14:paraId="7AE0B96D" w14:textId="77777777" w:rsidTr="00C63991">
        <w:trPr>
          <w:gridAfter w:val="1"/>
          <w:wAfter w:w="14" w:type="dxa"/>
        </w:trPr>
        <w:tc>
          <w:tcPr>
            <w:tcW w:w="9351" w:type="dxa"/>
            <w:gridSpan w:val="3"/>
          </w:tcPr>
          <w:p w14:paraId="3CC0626E" w14:textId="77777777" w:rsidR="0090771E" w:rsidRPr="005A78D2" w:rsidRDefault="0090771E" w:rsidP="0090771E">
            <w:pPr>
              <w:rPr>
                <w:rFonts w:asciiTheme="minorHAnsi" w:eastAsia="Times New Roman" w:hAnsiTheme="minorHAnsi" w:cs="Arial"/>
                <w:i/>
              </w:rPr>
            </w:pPr>
          </w:p>
          <w:p w14:paraId="27402F83" w14:textId="2E17F5C5" w:rsidR="0090771E" w:rsidRPr="005A78D2" w:rsidRDefault="0090771E" w:rsidP="0090771E">
            <w:pPr>
              <w:rPr>
                <w:rFonts w:asciiTheme="minorHAnsi" w:eastAsia="Times New Roman" w:hAnsiTheme="minorHAnsi" w:cs="Arial"/>
                <w:i/>
                <w:color w:val="0070C0"/>
              </w:rPr>
            </w:pPr>
            <w:r w:rsidRPr="005A78D2">
              <w:rPr>
                <w:rFonts w:asciiTheme="minorHAnsi" w:eastAsia="Times New Roman" w:hAnsiTheme="minorHAnsi" w:cs="Arial"/>
                <w:i/>
                <w:color w:val="0070C0"/>
              </w:rPr>
              <w:t xml:space="preserve">Reply:  The lender maintains primary responsibility for reviewing and determining if a change order is acceptable. The lender should initiate discussions with the HUD Contract Inspector to determine if the change order is technically acceptable.    </w:t>
            </w:r>
          </w:p>
          <w:p w14:paraId="44C95578" w14:textId="3B8CE529" w:rsidR="0090771E" w:rsidRPr="005A78D2" w:rsidRDefault="0090771E" w:rsidP="0090771E">
            <w:pPr>
              <w:rPr>
                <w:rFonts w:asciiTheme="minorHAnsi" w:eastAsia="Times New Roman" w:hAnsiTheme="minorHAnsi" w:cs="Arial"/>
                <w:i/>
              </w:rPr>
            </w:pPr>
          </w:p>
        </w:tc>
      </w:tr>
      <w:tr w:rsidR="0090771E" w:rsidRPr="0043666E" w14:paraId="2A63726E" w14:textId="77777777" w:rsidTr="00C63991">
        <w:trPr>
          <w:gridAfter w:val="1"/>
          <w:wAfter w:w="14" w:type="dxa"/>
        </w:trPr>
        <w:tc>
          <w:tcPr>
            <w:tcW w:w="9351" w:type="dxa"/>
            <w:gridSpan w:val="3"/>
          </w:tcPr>
          <w:p w14:paraId="2E3E62DD" w14:textId="646B715B" w:rsidR="0090771E" w:rsidRPr="005A78D2" w:rsidRDefault="0090771E" w:rsidP="0090771E">
            <w:pPr>
              <w:rPr>
                <w:rFonts w:asciiTheme="minorHAnsi" w:eastAsia="Times New Roman" w:hAnsiTheme="minorHAnsi" w:cs="Arial"/>
              </w:rPr>
            </w:pPr>
            <w:r w:rsidRPr="005A78D2">
              <w:rPr>
                <w:rFonts w:asciiTheme="minorHAnsi" w:eastAsia="Times New Roman" w:hAnsiTheme="minorHAnsi" w:cs="Arial"/>
              </w:rPr>
              <w:t xml:space="preserve">(d)  </w:t>
            </w:r>
            <w:r w:rsidRPr="005A78D2">
              <w:t>Last paragraph, the lender shall be copied on the rejection email to the CA or contract inspector, along with the reason for rejection.  This will improve the overall process.  What will the appeal process involve?</w:t>
            </w:r>
          </w:p>
        </w:tc>
      </w:tr>
      <w:tr w:rsidR="0090771E" w:rsidRPr="0043666E" w14:paraId="106AF040" w14:textId="77777777" w:rsidTr="00C63991">
        <w:trPr>
          <w:gridAfter w:val="1"/>
          <w:wAfter w:w="14" w:type="dxa"/>
        </w:trPr>
        <w:tc>
          <w:tcPr>
            <w:tcW w:w="9351" w:type="dxa"/>
            <w:gridSpan w:val="3"/>
          </w:tcPr>
          <w:p w14:paraId="5DC819AA" w14:textId="77777777" w:rsidR="0090771E" w:rsidRPr="005A78D2" w:rsidRDefault="0090771E" w:rsidP="0090771E">
            <w:pPr>
              <w:rPr>
                <w:rFonts w:asciiTheme="minorHAnsi" w:eastAsia="Times New Roman" w:hAnsiTheme="minorHAnsi" w:cs="Arial"/>
                <w:i/>
              </w:rPr>
            </w:pPr>
          </w:p>
          <w:p w14:paraId="2B6B6D55" w14:textId="00AB35DF" w:rsidR="0090771E" w:rsidRPr="005A78D2" w:rsidRDefault="0090771E" w:rsidP="0090771E">
            <w:pPr>
              <w:rPr>
                <w:rFonts w:asciiTheme="minorHAnsi" w:eastAsia="Times New Roman" w:hAnsiTheme="minorHAnsi" w:cs="Arial"/>
                <w:i/>
              </w:rPr>
            </w:pPr>
            <w:r w:rsidRPr="005A78D2">
              <w:rPr>
                <w:rFonts w:asciiTheme="minorHAnsi" w:eastAsia="Times New Roman" w:hAnsiTheme="minorHAnsi" w:cs="Arial"/>
                <w:i/>
                <w:color w:val="0070C0"/>
              </w:rPr>
              <w:t>Reply:  Any appeal of a Change Order disapproved by HUD must follow MAP Guide requirements.</w:t>
            </w:r>
          </w:p>
          <w:p w14:paraId="4429BE00" w14:textId="608D6513" w:rsidR="0090771E" w:rsidRPr="005A78D2" w:rsidRDefault="0090771E" w:rsidP="0090771E">
            <w:pPr>
              <w:rPr>
                <w:rFonts w:asciiTheme="minorHAnsi" w:eastAsia="Times New Roman" w:hAnsiTheme="minorHAnsi" w:cs="Arial"/>
                <w:i/>
              </w:rPr>
            </w:pPr>
          </w:p>
        </w:tc>
      </w:tr>
      <w:tr w:rsidR="0090771E" w:rsidRPr="0043666E" w14:paraId="4BB46033" w14:textId="77777777" w:rsidTr="00C63991">
        <w:trPr>
          <w:gridAfter w:val="1"/>
          <w:wAfter w:w="14" w:type="dxa"/>
        </w:trPr>
        <w:tc>
          <w:tcPr>
            <w:tcW w:w="9351" w:type="dxa"/>
            <w:gridSpan w:val="3"/>
          </w:tcPr>
          <w:p w14:paraId="2C87535E" w14:textId="6BB90AF1" w:rsidR="0090771E" w:rsidRPr="005A78D2" w:rsidRDefault="0090771E" w:rsidP="0090771E">
            <w:r w:rsidRPr="005A78D2">
              <w:rPr>
                <w:rFonts w:asciiTheme="minorHAnsi" w:eastAsia="Times New Roman" w:hAnsiTheme="minorHAnsi" w:cs="Arial"/>
              </w:rPr>
              <w:lastRenderedPageBreak/>
              <w:t>Question 35: Time Extensions - L</w:t>
            </w:r>
            <w:r w:rsidRPr="005A78D2">
              <w:t xml:space="preserve">enders can approve up to 30 days. </w:t>
            </w:r>
          </w:p>
          <w:p w14:paraId="5E9602E8" w14:textId="77777777" w:rsidR="0090771E" w:rsidRPr="005A78D2" w:rsidRDefault="0090771E" w:rsidP="0090771E"/>
          <w:p w14:paraId="0EB187D3" w14:textId="4798BA69" w:rsidR="0090771E" w:rsidRPr="005A78D2" w:rsidRDefault="0090771E" w:rsidP="0090771E">
            <w:pPr>
              <w:contextualSpacing/>
              <w:rPr>
                <w:rFonts w:asciiTheme="minorHAnsi" w:eastAsia="Times New Roman" w:hAnsiTheme="minorHAnsi" w:cs="Arial"/>
              </w:rPr>
            </w:pPr>
            <w:r w:rsidRPr="005A78D2">
              <w:t>(a) What documentation should the lender retain?</w:t>
            </w:r>
          </w:p>
        </w:tc>
      </w:tr>
      <w:tr w:rsidR="0090771E" w:rsidRPr="0043666E" w14:paraId="3918FE4D" w14:textId="77777777" w:rsidTr="00C63991">
        <w:trPr>
          <w:gridAfter w:val="1"/>
          <w:wAfter w:w="14" w:type="dxa"/>
        </w:trPr>
        <w:tc>
          <w:tcPr>
            <w:tcW w:w="9351" w:type="dxa"/>
            <w:gridSpan w:val="3"/>
          </w:tcPr>
          <w:p w14:paraId="6FD7ECC3" w14:textId="77777777" w:rsidR="0090771E" w:rsidRPr="00862A67" w:rsidRDefault="0090771E" w:rsidP="0090771E">
            <w:pPr>
              <w:rPr>
                <w:rFonts w:asciiTheme="minorHAnsi" w:eastAsia="Times New Roman" w:hAnsiTheme="minorHAnsi" w:cs="Arial"/>
                <w:i/>
                <w:color w:val="0070C0"/>
              </w:rPr>
            </w:pPr>
          </w:p>
          <w:p w14:paraId="08387FDB" w14:textId="34B9B7E9" w:rsidR="0090771E" w:rsidRPr="00862A67" w:rsidRDefault="0090771E" w:rsidP="0090771E">
            <w:pPr>
              <w:rPr>
                <w:rFonts w:asciiTheme="minorHAnsi" w:eastAsia="Times New Roman" w:hAnsiTheme="minorHAnsi" w:cs="Arial"/>
                <w:i/>
                <w:color w:val="0070C0"/>
              </w:rPr>
            </w:pPr>
            <w:r w:rsidRPr="00862A67">
              <w:rPr>
                <w:rFonts w:asciiTheme="minorHAnsi" w:eastAsia="Times New Roman" w:hAnsiTheme="minorHAnsi" w:cs="Arial"/>
                <w:i/>
                <w:color w:val="0070C0"/>
              </w:rPr>
              <w:t xml:space="preserve">Reply: Refer to </w:t>
            </w:r>
            <w:r w:rsidR="00EF0B87" w:rsidRPr="00862A67">
              <w:rPr>
                <w:rFonts w:asciiTheme="minorHAnsi" w:eastAsia="Times New Roman" w:hAnsiTheme="minorHAnsi" w:cs="Arial"/>
                <w:i/>
                <w:color w:val="0070C0"/>
              </w:rPr>
              <w:t>Chapter</w:t>
            </w:r>
            <w:r w:rsidRPr="00862A67">
              <w:rPr>
                <w:rFonts w:asciiTheme="minorHAnsi" w:eastAsia="Times New Roman" w:hAnsiTheme="minorHAnsi" w:cs="Arial"/>
                <w:i/>
                <w:color w:val="0070C0"/>
              </w:rPr>
              <w:t xml:space="preserve"> 12</w:t>
            </w:r>
            <w:r w:rsidR="00EF0B87" w:rsidRPr="00862A67">
              <w:rPr>
                <w:rFonts w:asciiTheme="minorHAnsi" w:eastAsia="Times New Roman" w:hAnsiTheme="minorHAnsi" w:cs="Arial"/>
                <w:i/>
                <w:color w:val="0070C0"/>
              </w:rPr>
              <w:t xml:space="preserve"> of</w:t>
            </w:r>
            <w:r w:rsidRPr="00862A67">
              <w:rPr>
                <w:rFonts w:asciiTheme="minorHAnsi" w:eastAsia="Times New Roman" w:hAnsiTheme="minorHAnsi" w:cs="Arial"/>
                <w:i/>
                <w:color w:val="0070C0"/>
              </w:rPr>
              <w:t xml:space="preserve"> the MAP Guide.</w:t>
            </w:r>
          </w:p>
          <w:p w14:paraId="61DB675B" w14:textId="49A2DE57" w:rsidR="0090771E" w:rsidRPr="00862A67" w:rsidRDefault="0090771E" w:rsidP="0090771E">
            <w:pPr>
              <w:rPr>
                <w:rFonts w:asciiTheme="minorHAnsi" w:eastAsia="Times New Roman" w:hAnsiTheme="minorHAnsi" w:cs="Arial"/>
                <w:i/>
                <w:color w:val="0070C0"/>
              </w:rPr>
            </w:pPr>
          </w:p>
        </w:tc>
      </w:tr>
      <w:tr w:rsidR="0090771E" w:rsidRPr="0043666E" w14:paraId="177BB1F7" w14:textId="77777777" w:rsidTr="00C63991">
        <w:trPr>
          <w:gridAfter w:val="1"/>
          <w:wAfter w:w="14" w:type="dxa"/>
        </w:trPr>
        <w:tc>
          <w:tcPr>
            <w:tcW w:w="9351" w:type="dxa"/>
            <w:gridSpan w:val="3"/>
          </w:tcPr>
          <w:p w14:paraId="0092B6CE" w14:textId="7A8DBCA3" w:rsidR="0090771E" w:rsidRPr="005A78D2" w:rsidRDefault="0090771E" w:rsidP="0090771E">
            <w:pPr>
              <w:contextualSpacing/>
              <w:rPr>
                <w:rFonts w:asciiTheme="minorHAnsi" w:eastAsia="Times New Roman" w:hAnsiTheme="minorHAnsi" w:cs="Arial"/>
              </w:rPr>
            </w:pPr>
            <w:r w:rsidRPr="005A78D2">
              <w:rPr>
                <w:rFonts w:asciiTheme="minorHAnsi" w:eastAsia="Times New Roman" w:hAnsiTheme="minorHAnsi" w:cs="Arial"/>
              </w:rPr>
              <w:t xml:space="preserve">(b)  </w:t>
            </w:r>
            <w:r w:rsidRPr="005A78D2">
              <w:t>What if the time extension exceeds 30 days?  Can lender approve the first 30 days and then request HUD to approve the remaining time?</w:t>
            </w:r>
          </w:p>
        </w:tc>
      </w:tr>
      <w:tr w:rsidR="0090771E" w:rsidRPr="0043666E" w14:paraId="2CDA30C9" w14:textId="77777777" w:rsidTr="00C63991">
        <w:trPr>
          <w:gridAfter w:val="1"/>
          <w:wAfter w:w="14" w:type="dxa"/>
        </w:trPr>
        <w:tc>
          <w:tcPr>
            <w:tcW w:w="9351" w:type="dxa"/>
            <w:gridSpan w:val="3"/>
          </w:tcPr>
          <w:p w14:paraId="2576E0F3" w14:textId="77777777" w:rsidR="0090771E" w:rsidRPr="005A78D2" w:rsidRDefault="0090771E" w:rsidP="0090771E">
            <w:pPr>
              <w:rPr>
                <w:rFonts w:asciiTheme="minorHAnsi" w:eastAsia="Times New Roman" w:hAnsiTheme="minorHAnsi" w:cs="Arial"/>
                <w:i/>
                <w:color w:val="0070C0"/>
              </w:rPr>
            </w:pPr>
          </w:p>
          <w:p w14:paraId="1743E16A" w14:textId="144AF356" w:rsidR="0090771E" w:rsidRPr="005A78D2" w:rsidRDefault="0090771E" w:rsidP="0090771E">
            <w:pPr>
              <w:rPr>
                <w:rFonts w:asciiTheme="minorHAnsi" w:eastAsia="Times New Roman" w:hAnsiTheme="minorHAnsi" w:cs="Arial"/>
                <w:i/>
                <w:color w:val="0070C0"/>
              </w:rPr>
            </w:pPr>
            <w:r w:rsidRPr="005A78D2">
              <w:rPr>
                <w:rFonts w:asciiTheme="minorHAnsi" w:eastAsia="Times New Roman" w:hAnsiTheme="minorHAnsi" w:cs="Arial"/>
                <w:i/>
                <w:color w:val="0070C0"/>
              </w:rPr>
              <w:t>Reply: If the extension request exceeds 30 days, HUD must approve the request.</w:t>
            </w:r>
          </w:p>
          <w:p w14:paraId="7F66FBE3" w14:textId="5CA09368" w:rsidR="0090771E" w:rsidRPr="005A78D2" w:rsidRDefault="0090771E" w:rsidP="0090771E">
            <w:pPr>
              <w:rPr>
                <w:rFonts w:asciiTheme="minorHAnsi" w:eastAsia="Times New Roman" w:hAnsiTheme="minorHAnsi" w:cs="Arial"/>
                <w:i/>
              </w:rPr>
            </w:pPr>
          </w:p>
        </w:tc>
      </w:tr>
      <w:tr w:rsidR="0090771E" w:rsidRPr="0043666E" w14:paraId="511C7157" w14:textId="77777777" w:rsidTr="00C63991">
        <w:trPr>
          <w:gridAfter w:val="1"/>
          <w:wAfter w:w="14" w:type="dxa"/>
        </w:trPr>
        <w:tc>
          <w:tcPr>
            <w:tcW w:w="9351" w:type="dxa"/>
            <w:gridSpan w:val="3"/>
          </w:tcPr>
          <w:p w14:paraId="21E45EFA" w14:textId="222B50D0" w:rsidR="0090771E" w:rsidRPr="005A78D2" w:rsidRDefault="0090771E" w:rsidP="0090771E">
            <w:pPr>
              <w:contextualSpacing/>
              <w:rPr>
                <w:rFonts w:asciiTheme="minorHAnsi" w:eastAsia="Times New Roman" w:hAnsiTheme="minorHAnsi" w:cs="Arial"/>
              </w:rPr>
            </w:pPr>
            <w:r w:rsidRPr="005A78D2">
              <w:rPr>
                <w:rFonts w:asciiTheme="minorHAnsi" w:eastAsia="Times New Roman" w:hAnsiTheme="minorHAnsi" w:cs="Arial"/>
              </w:rPr>
              <w:t xml:space="preserve">(c) </w:t>
            </w:r>
            <w:r w:rsidRPr="005A78D2">
              <w:t xml:space="preserve">Is </w:t>
            </w:r>
            <w:proofErr w:type="gramStart"/>
            <w:r w:rsidRPr="005A78D2">
              <w:t>this a cumulative 30 days</w:t>
            </w:r>
            <w:proofErr w:type="gramEnd"/>
            <w:r w:rsidRPr="005A78D2">
              <w:t xml:space="preserve"> or only 30 days at a time?</w:t>
            </w:r>
          </w:p>
        </w:tc>
      </w:tr>
      <w:tr w:rsidR="0090771E" w:rsidRPr="0043666E" w14:paraId="48581E54" w14:textId="77777777" w:rsidTr="00C63991">
        <w:trPr>
          <w:gridAfter w:val="1"/>
          <w:wAfter w:w="14" w:type="dxa"/>
        </w:trPr>
        <w:tc>
          <w:tcPr>
            <w:tcW w:w="9351" w:type="dxa"/>
            <w:gridSpan w:val="3"/>
          </w:tcPr>
          <w:p w14:paraId="7E26C1E7" w14:textId="77777777" w:rsidR="0090771E" w:rsidRPr="005A78D2" w:rsidRDefault="0090771E" w:rsidP="0090771E">
            <w:pPr>
              <w:rPr>
                <w:rFonts w:asciiTheme="minorHAnsi" w:eastAsia="Times New Roman" w:hAnsiTheme="minorHAnsi" w:cs="Arial"/>
                <w:i/>
              </w:rPr>
            </w:pPr>
          </w:p>
          <w:p w14:paraId="315E0CCF" w14:textId="407258DF" w:rsidR="0090771E" w:rsidRPr="005A78D2" w:rsidRDefault="0090771E" w:rsidP="0090771E">
            <w:pPr>
              <w:rPr>
                <w:rFonts w:asciiTheme="minorHAnsi" w:eastAsia="Times New Roman" w:hAnsiTheme="minorHAnsi" w:cs="Arial"/>
                <w:i/>
                <w:color w:val="0070C0"/>
              </w:rPr>
            </w:pPr>
            <w:r w:rsidRPr="005A78D2">
              <w:rPr>
                <w:rFonts w:asciiTheme="minorHAnsi" w:eastAsia="Times New Roman" w:hAnsiTheme="minorHAnsi" w:cs="Arial"/>
                <w:i/>
                <w:color w:val="0070C0"/>
              </w:rPr>
              <w:t>Reply:  The lender is limited to an extension of up to 30 days per any one request.  However, continued extension requests of 30 days or more will require oversight by HUD staff.</w:t>
            </w:r>
          </w:p>
          <w:p w14:paraId="4B34EC40" w14:textId="2FE9A4A5" w:rsidR="0090771E" w:rsidRPr="005A78D2" w:rsidRDefault="0090771E" w:rsidP="0090771E">
            <w:pPr>
              <w:rPr>
                <w:rFonts w:asciiTheme="minorHAnsi" w:eastAsia="Times New Roman" w:hAnsiTheme="minorHAnsi" w:cs="Arial"/>
                <w:i/>
              </w:rPr>
            </w:pPr>
          </w:p>
        </w:tc>
      </w:tr>
      <w:tr w:rsidR="0090771E" w:rsidRPr="0043666E" w14:paraId="1E8A8E27" w14:textId="77777777" w:rsidTr="00C63991">
        <w:trPr>
          <w:gridAfter w:val="1"/>
          <w:wAfter w:w="14" w:type="dxa"/>
        </w:trPr>
        <w:tc>
          <w:tcPr>
            <w:tcW w:w="9351" w:type="dxa"/>
            <w:gridSpan w:val="3"/>
          </w:tcPr>
          <w:p w14:paraId="21AA54F9" w14:textId="6CB973CE" w:rsidR="0090771E" w:rsidRPr="005A78D2" w:rsidRDefault="0090771E" w:rsidP="0090771E">
            <w:pPr>
              <w:rPr>
                <w:rFonts w:asciiTheme="minorHAnsi" w:eastAsia="Times New Roman" w:hAnsiTheme="minorHAnsi" w:cs="Arial"/>
                <w:i/>
                <w:color w:val="FF0000"/>
              </w:rPr>
            </w:pPr>
            <w:r w:rsidRPr="005A78D2">
              <w:rPr>
                <w:rFonts w:asciiTheme="minorHAnsi" w:eastAsia="Times New Roman" w:hAnsiTheme="minorHAnsi" w:cs="Arial"/>
              </w:rPr>
              <w:t>Question 36:</w:t>
            </w:r>
            <w:r w:rsidRPr="005A78D2">
              <w:rPr>
                <w:rFonts w:asciiTheme="minorHAnsi" w:eastAsia="Times New Roman" w:hAnsiTheme="minorHAnsi" w:cs="Arial"/>
                <w:i/>
              </w:rPr>
              <w:t xml:space="preserve"> </w:t>
            </w:r>
            <w:r w:rsidRPr="005A78D2">
              <w:t xml:space="preserve">The eligibility requirements for “expedited processing” create a </w:t>
            </w:r>
            <w:proofErr w:type="gramStart"/>
            <w:r w:rsidRPr="005A78D2">
              <w:t>fairly small</w:t>
            </w:r>
            <w:proofErr w:type="gramEnd"/>
            <w:r w:rsidRPr="005A78D2">
              <w:t xml:space="preserve"> box.   The stated processing goal for “standard processing” is 60 days.  So, I’m not clear how standard processing via the Pilot provides any timing advantages over standard MAP processing, other than allowing the lender greater flexibility with construction servicing and Escrow administration.  It also takes away the advantage of a lower deferred developer fee and mortgage increases with cost increases, at least on the face.  </w:t>
            </w:r>
          </w:p>
        </w:tc>
      </w:tr>
      <w:tr w:rsidR="0090771E" w:rsidRPr="0043666E" w14:paraId="4FA44585" w14:textId="77777777" w:rsidTr="00C63991">
        <w:trPr>
          <w:gridAfter w:val="1"/>
          <w:wAfter w:w="14" w:type="dxa"/>
        </w:trPr>
        <w:tc>
          <w:tcPr>
            <w:tcW w:w="9351" w:type="dxa"/>
            <w:gridSpan w:val="3"/>
          </w:tcPr>
          <w:p w14:paraId="1E1F35BC" w14:textId="77777777" w:rsidR="0090771E" w:rsidRPr="005A78D2" w:rsidRDefault="0090771E" w:rsidP="0090771E">
            <w:pPr>
              <w:rPr>
                <w:rFonts w:asciiTheme="minorHAnsi" w:eastAsia="Times New Roman" w:hAnsiTheme="minorHAnsi" w:cs="Arial"/>
                <w:i/>
                <w:color w:val="FF0000"/>
                <w:highlight w:val="yellow"/>
              </w:rPr>
            </w:pPr>
          </w:p>
          <w:p w14:paraId="447C42C3" w14:textId="331350F5" w:rsidR="0090771E" w:rsidRPr="005A78D2" w:rsidRDefault="0090771E" w:rsidP="0090771E">
            <w:pPr>
              <w:rPr>
                <w:rFonts w:asciiTheme="minorHAnsi" w:eastAsia="Times New Roman" w:hAnsiTheme="minorHAnsi" w:cs="Arial"/>
                <w:i/>
                <w:color w:val="0070C0"/>
              </w:rPr>
            </w:pPr>
            <w:r w:rsidRPr="005A78D2">
              <w:rPr>
                <w:rFonts w:asciiTheme="minorHAnsi" w:eastAsia="Times New Roman" w:hAnsiTheme="minorHAnsi" w:cs="Arial"/>
                <w:i/>
                <w:color w:val="0070C0"/>
              </w:rPr>
              <w:t xml:space="preserve">Reply:  The Standard Approval Process is designed to serve as a learning opportunity for HUD to determine where it can or should allow additional flexibility within HUD’s programs.   </w:t>
            </w:r>
          </w:p>
          <w:p w14:paraId="0715A32B" w14:textId="64216C21" w:rsidR="0090771E" w:rsidRPr="005A78D2" w:rsidRDefault="0090771E" w:rsidP="0090771E">
            <w:pPr>
              <w:rPr>
                <w:rFonts w:asciiTheme="minorHAnsi" w:eastAsia="Times New Roman" w:hAnsiTheme="minorHAnsi" w:cs="Arial"/>
                <w:i/>
                <w:color w:val="0070C0"/>
              </w:rPr>
            </w:pPr>
          </w:p>
          <w:p w14:paraId="6E1A0F73" w14:textId="348B870C" w:rsidR="0090771E" w:rsidRPr="005A78D2" w:rsidRDefault="0090771E" w:rsidP="0090771E">
            <w:pPr>
              <w:rPr>
                <w:rFonts w:asciiTheme="minorHAnsi" w:eastAsia="Times New Roman" w:hAnsiTheme="minorHAnsi" w:cs="Arial"/>
                <w:i/>
                <w:color w:val="0070C0"/>
              </w:rPr>
            </w:pPr>
            <w:r w:rsidRPr="005A78D2">
              <w:rPr>
                <w:rFonts w:asciiTheme="minorHAnsi" w:eastAsia="Times New Roman" w:hAnsiTheme="minorHAnsi" w:cs="Arial"/>
                <w:i/>
                <w:color w:val="0070C0"/>
              </w:rPr>
              <w:t xml:space="preserve">The deferred developer fee requirement found in the Notice has been rescinded.  Please see responses provided to questions within this Q&amp;A related to mortgage increases and cost increases.  </w:t>
            </w:r>
          </w:p>
          <w:p w14:paraId="78CF9C18" w14:textId="2E5D33A8" w:rsidR="0090771E" w:rsidRPr="005A78D2" w:rsidRDefault="0090771E" w:rsidP="0090771E">
            <w:pPr>
              <w:rPr>
                <w:rFonts w:asciiTheme="minorHAnsi" w:eastAsia="Times New Roman" w:hAnsiTheme="minorHAnsi" w:cs="Arial"/>
                <w:i/>
                <w:color w:val="FF0000"/>
                <w:highlight w:val="yellow"/>
              </w:rPr>
            </w:pPr>
          </w:p>
        </w:tc>
      </w:tr>
      <w:tr w:rsidR="0090771E" w:rsidRPr="0043666E" w14:paraId="36827F0B" w14:textId="77777777" w:rsidTr="00C63991">
        <w:trPr>
          <w:gridAfter w:val="1"/>
          <w:wAfter w:w="14" w:type="dxa"/>
        </w:trPr>
        <w:tc>
          <w:tcPr>
            <w:tcW w:w="9351" w:type="dxa"/>
            <w:gridSpan w:val="3"/>
          </w:tcPr>
          <w:p w14:paraId="711E67D6" w14:textId="6081CC81" w:rsidR="0090771E" w:rsidRPr="005A78D2" w:rsidRDefault="0090771E" w:rsidP="0090771E">
            <w:pPr>
              <w:rPr>
                <w:rFonts w:asciiTheme="minorHAnsi" w:eastAsia="Times New Roman" w:hAnsiTheme="minorHAnsi" w:cs="Arial"/>
              </w:rPr>
            </w:pPr>
            <w:r w:rsidRPr="005A78D2">
              <w:rPr>
                <w:rFonts w:asciiTheme="minorHAnsi" w:eastAsia="Times New Roman" w:hAnsiTheme="minorHAnsi" w:cs="Arial"/>
              </w:rPr>
              <w:t xml:space="preserve">Question 37: For projects that have 10% market rate units, is a blended vacancy acceptable for underwriting – e.g., 3% for HAP units and 7% for the market rate units or 5% for the LIHTC units and 7% for the market rate units? </w:t>
            </w:r>
          </w:p>
        </w:tc>
      </w:tr>
      <w:tr w:rsidR="0090771E" w:rsidRPr="0043666E" w14:paraId="7ACBC5B0" w14:textId="77777777" w:rsidTr="00C63991">
        <w:trPr>
          <w:gridAfter w:val="1"/>
          <w:wAfter w:w="14" w:type="dxa"/>
        </w:trPr>
        <w:tc>
          <w:tcPr>
            <w:tcW w:w="9351" w:type="dxa"/>
            <w:gridSpan w:val="3"/>
          </w:tcPr>
          <w:p w14:paraId="611F3058" w14:textId="77777777" w:rsidR="0090771E" w:rsidRPr="005A78D2" w:rsidRDefault="0090771E" w:rsidP="0090771E">
            <w:pPr>
              <w:rPr>
                <w:rFonts w:asciiTheme="minorHAnsi" w:eastAsia="Times New Roman" w:hAnsiTheme="minorHAnsi" w:cs="Arial"/>
                <w:i/>
              </w:rPr>
            </w:pPr>
          </w:p>
          <w:p w14:paraId="6AB2970C" w14:textId="660EAB98" w:rsidR="0090771E" w:rsidRPr="005A78D2" w:rsidRDefault="0090771E" w:rsidP="0090771E">
            <w:pPr>
              <w:rPr>
                <w:rFonts w:asciiTheme="minorHAnsi" w:eastAsia="Times New Roman" w:hAnsiTheme="minorHAnsi" w:cs="Arial"/>
                <w:i/>
                <w:color w:val="0070C0"/>
              </w:rPr>
            </w:pPr>
            <w:r w:rsidRPr="005A78D2">
              <w:rPr>
                <w:rFonts w:asciiTheme="minorHAnsi" w:eastAsia="Times New Roman" w:hAnsiTheme="minorHAnsi" w:cs="Arial"/>
                <w:i/>
                <w:color w:val="0070C0"/>
              </w:rPr>
              <w:t xml:space="preserve">Reply:  This example exceeds the underwriting requirements of the MAP Guide.  However, as this is a more conservative approve, it will be accepted by HUD.  </w:t>
            </w:r>
          </w:p>
          <w:p w14:paraId="47509E0A" w14:textId="048E85E0" w:rsidR="0090771E" w:rsidRPr="005A78D2" w:rsidRDefault="0090771E" w:rsidP="0090771E">
            <w:pPr>
              <w:rPr>
                <w:rFonts w:asciiTheme="minorHAnsi" w:eastAsia="Times New Roman" w:hAnsiTheme="minorHAnsi" w:cs="Arial"/>
                <w:i/>
              </w:rPr>
            </w:pPr>
          </w:p>
        </w:tc>
      </w:tr>
    </w:tbl>
    <w:p w14:paraId="766BEBE4" w14:textId="77777777" w:rsidR="005050CF" w:rsidRPr="0043666E" w:rsidRDefault="005050CF" w:rsidP="005050CF">
      <w:pPr>
        <w:rPr>
          <w:rFonts w:asciiTheme="minorHAnsi" w:hAnsiTheme="minorHAnsi"/>
          <w:u w:val="single"/>
        </w:rPr>
      </w:pPr>
    </w:p>
    <w:p w14:paraId="18F964C5" w14:textId="77777777" w:rsidR="00114CC9" w:rsidRPr="0043666E" w:rsidRDefault="00114CC9">
      <w:pPr>
        <w:rPr>
          <w:rFonts w:asciiTheme="minorHAnsi" w:hAnsiTheme="minorHAnsi"/>
          <w:u w:val="single"/>
        </w:rPr>
      </w:pPr>
    </w:p>
    <w:sectPr w:rsidR="00114CC9" w:rsidRPr="0043666E" w:rsidSect="00CB492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E2F8F" w14:textId="77777777" w:rsidR="000B789A" w:rsidRDefault="000B789A" w:rsidP="00F11A63">
      <w:r>
        <w:separator/>
      </w:r>
    </w:p>
  </w:endnote>
  <w:endnote w:type="continuationSeparator" w:id="0">
    <w:p w14:paraId="768CAC07" w14:textId="77777777" w:rsidR="000B789A" w:rsidRDefault="000B789A" w:rsidP="00F1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293765"/>
      <w:docPartObj>
        <w:docPartGallery w:val="Page Numbers (Bottom of Page)"/>
        <w:docPartUnique/>
      </w:docPartObj>
    </w:sdtPr>
    <w:sdtEndPr/>
    <w:sdtContent>
      <w:sdt>
        <w:sdtPr>
          <w:id w:val="1728636285"/>
          <w:docPartObj>
            <w:docPartGallery w:val="Page Numbers (Top of Page)"/>
            <w:docPartUnique/>
          </w:docPartObj>
        </w:sdtPr>
        <w:sdtEndPr/>
        <w:sdtContent>
          <w:p w14:paraId="3A11AE57" w14:textId="77777777" w:rsidR="00FA7BA5" w:rsidRDefault="00FA7BA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23</w:t>
            </w:r>
            <w:r>
              <w:rPr>
                <w:b/>
                <w:bCs/>
                <w:sz w:val="24"/>
                <w:szCs w:val="24"/>
              </w:rPr>
              <w:fldChar w:fldCharType="end"/>
            </w:r>
          </w:p>
        </w:sdtContent>
      </w:sdt>
    </w:sdtContent>
  </w:sdt>
  <w:p w14:paraId="535A0BCF" w14:textId="77777777" w:rsidR="00FA7BA5" w:rsidRDefault="00FA7B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5C1DC" w14:textId="77777777" w:rsidR="000B789A" w:rsidRDefault="000B789A" w:rsidP="00F11A63">
      <w:r>
        <w:separator/>
      </w:r>
    </w:p>
  </w:footnote>
  <w:footnote w:type="continuationSeparator" w:id="0">
    <w:p w14:paraId="452229AE" w14:textId="77777777" w:rsidR="000B789A" w:rsidRDefault="000B789A" w:rsidP="00F1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B3A48" w14:textId="0897D9AE" w:rsidR="00CB4925" w:rsidRDefault="00CB4925">
    <w:pPr>
      <w:pStyle w:val="Header"/>
    </w:pPr>
    <w:r>
      <w:rPr>
        <w:noProof/>
      </w:rPr>
      <mc:AlternateContent>
        <mc:Choice Requires="wps">
          <w:drawing>
            <wp:anchor distT="0" distB="0" distL="118745" distR="118745" simplePos="0" relativeHeight="251659264" behindDoc="1" locked="0" layoutInCell="1" allowOverlap="0" wp14:anchorId="44869DDC" wp14:editId="7B62DCD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87BF5E0" w14:textId="1F1E7879" w:rsidR="00CB4925" w:rsidRDefault="00CB4925">
                              <w:pPr>
                                <w:pStyle w:val="Header"/>
                                <w:tabs>
                                  <w:tab w:val="clear" w:pos="4680"/>
                                  <w:tab w:val="clear" w:pos="9360"/>
                                </w:tabs>
                                <w:jc w:val="center"/>
                                <w:rPr>
                                  <w:caps/>
                                  <w:color w:val="FFFFFF" w:themeColor="background1"/>
                                </w:rPr>
                              </w:pPr>
                              <w:r>
                                <w:rPr>
                                  <w:caps/>
                                  <w:color w:val="FFFFFF" w:themeColor="background1"/>
                                </w:rPr>
                                <w:t>notice H2019-03 LIHtc pilot notice q&amp;As may 03, 2019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4869DDC"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87BF5E0" w14:textId="1F1E7879" w:rsidR="00CB4925" w:rsidRDefault="00CB4925">
                        <w:pPr>
                          <w:pStyle w:val="Header"/>
                          <w:tabs>
                            <w:tab w:val="clear" w:pos="4680"/>
                            <w:tab w:val="clear" w:pos="9360"/>
                          </w:tabs>
                          <w:jc w:val="center"/>
                          <w:rPr>
                            <w:caps/>
                            <w:color w:val="FFFFFF" w:themeColor="background1"/>
                          </w:rPr>
                        </w:pPr>
                        <w:r>
                          <w:rPr>
                            <w:caps/>
                            <w:color w:val="FFFFFF" w:themeColor="background1"/>
                          </w:rPr>
                          <w:t>notice H2019-03 LIHtc pilot notice q&amp;As may 03, 2019</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92C"/>
    <w:multiLevelType w:val="hybridMultilevel"/>
    <w:tmpl w:val="503EAE44"/>
    <w:lvl w:ilvl="0" w:tplc="8BF6C01A">
      <w:start w:val="1"/>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C07186"/>
    <w:multiLevelType w:val="hybridMultilevel"/>
    <w:tmpl w:val="637861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4157B0"/>
    <w:multiLevelType w:val="hybridMultilevel"/>
    <w:tmpl w:val="8D5EC8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034166"/>
    <w:multiLevelType w:val="hybridMultilevel"/>
    <w:tmpl w:val="0726B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AF1E80"/>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40DB7"/>
    <w:multiLevelType w:val="hybridMultilevel"/>
    <w:tmpl w:val="F608322E"/>
    <w:lvl w:ilvl="0" w:tplc="53A6702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70514"/>
    <w:multiLevelType w:val="hybridMultilevel"/>
    <w:tmpl w:val="FD5685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708AC"/>
    <w:multiLevelType w:val="hybridMultilevel"/>
    <w:tmpl w:val="66E2898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D6390"/>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90521"/>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14419"/>
    <w:multiLevelType w:val="hybridMultilevel"/>
    <w:tmpl w:val="637861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647277"/>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D4E7E"/>
    <w:multiLevelType w:val="hybridMultilevel"/>
    <w:tmpl w:val="D6E81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8C16F0"/>
    <w:multiLevelType w:val="hybridMultilevel"/>
    <w:tmpl w:val="94A60E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17F74"/>
    <w:multiLevelType w:val="hybridMultilevel"/>
    <w:tmpl w:val="E3F6F4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8BD2F49"/>
    <w:multiLevelType w:val="hybridMultilevel"/>
    <w:tmpl w:val="8BACAB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96AD7"/>
    <w:multiLevelType w:val="hybridMultilevel"/>
    <w:tmpl w:val="EBAA582A"/>
    <w:lvl w:ilvl="0" w:tplc="B56A2FBE">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533C4"/>
    <w:multiLevelType w:val="hybridMultilevel"/>
    <w:tmpl w:val="61BCD4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D20779"/>
    <w:multiLevelType w:val="hybridMultilevel"/>
    <w:tmpl w:val="E80808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B44796"/>
    <w:multiLevelType w:val="hybridMultilevel"/>
    <w:tmpl w:val="94D8AA2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77370"/>
    <w:multiLevelType w:val="hybridMultilevel"/>
    <w:tmpl w:val="4334ADD0"/>
    <w:lvl w:ilvl="0" w:tplc="41A6031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897AD9"/>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01C80"/>
    <w:multiLevelType w:val="hybridMultilevel"/>
    <w:tmpl w:val="0618257A"/>
    <w:lvl w:ilvl="0" w:tplc="6F1CF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B76055"/>
    <w:multiLevelType w:val="hybridMultilevel"/>
    <w:tmpl w:val="F14220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9060467"/>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3D3BB7"/>
    <w:multiLevelType w:val="hybridMultilevel"/>
    <w:tmpl w:val="43462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341852"/>
    <w:multiLevelType w:val="hybridMultilevel"/>
    <w:tmpl w:val="3EB4F240"/>
    <w:lvl w:ilvl="0" w:tplc="5694C306">
      <w:start w:val="1"/>
      <w:numFmt w:val="decimal"/>
      <w:lvlText w:val="%1."/>
      <w:lvlJc w:val="left"/>
      <w:pPr>
        <w:ind w:left="720" w:hanging="360"/>
      </w:pPr>
      <w:rPr>
        <w:rFonts w:ascii="Arial" w:eastAsia="Times New Roman" w:hAnsi="Arial" w:cs="Arial"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750171"/>
    <w:multiLevelType w:val="multilevel"/>
    <w:tmpl w:val="1116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B05106"/>
    <w:multiLevelType w:val="hybridMultilevel"/>
    <w:tmpl w:val="637861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0C5170C"/>
    <w:multiLevelType w:val="hybridMultilevel"/>
    <w:tmpl w:val="BB2A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0636E4"/>
    <w:multiLevelType w:val="hybridMultilevel"/>
    <w:tmpl w:val="9C7228E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F7886"/>
    <w:multiLevelType w:val="hybridMultilevel"/>
    <w:tmpl w:val="F0D25F3E"/>
    <w:lvl w:ilvl="0" w:tplc="6EA2D878">
      <w:start w:val="4"/>
      <w:numFmt w:val="bullet"/>
      <w:lvlText w:val="-"/>
      <w:lvlJc w:val="left"/>
      <w:pPr>
        <w:ind w:left="410" w:hanging="360"/>
      </w:pPr>
      <w:rPr>
        <w:rFonts w:ascii="Calibri" w:eastAsia="Times New Roman" w:hAnsi="Calibri" w:cs="Aria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0"/>
  </w:num>
  <w:num w:numId="4">
    <w:abstractNumId w:val="28"/>
  </w:num>
  <w:num w:numId="5">
    <w:abstractNumId w:val="1"/>
  </w:num>
  <w:num w:numId="6">
    <w:abstractNumId w:val="21"/>
  </w:num>
  <w:num w:numId="7">
    <w:abstractNumId w:val="11"/>
  </w:num>
  <w:num w:numId="8">
    <w:abstractNumId w:val="24"/>
  </w:num>
  <w:num w:numId="9">
    <w:abstractNumId w:val="8"/>
  </w:num>
  <w:num w:numId="10">
    <w:abstractNumId w:val="4"/>
  </w:num>
  <w:num w:numId="11">
    <w:abstractNumId w:val="9"/>
  </w:num>
  <w:num w:numId="12">
    <w:abstractNumId w:val="26"/>
  </w:num>
  <w:num w:numId="13">
    <w:abstractNumId w:val="20"/>
  </w:num>
  <w:num w:numId="14">
    <w:abstractNumId w:val="22"/>
  </w:num>
  <w:num w:numId="15">
    <w:abstractNumId w:val="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0"/>
  </w:num>
  <w:num w:numId="21">
    <w:abstractNumId w:val="30"/>
  </w:num>
  <w:num w:numId="22">
    <w:abstractNumId w:val="19"/>
  </w:num>
  <w:num w:numId="23">
    <w:abstractNumId w:val="13"/>
  </w:num>
  <w:num w:numId="24">
    <w:abstractNumId w:val="5"/>
  </w:num>
  <w:num w:numId="25">
    <w:abstractNumId w:val="18"/>
  </w:num>
  <w:num w:numId="26">
    <w:abstractNumId w:val="7"/>
  </w:num>
  <w:num w:numId="27">
    <w:abstractNumId w:val="3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7"/>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002"/>
    <w:rsid w:val="0000125D"/>
    <w:rsid w:val="000028E6"/>
    <w:rsid w:val="00005C5D"/>
    <w:rsid w:val="00010094"/>
    <w:rsid w:val="000129F5"/>
    <w:rsid w:val="00012ABF"/>
    <w:rsid w:val="00013A03"/>
    <w:rsid w:val="000257CA"/>
    <w:rsid w:val="0002597A"/>
    <w:rsid w:val="0002766C"/>
    <w:rsid w:val="00032E10"/>
    <w:rsid w:val="00057DBD"/>
    <w:rsid w:val="000675FF"/>
    <w:rsid w:val="000734C7"/>
    <w:rsid w:val="000854DC"/>
    <w:rsid w:val="00095B8E"/>
    <w:rsid w:val="000A6FBB"/>
    <w:rsid w:val="000B789A"/>
    <w:rsid w:val="000D31CA"/>
    <w:rsid w:val="000E3123"/>
    <w:rsid w:val="000E55AD"/>
    <w:rsid w:val="000F2B59"/>
    <w:rsid w:val="000F2CF7"/>
    <w:rsid w:val="000F4375"/>
    <w:rsid w:val="000F454C"/>
    <w:rsid w:val="00100698"/>
    <w:rsid w:val="00106B31"/>
    <w:rsid w:val="00114CC9"/>
    <w:rsid w:val="00117E57"/>
    <w:rsid w:val="0012108A"/>
    <w:rsid w:val="00121B63"/>
    <w:rsid w:val="0012270A"/>
    <w:rsid w:val="0013020F"/>
    <w:rsid w:val="00131819"/>
    <w:rsid w:val="00135E87"/>
    <w:rsid w:val="00150790"/>
    <w:rsid w:val="00156F26"/>
    <w:rsid w:val="00175B37"/>
    <w:rsid w:val="00184EBB"/>
    <w:rsid w:val="0019142A"/>
    <w:rsid w:val="001A1667"/>
    <w:rsid w:val="001B41D3"/>
    <w:rsid w:val="001C14F7"/>
    <w:rsid w:val="001C49E0"/>
    <w:rsid w:val="001D01B7"/>
    <w:rsid w:val="001D3D61"/>
    <w:rsid w:val="00200C17"/>
    <w:rsid w:val="00211623"/>
    <w:rsid w:val="00227881"/>
    <w:rsid w:val="00241098"/>
    <w:rsid w:val="00241D8D"/>
    <w:rsid w:val="00264E5A"/>
    <w:rsid w:val="00266974"/>
    <w:rsid w:val="00272890"/>
    <w:rsid w:val="002773E2"/>
    <w:rsid w:val="00283A5E"/>
    <w:rsid w:val="00284195"/>
    <w:rsid w:val="002844EE"/>
    <w:rsid w:val="00285928"/>
    <w:rsid w:val="00290E9A"/>
    <w:rsid w:val="002A2292"/>
    <w:rsid w:val="002C2D02"/>
    <w:rsid w:val="002C4A2B"/>
    <w:rsid w:val="002C4D2D"/>
    <w:rsid w:val="002C69BF"/>
    <w:rsid w:val="002D08A7"/>
    <w:rsid w:val="002D0A84"/>
    <w:rsid w:val="002D16A6"/>
    <w:rsid w:val="002D4793"/>
    <w:rsid w:val="002F27CD"/>
    <w:rsid w:val="003067DE"/>
    <w:rsid w:val="0033655C"/>
    <w:rsid w:val="00337F4B"/>
    <w:rsid w:val="003402C6"/>
    <w:rsid w:val="00351330"/>
    <w:rsid w:val="00354CA9"/>
    <w:rsid w:val="00365A81"/>
    <w:rsid w:val="00375ECB"/>
    <w:rsid w:val="00377153"/>
    <w:rsid w:val="003B7184"/>
    <w:rsid w:val="003C78B3"/>
    <w:rsid w:val="003F1148"/>
    <w:rsid w:val="00412FA2"/>
    <w:rsid w:val="0041683A"/>
    <w:rsid w:val="004250C2"/>
    <w:rsid w:val="0043021E"/>
    <w:rsid w:val="0043666E"/>
    <w:rsid w:val="004406BF"/>
    <w:rsid w:val="0044321D"/>
    <w:rsid w:val="00444C9A"/>
    <w:rsid w:val="0046356F"/>
    <w:rsid w:val="00473349"/>
    <w:rsid w:val="0047570E"/>
    <w:rsid w:val="00483200"/>
    <w:rsid w:val="00485732"/>
    <w:rsid w:val="00492AEB"/>
    <w:rsid w:val="00496431"/>
    <w:rsid w:val="004E1D17"/>
    <w:rsid w:val="004E7137"/>
    <w:rsid w:val="004F5DB8"/>
    <w:rsid w:val="0050043B"/>
    <w:rsid w:val="005050CF"/>
    <w:rsid w:val="00534D9D"/>
    <w:rsid w:val="00535709"/>
    <w:rsid w:val="00544F1B"/>
    <w:rsid w:val="005477FF"/>
    <w:rsid w:val="0055015C"/>
    <w:rsid w:val="005525B1"/>
    <w:rsid w:val="00554C6A"/>
    <w:rsid w:val="005566EE"/>
    <w:rsid w:val="00557AE1"/>
    <w:rsid w:val="00557B9F"/>
    <w:rsid w:val="00567414"/>
    <w:rsid w:val="00574299"/>
    <w:rsid w:val="005765D6"/>
    <w:rsid w:val="005A2756"/>
    <w:rsid w:val="005A2F1A"/>
    <w:rsid w:val="005A78D2"/>
    <w:rsid w:val="005B3238"/>
    <w:rsid w:val="005B37AA"/>
    <w:rsid w:val="005B650F"/>
    <w:rsid w:val="005B66FC"/>
    <w:rsid w:val="005C1DCC"/>
    <w:rsid w:val="005E0F99"/>
    <w:rsid w:val="005E5458"/>
    <w:rsid w:val="005E7262"/>
    <w:rsid w:val="005F28F5"/>
    <w:rsid w:val="006157A3"/>
    <w:rsid w:val="00620AED"/>
    <w:rsid w:val="006262D6"/>
    <w:rsid w:val="00632A5B"/>
    <w:rsid w:val="006408B2"/>
    <w:rsid w:val="00640F85"/>
    <w:rsid w:val="0064212B"/>
    <w:rsid w:val="00654086"/>
    <w:rsid w:val="006565F9"/>
    <w:rsid w:val="006614AB"/>
    <w:rsid w:val="00663489"/>
    <w:rsid w:val="006658A6"/>
    <w:rsid w:val="00666A20"/>
    <w:rsid w:val="00692D14"/>
    <w:rsid w:val="006B3550"/>
    <w:rsid w:val="006C0FD4"/>
    <w:rsid w:val="006C4E4E"/>
    <w:rsid w:val="006D2BF3"/>
    <w:rsid w:val="006D4336"/>
    <w:rsid w:val="006D7EF9"/>
    <w:rsid w:val="006E4642"/>
    <w:rsid w:val="00703033"/>
    <w:rsid w:val="00703599"/>
    <w:rsid w:val="00706660"/>
    <w:rsid w:val="0071487B"/>
    <w:rsid w:val="0071606F"/>
    <w:rsid w:val="007211B8"/>
    <w:rsid w:val="00721962"/>
    <w:rsid w:val="00727446"/>
    <w:rsid w:val="007301B4"/>
    <w:rsid w:val="00731A6B"/>
    <w:rsid w:val="007460C0"/>
    <w:rsid w:val="00771179"/>
    <w:rsid w:val="00775BFC"/>
    <w:rsid w:val="007807BA"/>
    <w:rsid w:val="00786CE3"/>
    <w:rsid w:val="00787F71"/>
    <w:rsid w:val="00790773"/>
    <w:rsid w:val="00792C8F"/>
    <w:rsid w:val="00793871"/>
    <w:rsid w:val="007A1CDA"/>
    <w:rsid w:val="007A4BFE"/>
    <w:rsid w:val="007A6CD0"/>
    <w:rsid w:val="007B17DB"/>
    <w:rsid w:val="007B3E6D"/>
    <w:rsid w:val="007C0384"/>
    <w:rsid w:val="007C727B"/>
    <w:rsid w:val="007D257B"/>
    <w:rsid w:val="007E0432"/>
    <w:rsid w:val="007F10E8"/>
    <w:rsid w:val="007F1BBF"/>
    <w:rsid w:val="0080437D"/>
    <w:rsid w:val="00813732"/>
    <w:rsid w:val="0081567E"/>
    <w:rsid w:val="00815A5D"/>
    <w:rsid w:val="00824A06"/>
    <w:rsid w:val="00825905"/>
    <w:rsid w:val="00832ABB"/>
    <w:rsid w:val="00835BF8"/>
    <w:rsid w:val="00853574"/>
    <w:rsid w:val="00860CF2"/>
    <w:rsid w:val="00862A67"/>
    <w:rsid w:val="0086662A"/>
    <w:rsid w:val="0087486A"/>
    <w:rsid w:val="00880951"/>
    <w:rsid w:val="008870C4"/>
    <w:rsid w:val="00892670"/>
    <w:rsid w:val="00892C36"/>
    <w:rsid w:val="0089569C"/>
    <w:rsid w:val="008A13B7"/>
    <w:rsid w:val="008A177F"/>
    <w:rsid w:val="008B254E"/>
    <w:rsid w:val="008C0270"/>
    <w:rsid w:val="008C7330"/>
    <w:rsid w:val="008D27EE"/>
    <w:rsid w:val="008E1401"/>
    <w:rsid w:val="008E7194"/>
    <w:rsid w:val="00902876"/>
    <w:rsid w:val="009063FD"/>
    <w:rsid w:val="0090771E"/>
    <w:rsid w:val="00911BE8"/>
    <w:rsid w:val="009201EA"/>
    <w:rsid w:val="00924E70"/>
    <w:rsid w:val="00940D5C"/>
    <w:rsid w:val="00947E02"/>
    <w:rsid w:val="0095630C"/>
    <w:rsid w:val="00967248"/>
    <w:rsid w:val="0097064D"/>
    <w:rsid w:val="00973C6B"/>
    <w:rsid w:val="00974858"/>
    <w:rsid w:val="00981F8D"/>
    <w:rsid w:val="00985873"/>
    <w:rsid w:val="00994955"/>
    <w:rsid w:val="00996508"/>
    <w:rsid w:val="009A0933"/>
    <w:rsid w:val="009C6FE6"/>
    <w:rsid w:val="009D2696"/>
    <w:rsid w:val="009D269C"/>
    <w:rsid w:val="009F2213"/>
    <w:rsid w:val="009F2C31"/>
    <w:rsid w:val="00A143A1"/>
    <w:rsid w:val="00A37D38"/>
    <w:rsid w:val="00A4027C"/>
    <w:rsid w:val="00A432CC"/>
    <w:rsid w:val="00A4515F"/>
    <w:rsid w:val="00A45786"/>
    <w:rsid w:val="00A52BD7"/>
    <w:rsid w:val="00A64D65"/>
    <w:rsid w:val="00A808AC"/>
    <w:rsid w:val="00A80C9C"/>
    <w:rsid w:val="00A81702"/>
    <w:rsid w:val="00A82EB5"/>
    <w:rsid w:val="00A83632"/>
    <w:rsid w:val="00A850DF"/>
    <w:rsid w:val="00AA25D7"/>
    <w:rsid w:val="00AA41FE"/>
    <w:rsid w:val="00AB6343"/>
    <w:rsid w:val="00AB688E"/>
    <w:rsid w:val="00AB752A"/>
    <w:rsid w:val="00AD3280"/>
    <w:rsid w:val="00AD6D1C"/>
    <w:rsid w:val="00AE77EF"/>
    <w:rsid w:val="00B07DB1"/>
    <w:rsid w:val="00B225A6"/>
    <w:rsid w:val="00B30ABB"/>
    <w:rsid w:val="00B3150D"/>
    <w:rsid w:val="00B3181F"/>
    <w:rsid w:val="00B31C1A"/>
    <w:rsid w:val="00B44D5B"/>
    <w:rsid w:val="00B47431"/>
    <w:rsid w:val="00B56B0D"/>
    <w:rsid w:val="00B7131A"/>
    <w:rsid w:val="00B75DDD"/>
    <w:rsid w:val="00B93744"/>
    <w:rsid w:val="00BB7BFF"/>
    <w:rsid w:val="00BD0254"/>
    <w:rsid w:val="00BE03AF"/>
    <w:rsid w:val="00BE2302"/>
    <w:rsid w:val="00BE3C6A"/>
    <w:rsid w:val="00BF0C7A"/>
    <w:rsid w:val="00BF6565"/>
    <w:rsid w:val="00C06223"/>
    <w:rsid w:val="00C06456"/>
    <w:rsid w:val="00C24117"/>
    <w:rsid w:val="00C25BC5"/>
    <w:rsid w:val="00C2644D"/>
    <w:rsid w:val="00C4008E"/>
    <w:rsid w:val="00C51CC0"/>
    <w:rsid w:val="00C556D7"/>
    <w:rsid w:val="00C63991"/>
    <w:rsid w:val="00C72A60"/>
    <w:rsid w:val="00C86219"/>
    <w:rsid w:val="00C8692D"/>
    <w:rsid w:val="00C91A68"/>
    <w:rsid w:val="00C95DDD"/>
    <w:rsid w:val="00CB4925"/>
    <w:rsid w:val="00CC450E"/>
    <w:rsid w:val="00CE0DFE"/>
    <w:rsid w:val="00CE0E53"/>
    <w:rsid w:val="00CE0F04"/>
    <w:rsid w:val="00CF44A4"/>
    <w:rsid w:val="00CF6B74"/>
    <w:rsid w:val="00D02CB0"/>
    <w:rsid w:val="00D06FF5"/>
    <w:rsid w:val="00D11D25"/>
    <w:rsid w:val="00D216BB"/>
    <w:rsid w:val="00D24AD6"/>
    <w:rsid w:val="00D35FF1"/>
    <w:rsid w:val="00D40C45"/>
    <w:rsid w:val="00D44346"/>
    <w:rsid w:val="00D44F16"/>
    <w:rsid w:val="00D74C7F"/>
    <w:rsid w:val="00D80CEE"/>
    <w:rsid w:val="00D937C8"/>
    <w:rsid w:val="00DA07A3"/>
    <w:rsid w:val="00DB4B84"/>
    <w:rsid w:val="00DC0A2C"/>
    <w:rsid w:val="00DC532D"/>
    <w:rsid w:val="00DD1E03"/>
    <w:rsid w:val="00DE5107"/>
    <w:rsid w:val="00DF2EBA"/>
    <w:rsid w:val="00DF57B6"/>
    <w:rsid w:val="00E17BCE"/>
    <w:rsid w:val="00E20F4B"/>
    <w:rsid w:val="00E21082"/>
    <w:rsid w:val="00E22AA8"/>
    <w:rsid w:val="00E23CF2"/>
    <w:rsid w:val="00E26E9F"/>
    <w:rsid w:val="00E33076"/>
    <w:rsid w:val="00E362E0"/>
    <w:rsid w:val="00E668ED"/>
    <w:rsid w:val="00E85544"/>
    <w:rsid w:val="00E934FD"/>
    <w:rsid w:val="00E937A8"/>
    <w:rsid w:val="00E961B0"/>
    <w:rsid w:val="00EA0E76"/>
    <w:rsid w:val="00EB768B"/>
    <w:rsid w:val="00EC50EC"/>
    <w:rsid w:val="00ED0594"/>
    <w:rsid w:val="00ED0EAF"/>
    <w:rsid w:val="00ED1D77"/>
    <w:rsid w:val="00ED33BC"/>
    <w:rsid w:val="00EE338E"/>
    <w:rsid w:val="00EE4C95"/>
    <w:rsid w:val="00EF0B87"/>
    <w:rsid w:val="00F01564"/>
    <w:rsid w:val="00F11A63"/>
    <w:rsid w:val="00F2035A"/>
    <w:rsid w:val="00F230B8"/>
    <w:rsid w:val="00F32EA7"/>
    <w:rsid w:val="00F3424E"/>
    <w:rsid w:val="00F37C26"/>
    <w:rsid w:val="00F50ED8"/>
    <w:rsid w:val="00F6247A"/>
    <w:rsid w:val="00F80ED0"/>
    <w:rsid w:val="00F852CD"/>
    <w:rsid w:val="00F873CE"/>
    <w:rsid w:val="00FA081B"/>
    <w:rsid w:val="00FA3002"/>
    <w:rsid w:val="00FA5B66"/>
    <w:rsid w:val="00FA7BA5"/>
    <w:rsid w:val="00FC271D"/>
    <w:rsid w:val="00FC4F81"/>
    <w:rsid w:val="00FE45D5"/>
    <w:rsid w:val="00FF2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6D59C"/>
  <w15:chartTrackingRefBased/>
  <w15:docId w15:val="{99D988AF-EA25-4C54-849F-ACA0CA4A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0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002"/>
    <w:pPr>
      <w:ind w:left="720"/>
    </w:pPr>
  </w:style>
  <w:style w:type="table" w:styleId="TableGrid">
    <w:name w:val="Table Grid"/>
    <w:basedOn w:val="TableNormal"/>
    <w:uiPriority w:val="39"/>
    <w:rsid w:val="00175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A63"/>
    <w:pPr>
      <w:tabs>
        <w:tab w:val="center" w:pos="4680"/>
        <w:tab w:val="right" w:pos="9360"/>
      </w:tabs>
    </w:pPr>
  </w:style>
  <w:style w:type="character" w:customStyle="1" w:styleId="HeaderChar">
    <w:name w:val="Header Char"/>
    <w:basedOn w:val="DefaultParagraphFont"/>
    <w:link w:val="Header"/>
    <w:uiPriority w:val="99"/>
    <w:rsid w:val="00F11A63"/>
    <w:rPr>
      <w:rFonts w:ascii="Calibri" w:hAnsi="Calibri" w:cs="Times New Roman"/>
    </w:rPr>
  </w:style>
  <w:style w:type="paragraph" w:styleId="Footer">
    <w:name w:val="footer"/>
    <w:basedOn w:val="Normal"/>
    <w:link w:val="FooterChar"/>
    <w:uiPriority w:val="99"/>
    <w:unhideWhenUsed/>
    <w:rsid w:val="00F11A63"/>
    <w:pPr>
      <w:tabs>
        <w:tab w:val="center" w:pos="4680"/>
        <w:tab w:val="right" w:pos="9360"/>
      </w:tabs>
    </w:pPr>
  </w:style>
  <w:style w:type="character" w:customStyle="1" w:styleId="FooterChar">
    <w:name w:val="Footer Char"/>
    <w:basedOn w:val="DefaultParagraphFont"/>
    <w:link w:val="Footer"/>
    <w:uiPriority w:val="99"/>
    <w:rsid w:val="00F11A63"/>
    <w:rPr>
      <w:rFonts w:ascii="Calibri" w:hAnsi="Calibri" w:cs="Times New Roman"/>
    </w:rPr>
  </w:style>
  <w:style w:type="character" w:styleId="CommentReference">
    <w:name w:val="annotation reference"/>
    <w:basedOn w:val="DefaultParagraphFont"/>
    <w:uiPriority w:val="99"/>
    <w:semiHidden/>
    <w:unhideWhenUsed/>
    <w:rsid w:val="0055015C"/>
    <w:rPr>
      <w:sz w:val="16"/>
      <w:szCs w:val="16"/>
    </w:rPr>
  </w:style>
  <w:style w:type="paragraph" w:styleId="CommentText">
    <w:name w:val="annotation text"/>
    <w:basedOn w:val="Normal"/>
    <w:link w:val="CommentTextChar"/>
    <w:uiPriority w:val="99"/>
    <w:semiHidden/>
    <w:unhideWhenUsed/>
    <w:rsid w:val="0055015C"/>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5015C"/>
    <w:rPr>
      <w:sz w:val="20"/>
      <w:szCs w:val="20"/>
    </w:rPr>
  </w:style>
  <w:style w:type="paragraph" w:styleId="BalloonText">
    <w:name w:val="Balloon Text"/>
    <w:basedOn w:val="Normal"/>
    <w:link w:val="BalloonTextChar"/>
    <w:uiPriority w:val="99"/>
    <w:semiHidden/>
    <w:unhideWhenUsed/>
    <w:rsid w:val="005501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15C"/>
    <w:rPr>
      <w:rFonts w:ascii="Segoe UI" w:hAnsi="Segoe UI" w:cs="Segoe UI"/>
      <w:sz w:val="18"/>
      <w:szCs w:val="18"/>
    </w:rPr>
  </w:style>
  <w:style w:type="character" w:styleId="Hyperlink">
    <w:name w:val="Hyperlink"/>
    <w:basedOn w:val="DefaultParagraphFont"/>
    <w:uiPriority w:val="99"/>
    <w:unhideWhenUsed/>
    <w:rsid w:val="006E4642"/>
    <w:rPr>
      <w:color w:val="0563C1" w:themeColor="hyperlink"/>
      <w:u w:val="single"/>
    </w:rPr>
  </w:style>
  <w:style w:type="character" w:styleId="UnresolvedMention">
    <w:name w:val="Unresolved Mention"/>
    <w:basedOn w:val="DefaultParagraphFont"/>
    <w:uiPriority w:val="99"/>
    <w:semiHidden/>
    <w:unhideWhenUsed/>
    <w:rsid w:val="006E464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7131A"/>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B7131A"/>
    <w:rPr>
      <w:rFonts w:ascii="Calibri" w:hAnsi="Calibri" w:cs="Times New Roman"/>
      <w:b/>
      <w:bCs/>
      <w:sz w:val="20"/>
      <w:szCs w:val="20"/>
    </w:rPr>
  </w:style>
  <w:style w:type="paragraph" w:customStyle="1" w:styleId="Default">
    <w:name w:val="Default"/>
    <w:rsid w:val="00B56B0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0771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3824">
      <w:bodyDiv w:val="1"/>
      <w:marLeft w:val="0"/>
      <w:marRight w:val="0"/>
      <w:marTop w:val="0"/>
      <w:marBottom w:val="0"/>
      <w:divBdr>
        <w:top w:val="none" w:sz="0" w:space="0" w:color="auto"/>
        <w:left w:val="none" w:sz="0" w:space="0" w:color="auto"/>
        <w:bottom w:val="none" w:sz="0" w:space="0" w:color="auto"/>
        <w:right w:val="none" w:sz="0" w:space="0" w:color="auto"/>
      </w:divBdr>
    </w:div>
    <w:div w:id="172035452">
      <w:bodyDiv w:val="1"/>
      <w:marLeft w:val="0"/>
      <w:marRight w:val="0"/>
      <w:marTop w:val="0"/>
      <w:marBottom w:val="0"/>
      <w:divBdr>
        <w:top w:val="none" w:sz="0" w:space="0" w:color="auto"/>
        <w:left w:val="none" w:sz="0" w:space="0" w:color="auto"/>
        <w:bottom w:val="none" w:sz="0" w:space="0" w:color="auto"/>
        <w:right w:val="none" w:sz="0" w:space="0" w:color="auto"/>
      </w:divBdr>
    </w:div>
    <w:div w:id="230695955">
      <w:bodyDiv w:val="1"/>
      <w:marLeft w:val="0"/>
      <w:marRight w:val="0"/>
      <w:marTop w:val="0"/>
      <w:marBottom w:val="0"/>
      <w:divBdr>
        <w:top w:val="none" w:sz="0" w:space="0" w:color="auto"/>
        <w:left w:val="none" w:sz="0" w:space="0" w:color="auto"/>
        <w:bottom w:val="none" w:sz="0" w:space="0" w:color="auto"/>
        <w:right w:val="none" w:sz="0" w:space="0" w:color="auto"/>
      </w:divBdr>
    </w:div>
    <w:div w:id="312756243">
      <w:bodyDiv w:val="1"/>
      <w:marLeft w:val="0"/>
      <w:marRight w:val="0"/>
      <w:marTop w:val="0"/>
      <w:marBottom w:val="0"/>
      <w:divBdr>
        <w:top w:val="none" w:sz="0" w:space="0" w:color="auto"/>
        <w:left w:val="none" w:sz="0" w:space="0" w:color="auto"/>
        <w:bottom w:val="none" w:sz="0" w:space="0" w:color="auto"/>
        <w:right w:val="none" w:sz="0" w:space="0" w:color="auto"/>
      </w:divBdr>
    </w:div>
    <w:div w:id="315576005">
      <w:bodyDiv w:val="1"/>
      <w:marLeft w:val="0"/>
      <w:marRight w:val="0"/>
      <w:marTop w:val="0"/>
      <w:marBottom w:val="0"/>
      <w:divBdr>
        <w:top w:val="none" w:sz="0" w:space="0" w:color="auto"/>
        <w:left w:val="none" w:sz="0" w:space="0" w:color="auto"/>
        <w:bottom w:val="none" w:sz="0" w:space="0" w:color="auto"/>
        <w:right w:val="none" w:sz="0" w:space="0" w:color="auto"/>
      </w:divBdr>
    </w:div>
    <w:div w:id="352388899">
      <w:bodyDiv w:val="1"/>
      <w:marLeft w:val="0"/>
      <w:marRight w:val="0"/>
      <w:marTop w:val="0"/>
      <w:marBottom w:val="0"/>
      <w:divBdr>
        <w:top w:val="none" w:sz="0" w:space="0" w:color="auto"/>
        <w:left w:val="none" w:sz="0" w:space="0" w:color="auto"/>
        <w:bottom w:val="none" w:sz="0" w:space="0" w:color="auto"/>
        <w:right w:val="none" w:sz="0" w:space="0" w:color="auto"/>
      </w:divBdr>
    </w:div>
    <w:div w:id="393091986">
      <w:bodyDiv w:val="1"/>
      <w:marLeft w:val="0"/>
      <w:marRight w:val="0"/>
      <w:marTop w:val="0"/>
      <w:marBottom w:val="0"/>
      <w:divBdr>
        <w:top w:val="none" w:sz="0" w:space="0" w:color="auto"/>
        <w:left w:val="none" w:sz="0" w:space="0" w:color="auto"/>
        <w:bottom w:val="none" w:sz="0" w:space="0" w:color="auto"/>
        <w:right w:val="none" w:sz="0" w:space="0" w:color="auto"/>
      </w:divBdr>
    </w:div>
    <w:div w:id="394397115">
      <w:bodyDiv w:val="1"/>
      <w:marLeft w:val="0"/>
      <w:marRight w:val="0"/>
      <w:marTop w:val="0"/>
      <w:marBottom w:val="0"/>
      <w:divBdr>
        <w:top w:val="none" w:sz="0" w:space="0" w:color="auto"/>
        <w:left w:val="none" w:sz="0" w:space="0" w:color="auto"/>
        <w:bottom w:val="none" w:sz="0" w:space="0" w:color="auto"/>
        <w:right w:val="none" w:sz="0" w:space="0" w:color="auto"/>
      </w:divBdr>
    </w:div>
    <w:div w:id="423502917">
      <w:bodyDiv w:val="1"/>
      <w:marLeft w:val="0"/>
      <w:marRight w:val="0"/>
      <w:marTop w:val="0"/>
      <w:marBottom w:val="0"/>
      <w:divBdr>
        <w:top w:val="none" w:sz="0" w:space="0" w:color="auto"/>
        <w:left w:val="none" w:sz="0" w:space="0" w:color="auto"/>
        <w:bottom w:val="none" w:sz="0" w:space="0" w:color="auto"/>
        <w:right w:val="none" w:sz="0" w:space="0" w:color="auto"/>
      </w:divBdr>
    </w:div>
    <w:div w:id="454713268">
      <w:bodyDiv w:val="1"/>
      <w:marLeft w:val="0"/>
      <w:marRight w:val="0"/>
      <w:marTop w:val="0"/>
      <w:marBottom w:val="0"/>
      <w:divBdr>
        <w:top w:val="none" w:sz="0" w:space="0" w:color="auto"/>
        <w:left w:val="none" w:sz="0" w:space="0" w:color="auto"/>
        <w:bottom w:val="none" w:sz="0" w:space="0" w:color="auto"/>
        <w:right w:val="none" w:sz="0" w:space="0" w:color="auto"/>
      </w:divBdr>
    </w:div>
    <w:div w:id="472672753">
      <w:bodyDiv w:val="1"/>
      <w:marLeft w:val="0"/>
      <w:marRight w:val="0"/>
      <w:marTop w:val="0"/>
      <w:marBottom w:val="0"/>
      <w:divBdr>
        <w:top w:val="none" w:sz="0" w:space="0" w:color="auto"/>
        <w:left w:val="none" w:sz="0" w:space="0" w:color="auto"/>
        <w:bottom w:val="none" w:sz="0" w:space="0" w:color="auto"/>
        <w:right w:val="none" w:sz="0" w:space="0" w:color="auto"/>
      </w:divBdr>
    </w:div>
    <w:div w:id="484318579">
      <w:bodyDiv w:val="1"/>
      <w:marLeft w:val="0"/>
      <w:marRight w:val="0"/>
      <w:marTop w:val="0"/>
      <w:marBottom w:val="0"/>
      <w:divBdr>
        <w:top w:val="none" w:sz="0" w:space="0" w:color="auto"/>
        <w:left w:val="none" w:sz="0" w:space="0" w:color="auto"/>
        <w:bottom w:val="none" w:sz="0" w:space="0" w:color="auto"/>
        <w:right w:val="none" w:sz="0" w:space="0" w:color="auto"/>
      </w:divBdr>
    </w:div>
    <w:div w:id="485166178">
      <w:bodyDiv w:val="1"/>
      <w:marLeft w:val="0"/>
      <w:marRight w:val="0"/>
      <w:marTop w:val="0"/>
      <w:marBottom w:val="0"/>
      <w:divBdr>
        <w:top w:val="none" w:sz="0" w:space="0" w:color="auto"/>
        <w:left w:val="none" w:sz="0" w:space="0" w:color="auto"/>
        <w:bottom w:val="none" w:sz="0" w:space="0" w:color="auto"/>
        <w:right w:val="none" w:sz="0" w:space="0" w:color="auto"/>
      </w:divBdr>
    </w:div>
    <w:div w:id="504134202">
      <w:bodyDiv w:val="1"/>
      <w:marLeft w:val="0"/>
      <w:marRight w:val="0"/>
      <w:marTop w:val="0"/>
      <w:marBottom w:val="0"/>
      <w:divBdr>
        <w:top w:val="none" w:sz="0" w:space="0" w:color="auto"/>
        <w:left w:val="none" w:sz="0" w:space="0" w:color="auto"/>
        <w:bottom w:val="none" w:sz="0" w:space="0" w:color="auto"/>
        <w:right w:val="none" w:sz="0" w:space="0" w:color="auto"/>
      </w:divBdr>
    </w:div>
    <w:div w:id="517431130">
      <w:bodyDiv w:val="1"/>
      <w:marLeft w:val="0"/>
      <w:marRight w:val="0"/>
      <w:marTop w:val="0"/>
      <w:marBottom w:val="0"/>
      <w:divBdr>
        <w:top w:val="none" w:sz="0" w:space="0" w:color="auto"/>
        <w:left w:val="none" w:sz="0" w:space="0" w:color="auto"/>
        <w:bottom w:val="none" w:sz="0" w:space="0" w:color="auto"/>
        <w:right w:val="none" w:sz="0" w:space="0" w:color="auto"/>
      </w:divBdr>
    </w:div>
    <w:div w:id="552736044">
      <w:bodyDiv w:val="1"/>
      <w:marLeft w:val="0"/>
      <w:marRight w:val="0"/>
      <w:marTop w:val="0"/>
      <w:marBottom w:val="0"/>
      <w:divBdr>
        <w:top w:val="none" w:sz="0" w:space="0" w:color="auto"/>
        <w:left w:val="none" w:sz="0" w:space="0" w:color="auto"/>
        <w:bottom w:val="none" w:sz="0" w:space="0" w:color="auto"/>
        <w:right w:val="none" w:sz="0" w:space="0" w:color="auto"/>
      </w:divBdr>
    </w:div>
    <w:div w:id="611208236">
      <w:bodyDiv w:val="1"/>
      <w:marLeft w:val="0"/>
      <w:marRight w:val="0"/>
      <w:marTop w:val="0"/>
      <w:marBottom w:val="0"/>
      <w:divBdr>
        <w:top w:val="none" w:sz="0" w:space="0" w:color="auto"/>
        <w:left w:val="none" w:sz="0" w:space="0" w:color="auto"/>
        <w:bottom w:val="none" w:sz="0" w:space="0" w:color="auto"/>
        <w:right w:val="none" w:sz="0" w:space="0" w:color="auto"/>
      </w:divBdr>
    </w:div>
    <w:div w:id="688482329">
      <w:bodyDiv w:val="1"/>
      <w:marLeft w:val="0"/>
      <w:marRight w:val="0"/>
      <w:marTop w:val="0"/>
      <w:marBottom w:val="0"/>
      <w:divBdr>
        <w:top w:val="none" w:sz="0" w:space="0" w:color="auto"/>
        <w:left w:val="none" w:sz="0" w:space="0" w:color="auto"/>
        <w:bottom w:val="none" w:sz="0" w:space="0" w:color="auto"/>
        <w:right w:val="none" w:sz="0" w:space="0" w:color="auto"/>
      </w:divBdr>
    </w:div>
    <w:div w:id="838928982">
      <w:bodyDiv w:val="1"/>
      <w:marLeft w:val="0"/>
      <w:marRight w:val="0"/>
      <w:marTop w:val="0"/>
      <w:marBottom w:val="0"/>
      <w:divBdr>
        <w:top w:val="none" w:sz="0" w:space="0" w:color="auto"/>
        <w:left w:val="none" w:sz="0" w:space="0" w:color="auto"/>
        <w:bottom w:val="none" w:sz="0" w:space="0" w:color="auto"/>
        <w:right w:val="none" w:sz="0" w:space="0" w:color="auto"/>
      </w:divBdr>
    </w:div>
    <w:div w:id="885920778">
      <w:bodyDiv w:val="1"/>
      <w:marLeft w:val="0"/>
      <w:marRight w:val="0"/>
      <w:marTop w:val="0"/>
      <w:marBottom w:val="0"/>
      <w:divBdr>
        <w:top w:val="none" w:sz="0" w:space="0" w:color="auto"/>
        <w:left w:val="none" w:sz="0" w:space="0" w:color="auto"/>
        <w:bottom w:val="none" w:sz="0" w:space="0" w:color="auto"/>
        <w:right w:val="none" w:sz="0" w:space="0" w:color="auto"/>
      </w:divBdr>
    </w:div>
    <w:div w:id="975992879">
      <w:bodyDiv w:val="1"/>
      <w:marLeft w:val="0"/>
      <w:marRight w:val="0"/>
      <w:marTop w:val="0"/>
      <w:marBottom w:val="0"/>
      <w:divBdr>
        <w:top w:val="none" w:sz="0" w:space="0" w:color="auto"/>
        <w:left w:val="none" w:sz="0" w:space="0" w:color="auto"/>
        <w:bottom w:val="none" w:sz="0" w:space="0" w:color="auto"/>
        <w:right w:val="none" w:sz="0" w:space="0" w:color="auto"/>
      </w:divBdr>
    </w:div>
    <w:div w:id="1172717835">
      <w:bodyDiv w:val="1"/>
      <w:marLeft w:val="0"/>
      <w:marRight w:val="0"/>
      <w:marTop w:val="0"/>
      <w:marBottom w:val="0"/>
      <w:divBdr>
        <w:top w:val="none" w:sz="0" w:space="0" w:color="auto"/>
        <w:left w:val="none" w:sz="0" w:space="0" w:color="auto"/>
        <w:bottom w:val="none" w:sz="0" w:space="0" w:color="auto"/>
        <w:right w:val="none" w:sz="0" w:space="0" w:color="auto"/>
      </w:divBdr>
    </w:div>
    <w:div w:id="1198464594">
      <w:bodyDiv w:val="1"/>
      <w:marLeft w:val="0"/>
      <w:marRight w:val="0"/>
      <w:marTop w:val="0"/>
      <w:marBottom w:val="0"/>
      <w:divBdr>
        <w:top w:val="none" w:sz="0" w:space="0" w:color="auto"/>
        <w:left w:val="none" w:sz="0" w:space="0" w:color="auto"/>
        <w:bottom w:val="none" w:sz="0" w:space="0" w:color="auto"/>
        <w:right w:val="none" w:sz="0" w:space="0" w:color="auto"/>
      </w:divBdr>
    </w:div>
    <w:div w:id="1229806211">
      <w:bodyDiv w:val="1"/>
      <w:marLeft w:val="0"/>
      <w:marRight w:val="0"/>
      <w:marTop w:val="0"/>
      <w:marBottom w:val="0"/>
      <w:divBdr>
        <w:top w:val="none" w:sz="0" w:space="0" w:color="auto"/>
        <w:left w:val="none" w:sz="0" w:space="0" w:color="auto"/>
        <w:bottom w:val="none" w:sz="0" w:space="0" w:color="auto"/>
        <w:right w:val="none" w:sz="0" w:space="0" w:color="auto"/>
      </w:divBdr>
    </w:div>
    <w:div w:id="1244029724">
      <w:bodyDiv w:val="1"/>
      <w:marLeft w:val="0"/>
      <w:marRight w:val="0"/>
      <w:marTop w:val="0"/>
      <w:marBottom w:val="0"/>
      <w:divBdr>
        <w:top w:val="none" w:sz="0" w:space="0" w:color="auto"/>
        <w:left w:val="none" w:sz="0" w:space="0" w:color="auto"/>
        <w:bottom w:val="none" w:sz="0" w:space="0" w:color="auto"/>
        <w:right w:val="none" w:sz="0" w:space="0" w:color="auto"/>
      </w:divBdr>
    </w:div>
    <w:div w:id="1300647246">
      <w:bodyDiv w:val="1"/>
      <w:marLeft w:val="0"/>
      <w:marRight w:val="0"/>
      <w:marTop w:val="0"/>
      <w:marBottom w:val="0"/>
      <w:divBdr>
        <w:top w:val="none" w:sz="0" w:space="0" w:color="auto"/>
        <w:left w:val="none" w:sz="0" w:space="0" w:color="auto"/>
        <w:bottom w:val="none" w:sz="0" w:space="0" w:color="auto"/>
        <w:right w:val="none" w:sz="0" w:space="0" w:color="auto"/>
      </w:divBdr>
    </w:div>
    <w:div w:id="1431009434">
      <w:bodyDiv w:val="1"/>
      <w:marLeft w:val="0"/>
      <w:marRight w:val="0"/>
      <w:marTop w:val="0"/>
      <w:marBottom w:val="0"/>
      <w:divBdr>
        <w:top w:val="none" w:sz="0" w:space="0" w:color="auto"/>
        <w:left w:val="none" w:sz="0" w:space="0" w:color="auto"/>
        <w:bottom w:val="none" w:sz="0" w:space="0" w:color="auto"/>
        <w:right w:val="none" w:sz="0" w:space="0" w:color="auto"/>
      </w:divBdr>
    </w:div>
    <w:div w:id="1443452845">
      <w:bodyDiv w:val="1"/>
      <w:marLeft w:val="0"/>
      <w:marRight w:val="0"/>
      <w:marTop w:val="0"/>
      <w:marBottom w:val="0"/>
      <w:divBdr>
        <w:top w:val="none" w:sz="0" w:space="0" w:color="auto"/>
        <w:left w:val="none" w:sz="0" w:space="0" w:color="auto"/>
        <w:bottom w:val="none" w:sz="0" w:space="0" w:color="auto"/>
        <w:right w:val="none" w:sz="0" w:space="0" w:color="auto"/>
      </w:divBdr>
    </w:div>
    <w:div w:id="1476948446">
      <w:bodyDiv w:val="1"/>
      <w:marLeft w:val="0"/>
      <w:marRight w:val="0"/>
      <w:marTop w:val="0"/>
      <w:marBottom w:val="0"/>
      <w:divBdr>
        <w:top w:val="none" w:sz="0" w:space="0" w:color="auto"/>
        <w:left w:val="none" w:sz="0" w:space="0" w:color="auto"/>
        <w:bottom w:val="none" w:sz="0" w:space="0" w:color="auto"/>
        <w:right w:val="none" w:sz="0" w:space="0" w:color="auto"/>
      </w:divBdr>
    </w:div>
    <w:div w:id="1607536968">
      <w:bodyDiv w:val="1"/>
      <w:marLeft w:val="0"/>
      <w:marRight w:val="0"/>
      <w:marTop w:val="0"/>
      <w:marBottom w:val="0"/>
      <w:divBdr>
        <w:top w:val="none" w:sz="0" w:space="0" w:color="auto"/>
        <w:left w:val="none" w:sz="0" w:space="0" w:color="auto"/>
        <w:bottom w:val="none" w:sz="0" w:space="0" w:color="auto"/>
        <w:right w:val="none" w:sz="0" w:space="0" w:color="auto"/>
      </w:divBdr>
    </w:div>
    <w:div w:id="1635795854">
      <w:bodyDiv w:val="1"/>
      <w:marLeft w:val="0"/>
      <w:marRight w:val="0"/>
      <w:marTop w:val="0"/>
      <w:marBottom w:val="0"/>
      <w:divBdr>
        <w:top w:val="none" w:sz="0" w:space="0" w:color="auto"/>
        <w:left w:val="none" w:sz="0" w:space="0" w:color="auto"/>
        <w:bottom w:val="none" w:sz="0" w:space="0" w:color="auto"/>
        <w:right w:val="none" w:sz="0" w:space="0" w:color="auto"/>
      </w:divBdr>
    </w:div>
    <w:div w:id="1701542217">
      <w:bodyDiv w:val="1"/>
      <w:marLeft w:val="0"/>
      <w:marRight w:val="0"/>
      <w:marTop w:val="0"/>
      <w:marBottom w:val="0"/>
      <w:divBdr>
        <w:top w:val="none" w:sz="0" w:space="0" w:color="auto"/>
        <w:left w:val="none" w:sz="0" w:space="0" w:color="auto"/>
        <w:bottom w:val="none" w:sz="0" w:space="0" w:color="auto"/>
        <w:right w:val="none" w:sz="0" w:space="0" w:color="auto"/>
      </w:divBdr>
    </w:div>
    <w:div w:id="1749811242">
      <w:bodyDiv w:val="1"/>
      <w:marLeft w:val="0"/>
      <w:marRight w:val="0"/>
      <w:marTop w:val="0"/>
      <w:marBottom w:val="0"/>
      <w:divBdr>
        <w:top w:val="none" w:sz="0" w:space="0" w:color="auto"/>
        <w:left w:val="none" w:sz="0" w:space="0" w:color="auto"/>
        <w:bottom w:val="none" w:sz="0" w:space="0" w:color="auto"/>
        <w:right w:val="none" w:sz="0" w:space="0" w:color="auto"/>
      </w:divBdr>
    </w:div>
    <w:div w:id="1772046662">
      <w:bodyDiv w:val="1"/>
      <w:marLeft w:val="0"/>
      <w:marRight w:val="0"/>
      <w:marTop w:val="0"/>
      <w:marBottom w:val="0"/>
      <w:divBdr>
        <w:top w:val="none" w:sz="0" w:space="0" w:color="auto"/>
        <w:left w:val="none" w:sz="0" w:space="0" w:color="auto"/>
        <w:bottom w:val="none" w:sz="0" w:space="0" w:color="auto"/>
        <w:right w:val="none" w:sz="0" w:space="0" w:color="auto"/>
      </w:divBdr>
    </w:div>
    <w:div w:id="1790201800">
      <w:bodyDiv w:val="1"/>
      <w:marLeft w:val="0"/>
      <w:marRight w:val="0"/>
      <w:marTop w:val="0"/>
      <w:marBottom w:val="0"/>
      <w:divBdr>
        <w:top w:val="none" w:sz="0" w:space="0" w:color="auto"/>
        <w:left w:val="none" w:sz="0" w:space="0" w:color="auto"/>
        <w:bottom w:val="none" w:sz="0" w:space="0" w:color="auto"/>
        <w:right w:val="none" w:sz="0" w:space="0" w:color="auto"/>
      </w:divBdr>
    </w:div>
    <w:div w:id="1833107706">
      <w:bodyDiv w:val="1"/>
      <w:marLeft w:val="0"/>
      <w:marRight w:val="0"/>
      <w:marTop w:val="0"/>
      <w:marBottom w:val="0"/>
      <w:divBdr>
        <w:top w:val="none" w:sz="0" w:space="0" w:color="auto"/>
        <w:left w:val="none" w:sz="0" w:space="0" w:color="auto"/>
        <w:bottom w:val="none" w:sz="0" w:space="0" w:color="auto"/>
        <w:right w:val="none" w:sz="0" w:space="0" w:color="auto"/>
      </w:divBdr>
    </w:div>
    <w:div w:id="1847204932">
      <w:bodyDiv w:val="1"/>
      <w:marLeft w:val="0"/>
      <w:marRight w:val="0"/>
      <w:marTop w:val="0"/>
      <w:marBottom w:val="0"/>
      <w:divBdr>
        <w:top w:val="none" w:sz="0" w:space="0" w:color="auto"/>
        <w:left w:val="none" w:sz="0" w:space="0" w:color="auto"/>
        <w:bottom w:val="none" w:sz="0" w:space="0" w:color="auto"/>
        <w:right w:val="none" w:sz="0" w:space="0" w:color="auto"/>
      </w:divBdr>
    </w:div>
    <w:div w:id="1875846741">
      <w:bodyDiv w:val="1"/>
      <w:marLeft w:val="0"/>
      <w:marRight w:val="0"/>
      <w:marTop w:val="0"/>
      <w:marBottom w:val="0"/>
      <w:divBdr>
        <w:top w:val="none" w:sz="0" w:space="0" w:color="auto"/>
        <w:left w:val="none" w:sz="0" w:space="0" w:color="auto"/>
        <w:bottom w:val="none" w:sz="0" w:space="0" w:color="auto"/>
        <w:right w:val="none" w:sz="0" w:space="0" w:color="auto"/>
      </w:divBdr>
    </w:div>
    <w:div w:id="1902515642">
      <w:bodyDiv w:val="1"/>
      <w:marLeft w:val="0"/>
      <w:marRight w:val="0"/>
      <w:marTop w:val="0"/>
      <w:marBottom w:val="0"/>
      <w:divBdr>
        <w:top w:val="none" w:sz="0" w:space="0" w:color="auto"/>
        <w:left w:val="none" w:sz="0" w:space="0" w:color="auto"/>
        <w:bottom w:val="none" w:sz="0" w:space="0" w:color="auto"/>
        <w:right w:val="none" w:sz="0" w:space="0" w:color="auto"/>
      </w:divBdr>
    </w:div>
    <w:div w:id="1902666941">
      <w:bodyDiv w:val="1"/>
      <w:marLeft w:val="0"/>
      <w:marRight w:val="0"/>
      <w:marTop w:val="0"/>
      <w:marBottom w:val="0"/>
      <w:divBdr>
        <w:top w:val="none" w:sz="0" w:space="0" w:color="auto"/>
        <w:left w:val="none" w:sz="0" w:space="0" w:color="auto"/>
        <w:bottom w:val="none" w:sz="0" w:space="0" w:color="auto"/>
        <w:right w:val="none" w:sz="0" w:space="0" w:color="auto"/>
      </w:divBdr>
    </w:div>
    <w:div w:id="1971859388">
      <w:bodyDiv w:val="1"/>
      <w:marLeft w:val="0"/>
      <w:marRight w:val="0"/>
      <w:marTop w:val="0"/>
      <w:marBottom w:val="0"/>
      <w:divBdr>
        <w:top w:val="none" w:sz="0" w:space="0" w:color="auto"/>
        <w:left w:val="none" w:sz="0" w:space="0" w:color="auto"/>
        <w:bottom w:val="none" w:sz="0" w:space="0" w:color="auto"/>
        <w:right w:val="none" w:sz="0" w:space="0" w:color="auto"/>
      </w:divBdr>
    </w:div>
    <w:div w:id="2058236531">
      <w:bodyDiv w:val="1"/>
      <w:marLeft w:val="0"/>
      <w:marRight w:val="0"/>
      <w:marTop w:val="0"/>
      <w:marBottom w:val="0"/>
      <w:divBdr>
        <w:top w:val="none" w:sz="0" w:space="0" w:color="auto"/>
        <w:left w:val="none" w:sz="0" w:space="0" w:color="auto"/>
        <w:bottom w:val="none" w:sz="0" w:space="0" w:color="auto"/>
        <w:right w:val="none" w:sz="0" w:space="0" w:color="auto"/>
      </w:divBdr>
    </w:div>
    <w:div w:id="212553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10</Pages>
  <Words>4185</Words>
  <Characters>23859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PNC Bank</Company>
  <LinksUpToDate>false</LinksUpToDate>
  <CharactersWithSpaces>27989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H2019-03 LIHtc pilot notice q&amp;As 050319</dc:title>
  <dc:subject/>
  <dc:creator>Terry Wellman</dc:creator>
  <cp:keywords/>
  <dc:description/>
  <cp:lastModifiedBy>Arteaga, Elizabeth H</cp:lastModifiedBy>
  <cp:revision>22</cp:revision>
  <cp:lastPrinted>2019-05-03T18:21:00Z</cp:lastPrinted>
  <dcterms:created xsi:type="dcterms:W3CDTF">2019-05-03T17:44:00Z</dcterms:created>
  <dcterms:modified xsi:type="dcterms:W3CDTF">2019-05-05T15:11:00Z</dcterms:modified>
</cp:coreProperties>
</file>