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1BA8BDAB" w:rsidR="00743DDB" w:rsidRPr="001F5102" w:rsidRDefault="00E77069" w:rsidP="00863472">
      <w:pPr>
        <w:pStyle w:val="NoSpacing"/>
        <w:rPr>
          <w:rFonts w:ascii="Arial" w:hAnsi="Arial" w:cs="Arial"/>
          <w:iCs/>
          <w:sz w:val="28"/>
          <w:szCs w:val="28"/>
        </w:rPr>
      </w:pPr>
      <w:r>
        <w:rPr>
          <w:rFonts w:ascii="Arial" w:hAnsi="Arial" w:cs="Arial"/>
          <w:iCs/>
          <w:sz w:val="28"/>
          <w:szCs w:val="28"/>
        </w:rPr>
        <w:t xml:space="preserve">May </w:t>
      </w:r>
      <w:r w:rsidR="00EF3454">
        <w:rPr>
          <w:rFonts w:ascii="Arial" w:hAnsi="Arial" w:cs="Arial"/>
          <w:iCs/>
          <w:sz w:val="28"/>
          <w:szCs w:val="28"/>
        </w:rPr>
        <w:t>9</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4CDCE086" w14:textId="1DBCA11A" w:rsidR="00E77069" w:rsidRPr="00E77069" w:rsidRDefault="00396DB3" w:rsidP="00E77069">
      <w:pPr>
        <w:pStyle w:val="TOC1"/>
        <w:numPr>
          <w:ilvl w:val="0"/>
          <w:numId w:val="48"/>
        </w:numPr>
        <w:rPr>
          <w:rFonts w:asciiTheme="minorHAnsi" w:eastAsiaTheme="minorEastAsia" w:hAnsiTheme="minorHAnsi" w:cstheme="minorBidi"/>
          <w:noProof/>
          <w:color w:val="000066"/>
          <w:sz w:val="22"/>
        </w:rPr>
      </w:pPr>
      <w:r w:rsidRPr="00E77069">
        <w:rPr>
          <w:rFonts w:ascii="Arial" w:hAnsi="Arial" w:cs="Arial"/>
          <w:i/>
        </w:rPr>
        <w:fldChar w:fldCharType="begin"/>
      </w:r>
      <w:r w:rsidRPr="00E77069">
        <w:rPr>
          <w:rFonts w:ascii="Arial" w:hAnsi="Arial" w:cs="Arial"/>
          <w:i/>
        </w:rPr>
        <w:instrText xml:space="preserve"> TOC \o "1-3" \n \h \z \u </w:instrText>
      </w:r>
      <w:r w:rsidRPr="00E77069">
        <w:rPr>
          <w:rFonts w:ascii="Arial" w:hAnsi="Arial" w:cs="Arial"/>
          <w:i/>
        </w:rPr>
        <w:fldChar w:fldCharType="separate"/>
      </w:r>
      <w:hyperlink w:anchor="_Toc102717940" w:history="1">
        <w:r w:rsidR="00E77069" w:rsidRPr="00E77069">
          <w:rPr>
            <w:rStyle w:val="Hyperlink"/>
            <w:noProof/>
            <w:color w:val="000066"/>
          </w:rPr>
          <w:t>Senior Lender Leadership Dialogue Sessions with ORCF</w:t>
        </w:r>
      </w:hyperlink>
    </w:p>
    <w:p w14:paraId="509E46BA" w14:textId="256DA5FD"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1" w:history="1">
        <w:r w:rsidR="00E77069" w:rsidRPr="00E77069">
          <w:rPr>
            <w:rStyle w:val="Hyperlink"/>
            <w:noProof/>
            <w:color w:val="000066"/>
          </w:rPr>
          <w:t>Elimination of Hard Copies of Closing Documents Post-Endorsement</w:t>
        </w:r>
      </w:hyperlink>
    </w:p>
    <w:p w14:paraId="630C2370" w14:textId="7509CBB7"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2" w:history="1">
        <w:r w:rsidR="00E77069" w:rsidRPr="00E77069">
          <w:rPr>
            <w:rStyle w:val="Hyperlink"/>
            <w:noProof/>
            <w:color w:val="000066"/>
          </w:rPr>
          <w:t>Projects in the Queue</w:t>
        </w:r>
      </w:hyperlink>
    </w:p>
    <w:p w14:paraId="63B85FAB" w14:textId="0AB049E1"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3" w:history="1">
        <w:r w:rsidR="00E77069" w:rsidRPr="00E77069">
          <w:rPr>
            <w:rStyle w:val="Hyperlink"/>
            <w:noProof/>
            <w:color w:val="000066"/>
          </w:rPr>
          <w:t>Staffing Turnover and Quality of Care</w:t>
        </w:r>
      </w:hyperlink>
    </w:p>
    <w:p w14:paraId="333B171C" w14:textId="6252C66F"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4" w:history="1">
        <w:r w:rsidR="00E77069" w:rsidRPr="00E77069">
          <w:rPr>
            <w:rStyle w:val="Hyperlink"/>
            <w:noProof/>
            <w:color w:val="000066"/>
          </w:rPr>
          <w:t>The Clean Air in Buildings Challenge Enactment</w:t>
        </w:r>
      </w:hyperlink>
    </w:p>
    <w:p w14:paraId="7CF26DE7" w14:textId="5E98FC36"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5" w:history="1">
        <w:r w:rsidR="00E77069" w:rsidRPr="00E77069">
          <w:rPr>
            <w:rStyle w:val="Hyperlink"/>
            <w:noProof/>
            <w:color w:val="000066"/>
          </w:rPr>
          <w:t>Intertest Rate Increases and Section 232 Transactions</w:t>
        </w:r>
      </w:hyperlink>
    </w:p>
    <w:p w14:paraId="7B6F23DC" w14:textId="4DDFB2AE"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6" w:history="1">
        <w:r w:rsidR="00E77069" w:rsidRPr="00E77069">
          <w:rPr>
            <w:rStyle w:val="Hyperlink"/>
            <w:noProof/>
            <w:color w:val="000066"/>
          </w:rPr>
          <w:t>Updated State Risk Summary Grid</w:t>
        </w:r>
      </w:hyperlink>
    </w:p>
    <w:p w14:paraId="71BFB351" w14:textId="56BB92EC"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7" w:history="1">
        <w:r w:rsidR="00E77069" w:rsidRPr="00E77069">
          <w:rPr>
            <w:rStyle w:val="Hyperlink"/>
            <w:noProof/>
            <w:color w:val="000066"/>
          </w:rPr>
          <w:t>Reminder Regarding Loan Servicing Communication</w:t>
        </w:r>
      </w:hyperlink>
    </w:p>
    <w:p w14:paraId="624F2921" w14:textId="2714083D" w:rsidR="00E77069" w:rsidRPr="00E77069" w:rsidRDefault="00337008" w:rsidP="00E77069">
      <w:pPr>
        <w:pStyle w:val="TOC1"/>
        <w:numPr>
          <w:ilvl w:val="0"/>
          <w:numId w:val="48"/>
        </w:numPr>
        <w:rPr>
          <w:rFonts w:asciiTheme="minorHAnsi" w:eastAsiaTheme="minorEastAsia" w:hAnsiTheme="minorHAnsi" w:cstheme="minorBidi"/>
          <w:noProof/>
          <w:color w:val="000066"/>
          <w:sz w:val="22"/>
        </w:rPr>
      </w:pPr>
      <w:hyperlink w:anchor="_Toc102717948" w:history="1">
        <w:r w:rsidR="00E77069" w:rsidRPr="00E77069">
          <w:rPr>
            <w:rStyle w:val="Hyperlink"/>
            <w:noProof/>
            <w:color w:val="000066"/>
          </w:rPr>
          <w:t>FROM THE CLOSING CORNER</w:t>
        </w:r>
      </w:hyperlink>
    </w:p>
    <w:p w14:paraId="11E9B6D3" w14:textId="237AC10A" w:rsidR="00E77069" w:rsidRPr="00E77069" w:rsidRDefault="00337008" w:rsidP="007F730B">
      <w:pPr>
        <w:pStyle w:val="TOC2"/>
        <w:rPr>
          <w:rFonts w:asciiTheme="minorHAnsi" w:eastAsiaTheme="minorEastAsia" w:hAnsiTheme="minorHAnsi" w:cstheme="minorBidi"/>
          <w:noProof/>
          <w:sz w:val="22"/>
        </w:rPr>
      </w:pPr>
      <w:hyperlink w:anchor="_Toc102717949" w:history="1">
        <w:r w:rsidR="00E77069" w:rsidRPr="00E77069">
          <w:rPr>
            <w:rStyle w:val="Hyperlink"/>
            <w:noProof/>
            <w:color w:val="000066"/>
          </w:rPr>
          <w:t>Updated: The HUD Refinance Closing Checklist for Section 223(f) and Section 223(a)(7) Programs</w:t>
        </w:r>
      </w:hyperlink>
    </w:p>
    <w:p w14:paraId="6E0E6047" w14:textId="4E177C57" w:rsidR="00743DDB" w:rsidRPr="001F5102" w:rsidRDefault="00396DB3" w:rsidP="00863472">
      <w:pPr>
        <w:rPr>
          <w:rFonts w:ascii="Arial" w:hAnsi="Arial" w:cs="Arial"/>
          <w:iCs/>
        </w:rPr>
      </w:pPr>
      <w:r w:rsidRPr="00E77069">
        <w:rPr>
          <w:rFonts w:ascii="Arial" w:hAnsi="Arial" w:cs="Arial"/>
          <w:i/>
        </w:rPr>
        <w:fldChar w:fldCharType="end"/>
      </w:r>
    </w:p>
    <w:p w14:paraId="1BD50F7B" w14:textId="09B52BDD" w:rsidR="0084300D" w:rsidRDefault="0084300D" w:rsidP="00997C33">
      <w:pPr>
        <w:rPr>
          <w:rFonts w:ascii="Arial" w:hAnsi="Arial" w:cs="Arial"/>
        </w:rPr>
      </w:pPr>
      <w:bookmarkStart w:id="1" w:name="_Toc380585836"/>
      <w:bookmarkEnd w:id="1"/>
    </w:p>
    <w:p w14:paraId="4C855FC1" w14:textId="11DCE646" w:rsidR="0098384F" w:rsidRPr="00C44A3B" w:rsidRDefault="0098384F" w:rsidP="00C44A3B">
      <w:pPr>
        <w:pStyle w:val="EmailBlast"/>
      </w:pPr>
      <w:bookmarkStart w:id="2" w:name="_Toc102717940"/>
      <w:r w:rsidRPr="00C44A3B">
        <w:t xml:space="preserve">Senior Lender Leadership Dialogue Sessions with </w:t>
      </w:r>
      <w:proofErr w:type="spellStart"/>
      <w:r w:rsidRPr="00C44A3B">
        <w:t>ORCF</w:t>
      </w:r>
      <w:bookmarkEnd w:id="2"/>
      <w:proofErr w:type="spellEnd"/>
    </w:p>
    <w:p w14:paraId="1B005899" w14:textId="11CDA8AB" w:rsidR="0098384F" w:rsidRPr="008022F8" w:rsidRDefault="00C44A3B" w:rsidP="0098384F">
      <w:pPr>
        <w:rPr>
          <w:rFonts w:ascii="Arial" w:hAnsi="Arial" w:cs="Arial"/>
        </w:rPr>
      </w:pPr>
      <w:r w:rsidRPr="008022F8">
        <w:rPr>
          <w:rFonts w:ascii="Arial" w:hAnsi="Arial" w:cs="Arial"/>
        </w:rPr>
        <w:t>The Office of Residential Care Facilities (</w:t>
      </w:r>
      <w:proofErr w:type="spellStart"/>
      <w:r w:rsidR="0098384F" w:rsidRPr="008022F8">
        <w:rPr>
          <w:rFonts w:ascii="Arial" w:hAnsi="Arial" w:cs="Arial"/>
        </w:rPr>
        <w:t>ORCF</w:t>
      </w:r>
      <w:proofErr w:type="spellEnd"/>
      <w:r w:rsidRPr="008022F8">
        <w:rPr>
          <w:rFonts w:ascii="Arial" w:hAnsi="Arial" w:cs="Arial"/>
        </w:rPr>
        <w:t>)</w:t>
      </w:r>
      <w:r w:rsidR="0098384F" w:rsidRPr="008022F8">
        <w:rPr>
          <w:rFonts w:ascii="Arial" w:hAnsi="Arial" w:cs="Arial"/>
        </w:rPr>
        <w:t xml:space="preserve"> has long recognized that the Section 232 Program’s continuous improvement occurs only through engagement with industry stakeholders.  We are thus pleased that, for the first time since the Pandemic’s onset, we can host an in-person dialogue session with lenders’ chief Section 232 underwriters and, separately but concurrently, with lenders’ chief Section 232 servicers. The purpose of the dialogue sessions is to seek individual input of the participants, and not a request for participants to come to a consensus. </w:t>
      </w:r>
    </w:p>
    <w:p w14:paraId="7753A378" w14:textId="77777777" w:rsidR="0098384F" w:rsidRPr="008022F8" w:rsidRDefault="0098384F" w:rsidP="0098384F">
      <w:pPr>
        <w:rPr>
          <w:rFonts w:ascii="Arial" w:hAnsi="Arial" w:cs="Arial"/>
        </w:rPr>
      </w:pPr>
    </w:p>
    <w:p w14:paraId="5EB33425" w14:textId="77777777" w:rsidR="0098384F" w:rsidRPr="008022F8" w:rsidRDefault="0098384F" w:rsidP="0098384F">
      <w:pPr>
        <w:rPr>
          <w:rFonts w:ascii="Arial" w:hAnsi="Arial" w:cs="Arial"/>
        </w:rPr>
      </w:pPr>
      <w:r w:rsidRPr="008022F8">
        <w:rPr>
          <w:rFonts w:ascii="Arial" w:hAnsi="Arial" w:cs="Arial"/>
        </w:rPr>
        <w:t xml:space="preserve">These sessions will be held from 9:15 a.m. to 11:30 a.m. on June 15, </w:t>
      </w:r>
      <w:proofErr w:type="gramStart"/>
      <w:r w:rsidRPr="008022F8">
        <w:rPr>
          <w:rFonts w:ascii="Arial" w:hAnsi="Arial" w:cs="Arial"/>
        </w:rPr>
        <w:t>2022</w:t>
      </w:r>
      <w:proofErr w:type="gramEnd"/>
      <w:r w:rsidRPr="008022F8">
        <w:rPr>
          <w:rFonts w:ascii="Arial" w:hAnsi="Arial" w:cs="Arial"/>
        </w:rPr>
        <w:t xml:space="preserve"> on the second floor of the Minneapolis Central Library (l300 Nicollet Mall) in Pohlad Hall (Production) and the S-275 </w:t>
      </w:r>
      <w:proofErr w:type="spellStart"/>
      <w:r w:rsidRPr="008022F8">
        <w:rPr>
          <w:rFonts w:ascii="Arial" w:hAnsi="Arial" w:cs="Arial"/>
        </w:rPr>
        <w:t>RKMC</w:t>
      </w:r>
      <w:proofErr w:type="spellEnd"/>
      <w:r w:rsidRPr="008022F8">
        <w:rPr>
          <w:rFonts w:ascii="Arial" w:hAnsi="Arial" w:cs="Arial"/>
        </w:rPr>
        <w:t xml:space="preserve"> Room (Asset Management). This date and location were selected because many potential participants may already be coming to Minneapolis that week for the Healthcare Mortgagee Advisory Council (</w:t>
      </w:r>
      <w:proofErr w:type="spellStart"/>
      <w:r w:rsidRPr="008022F8">
        <w:rPr>
          <w:rFonts w:ascii="Arial" w:hAnsi="Arial" w:cs="Arial"/>
        </w:rPr>
        <w:t>HMAC</w:t>
      </w:r>
      <w:proofErr w:type="spellEnd"/>
      <w:r w:rsidRPr="008022F8">
        <w:rPr>
          <w:rFonts w:ascii="Arial" w:hAnsi="Arial" w:cs="Arial"/>
        </w:rPr>
        <w:t>) conference.</w:t>
      </w:r>
    </w:p>
    <w:p w14:paraId="1BE44B88" w14:textId="77777777" w:rsidR="0098384F" w:rsidRPr="008022F8" w:rsidRDefault="0098384F" w:rsidP="0098384F">
      <w:pPr>
        <w:rPr>
          <w:rFonts w:ascii="Arial" w:hAnsi="Arial" w:cs="Arial"/>
        </w:rPr>
      </w:pPr>
    </w:p>
    <w:p w14:paraId="20325CF3" w14:textId="77777777" w:rsidR="0098384F" w:rsidRPr="008022F8" w:rsidRDefault="0098384F" w:rsidP="0098384F">
      <w:pPr>
        <w:rPr>
          <w:rFonts w:ascii="Arial" w:hAnsi="Arial" w:cs="Arial"/>
        </w:rPr>
      </w:pPr>
      <w:r w:rsidRPr="008022F8">
        <w:rPr>
          <w:rFonts w:ascii="Arial" w:hAnsi="Arial" w:cs="Arial"/>
        </w:rPr>
        <w:t xml:space="preserve">These two concurrent sessions will be interactive, as we engage with lenders’ leadership on Production and Servicing topics important to both HUD and Section 232 lenders.  Accordingly, each Section 232-approved lender is invited to send only one </w:t>
      </w:r>
      <w:r w:rsidRPr="008022F8">
        <w:rPr>
          <w:rFonts w:ascii="Arial" w:hAnsi="Arial" w:cs="Arial"/>
        </w:rPr>
        <w:lastRenderedPageBreak/>
        <w:t>participant to each session.  The designees should be the most senior Section 232 underwriting representative and most senior Section 232 servicing representative available.</w:t>
      </w:r>
    </w:p>
    <w:p w14:paraId="4724A720" w14:textId="77777777" w:rsidR="0098384F" w:rsidRPr="008022F8" w:rsidRDefault="0098384F" w:rsidP="0098384F">
      <w:pPr>
        <w:rPr>
          <w:rFonts w:ascii="Arial" w:hAnsi="Arial" w:cs="Arial"/>
        </w:rPr>
      </w:pPr>
    </w:p>
    <w:p w14:paraId="642C5016" w14:textId="77777777" w:rsidR="0098384F" w:rsidRPr="008022F8" w:rsidRDefault="0098384F" w:rsidP="0098384F">
      <w:pPr>
        <w:rPr>
          <w:rFonts w:ascii="Arial" w:hAnsi="Arial" w:cs="Arial"/>
        </w:rPr>
      </w:pPr>
      <w:r w:rsidRPr="008022F8">
        <w:rPr>
          <w:rFonts w:ascii="Arial" w:hAnsi="Arial" w:cs="Arial"/>
        </w:rPr>
        <w:t xml:space="preserve">To register as a lender’s senior Production or Servicing representative, use this </w:t>
      </w:r>
      <w:hyperlink r:id="rId12" w:history="1">
        <w:r w:rsidRPr="008022F8">
          <w:rPr>
            <w:rStyle w:val="Hyperlink"/>
            <w:rFonts w:ascii="Arial" w:hAnsi="Arial" w:cs="Arial"/>
          </w:rPr>
          <w:t>Registration Form</w:t>
        </w:r>
      </w:hyperlink>
      <w:r w:rsidRPr="008022F8">
        <w:rPr>
          <w:rFonts w:ascii="Arial" w:hAnsi="Arial" w:cs="Arial"/>
        </w:rPr>
        <w:t xml:space="preserve"> by Friday, May 27, 2022.  Also, since in these sessions we will engage in detailed discussions of key topics, please also submit suggested topics/questions to </w:t>
      </w:r>
      <w:proofErr w:type="spellStart"/>
      <w:r w:rsidRPr="008022F8">
        <w:rPr>
          <w:rFonts w:ascii="Arial" w:hAnsi="Arial" w:cs="Arial"/>
        </w:rPr>
        <w:t>ORCF</w:t>
      </w:r>
      <w:proofErr w:type="spellEnd"/>
      <w:r w:rsidRPr="008022F8">
        <w:rPr>
          <w:rFonts w:ascii="Arial" w:hAnsi="Arial" w:cs="Arial"/>
        </w:rPr>
        <w:t xml:space="preserve"> by Friday, June 3, 2022. Please use this linked form for </w:t>
      </w:r>
      <w:hyperlink r:id="rId13" w:history="1">
        <w:r w:rsidRPr="008022F8">
          <w:rPr>
            <w:rStyle w:val="Hyperlink"/>
            <w:rFonts w:ascii="Arial" w:hAnsi="Arial" w:cs="Arial"/>
          </w:rPr>
          <w:t>Production Topics</w:t>
        </w:r>
      </w:hyperlink>
      <w:r w:rsidRPr="008022F8">
        <w:rPr>
          <w:rFonts w:ascii="Arial" w:hAnsi="Arial" w:cs="Arial"/>
        </w:rPr>
        <w:t xml:space="preserve">, and this linked form for </w:t>
      </w:r>
      <w:hyperlink r:id="rId14" w:history="1">
        <w:r w:rsidRPr="008022F8">
          <w:rPr>
            <w:rStyle w:val="Hyperlink"/>
            <w:rFonts w:ascii="Arial" w:hAnsi="Arial" w:cs="Arial"/>
          </w:rPr>
          <w:t>Servicing Topics</w:t>
        </w:r>
      </w:hyperlink>
      <w:r w:rsidRPr="008022F8">
        <w:rPr>
          <w:rFonts w:ascii="Arial" w:hAnsi="Arial" w:cs="Arial"/>
        </w:rPr>
        <w:t xml:space="preserve">. </w:t>
      </w:r>
    </w:p>
    <w:p w14:paraId="7901CA84" w14:textId="77777777" w:rsidR="00577CA6" w:rsidRPr="008022F8" w:rsidRDefault="00577CA6" w:rsidP="00577CA6">
      <w:pPr>
        <w:rPr>
          <w:rFonts w:ascii="Arial" w:hAnsi="Arial" w:cs="Arial"/>
        </w:rPr>
      </w:pPr>
    </w:p>
    <w:p w14:paraId="54C313D3" w14:textId="5A0CD12F" w:rsidR="00577CA6" w:rsidRPr="008022F8" w:rsidRDefault="00577CA6" w:rsidP="00577CA6">
      <w:pPr>
        <w:rPr>
          <w:rFonts w:ascii="Arial" w:hAnsi="Arial" w:cs="Arial"/>
          <w:i/>
          <w:iCs/>
        </w:rPr>
      </w:pPr>
      <w:r w:rsidRPr="008022F8">
        <w:rPr>
          <w:rFonts w:ascii="Arial" w:hAnsi="Arial" w:cs="Arial"/>
          <w:b/>
          <w:bCs/>
          <w:i/>
          <w:iCs/>
        </w:rPr>
        <w:t>Keywords:</w:t>
      </w:r>
      <w:r w:rsidRPr="008022F8">
        <w:rPr>
          <w:rFonts w:ascii="Arial" w:hAnsi="Arial" w:cs="Arial"/>
          <w:i/>
          <w:iCs/>
        </w:rPr>
        <w:t xml:space="preserve">  </w:t>
      </w:r>
      <w:r w:rsidR="00196248" w:rsidRPr="008022F8">
        <w:rPr>
          <w:rFonts w:ascii="Arial" w:hAnsi="Arial" w:cs="Arial"/>
          <w:i/>
          <w:iCs/>
        </w:rPr>
        <w:t>Lender Dialog Meetings</w:t>
      </w:r>
    </w:p>
    <w:p w14:paraId="5ADC78D1" w14:textId="77777777" w:rsidR="00577CA6" w:rsidRDefault="00577CA6" w:rsidP="00577CA6">
      <w:pPr>
        <w:rPr>
          <w:rFonts w:ascii="Arial" w:hAnsi="Arial" w:cs="Arial"/>
          <w:szCs w:val="24"/>
        </w:rPr>
      </w:pPr>
    </w:p>
    <w:p w14:paraId="5713CABB" w14:textId="77777777" w:rsidR="00577CA6" w:rsidRPr="001F5102" w:rsidRDefault="00337008" w:rsidP="00577CA6">
      <w:pPr>
        <w:rPr>
          <w:rFonts w:ascii="Arial" w:hAnsi="Arial" w:cs="Arial"/>
          <w:b/>
          <w:color w:val="365F91" w:themeColor="accent1" w:themeShade="BF"/>
          <w:szCs w:val="24"/>
        </w:rPr>
      </w:pPr>
      <w:hyperlink w:anchor="_top" w:history="1">
        <w:r w:rsidR="00577CA6" w:rsidRPr="001F5102">
          <w:rPr>
            <w:rFonts w:ascii="Arial" w:hAnsi="Arial" w:cs="Arial"/>
            <w:color w:val="365F91" w:themeColor="accent1" w:themeShade="BF"/>
            <w:szCs w:val="24"/>
            <w:u w:val="single"/>
          </w:rPr>
          <w:t>Back to top</w:t>
        </w:r>
      </w:hyperlink>
    </w:p>
    <w:p w14:paraId="3EB16D99" w14:textId="77777777" w:rsidR="00577CA6" w:rsidRDefault="00577CA6" w:rsidP="00EB3297">
      <w:pPr>
        <w:pStyle w:val="EmailBlast"/>
      </w:pPr>
    </w:p>
    <w:p w14:paraId="6B70AD7D" w14:textId="2D555BD9" w:rsidR="00EB3297" w:rsidRPr="002B3D73" w:rsidRDefault="00EB3297" w:rsidP="00EB3297">
      <w:pPr>
        <w:pStyle w:val="EmailBlast"/>
      </w:pPr>
      <w:bookmarkStart w:id="3" w:name="_Toc102717941"/>
      <w:r w:rsidRPr="002B3D73">
        <w:t>Elimination of Hard Copies of Closing Documents Post-Endorsement</w:t>
      </w:r>
      <w:bookmarkEnd w:id="3"/>
      <w:r w:rsidRPr="002B3D73">
        <w:t xml:space="preserve"> </w:t>
      </w:r>
    </w:p>
    <w:p w14:paraId="47C3D232" w14:textId="5E9015F8" w:rsidR="00EB3297" w:rsidRPr="007F0EB1" w:rsidRDefault="00EB3297" w:rsidP="00EB3297">
      <w:pPr>
        <w:rPr>
          <w:rFonts w:ascii="Arial" w:hAnsi="Arial" w:cs="Arial"/>
        </w:rPr>
      </w:pPr>
      <w:r w:rsidRPr="007F0EB1">
        <w:rPr>
          <w:rFonts w:ascii="Arial" w:hAnsi="Arial" w:cs="Arial"/>
        </w:rPr>
        <w:t xml:space="preserve">HUD has been closing Section 232 residential care loans electronically since March 2020, subject to lenders providing a hard copy of the closing documents when HUD resumed normal operations.  </w:t>
      </w:r>
      <w:proofErr w:type="spellStart"/>
      <w:r w:rsidRPr="007F0EB1">
        <w:rPr>
          <w:rFonts w:ascii="Arial" w:hAnsi="Arial" w:cs="Arial"/>
        </w:rPr>
        <w:t>ORCF</w:t>
      </w:r>
      <w:proofErr w:type="spellEnd"/>
      <w:r w:rsidRPr="007F0EB1">
        <w:rPr>
          <w:rFonts w:ascii="Arial" w:hAnsi="Arial" w:cs="Arial"/>
        </w:rPr>
        <w:t xml:space="preserve"> has reconsidered this aspect of the March 2020 Contingency Plan and </w:t>
      </w:r>
      <w:r w:rsidR="009D556C" w:rsidRPr="007F0EB1">
        <w:rPr>
          <w:rFonts w:ascii="Arial" w:hAnsi="Arial" w:cs="Arial"/>
        </w:rPr>
        <w:t xml:space="preserve">has </w:t>
      </w:r>
      <w:r w:rsidRPr="007F0EB1">
        <w:rPr>
          <w:rFonts w:ascii="Arial" w:hAnsi="Arial" w:cs="Arial"/>
        </w:rPr>
        <w:t xml:space="preserve">determined that </w:t>
      </w:r>
      <w:r w:rsidR="003B6752" w:rsidRPr="007F0EB1">
        <w:rPr>
          <w:rFonts w:ascii="Arial" w:hAnsi="Arial" w:cs="Arial"/>
        </w:rPr>
        <w:t>effective immediately</w:t>
      </w:r>
      <w:r w:rsidR="004526BB" w:rsidRPr="007F0EB1">
        <w:rPr>
          <w:rFonts w:ascii="Arial" w:hAnsi="Arial" w:cs="Arial"/>
        </w:rPr>
        <w:t xml:space="preserve">, </w:t>
      </w:r>
      <w:r w:rsidRPr="007F0EB1">
        <w:rPr>
          <w:rFonts w:ascii="Arial" w:hAnsi="Arial" w:cs="Arial"/>
        </w:rPr>
        <w:t>submission of hard cop</w:t>
      </w:r>
      <w:r w:rsidR="004526BB" w:rsidRPr="007F0EB1">
        <w:rPr>
          <w:rFonts w:ascii="Arial" w:hAnsi="Arial" w:cs="Arial"/>
        </w:rPr>
        <w:t>ies</w:t>
      </w:r>
      <w:r w:rsidRPr="007F0EB1">
        <w:rPr>
          <w:rFonts w:ascii="Arial" w:hAnsi="Arial" w:cs="Arial"/>
        </w:rPr>
        <w:t xml:space="preserve"> of the documents </w:t>
      </w:r>
      <w:r w:rsidR="00BA2F0F" w:rsidRPr="007F0EB1">
        <w:rPr>
          <w:rFonts w:ascii="Arial" w:hAnsi="Arial" w:cs="Arial"/>
        </w:rPr>
        <w:t>will</w:t>
      </w:r>
      <w:r w:rsidRPr="007F0EB1">
        <w:rPr>
          <w:rFonts w:ascii="Arial" w:hAnsi="Arial" w:cs="Arial"/>
        </w:rPr>
        <w:t xml:space="preserve"> no</w:t>
      </w:r>
      <w:r w:rsidR="00BA2F0F" w:rsidRPr="007F0EB1">
        <w:rPr>
          <w:rFonts w:ascii="Arial" w:hAnsi="Arial" w:cs="Arial"/>
        </w:rPr>
        <w:t xml:space="preserve"> longer be</w:t>
      </w:r>
      <w:r w:rsidRPr="007F0EB1">
        <w:rPr>
          <w:rFonts w:ascii="Arial" w:hAnsi="Arial" w:cs="Arial"/>
        </w:rPr>
        <w:t xml:space="preserve"> required provided that no changes were made to the </w:t>
      </w:r>
      <w:r w:rsidR="00047C1D" w:rsidRPr="007F0EB1">
        <w:rPr>
          <w:rFonts w:ascii="Arial" w:hAnsi="Arial" w:cs="Arial"/>
        </w:rPr>
        <w:t xml:space="preserve">document </w:t>
      </w:r>
      <w:r w:rsidRPr="007F0EB1">
        <w:rPr>
          <w:rFonts w:ascii="Arial" w:hAnsi="Arial" w:cs="Arial"/>
        </w:rPr>
        <w:t xml:space="preserve">submission that was provided electronically to HUD.  Guidance is available </w:t>
      </w:r>
      <w:r w:rsidR="00AC5A43" w:rsidRPr="007F0EB1">
        <w:rPr>
          <w:rFonts w:ascii="Arial" w:hAnsi="Arial" w:cs="Arial"/>
        </w:rPr>
        <w:t>(</w:t>
      </w:r>
      <w:hyperlink r:id="rId15" w:history="1">
        <w:r w:rsidRPr="007F0EB1">
          <w:rPr>
            <w:rStyle w:val="Hyperlink"/>
            <w:rFonts w:ascii="Arial" w:hAnsi="Arial" w:cs="Arial"/>
          </w:rPr>
          <w:t>here</w:t>
        </w:r>
      </w:hyperlink>
      <w:r w:rsidR="00AC5A43" w:rsidRPr="007F0EB1">
        <w:rPr>
          <w:rFonts w:ascii="Arial" w:hAnsi="Arial" w:cs="Arial"/>
        </w:rPr>
        <w:t>)</w:t>
      </w:r>
      <w:r w:rsidRPr="007F0EB1">
        <w:rPr>
          <w:rFonts w:ascii="Arial" w:hAnsi="Arial" w:cs="Arial"/>
        </w:rPr>
        <w:t xml:space="preserve">. </w:t>
      </w:r>
    </w:p>
    <w:p w14:paraId="3E63A4ED" w14:textId="77777777" w:rsidR="00EB3297" w:rsidRPr="007F0EB1" w:rsidRDefault="00EB3297" w:rsidP="00EB3297">
      <w:pPr>
        <w:rPr>
          <w:rFonts w:ascii="Arial" w:hAnsi="Arial" w:cs="Arial"/>
        </w:rPr>
      </w:pPr>
    </w:p>
    <w:p w14:paraId="0FBAECFF" w14:textId="77777777" w:rsidR="00EB3297" w:rsidRPr="007F0EB1" w:rsidRDefault="00EB3297" w:rsidP="00EB3297">
      <w:pPr>
        <w:rPr>
          <w:rFonts w:ascii="Arial" w:hAnsi="Arial" w:cs="Arial"/>
          <w:i/>
          <w:iCs/>
        </w:rPr>
      </w:pPr>
      <w:r w:rsidRPr="007F0EB1">
        <w:rPr>
          <w:rFonts w:ascii="Arial" w:hAnsi="Arial" w:cs="Arial"/>
          <w:b/>
          <w:bCs/>
          <w:i/>
          <w:iCs/>
        </w:rPr>
        <w:t>Keywords:</w:t>
      </w:r>
      <w:r w:rsidRPr="007F0EB1">
        <w:rPr>
          <w:rFonts w:ascii="Arial" w:hAnsi="Arial" w:cs="Arial"/>
          <w:i/>
          <w:iCs/>
        </w:rPr>
        <w:t xml:space="preserve">  Closings</w:t>
      </w:r>
    </w:p>
    <w:p w14:paraId="06E6F90F" w14:textId="77777777" w:rsidR="002B3D73" w:rsidRDefault="002B3D73" w:rsidP="002B3D73">
      <w:pPr>
        <w:rPr>
          <w:rFonts w:ascii="Arial" w:hAnsi="Arial" w:cs="Arial"/>
          <w:szCs w:val="24"/>
        </w:rPr>
      </w:pPr>
    </w:p>
    <w:p w14:paraId="2FCB64B7" w14:textId="77777777" w:rsidR="002B3D73" w:rsidRPr="001F5102" w:rsidRDefault="00337008" w:rsidP="002B3D73">
      <w:pPr>
        <w:rPr>
          <w:rFonts w:ascii="Arial" w:hAnsi="Arial" w:cs="Arial"/>
          <w:b/>
          <w:color w:val="365F91" w:themeColor="accent1" w:themeShade="BF"/>
          <w:szCs w:val="24"/>
        </w:rPr>
      </w:pPr>
      <w:hyperlink w:anchor="_top" w:history="1">
        <w:r w:rsidR="002B3D73" w:rsidRPr="001F5102">
          <w:rPr>
            <w:rFonts w:ascii="Arial" w:hAnsi="Arial" w:cs="Arial"/>
            <w:color w:val="365F91" w:themeColor="accent1" w:themeShade="BF"/>
            <w:szCs w:val="24"/>
            <w:u w:val="single"/>
          </w:rPr>
          <w:t>Back to top</w:t>
        </w:r>
      </w:hyperlink>
    </w:p>
    <w:p w14:paraId="6C1BBDE8" w14:textId="77777777" w:rsidR="002B3D73" w:rsidRPr="001F5102" w:rsidRDefault="002B3D73" w:rsidP="00997C33">
      <w:pPr>
        <w:rPr>
          <w:rFonts w:ascii="Arial" w:hAnsi="Arial" w:cs="Arial"/>
        </w:rPr>
      </w:pPr>
    </w:p>
    <w:p w14:paraId="646BD2E4" w14:textId="17BD09B4" w:rsidR="006C2FA8" w:rsidRPr="006C2FA8" w:rsidRDefault="006C2FA8" w:rsidP="006C2FA8">
      <w:pPr>
        <w:pStyle w:val="EmailBlast"/>
      </w:pPr>
      <w:bookmarkStart w:id="4" w:name="_Toc102717942"/>
      <w:r w:rsidRPr="006C2FA8">
        <w:rPr>
          <w:szCs w:val="24"/>
        </w:rPr>
        <w:t>Projects in the Queue</w:t>
      </w:r>
      <w:bookmarkEnd w:id="4"/>
    </w:p>
    <w:p w14:paraId="178673D6" w14:textId="675F24F4" w:rsidR="006C2FA8" w:rsidRPr="006C2FA8" w:rsidRDefault="006C2FA8" w:rsidP="006C2FA8">
      <w:pPr>
        <w:rPr>
          <w:rFonts w:ascii="Arial" w:hAnsi="Arial" w:cs="Arial"/>
          <w:szCs w:val="24"/>
        </w:rPr>
      </w:pPr>
      <w:proofErr w:type="spellStart"/>
      <w:r w:rsidRPr="006C2FA8">
        <w:rPr>
          <w:rFonts w:ascii="Arial" w:hAnsi="Arial" w:cs="Arial"/>
          <w:szCs w:val="24"/>
        </w:rPr>
        <w:t>ORCF’s</w:t>
      </w:r>
      <w:proofErr w:type="spellEnd"/>
      <w:r w:rsidRPr="006C2FA8">
        <w:rPr>
          <w:rFonts w:ascii="Arial" w:hAnsi="Arial" w:cs="Arial"/>
          <w:szCs w:val="24"/>
        </w:rPr>
        <w:t xml:space="preserve"> expectation is that an application is ready for review by an underwriter when an application is submitted.  If an application in the queue is not ready for assignment to an underwriter, the </w:t>
      </w:r>
      <w:r w:rsidR="00D86258">
        <w:rPr>
          <w:rFonts w:ascii="Arial" w:hAnsi="Arial" w:cs="Arial"/>
          <w:szCs w:val="24"/>
        </w:rPr>
        <w:t>L</w:t>
      </w:r>
      <w:r w:rsidRPr="006C2FA8">
        <w:rPr>
          <w:rFonts w:ascii="Arial" w:hAnsi="Arial" w:cs="Arial"/>
          <w:szCs w:val="24"/>
        </w:rPr>
        <w:t xml:space="preserve">ender should immediately notify </w:t>
      </w:r>
      <w:proofErr w:type="spellStart"/>
      <w:r w:rsidRPr="006C2FA8">
        <w:rPr>
          <w:rFonts w:ascii="Arial" w:hAnsi="Arial" w:cs="Arial"/>
          <w:szCs w:val="24"/>
        </w:rPr>
        <w:t>ORCF</w:t>
      </w:r>
      <w:proofErr w:type="spellEnd"/>
      <w:r w:rsidRPr="006C2FA8">
        <w:rPr>
          <w:rFonts w:ascii="Arial" w:hAnsi="Arial" w:cs="Arial"/>
          <w:szCs w:val="24"/>
        </w:rPr>
        <w:t xml:space="preserve"> so the project can be placed on temporary hold.  When projects on temporary hold are ready to underwrite, they are placed back into the queue as of the original queue entry date.  </w:t>
      </w:r>
      <w:proofErr w:type="spellStart"/>
      <w:r w:rsidRPr="006C2FA8">
        <w:rPr>
          <w:rFonts w:ascii="Arial" w:hAnsi="Arial" w:cs="Arial"/>
          <w:szCs w:val="24"/>
        </w:rPr>
        <w:t>ORCF</w:t>
      </w:r>
      <w:proofErr w:type="spellEnd"/>
      <w:r w:rsidRPr="006C2FA8">
        <w:rPr>
          <w:rFonts w:ascii="Arial" w:hAnsi="Arial" w:cs="Arial"/>
          <w:szCs w:val="24"/>
        </w:rPr>
        <w:t xml:space="preserve"> will not allow applications to remain in the queue if they are not ready to underwrite.</w:t>
      </w:r>
    </w:p>
    <w:p w14:paraId="1C1687A6" w14:textId="77777777" w:rsidR="006C2FA8" w:rsidRPr="006C2FA8" w:rsidRDefault="006C2FA8" w:rsidP="006C2FA8">
      <w:pPr>
        <w:rPr>
          <w:rFonts w:ascii="Arial" w:hAnsi="Arial" w:cs="Arial"/>
          <w:szCs w:val="24"/>
        </w:rPr>
      </w:pPr>
    </w:p>
    <w:p w14:paraId="275EB9E8" w14:textId="6FAFDD3C" w:rsidR="006C2FA8" w:rsidRPr="006C2FA8" w:rsidRDefault="00686957" w:rsidP="006C2FA8">
      <w:pPr>
        <w:rPr>
          <w:rFonts w:ascii="Arial" w:hAnsi="Arial" w:cs="Arial"/>
          <w:szCs w:val="24"/>
        </w:rPr>
      </w:pPr>
      <w:r>
        <w:rPr>
          <w:rFonts w:ascii="Arial" w:hAnsi="Arial" w:cs="Arial"/>
          <w:szCs w:val="24"/>
        </w:rPr>
        <w:t xml:space="preserve">As a reminder, </w:t>
      </w:r>
      <w:r w:rsidR="006C2FA8" w:rsidRPr="006C2FA8">
        <w:rPr>
          <w:rFonts w:ascii="Arial" w:hAnsi="Arial" w:cs="Arial"/>
          <w:szCs w:val="24"/>
        </w:rPr>
        <w:t>below are general criteria for when projects are ready to underwrite:</w:t>
      </w:r>
    </w:p>
    <w:p w14:paraId="780EC182" w14:textId="530FB4C8"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The project has at least 1.45 DSCR on the T12 actual </w:t>
      </w:r>
      <w:proofErr w:type="spellStart"/>
      <w:r w:rsidRPr="006C2FA8">
        <w:rPr>
          <w:rFonts w:ascii="Arial" w:hAnsi="Arial" w:cs="Arial"/>
          <w:szCs w:val="24"/>
        </w:rPr>
        <w:t>NOI</w:t>
      </w:r>
      <w:proofErr w:type="spellEnd"/>
      <w:r w:rsidRPr="006C2FA8">
        <w:rPr>
          <w:rFonts w:ascii="Arial" w:hAnsi="Arial" w:cs="Arial"/>
          <w:szCs w:val="24"/>
        </w:rPr>
        <w:t xml:space="preserve"> including the underwritten reserve for replacement (see the </w:t>
      </w:r>
      <w:hyperlink r:id="rId16" w:history="1">
        <w:r w:rsidRPr="00702B8B">
          <w:rPr>
            <w:rStyle w:val="Hyperlink"/>
            <w:rFonts w:ascii="Arial" w:hAnsi="Arial" w:cs="Arial"/>
            <w:szCs w:val="24"/>
          </w:rPr>
          <w:t>August 27, 202</w:t>
        </w:r>
        <w:r w:rsidR="004A3D29">
          <w:rPr>
            <w:rStyle w:val="Hyperlink"/>
            <w:rFonts w:ascii="Arial" w:hAnsi="Arial" w:cs="Arial"/>
            <w:szCs w:val="24"/>
          </w:rPr>
          <w:t>1 Email Blast</w:t>
        </w:r>
      </w:hyperlink>
      <w:r w:rsidRPr="006C2FA8">
        <w:rPr>
          <w:rFonts w:ascii="Arial" w:hAnsi="Arial" w:cs="Arial"/>
          <w:szCs w:val="24"/>
        </w:rPr>
        <w:t>)</w:t>
      </w:r>
    </w:p>
    <w:p w14:paraId="69229C53" w14:textId="77777777" w:rsidR="006C2FA8" w:rsidRPr="006C2FA8" w:rsidRDefault="006C2FA8" w:rsidP="006C2FA8">
      <w:pPr>
        <w:numPr>
          <w:ilvl w:val="0"/>
          <w:numId w:val="42"/>
        </w:numPr>
        <w:rPr>
          <w:rFonts w:ascii="Arial" w:hAnsi="Arial" w:cs="Arial"/>
          <w:szCs w:val="24"/>
        </w:rPr>
      </w:pPr>
      <w:r w:rsidRPr="006C2FA8">
        <w:rPr>
          <w:rFonts w:ascii="Arial" w:hAnsi="Arial" w:cs="Arial"/>
          <w:szCs w:val="24"/>
        </w:rPr>
        <w:t>The project is operating at or trending toward the underwritten and appraised metrics, including occupancy, census mix and operating margin, as well as DSCR</w:t>
      </w:r>
    </w:p>
    <w:p w14:paraId="6FD3FEFB" w14:textId="436C6B05"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The project has least a 1.45 DSCR in the Stress Test for the most recent </w:t>
      </w:r>
      <w:r w:rsidR="00AA5237">
        <w:rPr>
          <w:rFonts w:ascii="Arial" w:hAnsi="Arial" w:cs="Arial"/>
          <w:szCs w:val="24"/>
        </w:rPr>
        <w:t>three (</w:t>
      </w:r>
      <w:r w:rsidRPr="006C2FA8">
        <w:rPr>
          <w:rFonts w:ascii="Arial" w:hAnsi="Arial" w:cs="Arial"/>
          <w:szCs w:val="24"/>
        </w:rPr>
        <w:t>3</w:t>
      </w:r>
      <w:r w:rsidR="00AA5237">
        <w:rPr>
          <w:rFonts w:ascii="Arial" w:hAnsi="Arial" w:cs="Arial"/>
          <w:szCs w:val="24"/>
        </w:rPr>
        <w:t>)</w:t>
      </w:r>
      <w:r w:rsidRPr="006C2FA8">
        <w:rPr>
          <w:rFonts w:ascii="Arial" w:hAnsi="Arial" w:cs="Arial"/>
          <w:szCs w:val="24"/>
        </w:rPr>
        <w:t xml:space="preserve"> months and in the Test Scenario Average</w:t>
      </w:r>
    </w:p>
    <w:p w14:paraId="32E9D36D" w14:textId="3F6CC9EE" w:rsidR="006C2FA8" w:rsidRPr="006C2FA8" w:rsidRDefault="006C2FA8" w:rsidP="006C2FA8">
      <w:pPr>
        <w:numPr>
          <w:ilvl w:val="0"/>
          <w:numId w:val="42"/>
        </w:numPr>
        <w:rPr>
          <w:rFonts w:ascii="Arial" w:hAnsi="Arial" w:cs="Arial"/>
          <w:szCs w:val="24"/>
        </w:rPr>
      </w:pPr>
      <w:r w:rsidRPr="006C2FA8">
        <w:rPr>
          <w:rFonts w:ascii="Arial" w:hAnsi="Arial" w:cs="Arial"/>
          <w:szCs w:val="24"/>
        </w:rPr>
        <w:lastRenderedPageBreak/>
        <w:t xml:space="preserve">Any COVID-19 expense adjustments must be clearly identified and explained in the application.  Per the </w:t>
      </w:r>
      <w:hyperlink r:id="rId17" w:history="1">
        <w:r w:rsidRPr="00B82399">
          <w:rPr>
            <w:rStyle w:val="Hyperlink"/>
            <w:rFonts w:ascii="Arial" w:hAnsi="Arial" w:cs="Arial"/>
            <w:szCs w:val="24"/>
          </w:rPr>
          <w:t xml:space="preserve">February 23, 2022 </w:t>
        </w:r>
        <w:r w:rsidR="00BB561C" w:rsidRPr="00B82399">
          <w:rPr>
            <w:rStyle w:val="Hyperlink"/>
            <w:rFonts w:ascii="Arial" w:hAnsi="Arial" w:cs="Arial"/>
            <w:szCs w:val="24"/>
          </w:rPr>
          <w:t>E</w:t>
        </w:r>
        <w:r w:rsidRPr="00B82399">
          <w:rPr>
            <w:rStyle w:val="Hyperlink"/>
            <w:rFonts w:ascii="Arial" w:hAnsi="Arial" w:cs="Arial"/>
            <w:szCs w:val="24"/>
          </w:rPr>
          <w:t xml:space="preserve">mail </w:t>
        </w:r>
        <w:r w:rsidR="00BB561C" w:rsidRPr="00B82399">
          <w:rPr>
            <w:rStyle w:val="Hyperlink"/>
            <w:rFonts w:ascii="Arial" w:hAnsi="Arial" w:cs="Arial"/>
            <w:szCs w:val="24"/>
          </w:rPr>
          <w:t>B</w:t>
        </w:r>
        <w:r w:rsidRPr="00B82399">
          <w:rPr>
            <w:rStyle w:val="Hyperlink"/>
            <w:rFonts w:ascii="Arial" w:hAnsi="Arial" w:cs="Arial"/>
            <w:szCs w:val="24"/>
          </w:rPr>
          <w:t>last</w:t>
        </w:r>
      </w:hyperlink>
      <w:r w:rsidRPr="006C2FA8">
        <w:rPr>
          <w:rFonts w:ascii="Arial" w:hAnsi="Arial" w:cs="Arial"/>
          <w:szCs w:val="24"/>
        </w:rPr>
        <w:t xml:space="preserve">, note that the industry has adapted to new ways of operating and </w:t>
      </w:r>
      <w:proofErr w:type="spellStart"/>
      <w:r w:rsidRPr="006C2FA8">
        <w:rPr>
          <w:rFonts w:ascii="Arial" w:hAnsi="Arial" w:cs="Arial"/>
          <w:szCs w:val="24"/>
        </w:rPr>
        <w:t>ORCF</w:t>
      </w:r>
      <w:proofErr w:type="spellEnd"/>
      <w:r w:rsidRPr="006C2FA8">
        <w:rPr>
          <w:rFonts w:ascii="Arial" w:hAnsi="Arial" w:cs="Arial"/>
          <w:szCs w:val="24"/>
        </w:rPr>
        <w:t xml:space="preserve"> therefore expects to see minimal adjustments to underwritten COVID-19 expenses as a result.</w:t>
      </w:r>
    </w:p>
    <w:p w14:paraId="4F60DA55" w14:textId="7438BA4C"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The </w:t>
      </w:r>
      <w:r w:rsidR="00B74DAE">
        <w:rPr>
          <w:rFonts w:ascii="Arial" w:hAnsi="Arial" w:cs="Arial"/>
          <w:szCs w:val="24"/>
        </w:rPr>
        <w:t>L</w:t>
      </w:r>
      <w:r w:rsidRPr="006C2FA8">
        <w:rPr>
          <w:rFonts w:ascii="Arial" w:hAnsi="Arial" w:cs="Arial"/>
          <w:szCs w:val="24"/>
        </w:rPr>
        <w:t xml:space="preserve">ender has proposed mitigation for situations where the operations have been unstable or other risk situations including situations such as short-term turnarounds (situations where the operations have changed and there is less than a </w:t>
      </w:r>
      <w:r w:rsidR="00BB561C" w:rsidRPr="006C2FA8">
        <w:rPr>
          <w:rFonts w:ascii="Arial" w:hAnsi="Arial" w:cs="Arial"/>
          <w:szCs w:val="24"/>
        </w:rPr>
        <w:t>3-year</w:t>
      </w:r>
      <w:r w:rsidRPr="006C2FA8">
        <w:rPr>
          <w:rFonts w:ascii="Arial" w:hAnsi="Arial" w:cs="Arial"/>
          <w:szCs w:val="24"/>
        </w:rPr>
        <w:t xml:space="preserve"> stabilized history) or COVID impacts </w:t>
      </w:r>
    </w:p>
    <w:p w14:paraId="51A4D1A2" w14:textId="77777777" w:rsidR="006C2FA8" w:rsidRPr="006C2FA8" w:rsidRDefault="006C2FA8" w:rsidP="006C2FA8">
      <w:pPr>
        <w:rPr>
          <w:rFonts w:ascii="Arial" w:hAnsi="Arial" w:cs="Arial"/>
          <w:szCs w:val="24"/>
        </w:rPr>
      </w:pPr>
    </w:p>
    <w:p w14:paraId="3B0B1D20" w14:textId="63E22D39" w:rsidR="006C2FA8" w:rsidRPr="006C2FA8" w:rsidRDefault="006C2FA8" w:rsidP="006C2FA8">
      <w:pPr>
        <w:rPr>
          <w:rFonts w:ascii="Arial" w:hAnsi="Arial" w:cs="Arial"/>
          <w:szCs w:val="24"/>
        </w:rPr>
      </w:pPr>
      <w:r w:rsidRPr="006C2FA8">
        <w:rPr>
          <w:rFonts w:ascii="Arial" w:hAnsi="Arial" w:cs="Arial"/>
          <w:szCs w:val="24"/>
        </w:rPr>
        <w:t xml:space="preserve">Please also note the following recent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last guidance:</w:t>
      </w:r>
    </w:p>
    <w:p w14:paraId="34693655" w14:textId="04BB241A"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November 15, </w:t>
      </w:r>
      <w:proofErr w:type="gramStart"/>
      <w:r w:rsidRPr="006C2FA8">
        <w:rPr>
          <w:rFonts w:ascii="Arial" w:hAnsi="Arial" w:cs="Arial"/>
          <w:szCs w:val="24"/>
        </w:rPr>
        <w:t>2021</w:t>
      </w:r>
      <w:proofErr w:type="gramEnd"/>
      <w:r w:rsidRPr="006C2FA8">
        <w:rPr>
          <w:rFonts w:ascii="Arial" w:hAnsi="Arial" w:cs="Arial"/>
          <w:szCs w:val="24"/>
        </w:rPr>
        <w:t xml:space="preserve">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 xml:space="preserve">last on Facility Staff Vaccinations (for </w:t>
      </w:r>
      <w:proofErr w:type="spellStart"/>
      <w:r w:rsidRPr="006C2FA8">
        <w:rPr>
          <w:rFonts w:ascii="Arial" w:hAnsi="Arial" w:cs="Arial"/>
          <w:szCs w:val="24"/>
        </w:rPr>
        <w:t>SNFs</w:t>
      </w:r>
      <w:proofErr w:type="spellEnd"/>
      <w:r w:rsidRPr="006C2FA8">
        <w:rPr>
          <w:rFonts w:ascii="Arial" w:hAnsi="Arial" w:cs="Arial"/>
          <w:szCs w:val="24"/>
        </w:rPr>
        <w:t>)</w:t>
      </w:r>
    </w:p>
    <w:p w14:paraId="43562F53" w14:textId="7F7DB4F2"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October 27, </w:t>
      </w:r>
      <w:proofErr w:type="gramStart"/>
      <w:r w:rsidRPr="006C2FA8">
        <w:rPr>
          <w:rFonts w:ascii="Arial" w:hAnsi="Arial" w:cs="Arial"/>
          <w:szCs w:val="24"/>
        </w:rPr>
        <w:t>2021</w:t>
      </w:r>
      <w:proofErr w:type="gramEnd"/>
      <w:r w:rsidRPr="006C2FA8">
        <w:rPr>
          <w:rFonts w:ascii="Arial" w:hAnsi="Arial" w:cs="Arial"/>
          <w:szCs w:val="24"/>
        </w:rPr>
        <w:t xml:space="preserve">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last on discussion of staffing shortages</w:t>
      </w:r>
    </w:p>
    <w:p w14:paraId="5C6251D3" w14:textId="4A25DC7D"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August 27, </w:t>
      </w:r>
      <w:proofErr w:type="gramStart"/>
      <w:r w:rsidRPr="006C2FA8">
        <w:rPr>
          <w:rFonts w:ascii="Arial" w:hAnsi="Arial" w:cs="Arial"/>
          <w:szCs w:val="24"/>
        </w:rPr>
        <w:t>2021</w:t>
      </w:r>
      <w:proofErr w:type="gramEnd"/>
      <w:r w:rsidRPr="006C2FA8">
        <w:rPr>
          <w:rFonts w:ascii="Arial" w:hAnsi="Arial" w:cs="Arial"/>
          <w:szCs w:val="24"/>
        </w:rPr>
        <w:t xml:space="preserve">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last addresses handling of recent Medicaid Rate increases in the financial tables</w:t>
      </w:r>
    </w:p>
    <w:p w14:paraId="42EA0137" w14:textId="0B14565B"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February 23, </w:t>
      </w:r>
      <w:proofErr w:type="gramStart"/>
      <w:r w:rsidRPr="006C2FA8">
        <w:rPr>
          <w:rFonts w:ascii="Arial" w:hAnsi="Arial" w:cs="Arial"/>
          <w:szCs w:val="24"/>
        </w:rPr>
        <w:t>2022</w:t>
      </w:r>
      <w:proofErr w:type="gramEnd"/>
      <w:r w:rsidRPr="006C2FA8">
        <w:rPr>
          <w:rFonts w:ascii="Arial" w:hAnsi="Arial" w:cs="Arial"/>
          <w:szCs w:val="24"/>
        </w:rPr>
        <w:t xml:space="preserve"> and June 30, 2021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 xml:space="preserve">lasts clarify Decision Circuit Financial Tables &amp; </w:t>
      </w:r>
      <w:proofErr w:type="spellStart"/>
      <w:r w:rsidRPr="006C2FA8">
        <w:rPr>
          <w:rFonts w:ascii="Arial" w:hAnsi="Arial" w:cs="Arial"/>
          <w:szCs w:val="24"/>
        </w:rPr>
        <w:t>NOI</w:t>
      </w:r>
      <w:proofErr w:type="spellEnd"/>
      <w:r w:rsidRPr="006C2FA8">
        <w:rPr>
          <w:rFonts w:ascii="Arial" w:hAnsi="Arial" w:cs="Arial"/>
          <w:szCs w:val="24"/>
        </w:rPr>
        <w:t xml:space="preserve"> and provides Cashflow Stress Test instructions as well as lots of other relevant guidance</w:t>
      </w:r>
    </w:p>
    <w:p w14:paraId="263D7499" w14:textId="00F97394" w:rsidR="006C2FA8" w:rsidRPr="006C2FA8" w:rsidRDefault="006C2FA8" w:rsidP="006C2FA8">
      <w:pPr>
        <w:numPr>
          <w:ilvl w:val="0"/>
          <w:numId w:val="42"/>
        </w:numPr>
        <w:rPr>
          <w:rFonts w:ascii="Arial" w:hAnsi="Arial" w:cs="Arial"/>
          <w:szCs w:val="24"/>
        </w:rPr>
      </w:pPr>
      <w:r w:rsidRPr="006C2FA8">
        <w:rPr>
          <w:rFonts w:ascii="Arial" w:hAnsi="Arial" w:cs="Arial"/>
          <w:szCs w:val="24"/>
        </w:rPr>
        <w:t xml:space="preserve">March 24, </w:t>
      </w:r>
      <w:proofErr w:type="gramStart"/>
      <w:r w:rsidRPr="006C2FA8">
        <w:rPr>
          <w:rFonts w:ascii="Arial" w:hAnsi="Arial" w:cs="Arial"/>
          <w:szCs w:val="24"/>
        </w:rPr>
        <w:t>2021</w:t>
      </w:r>
      <w:proofErr w:type="gramEnd"/>
      <w:r w:rsidRPr="006C2FA8">
        <w:rPr>
          <w:rFonts w:ascii="Arial" w:hAnsi="Arial" w:cs="Arial"/>
          <w:szCs w:val="24"/>
        </w:rPr>
        <w:t xml:space="preserve"> </w:t>
      </w:r>
      <w:r w:rsidR="00BB561C">
        <w:rPr>
          <w:rFonts w:ascii="Arial" w:hAnsi="Arial" w:cs="Arial"/>
          <w:szCs w:val="24"/>
        </w:rPr>
        <w:t>E</w:t>
      </w:r>
      <w:r w:rsidRPr="006C2FA8">
        <w:rPr>
          <w:rFonts w:ascii="Arial" w:hAnsi="Arial" w:cs="Arial"/>
          <w:szCs w:val="24"/>
        </w:rPr>
        <w:t xml:space="preserve">mail </w:t>
      </w:r>
      <w:r w:rsidR="00BB561C">
        <w:rPr>
          <w:rFonts w:ascii="Arial" w:hAnsi="Arial" w:cs="Arial"/>
          <w:szCs w:val="24"/>
        </w:rPr>
        <w:t>B</w:t>
      </w:r>
      <w:r w:rsidRPr="006C2FA8">
        <w:rPr>
          <w:rFonts w:ascii="Arial" w:hAnsi="Arial" w:cs="Arial"/>
          <w:szCs w:val="24"/>
        </w:rPr>
        <w:t>last discusses Ward Beds</w:t>
      </w:r>
    </w:p>
    <w:p w14:paraId="1EAECE5A" w14:textId="77777777" w:rsidR="006C2FA8" w:rsidRPr="006C2FA8" w:rsidRDefault="006C2FA8" w:rsidP="006C2FA8">
      <w:pPr>
        <w:rPr>
          <w:rFonts w:ascii="Arial" w:hAnsi="Arial" w:cs="Arial"/>
          <w:szCs w:val="24"/>
        </w:rPr>
      </w:pPr>
    </w:p>
    <w:p w14:paraId="332F1216" w14:textId="7B6CCB21" w:rsidR="006C2FA8" w:rsidRPr="006C2FA8" w:rsidRDefault="006C2FA8" w:rsidP="006C2FA8">
      <w:pPr>
        <w:rPr>
          <w:rFonts w:ascii="Arial" w:hAnsi="Arial" w:cs="Arial"/>
          <w:szCs w:val="24"/>
        </w:rPr>
      </w:pPr>
      <w:r w:rsidRPr="006C2FA8">
        <w:rPr>
          <w:rFonts w:ascii="Arial" w:hAnsi="Arial" w:cs="Arial"/>
          <w:szCs w:val="24"/>
        </w:rPr>
        <w:t xml:space="preserve">As a reminder, </w:t>
      </w:r>
      <w:proofErr w:type="spellStart"/>
      <w:r w:rsidR="00B74DAE">
        <w:rPr>
          <w:rFonts w:ascii="Arial" w:hAnsi="Arial" w:cs="Arial"/>
          <w:szCs w:val="24"/>
        </w:rPr>
        <w:t>ORCF</w:t>
      </w:r>
      <w:proofErr w:type="spellEnd"/>
      <w:r w:rsidR="00B74DAE">
        <w:rPr>
          <w:rFonts w:ascii="Arial" w:hAnsi="Arial" w:cs="Arial"/>
          <w:szCs w:val="24"/>
        </w:rPr>
        <w:t xml:space="preserve"> is</w:t>
      </w:r>
      <w:r w:rsidRPr="006C2FA8">
        <w:rPr>
          <w:rFonts w:ascii="Arial" w:hAnsi="Arial" w:cs="Arial"/>
          <w:szCs w:val="24"/>
        </w:rPr>
        <w:t xml:space="preserve"> also seeing a significant number of applications delayed due to environmental issues that should have been raised and/or resolved prior to application submission.  Handbook 4232.1, Section II, Chapter 1.4.D.2 encourages </w:t>
      </w:r>
      <w:r w:rsidR="006779DE">
        <w:rPr>
          <w:rFonts w:ascii="Arial" w:hAnsi="Arial" w:cs="Arial"/>
          <w:szCs w:val="24"/>
        </w:rPr>
        <w:t>L</w:t>
      </w:r>
      <w:r w:rsidRPr="006C2FA8">
        <w:rPr>
          <w:rFonts w:ascii="Arial" w:hAnsi="Arial" w:cs="Arial"/>
          <w:szCs w:val="24"/>
        </w:rPr>
        <w:t xml:space="preserve">enders to contact </w:t>
      </w:r>
      <w:hyperlink r:id="rId18" w:history="1">
        <w:r w:rsidRPr="006C2FA8">
          <w:rPr>
            <w:rStyle w:val="Hyperlink"/>
            <w:rFonts w:ascii="Arial" w:hAnsi="Arial" w:cs="Arial"/>
            <w:szCs w:val="24"/>
          </w:rPr>
          <w:t>leanthinking@hud.gov</w:t>
        </w:r>
      </w:hyperlink>
      <w:r w:rsidRPr="006C2FA8">
        <w:rPr>
          <w:rFonts w:ascii="Arial" w:hAnsi="Arial" w:cs="Arial"/>
          <w:szCs w:val="24"/>
        </w:rPr>
        <w:t xml:space="preserve"> during assembly of applications where there are environmental matters that merit early consultation.  In addition, </w:t>
      </w:r>
      <w:proofErr w:type="spellStart"/>
      <w:r w:rsidRPr="006C2FA8">
        <w:rPr>
          <w:rFonts w:ascii="Arial" w:hAnsi="Arial" w:cs="Arial"/>
          <w:szCs w:val="24"/>
        </w:rPr>
        <w:t>ORCF</w:t>
      </w:r>
      <w:proofErr w:type="spellEnd"/>
      <w:r w:rsidRPr="006C2FA8">
        <w:rPr>
          <w:rFonts w:ascii="Arial" w:hAnsi="Arial" w:cs="Arial"/>
          <w:szCs w:val="24"/>
        </w:rPr>
        <w:t xml:space="preserve"> provides a </w:t>
      </w:r>
      <w:hyperlink r:id="rId19" w:history="1">
        <w:r w:rsidRPr="006C2FA8">
          <w:rPr>
            <w:rStyle w:val="Hyperlink"/>
            <w:rFonts w:ascii="Arial" w:hAnsi="Arial" w:cs="Arial"/>
            <w:szCs w:val="24"/>
          </w:rPr>
          <w:t>lender environmental checklist tool</w:t>
        </w:r>
      </w:hyperlink>
      <w:r w:rsidRPr="006C2FA8">
        <w:rPr>
          <w:rFonts w:ascii="Arial" w:hAnsi="Arial" w:cs="Arial"/>
          <w:szCs w:val="24"/>
        </w:rPr>
        <w:t xml:space="preserve"> to assist lenders in evaluating potential environmental issues. </w:t>
      </w:r>
    </w:p>
    <w:p w14:paraId="64E368F1" w14:textId="77777777" w:rsidR="0015490F" w:rsidRPr="0015490F" w:rsidRDefault="0015490F" w:rsidP="0015490F">
      <w:pPr>
        <w:rPr>
          <w:rFonts w:ascii="Arial" w:hAnsi="Arial" w:cs="Arial"/>
          <w:szCs w:val="24"/>
        </w:rPr>
      </w:pPr>
    </w:p>
    <w:p w14:paraId="033DC6D0" w14:textId="0CB45391" w:rsidR="0015490F" w:rsidRPr="0015490F" w:rsidRDefault="0015490F" w:rsidP="0015490F">
      <w:pPr>
        <w:rPr>
          <w:rFonts w:ascii="Arial" w:hAnsi="Arial" w:cs="Arial"/>
          <w:i/>
          <w:iCs/>
          <w:szCs w:val="24"/>
        </w:rPr>
      </w:pPr>
      <w:r w:rsidRPr="0015490F">
        <w:rPr>
          <w:rFonts w:ascii="Arial" w:hAnsi="Arial" w:cs="Arial"/>
          <w:b/>
          <w:bCs/>
          <w:i/>
          <w:iCs/>
          <w:szCs w:val="24"/>
        </w:rPr>
        <w:t>Keywords:</w:t>
      </w:r>
      <w:r w:rsidRPr="0015490F">
        <w:rPr>
          <w:rFonts w:ascii="Arial" w:hAnsi="Arial" w:cs="Arial"/>
          <w:i/>
          <w:iCs/>
          <w:szCs w:val="24"/>
        </w:rPr>
        <w:t xml:space="preserve"> </w:t>
      </w:r>
      <w:r w:rsidR="006779DE">
        <w:rPr>
          <w:rFonts w:ascii="Arial" w:hAnsi="Arial" w:cs="Arial"/>
          <w:i/>
          <w:iCs/>
          <w:szCs w:val="24"/>
        </w:rPr>
        <w:t xml:space="preserve">Application </w:t>
      </w:r>
      <w:r w:rsidR="00E4260C">
        <w:rPr>
          <w:rFonts w:ascii="Arial" w:hAnsi="Arial" w:cs="Arial"/>
          <w:i/>
          <w:iCs/>
          <w:szCs w:val="24"/>
        </w:rPr>
        <w:t>Processing, Queue</w:t>
      </w:r>
      <w:r w:rsidR="00955E0C">
        <w:rPr>
          <w:rFonts w:ascii="Arial" w:hAnsi="Arial" w:cs="Arial"/>
          <w:i/>
          <w:iCs/>
          <w:szCs w:val="24"/>
        </w:rPr>
        <w:t>s</w:t>
      </w:r>
    </w:p>
    <w:p w14:paraId="7534734C" w14:textId="77777777" w:rsidR="004A6AA3" w:rsidRPr="006457D3" w:rsidRDefault="004A6AA3" w:rsidP="004A6AA3">
      <w:pPr>
        <w:rPr>
          <w:rFonts w:ascii="Arial" w:hAnsi="Arial" w:cs="Arial"/>
          <w:szCs w:val="24"/>
        </w:rPr>
      </w:pPr>
    </w:p>
    <w:p w14:paraId="7C868ECB" w14:textId="259B4FB9" w:rsidR="006457D3" w:rsidRDefault="00337008" w:rsidP="004A6AA3">
      <w:pPr>
        <w:rPr>
          <w:rFonts w:ascii="Arial" w:hAnsi="Arial" w:cs="Arial"/>
          <w:color w:val="365F91" w:themeColor="accent1" w:themeShade="BF"/>
          <w:szCs w:val="24"/>
          <w:u w:val="single"/>
        </w:rPr>
      </w:pPr>
      <w:hyperlink w:anchor="_top" w:history="1">
        <w:r w:rsidR="004A6AA3" w:rsidRPr="001F5102">
          <w:rPr>
            <w:rFonts w:ascii="Arial" w:hAnsi="Arial" w:cs="Arial"/>
            <w:color w:val="365F91" w:themeColor="accent1" w:themeShade="BF"/>
            <w:szCs w:val="24"/>
            <w:u w:val="single"/>
          </w:rPr>
          <w:t>Back to top</w:t>
        </w:r>
      </w:hyperlink>
    </w:p>
    <w:p w14:paraId="524E3290" w14:textId="77777777" w:rsidR="004A6AA3" w:rsidRDefault="004A6AA3" w:rsidP="004A6AA3">
      <w:pPr>
        <w:rPr>
          <w:rFonts w:ascii="Arial" w:hAnsi="Arial" w:cs="Arial"/>
          <w:szCs w:val="24"/>
        </w:rPr>
      </w:pPr>
    </w:p>
    <w:p w14:paraId="248BD745" w14:textId="799ADF0F" w:rsidR="000F3D9F" w:rsidRPr="000F3D9F" w:rsidRDefault="000F3D9F" w:rsidP="000F3D9F">
      <w:pPr>
        <w:pStyle w:val="EmailBlast"/>
      </w:pPr>
      <w:bookmarkStart w:id="5" w:name="_Toc102717943"/>
      <w:r w:rsidRPr="000F3D9F">
        <w:t>Staffing Turnover and Quality of Care</w:t>
      </w:r>
      <w:bookmarkEnd w:id="5"/>
    </w:p>
    <w:p w14:paraId="23CE2E03" w14:textId="21A9F1EC" w:rsidR="000F3D9F" w:rsidRDefault="000F3D9F" w:rsidP="000F3D9F">
      <w:pPr>
        <w:rPr>
          <w:rFonts w:ascii="Arial" w:hAnsi="Arial" w:cs="Arial"/>
        </w:rPr>
      </w:pPr>
      <w:r w:rsidRPr="000F3D9F">
        <w:rPr>
          <w:rFonts w:ascii="Arial" w:hAnsi="Arial" w:cs="Arial"/>
        </w:rPr>
        <w:t xml:space="preserve">As noted in the </w:t>
      </w:r>
      <w:r w:rsidR="00E4260C">
        <w:rPr>
          <w:rFonts w:ascii="Arial" w:hAnsi="Arial" w:cs="Arial"/>
        </w:rPr>
        <w:t xml:space="preserve">June 30, </w:t>
      </w:r>
      <w:proofErr w:type="gramStart"/>
      <w:r w:rsidRPr="000F3D9F">
        <w:rPr>
          <w:rFonts w:ascii="Arial" w:hAnsi="Arial" w:cs="Arial"/>
        </w:rPr>
        <w:t>2021</w:t>
      </w:r>
      <w:proofErr w:type="gramEnd"/>
      <w:r w:rsidRPr="000F3D9F">
        <w:rPr>
          <w:rFonts w:ascii="Arial" w:hAnsi="Arial" w:cs="Arial"/>
        </w:rPr>
        <w:t xml:space="preserve"> Email Blast </w:t>
      </w:r>
      <w:r w:rsidR="00E4260C">
        <w:rPr>
          <w:rFonts w:ascii="Arial" w:hAnsi="Arial" w:cs="Arial"/>
        </w:rPr>
        <w:t>(</w:t>
      </w:r>
      <w:r w:rsidRPr="000F3D9F">
        <w:rPr>
          <w:rFonts w:ascii="Arial" w:hAnsi="Arial" w:cs="Arial"/>
        </w:rPr>
        <w:t>here</w:t>
      </w:r>
      <w:r w:rsidR="00E4260C">
        <w:rPr>
          <w:rFonts w:ascii="Arial" w:hAnsi="Arial" w:cs="Arial"/>
        </w:rPr>
        <w:t>)</w:t>
      </w:r>
      <w:r w:rsidRPr="000F3D9F">
        <w:rPr>
          <w:rFonts w:ascii="Arial" w:hAnsi="Arial" w:cs="Arial"/>
        </w:rPr>
        <w:t xml:space="preserve">, </w:t>
      </w:r>
      <w:proofErr w:type="spellStart"/>
      <w:r w:rsidRPr="000F3D9F">
        <w:rPr>
          <w:rFonts w:ascii="Arial" w:hAnsi="Arial" w:cs="Arial"/>
        </w:rPr>
        <w:t>ORCF</w:t>
      </w:r>
      <w:proofErr w:type="spellEnd"/>
      <w:r w:rsidRPr="000F3D9F">
        <w:rPr>
          <w:rFonts w:ascii="Arial" w:hAnsi="Arial" w:cs="Arial"/>
        </w:rPr>
        <w:t xml:space="preserve"> has long emphasized the importance of Lenders carefully assessing Operator qualifications for participating in the Section 232 Program. This matter is addressed in multiple locations in the Handbook </w:t>
      </w:r>
      <w:r w:rsidR="00317B1E">
        <w:rPr>
          <w:rFonts w:ascii="Arial" w:hAnsi="Arial" w:cs="Arial"/>
        </w:rPr>
        <w:t xml:space="preserve"> 4232.1 </w:t>
      </w:r>
      <w:r w:rsidRPr="000F3D9F">
        <w:rPr>
          <w:rFonts w:ascii="Arial" w:hAnsi="Arial" w:cs="Arial"/>
        </w:rPr>
        <w:t>(See Section II, Chapter 2.5.FF (</w:t>
      </w:r>
      <w:hyperlink r:id="rId20" w:history="1">
        <w:r w:rsidRPr="000F3D9F">
          <w:rPr>
            <w:rStyle w:val="Hyperlink"/>
            <w:rFonts w:ascii="Arial" w:hAnsi="Arial" w:cs="Arial"/>
          </w:rPr>
          <w:t>here</w:t>
        </w:r>
      </w:hyperlink>
      <w:r w:rsidRPr="000F3D9F">
        <w:rPr>
          <w:rFonts w:ascii="Arial" w:hAnsi="Arial" w:cs="Arial"/>
        </w:rPr>
        <w:t>) and Chapter 8, Sections 8.1 and 8.4 (</w:t>
      </w:r>
      <w:hyperlink r:id="rId21" w:history="1">
        <w:r w:rsidRPr="000F3D9F">
          <w:rPr>
            <w:rStyle w:val="Hyperlink"/>
            <w:rFonts w:ascii="Arial" w:hAnsi="Arial" w:cs="Arial"/>
          </w:rPr>
          <w:t>here</w:t>
        </w:r>
      </w:hyperlink>
      <w:r w:rsidRPr="000F3D9F">
        <w:rPr>
          <w:rFonts w:ascii="Arial" w:hAnsi="Arial" w:cs="Arial"/>
        </w:rPr>
        <w:t xml:space="preserve">) and is required in the applicable Lender Narrative. Additionally, numerous Email Blasts (e.g. 2/26/2020 </w:t>
      </w:r>
      <w:hyperlink r:id="rId22" w:history="1">
        <w:r w:rsidRPr="000F3D9F">
          <w:rPr>
            <w:rStyle w:val="Hyperlink"/>
            <w:rFonts w:ascii="Arial" w:hAnsi="Arial" w:cs="Arial"/>
          </w:rPr>
          <w:t>here</w:t>
        </w:r>
      </w:hyperlink>
      <w:r w:rsidRPr="000F3D9F">
        <w:rPr>
          <w:rFonts w:ascii="Arial" w:hAnsi="Arial" w:cs="Arial"/>
        </w:rPr>
        <w:t xml:space="preserve">,12/19/2018 </w:t>
      </w:r>
      <w:hyperlink r:id="rId23" w:history="1">
        <w:r w:rsidRPr="000F3D9F">
          <w:rPr>
            <w:rStyle w:val="Hyperlink"/>
            <w:rFonts w:ascii="Arial" w:hAnsi="Arial" w:cs="Arial"/>
          </w:rPr>
          <w:t>here</w:t>
        </w:r>
      </w:hyperlink>
      <w:r w:rsidRPr="000F3D9F">
        <w:rPr>
          <w:rFonts w:ascii="Arial" w:hAnsi="Arial" w:cs="Arial"/>
        </w:rPr>
        <w:t xml:space="preserve"> and 2/29/16 </w:t>
      </w:r>
      <w:hyperlink r:id="rId24" w:history="1">
        <w:r w:rsidRPr="000F3D9F">
          <w:rPr>
            <w:rStyle w:val="Hyperlink"/>
            <w:rFonts w:ascii="Arial" w:hAnsi="Arial" w:cs="Arial"/>
          </w:rPr>
          <w:t>here</w:t>
        </w:r>
      </w:hyperlink>
      <w:r w:rsidRPr="000F3D9F">
        <w:rPr>
          <w:rFonts w:ascii="Arial" w:hAnsi="Arial" w:cs="Arial"/>
        </w:rPr>
        <w:t>) have emphasized the importance of quality of care. </w:t>
      </w:r>
    </w:p>
    <w:p w14:paraId="0FB2BC42" w14:textId="77777777" w:rsidR="00572543" w:rsidRPr="000F3D9F" w:rsidRDefault="00572543" w:rsidP="000F3D9F">
      <w:pPr>
        <w:rPr>
          <w:rFonts w:ascii="Arial" w:hAnsi="Arial" w:cs="Arial"/>
        </w:rPr>
      </w:pPr>
    </w:p>
    <w:p w14:paraId="37C7E88E" w14:textId="2ECEA0B9" w:rsidR="000F3D9F" w:rsidRPr="000F3D9F" w:rsidRDefault="000F3D9F" w:rsidP="000F3D9F">
      <w:pPr>
        <w:rPr>
          <w:rFonts w:ascii="Arial" w:hAnsi="Arial" w:cs="Arial"/>
        </w:rPr>
      </w:pPr>
      <w:r w:rsidRPr="000F3D9F">
        <w:rPr>
          <w:rFonts w:ascii="Arial" w:hAnsi="Arial" w:cs="Arial"/>
        </w:rPr>
        <w:t xml:space="preserve">An established successful track record of and commitment to quality of care in operations of the proposed facility type continue to be critical for successful participation in the Section 232 program.  On </w:t>
      </w:r>
      <w:r w:rsidR="00572543">
        <w:rPr>
          <w:rFonts w:ascii="Arial" w:hAnsi="Arial" w:cs="Arial"/>
        </w:rPr>
        <w:t xml:space="preserve">January 7, </w:t>
      </w:r>
      <w:r w:rsidRPr="000F3D9F">
        <w:rPr>
          <w:rFonts w:ascii="Arial" w:hAnsi="Arial" w:cs="Arial"/>
        </w:rPr>
        <w:t xml:space="preserve">2022, CMS </w:t>
      </w:r>
      <w:hyperlink r:id="rId25" w:history="1">
        <w:r w:rsidRPr="000F3D9F">
          <w:rPr>
            <w:rStyle w:val="Hyperlink"/>
            <w:rFonts w:ascii="Arial" w:hAnsi="Arial" w:cs="Arial"/>
          </w:rPr>
          <w:t>here</w:t>
        </w:r>
      </w:hyperlink>
      <w:r w:rsidRPr="000F3D9F">
        <w:rPr>
          <w:rFonts w:ascii="Arial" w:hAnsi="Arial" w:cs="Arial"/>
        </w:rPr>
        <w:t xml:space="preserve"> announced that they would begin publishing data on </w:t>
      </w:r>
      <w:proofErr w:type="spellStart"/>
      <w:r w:rsidRPr="000F3D9F">
        <w:rPr>
          <w:rFonts w:ascii="Arial" w:hAnsi="Arial" w:cs="Arial"/>
        </w:rPr>
        <w:t>SNF</w:t>
      </w:r>
      <w:proofErr w:type="spellEnd"/>
      <w:r w:rsidRPr="000F3D9F">
        <w:rPr>
          <w:rFonts w:ascii="Arial" w:hAnsi="Arial" w:cs="Arial"/>
        </w:rPr>
        <w:t xml:space="preserve"> staffing turnover and weekend staffing levels, in advance of incorporation into the Star Ratings later this year. The data should prove helpful in </w:t>
      </w:r>
      <w:r w:rsidRPr="000F3D9F">
        <w:rPr>
          <w:rFonts w:ascii="Arial" w:hAnsi="Arial" w:cs="Arial"/>
        </w:rPr>
        <w:lastRenderedPageBreak/>
        <w:t>Lender assessments of Operator performance. </w:t>
      </w:r>
      <w:proofErr w:type="spellStart"/>
      <w:r w:rsidR="000F5AA2">
        <w:rPr>
          <w:rFonts w:ascii="Arial" w:hAnsi="Arial" w:cs="Arial"/>
        </w:rPr>
        <w:t>ORCF</w:t>
      </w:r>
      <w:proofErr w:type="spellEnd"/>
      <w:r w:rsidR="000F5AA2">
        <w:rPr>
          <w:rFonts w:ascii="Arial" w:hAnsi="Arial" w:cs="Arial"/>
        </w:rPr>
        <w:t xml:space="preserve"> has</w:t>
      </w:r>
      <w:r w:rsidRPr="000F3D9F">
        <w:rPr>
          <w:rFonts w:ascii="Arial" w:hAnsi="Arial" w:cs="Arial"/>
        </w:rPr>
        <w:t xml:space="preserve"> long known that an Operator’s ability to attract and retain quality staff is key factor in its ability to maintain Operations.  This has been evident with the current industry staffing shortage and recent third-party research directly correlating staffing turnover with Star Ratings.   </w:t>
      </w:r>
    </w:p>
    <w:p w14:paraId="26761906" w14:textId="77777777" w:rsidR="000F5AA2" w:rsidRDefault="000F5AA2" w:rsidP="000F3D9F">
      <w:pPr>
        <w:rPr>
          <w:rFonts w:ascii="Arial" w:hAnsi="Arial" w:cs="Arial"/>
        </w:rPr>
      </w:pPr>
    </w:p>
    <w:p w14:paraId="0B3163A9" w14:textId="2FA976CD" w:rsidR="000F3D9F" w:rsidRPr="000F3D9F" w:rsidRDefault="000F3D9F" w:rsidP="000F3D9F">
      <w:pPr>
        <w:rPr>
          <w:rFonts w:ascii="Arial" w:hAnsi="Arial" w:cs="Arial"/>
        </w:rPr>
      </w:pPr>
      <w:r w:rsidRPr="000F3D9F">
        <w:rPr>
          <w:rFonts w:ascii="Arial" w:hAnsi="Arial" w:cs="Arial"/>
        </w:rPr>
        <w:t xml:space="preserve">High staff turnover, particularly when coupled with other Quality of Care concerns could be an indication of an elevated risk to the project, requiring additional mitigation for underwriting.  Therefore, when the </w:t>
      </w:r>
      <w:r w:rsidR="000F5AA2">
        <w:rPr>
          <w:rFonts w:ascii="Arial" w:hAnsi="Arial" w:cs="Arial"/>
        </w:rPr>
        <w:t>L</w:t>
      </w:r>
      <w:r w:rsidRPr="000F3D9F">
        <w:rPr>
          <w:rFonts w:ascii="Arial" w:hAnsi="Arial" w:cs="Arial"/>
        </w:rPr>
        <w:t xml:space="preserve">ender’s due diligence uncovers both a staff turnover higher than the State average (per CMS Compare) and a </w:t>
      </w:r>
      <w:proofErr w:type="gramStart"/>
      <w:r w:rsidRPr="000F3D9F">
        <w:rPr>
          <w:rFonts w:ascii="Arial" w:hAnsi="Arial" w:cs="Arial"/>
        </w:rPr>
        <w:t>Quality of Care</w:t>
      </w:r>
      <w:proofErr w:type="gramEnd"/>
      <w:r w:rsidRPr="000F3D9F">
        <w:rPr>
          <w:rFonts w:ascii="Arial" w:hAnsi="Arial" w:cs="Arial"/>
        </w:rPr>
        <w:t xml:space="preserve"> concern (e.g., a star rating of two or below, or a most recent survey having G tags), the Lender Narrative should address the steps the project is taking to improve staff retention in the context of Operator performance.</w:t>
      </w:r>
    </w:p>
    <w:p w14:paraId="00C8F63B" w14:textId="77777777" w:rsidR="000F3D9F" w:rsidRPr="000F3D9F" w:rsidRDefault="000F3D9F" w:rsidP="000F3D9F">
      <w:pPr>
        <w:rPr>
          <w:rFonts w:ascii="Arial" w:hAnsi="Arial" w:cs="Arial"/>
        </w:rPr>
      </w:pPr>
      <w:r w:rsidRPr="000F3D9F">
        <w:rPr>
          <w:rFonts w:ascii="Arial" w:hAnsi="Arial" w:cs="Arial"/>
          <w:i/>
          <w:iCs/>
        </w:rPr>
        <w:t> </w:t>
      </w:r>
    </w:p>
    <w:p w14:paraId="389AF2E0" w14:textId="77777777" w:rsidR="000F3D9F" w:rsidRPr="000F3D9F" w:rsidRDefault="000F3D9F" w:rsidP="000F3D9F">
      <w:pPr>
        <w:rPr>
          <w:rFonts w:ascii="Arial" w:hAnsi="Arial" w:cs="Arial"/>
        </w:rPr>
      </w:pPr>
      <w:r w:rsidRPr="000F3D9F">
        <w:rPr>
          <w:rFonts w:ascii="Arial" w:hAnsi="Arial" w:cs="Arial"/>
          <w:b/>
          <w:bCs/>
          <w:i/>
          <w:iCs/>
        </w:rPr>
        <w:t>Keywords:</w:t>
      </w:r>
      <w:r w:rsidRPr="000F3D9F">
        <w:rPr>
          <w:rFonts w:ascii="Arial" w:hAnsi="Arial" w:cs="Arial"/>
          <w:i/>
          <w:iCs/>
        </w:rPr>
        <w:t xml:space="preserve">  Underwriting, Lender Narrative, Quality of Care, Operator and Management Analysis </w:t>
      </w:r>
    </w:p>
    <w:p w14:paraId="4880A264" w14:textId="77777777" w:rsidR="004A6AA3" w:rsidRDefault="004A6AA3" w:rsidP="004A6AA3">
      <w:pPr>
        <w:rPr>
          <w:rFonts w:ascii="Arial" w:hAnsi="Arial" w:cs="Arial"/>
          <w:szCs w:val="24"/>
        </w:rPr>
      </w:pPr>
    </w:p>
    <w:p w14:paraId="2BC59445" w14:textId="0483AB97" w:rsidR="004A6AA3" w:rsidRDefault="00337008" w:rsidP="004A6AA3">
      <w:pPr>
        <w:rPr>
          <w:rFonts w:ascii="Arial" w:hAnsi="Arial" w:cs="Arial"/>
          <w:color w:val="365F91" w:themeColor="accent1" w:themeShade="BF"/>
          <w:szCs w:val="24"/>
          <w:u w:val="single"/>
        </w:rPr>
      </w:pPr>
      <w:hyperlink w:anchor="_top" w:history="1">
        <w:r w:rsidR="004A6AA3" w:rsidRPr="001F5102">
          <w:rPr>
            <w:rFonts w:ascii="Arial" w:hAnsi="Arial" w:cs="Arial"/>
            <w:color w:val="365F91" w:themeColor="accent1" w:themeShade="BF"/>
            <w:szCs w:val="24"/>
            <w:u w:val="single"/>
          </w:rPr>
          <w:t>Back to top</w:t>
        </w:r>
      </w:hyperlink>
    </w:p>
    <w:p w14:paraId="4A5A70DC" w14:textId="77777777" w:rsidR="00AD381A" w:rsidRPr="001F5102" w:rsidRDefault="00AD381A" w:rsidP="004A6AA3">
      <w:pPr>
        <w:rPr>
          <w:rFonts w:ascii="Arial" w:hAnsi="Arial" w:cs="Arial"/>
          <w:b/>
          <w:color w:val="365F91" w:themeColor="accent1" w:themeShade="BF"/>
          <w:szCs w:val="24"/>
        </w:rPr>
      </w:pPr>
    </w:p>
    <w:p w14:paraId="1236BC2A" w14:textId="4C8A3EC2" w:rsidR="00AD381A" w:rsidRPr="00AD381A" w:rsidRDefault="00AD381A" w:rsidP="00AD381A">
      <w:pPr>
        <w:pStyle w:val="EmailBlast"/>
      </w:pPr>
      <w:bookmarkStart w:id="6" w:name="_Toc102717944"/>
      <w:r w:rsidRPr="00AD381A">
        <w:t>The Clean Air in Buildings Challenge Enactment</w:t>
      </w:r>
      <w:bookmarkEnd w:id="6"/>
    </w:p>
    <w:p w14:paraId="3FB65B5F" w14:textId="1F6CDA1A" w:rsidR="00AD381A" w:rsidRPr="00477B30" w:rsidRDefault="00AD381A" w:rsidP="00AD381A">
      <w:pPr>
        <w:rPr>
          <w:rFonts w:ascii="Arial" w:hAnsi="Arial" w:cs="Arial"/>
        </w:rPr>
      </w:pPr>
      <w:r w:rsidRPr="00477B30">
        <w:rPr>
          <w:rFonts w:ascii="Arial" w:hAnsi="Arial" w:cs="Arial"/>
        </w:rPr>
        <w:t xml:space="preserve">To improve ventilation and reduce the spread of COVID-19 in buildings, the Biden-Harris Administration launched the </w:t>
      </w:r>
      <w:hyperlink r:id="rId26" w:history="1">
        <w:r w:rsidRPr="00477B30">
          <w:rPr>
            <w:rStyle w:val="Hyperlink"/>
            <w:rFonts w:ascii="Arial" w:hAnsi="Arial" w:cs="Arial"/>
          </w:rPr>
          <w:t>Clean Air in Buildings Challenge.</w:t>
        </w:r>
      </w:hyperlink>
      <w:r w:rsidRPr="00477B30">
        <w:rPr>
          <w:rFonts w:ascii="Arial" w:hAnsi="Arial" w:cs="Arial"/>
        </w:rPr>
        <w:t xml:space="preserve"> This Challenge “is a call to action for leaders and building owners and operators of all types to assess their indoor air quality and make ventilation and air filtration improvements to help keep occupants safe.”  As part of the Challenge, the Environmental Protection Agency published a </w:t>
      </w:r>
      <w:hyperlink r:id="rId27" w:history="1">
        <w:r w:rsidR="008711CA" w:rsidRPr="00477B30">
          <w:rPr>
            <w:rStyle w:val="Hyperlink"/>
            <w:rFonts w:ascii="Arial" w:hAnsi="Arial" w:cs="Arial"/>
          </w:rPr>
          <w:t>Best Practices G</w:t>
        </w:r>
        <w:r w:rsidRPr="00477B30">
          <w:rPr>
            <w:rStyle w:val="Hyperlink"/>
            <w:rFonts w:ascii="Arial" w:hAnsi="Arial" w:cs="Arial"/>
          </w:rPr>
          <w:t>uide</w:t>
        </w:r>
      </w:hyperlink>
      <w:r w:rsidRPr="00477B30">
        <w:rPr>
          <w:rFonts w:ascii="Arial" w:hAnsi="Arial" w:cs="Arial"/>
        </w:rPr>
        <w:t xml:space="preserve"> (developed in collaboration with numerous other Federal agencies) for improving indoor air quality and reducing the risk of spreading dangerous airborne particles.  Published with the Guide is a document providing basic </w:t>
      </w:r>
      <w:hyperlink r:id="rId28" w:history="1">
        <w:r w:rsidRPr="00477B30">
          <w:rPr>
            <w:rStyle w:val="Hyperlink"/>
            <w:rFonts w:ascii="Arial" w:hAnsi="Arial" w:cs="Arial"/>
          </w:rPr>
          <w:t>principles and general actions</w:t>
        </w:r>
      </w:hyperlink>
      <w:r w:rsidRPr="00477B30">
        <w:rPr>
          <w:rFonts w:ascii="Arial" w:hAnsi="Arial" w:cs="Arial"/>
        </w:rPr>
        <w:t xml:space="preserve"> recommended to reduce the risk of airborne spread of viruses and other contaminants.</w:t>
      </w:r>
    </w:p>
    <w:p w14:paraId="51DC158A" w14:textId="77777777" w:rsidR="00AD381A" w:rsidRPr="00477B30" w:rsidRDefault="00AD381A" w:rsidP="00AD381A">
      <w:pPr>
        <w:rPr>
          <w:rFonts w:ascii="Arial" w:hAnsi="Arial" w:cs="Arial"/>
        </w:rPr>
      </w:pPr>
    </w:p>
    <w:p w14:paraId="03333AA9" w14:textId="77777777" w:rsidR="00AD381A" w:rsidRPr="00477B30" w:rsidRDefault="00AD381A" w:rsidP="00AD381A">
      <w:pPr>
        <w:rPr>
          <w:rFonts w:ascii="Arial" w:hAnsi="Arial" w:cs="Arial"/>
        </w:rPr>
      </w:pPr>
      <w:r w:rsidRPr="00477B30">
        <w:rPr>
          <w:rFonts w:ascii="Arial" w:hAnsi="Arial" w:cs="Arial"/>
        </w:rPr>
        <w:t xml:space="preserve">To support this initiative, </w:t>
      </w:r>
      <w:proofErr w:type="spellStart"/>
      <w:r w:rsidRPr="00477B30">
        <w:rPr>
          <w:rFonts w:ascii="Arial" w:hAnsi="Arial" w:cs="Arial"/>
        </w:rPr>
        <w:t>ORCF</w:t>
      </w:r>
      <w:proofErr w:type="spellEnd"/>
      <w:r w:rsidRPr="00477B30">
        <w:rPr>
          <w:rFonts w:ascii="Arial" w:hAnsi="Arial" w:cs="Arial"/>
        </w:rPr>
        <w:t xml:space="preserve"> is encouraging Borrowers and/or Operators to use available resources, such as State and local government funding (which vary significantly by jurisdiction), refinancing within Program requirements, and/or Reserve for Replacement funds (for eligible items, per Handbook </w:t>
      </w:r>
      <w:r w:rsidRPr="00477B30">
        <w:rPr>
          <w:rFonts w:ascii="Arial" w:hAnsi="Arial" w:cs="Arial"/>
          <w:lang w:val="en"/>
        </w:rPr>
        <w:t>4232.1</w:t>
      </w:r>
      <w:r w:rsidRPr="00477B30">
        <w:rPr>
          <w:rFonts w:ascii="Arial" w:hAnsi="Arial" w:cs="Arial"/>
        </w:rPr>
        <w:t xml:space="preserve">, Section III, 3.2.2 </w:t>
      </w:r>
      <w:hyperlink r:id="rId29" w:history="1">
        <w:r w:rsidRPr="00477B30">
          <w:rPr>
            <w:rStyle w:val="Hyperlink"/>
            <w:rFonts w:ascii="Arial" w:hAnsi="Arial" w:cs="Arial"/>
          </w:rPr>
          <w:t>here</w:t>
        </w:r>
      </w:hyperlink>
      <w:r w:rsidRPr="00477B30">
        <w:rPr>
          <w:rFonts w:ascii="Arial" w:hAnsi="Arial" w:cs="Arial"/>
        </w:rPr>
        <w:t xml:space="preserve">). </w:t>
      </w:r>
    </w:p>
    <w:p w14:paraId="5F5E0B9B" w14:textId="77777777" w:rsidR="00AD381A" w:rsidRPr="00477B30" w:rsidRDefault="00AD381A" w:rsidP="00AD381A">
      <w:pPr>
        <w:rPr>
          <w:rFonts w:ascii="Arial" w:hAnsi="Arial" w:cs="Arial"/>
        </w:rPr>
      </w:pPr>
    </w:p>
    <w:p w14:paraId="35F02B94" w14:textId="77777777" w:rsidR="00AD381A" w:rsidRPr="00477B30" w:rsidRDefault="00AD381A" w:rsidP="00AD381A">
      <w:pPr>
        <w:rPr>
          <w:rFonts w:ascii="Arial" w:hAnsi="Arial" w:cs="Arial"/>
          <w:b/>
          <w:bCs/>
          <w:i/>
          <w:iCs/>
        </w:rPr>
      </w:pPr>
      <w:r w:rsidRPr="00477B30">
        <w:rPr>
          <w:rFonts w:ascii="Arial" w:hAnsi="Arial" w:cs="Arial"/>
          <w:b/>
          <w:bCs/>
          <w:i/>
          <w:iCs/>
        </w:rPr>
        <w:t>Keywords:</w:t>
      </w:r>
      <w:r w:rsidRPr="00477B30">
        <w:rPr>
          <w:rFonts w:ascii="Arial" w:hAnsi="Arial" w:cs="Arial"/>
          <w:i/>
          <w:iCs/>
        </w:rPr>
        <w:t>  Clean Air</w:t>
      </w:r>
      <w:r w:rsidRPr="00477B30">
        <w:rPr>
          <w:rFonts w:ascii="Arial" w:hAnsi="Arial" w:cs="Arial"/>
          <w:b/>
          <w:bCs/>
        </w:rPr>
        <w:t xml:space="preserve"> </w:t>
      </w:r>
    </w:p>
    <w:p w14:paraId="7CC1B892" w14:textId="77777777" w:rsidR="004B268E" w:rsidRDefault="004B268E" w:rsidP="004B268E">
      <w:pPr>
        <w:rPr>
          <w:rFonts w:ascii="Arial" w:hAnsi="Arial" w:cs="Arial"/>
          <w:szCs w:val="24"/>
        </w:rPr>
      </w:pPr>
    </w:p>
    <w:p w14:paraId="58431674" w14:textId="77777777" w:rsidR="004B268E" w:rsidRPr="001F5102" w:rsidRDefault="00337008" w:rsidP="004B268E">
      <w:pPr>
        <w:rPr>
          <w:rFonts w:ascii="Arial" w:hAnsi="Arial" w:cs="Arial"/>
          <w:b/>
          <w:color w:val="365F91" w:themeColor="accent1" w:themeShade="BF"/>
          <w:szCs w:val="24"/>
        </w:rPr>
      </w:pPr>
      <w:hyperlink w:anchor="_top" w:history="1">
        <w:r w:rsidR="004B268E" w:rsidRPr="001F5102">
          <w:rPr>
            <w:rFonts w:ascii="Arial" w:hAnsi="Arial" w:cs="Arial"/>
            <w:color w:val="365F91" w:themeColor="accent1" w:themeShade="BF"/>
            <w:szCs w:val="24"/>
            <w:u w:val="single"/>
          </w:rPr>
          <w:t>Back to top</w:t>
        </w:r>
      </w:hyperlink>
    </w:p>
    <w:p w14:paraId="5ECF3368" w14:textId="77777777" w:rsidR="0054708C" w:rsidRPr="00E01B65" w:rsidRDefault="0054708C" w:rsidP="0054708C">
      <w:pPr>
        <w:pStyle w:val="EmailBlast"/>
        <w:rPr>
          <w:sz w:val="24"/>
          <w:szCs w:val="24"/>
        </w:rPr>
      </w:pPr>
      <w:bookmarkStart w:id="7" w:name="link_2"/>
    </w:p>
    <w:p w14:paraId="14DE7CF0" w14:textId="23B6F62F" w:rsidR="00456081" w:rsidRPr="00B51C66" w:rsidRDefault="00C01BDC" w:rsidP="00456081">
      <w:pPr>
        <w:pStyle w:val="EmailBlast"/>
      </w:pPr>
      <w:bookmarkStart w:id="8" w:name="_Toc102717945"/>
      <w:bookmarkStart w:id="9" w:name="_Hlk100296370"/>
      <w:bookmarkEnd w:id="7"/>
      <w:r>
        <w:t xml:space="preserve">Intertest Rate </w:t>
      </w:r>
      <w:r w:rsidR="00551685">
        <w:t xml:space="preserve">Increases and </w:t>
      </w:r>
      <w:r w:rsidR="00456081" w:rsidRPr="00B51C66">
        <w:t>Section 232 Transactions</w:t>
      </w:r>
      <w:bookmarkEnd w:id="8"/>
    </w:p>
    <w:p w14:paraId="0866EA3A" w14:textId="706F168F" w:rsidR="00C01BDC" w:rsidRPr="00AD0B71" w:rsidRDefault="008F7199" w:rsidP="00456081">
      <w:pPr>
        <w:rPr>
          <w:rFonts w:ascii="Arial" w:hAnsi="Arial" w:cs="Arial"/>
          <w:szCs w:val="24"/>
        </w:rPr>
      </w:pPr>
      <w:r w:rsidRPr="00AD0B71">
        <w:rPr>
          <w:rFonts w:ascii="Arial" w:hAnsi="Arial" w:cs="Arial"/>
          <w:szCs w:val="24"/>
        </w:rPr>
        <w:t xml:space="preserve">Section 232 underwriting issues may arise due to </w:t>
      </w:r>
      <w:r w:rsidR="00C01BDC" w:rsidRPr="00AD0B71">
        <w:rPr>
          <w:rFonts w:ascii="Arial" w:hAnsi="Arial" w:cs="Arial"/>
          <w:szCs w:val="24"/>
        </w:rPr>
        <w:t>the recent, rapid rise in interest rates</w:t>
      </w:r>
      <w:r w:rsidR="00535997" w:rsidRPr="00AD0B71">
        <w:rPr>
          <w:rFonts w:ascii="Arial" w:hAnsi="Arial" w:cs="Arial"/>
          <w:szCs w:val="24"/>
        </w:rPr>
        <w:t>. Please see reminders below for 223(a)(7) and 223(f) transactions</w:t>
      </w:r>
      <w:r w:rsidR="00DF0F56" w:rsidRPr="00AD0B71">
        <w:rPr>
          <w:rFonts w:ascii="Arial" w:hAnsi="Arial" w:cs="Arial"/>
          <w:szCs w:val="24"/>
        </w:rPr>
        <w:t xml:space="preserve"> to address some of these issues</w:t>
      </w:r>
      <w:r w:rsidR="00535997" w:rsidRPr="00AD0B71">
        <w:rPr>
          <w:rFonts w:ascii="Arial" w:hAnsi="Arial" w:cs="Arial"/>
          <w:szCs w:val="24"/>
        </w:rPr>
        <w:t>.</w:t>
      </w:r>
      <w:r w:rsidR="00C01BDC" w:rsidRPr="00AD0B71">
        <w:rPr>
          <w:rFonts w:ascii="Arial" w:hAnsi="Arial" w:cs="Arial"/>
          <w:szCs w:val="24"/>
        </w:rPr>
        <w:t xml:space="preserve">  </w:t>
      </w:r>
    </w:p>
    <w:p w14:paraId="17D78003" w14:textId="77777777" w:rsidR="00C01BDC" w:rsidRPr="00AD0B71" w:rsidRDefault="00C01BDC" w:rsidP="00456081">
      <w:pPr>
        <w:rPr>
          <w:rFonts w:ascii="Arial" w:hAnsi="Arial" w:cs="Arial"/>
          <w:szCs w:val="24"/>
        </w:rPr>
      </w:pPr>
    </w:p>
    <w:p w14:paraId="08D9357B" w14:textId="49EFF02B" w:rsidR="00F42ACA" w:rsidRPr="00AD0B71" w:rsidRDefault="00F42ACA" w:rsidP="00456081">
      <w:pPr>
        <w:rPr>
          <w:rFonts w:ascii="Arial" w:hAnsi="Arial" w:cs="Arial"/>
          <w:b/>
          <w:bCs/>
          <w:szCs w:val="24"/>
          <w:u w:val="single"/>
        </w:rPr>
      </w:pPr>
      <w:r w:rsidRPr="00AD0B71">
        <w:rPr>
          <w:rFonts w:ascii="Arial" w:hAnsi="Arial" w:cs="Arial"/>
          <w:b/>
          <w:bCs/>
          <w:szCs w:val="24"/>
          <w:u w:val="single"/>
        </w:rPr>
        <w:t>Section 232/223(a)(7) Transaction</w:t>
      </w:r>
      <w:r w:rsidR="00730CEC" w:rsidRPr="00AD0B71">
        <w:rPr>
          <w:rFonts w:ascii="Arial" w:hAnsi="Arial" w:cs="Arial"/>
          <w:b/>
          <w:bCs/>
          <w:szCs w:val="24"/>
          <w:u w:val="single"/>
        </w:rPr>
        <w:t xml:space="preserve"> Cost</w:t>
      </w:r>
      <w:r w:rsidRPr="00AD0B71">
        <w:rPr>
          <w:rFonts w:ascii="Arial" w:hAnsi="Arial" w:cs="Arial"/>
          <w:b/>
          <w:bCs/>
          <w:szCs w:val="24"/>
          <w:u w:val="single"/>
        </w:rPr>
        <w:t>s</w:t>
      </w:r>
    </w:p>
    <w:p w14:paraId="366BBB9C" w14:textId="45151203" w:rsidR="00456081" w:rsidRPr="00AD0B71" w:rsidRDefault="00456081" w:rsidP="00456081">
      <w:pPr>
        <w:rPr>
          <w:rFonts w:ascii="Arial" w:hAnsi="Arial" w:cs="Arial"/>
          <w:szCs w:val="24"/>
        </w:rPr>
      </w:pPr>
      <w:r w:rsidRPr="00AD0B71">
        <w:rPr>
          <w:rFonts w:ascii="Arial" w:hAnsi="Arial" w:cs="Arial"/>
          <w:szCs w:val="24"/>
        </w:rPr>
        <w:lastRenderedPageBreak/>
        <w:t>As a reminder, Handbook Chapter 4232.1, Section II, Chapter 2.10.M requires that the payback period</w:t>
      </w:r>
      <w:r w:rsidR="00970A64" w:rsidRPr="00AD0B71">
        <w:rPr>
          <w:rFonts w:ascii="Arial" w:hAnsi="Arial" w:cs="Arial"/>
          <w:szCs w:val="24"/>
        </w:rPr>
        <w:t xml:space="preserve"> for transaction costs associated with 223(a)(7) loans</w:t>
      </w:r>
      <w:r w:rsidRPr="00AD0B71">
        <w:rPr>
          <w:rFonts w:ascii="Arial" w:hAnsi="Arial" w:cs="Arial"/>
          <w:szCs w:val="24"/>
        </w:rPr>
        <w:t xml:space="preserve"> be 10 years or less.  With interest rates increasing, we are seeing increasing requests for waivers of this requirement.  </w:t>
      </w:r>
      <w:proofErr w:type="spellStart"/>
      <w:r w:rsidRPr="00AD0B71">
        <w:rPr>
          <w:rFonts w:ascii="Arial" w:hAnsi="Arial" w:cs="Arial"/>
          <w:szCs w:val="24"/>
        </w:rPr>
        <w:t>ORCF</w:t>
      </w:r>
      <w:proofErr w:type="spellEnd"/>
      <w:r w:rsidRPr="00AD0B71">
        <w:rPr>
          <w:rFonts w:ascii="Arial" w:hAnsi="Arial" w:cs="Arial"/>
          <w:szCs w:val="24"/>
        </w:rPr>
        <w:t xml:space="preserve"> does not anticipate approving waivers of this provision unless the Section 223(a)(7) is an essential part of a workout strategy to avert an FHA claim.  In these situations, </w:t>
      </w:r>
      <w:proofErr w:type="spellStart"/>
      <w:r w:rsidRPr="00AD0B71">
        <w:rPr>
          <w:rFonts w:ascii="Arial" w:hAnsi="Arial" w:cs="Arial"/>
          <w:szCs w:val="24"/>
        </w:rPr>
        <w:t>ORCF</w:t>
      </w:r>
      <w:proofErr w:type="spellEnd"/>
      <w:r w:rsidRPr="00AD0B71">
        <w:rPr>
          <w:rFonts w:ascii="Arial" w:hAnsi="Arial" w:cs="Arial"/>
          <w:szCs w:val="24"/>
        </w:rPr>
        <w:t xml:space="preserve"> would anticipate that the lender would contact </w:t>
      </w:r>
      <w:hyperlink r:id="rId30" w:history="1">
        <w:r w:rsidRPr="00AD0B71">
          <w:rPr>
            <w:rStyle w:val="Hyperlink"/>
            <w:rFonts w:ascii="Arial" w:hAnsi="Arial" w:cs="Arial"/>
            <w:szCs w:val="24"/>
          </w:rPr>
          <w:t>Leanthinking@hud.gov</w:t>
        </w:r>
      </w:hyperlink>
      <w:r w:rsidRPr="00AD0B71">
        <w:rPr>
          <w:rFonts w:ascii="Arial" w:hAnsi="Arial" w:cs="Arial"/>
          <w:szCs w:val="24"/>
        </w:rPr>
        <w:t xml:space="preserve"> ahead of application submission to have a preliminary discussion of the waiver request.</w:t>
      </w:r>
    </w:p>
    <w:p w14:paraId="5E0920E5" w14:textId="77777777" w:rsidR="00456081" w:rsidRPr="00AD0B71" w:rsidRDefault="00456081" w:rsidP="00456081">
      <w:pPr>
        <w:rPr>
          <w:rFonts w:ascii="Arial" w:hAnsi="Arial" w:cs="Arial"/>
          <w:szCs w:val="24"/>
        </w:rPr>
      </w:pPr>
    </w:p>
    <w:p w14:paraId="1F3FC723" w14:textId="6DC8B584" w:rsidR="00456081" w:rsidRPr="00AD0B71" w:rsidRDefault="00456081" w:rsidP="00456081">
      <w:pPr>
        <w:rPr>
          <w:rFonts w:ascii="Arial" w:hAnsi="Arial" w:cs="Arial"/>
          <w:szCs w:val="24"/>
        </w:rPr>
      </w:pPr>
      <w:r w:rsidRPr="00AD0B71">
        <w:rPr>
          <w:rFonts w:ascii="Arial" w:hAnsi="Arial" w:cs="Arial"/>
          <w:szCs w:val="24"/>
        </w:rPr>
        <w:t xml:space="preserve">HUD has also been seeing Section 232/223(a)(7) applications where there is no change or </w:t>
      </w:r>
      <w:r w:rsidR="00094D4A" w:rsidRPr="00AD0B71">
        <w:rPr>
          <w:rFonts w:ascii="Arial" w:hAnsi="Arial" w:cs="Arial"/>
          <w:szCs w:val="24"/>
        </w:rPr>
        <w:t xml:space="preserve">there is </w:t>
      </w:r>
      <w:r w:rsidRPr="00AD0B71">
        <w:rPr>
          <w:rFonts w:ascii="Arial" w:hAnsi="Arial" w:cs="Arial"/>
          <w:szCs w:val="24"/>
        </w:rPr>
        <w:t>an increase in interest rate from the current rate.  If you are proposing such a scenario, you will need to justify why the transaction still inures to the benefit of HUD.</w:t>
      </w:r>
    </w:p>
    <w:p w14:paraId="38DA5EA3" w14:textId="2C6D621E" w:rsidR="0099348F" w:rsidRPr="00AD0B71" w:rsidRDefault="0099348F" w:rsidP="00456081">
      <w:pPr>
        <w:rPr>
          <w:rFonts w:ascii="Arial" w:hAnsi="Arial" w:cs="Arial"/>
          <w:szCs w:val="24"/>
        </w:rPr>
      </w:pPr>
    </w:p>
    <w:p w14:paraId="1D930521" w14:textId="72CAC620" w:rsidR="0099348F" w:rsidRPr="00AD0B71" w:rsidRDefault="0099348F" w:rsidP="0099348F">
      <w:pPr>
        <w:rPr>
          <w:rFonts w:ascii="Arial" w:hAnsi="Arial" w:cs="Arial"/>
        </w:rPr>
      </w:pPr>
      <w:r w:rsidRPr="00AD0B71">
        <w:rPr>
          <w:rFonts w:ascii="Arial" w:hAnsi="Arial" w:cs="Arial"/>
        </w:rPr>
        <w:t xml:space="preserve">For projects in which the underwritten interest rate is no longer attainable, Rate Lock Amendments should be submitted to </w:t>
      </w:r>
      <w:hyperlink r:id="rId31" w:history="1">
        <w:r w:rsidRPr="00AD0B71">
          <w:rPr>
            <w:rStyle w:val="Hyperlink"/>
            <w:rFonts w:ascii="Arial" w:hAnsi="Arial" w:cs="Arial"/>
          </w:rPr>
          <w:t>ORCFcloser@hud.gov</w:t>
        </w:r>
      </w:hyperlink>
      <w:r w:rsidRPr="00AD0B71">
        <w:rPr>
          <w:rFonts w:ascii="Arial" w:hAnsi="Arial" w:cs="Arial"/>
        </w:rPr>
        <w:t xml:space="preserve"> and address the following:</w:t>
      </w:r>
    </w:p>
    <w:p w14:paraId="681FB03C" w14:textId="77777777" w:rsidR="0099348F" w:rsidRPr="00AD0B71" w:rsidRDefault="0099348F" w:rsidP="0099348F">
      <w:pPr>
        <w:rPr>
          <w:rFonts w:ascii="Arial" w:hAnsi="Arial" w:cs="Arial"/>
        </w:rPr>
      </w:pPr>
    </w:p>
    <w:p w14:paraId="2C387484" w14:textId="77777777" w:rsidR="0099348F" w:rsidRPr="00AD0B71" w:rsidRDefault="0099348F" w:rsidP="0099348F">
      <w:pPr>
        <w:pStyle w:val="ListParagraph"/>
        <w:numPr>
          <w:ilvl w:val="0"/>
          <w:numId w:val="46"/>
        </w:numPr>
        <w:spacing w:after="160" w:line="259" w:lineRule="auto"/>
        <w:contextualSpacing/>
        <w:rPr>
          <w:rFonts w:ascii="Arial" w:hAnsi="Arial" w:cs="Arial"/>
        </w:rPr>
      </w:pPr>
      <w:r w:rsidRPr="00AD0B71">
        <w:rPr>
          <w:rFonts w:ascii="Arial" w:hAnsi="Arial" w:cs="Arial"/>
        </w:rPr>
        <w:t>Indicate that the rate lock is higher than the 223(a)(7) underwritten interest rate.</w:t>
      </w:r>
    </w:p>
    <w:p w14:paraId="0CDAC845" w14:textId="3A94FA10" w:rsidR="0099348F" w:rsidRPr="00AD0B71" w:rsidRDefault="002F4CC5" w:rsidP="0099348F">
      <w:pPr>
        <w:pStyle w:val="ListParagraph"/>
        <w:numPr>
          <w:ilvl w:val="0"/>
          <w:numId w:val="46"/>
        </w:numPr>
        <w:spacing w:after="160" w:line="259" w:lineRule="auto"/>
        <w:contextualSpacing/>
        <w:rPr>
          <w:rFonts w:ascii="Arial" w:hAnsi="Arial" w:cs="Arial"/>
        </w:rPr>
      </w:pPr>
      <w:r w:rsidRPr="00AD0B71">
        <w:rPr>
          <w:rFonts w:ascii="Arial" w:hAnsi="Arial" w:cs="Arial"/>
        </w:rPr>
        <w:t xml:space="preserve">The amendment request should include an indication of financial analysis by the lender and confirm that the DSCR based on the underwritten </w:t>
      </w:r>
      <w:proofErr w:type="spellStart"/>
      <w:r w:rsidRPr="00AD0B71">
        <w:rPr>
          <w:rFonts w:ascii="Arial" w:hAnsi="Arial" w:cs="Arial"/>
        </w:rPr>
        <w:t>NOI</w:t>
      </w:r>
      <w:proofErr w:type="spellEnd"/>
      <w:r w:rsidRPr="00AD0B71">
        <w:rPr>
          <w:rFonts w:ascii="Arial" w:hAnsi="Arial" w:cs="Arial"/>
        </w:rPr>
        <w:t xml:space="preserve"> is greater than 1.11 and include the underwritten Reserve for Replacement deposit amount.</w:t>
      </w:r>
    </w:p>
    <w:p w14:paraId="32295EA7" w14:textId="6A5D8A7C" w:rsidR="0099348F" w:rsidRPr="00AD0B71" w:rsidRDefault="0099348F" w:rsidP="00385418">
      <w:pPr>
        <w:pStyle w:val="ListParagraph"/>
        <w:numPr>
          <w:ilvl w:val="0"/>
          <w:numId w:val="46"/>
        </w:numPr>
        <w:spacing w:after="160" w:line="259" w:lineRule="auto"/>
        <w:contextualSpacing/>
        <w:rPr>
          <w:rFonts w:ascii="Arial" w:hAnsi="Arial" w:cs="Arial"/>
        </w:rPr>
      </w:pPr>
      <w:r w:rsidRPr="00AD0B71">
        <w:rPr>
          <w:rFonts w:ascii="Arial" w:hAnsi="Arial" w:cs="Arial"/>
        </w:rPr>
        <w:t>The amendment request should include an updated Executive Summary portion of the 223(a)(7)</w:t>
      </w:r>
      <w:r w:rsidR="00385418" w:rsidRPr="00AD0B71">
        <w:rPr>
          <w:rFonts w:ascii="Arial" w:hAnsi="Arial" w:cs="Arial"/>
        </w:rPr>
        <w:t xml:space="preserve"> </w:t>
      </w:r>
      <w:r w:rsidRPr="00AD0B71">
        <w:rPr>
          <w:rFonts w:ascii="Arial" w:hAnsi="Arial" w:cs="Arial"/>
        </w:rPr>
        <w:t>Lender Narrative.</w:t>
      </w:r>
    </w:p>
    <w:p w14:paraId="78210741" w14:textId="77777777" w:rsidR="0099348F" w:rsidRPr="00AD0B71" w:rsidRDefault="0099348F" w:rsidP="0099348F">
      <w:pPr>
        <w:pStyle w:val="ListParagraph"/>
        <w:numPr>
          <w:ilvl w:val="0"/>
          <w:numId w:val="46"/>
        </w:numPr>
        <w:spacing w:after="160" w:line="259" w:lineRule="auto"/>
        <w:contextualSpacing/>
        <w:rPr>
          <w:rFonts w:ascii="Arial" w:hAnsi="Arial" w:cs="Arial"/>
        </w:rPr>
      </w:pPr>
      <w:r w:rsidRPr="00AD0B71">
        <w:rPr>
          <w:rFonts w:ascii="Arial" w:hAnsi="Arial" w:cs="Arial"/>
        </w:rPr>
        <w:t xml:space="preserve">The calculation of DSCR needs to be based on the August 27, </w:t>
      </w:r>
      <w:proofErr w:type="gramStart"/>
      <w:r w:rsidRPr="00AD0B71">
        <w:rPr>
          <w:rFonts w:ascii="Arial" w:hAnsi="Arial" w:cs="Arial"/>
        </w:rPr>
        <w:t>2021</w:t>
      </w:r>
      <w:proofErr w:type="gramEnd"/>
      <w:r w:rsidRPr="00AD0B71">
        <w:rPr>
          <w:rFonts w:ascii="Arial" w:hAnsi="Arial" w:cs="Arial"/>
        </w:rPr>
        <w:t xml:space="preserve"> email blast, including accounting for the underwritten Replacement Reserve deposit.</w:t>
      </w:r>
    </w:p>
    <w:p w14:paraId="2620399B" w14:textId="2BE38E43" w:rsidR="0099348F" w:rsidRPr="00AD0B71" w:rsidRDefault="0099348F" w:rsidP="0099348F">
      <w:pPr>
        <w:pStyle w:val="ListParagraph"/>
        <w:numPr>
          <w:ilvl w:val="0"/>
          <w:numId w:val="46"/>
        </w:numPr>
        <w:spacing w:after="160" w:line="259" w:lineRule="auto"/>
        <w:contextualSpacing/>
        <w:rPr>
          <w:rFonts w:ascii="Arial" w:hAnsi="Arial" w:cs="Arial"/>
        </w:rPr>
      </w:pPr>
      <w:proofErr w:type="spellStart"/>
      <w:r w:rsidRPr="00AD0B71">
        <w:rPr>
          <w:rFonts w:ascii="Arial" w:hAnsi="Arial" w:cs="Arial"/>
        </w:rPr>
        <w:t>ORCF</w:t>
      </w:r>
      <w:proofErr w:type="spellEnd"/>
      <w:r w:rsidRPr="00AD0B71">
        <w:rPr>
          <w:rFonts w:ascii="Arial" w:hAnsi="Arial" w:cs="Arial"/>
        </w:rPr>
        <w:t xml:space="preserve"> anticipates that one-time COVID expenses have significantly diminished given the pandemic has reached the </w:t>
      </w:r>
      <w:proofErr w:type="gramStart"/>
      <w:r w:rsidRPr="00AD0B71">
        <w:rPr>
          <w:rFonts w:ascii="Arial" w:hAnsi="Arial" w:cs="Arial"/>
        </w:rPr>
        <w:t>two year</w:t>
      </w:r>
      <w:proofErr w:type="gramEnd"/>
      <w:r w:rsidRPr="00AD0B71">
        <w:rPr>
          <w:rFonts w:ascii="Arial" w:hAnsi="Arial" w:cs="Arial"/>
        </w:rPr>
        <w:t xml:space="preserve"> mark.  If any one-time expenses are removed from the financials, those should be detailed in the amendment request and justification as to why those expenses are truly one-time must be provided. </w:t>
      </w:r>
    </w:p>
    <w:p w14:paraId="6CC74A4D" w14:textId="77777777" w:rsidR="00456081" w:rsidRPr="00AD0B71" w:rsidRDefault="00456081" w:rsidP="00456081">
      <w:pPr>
        <w:rPr>
          <w:rFonts w:ascii="Arial" w:hAnsi="Arial" w:cs="Arial"/>
          <w:szCs w:val="24"/>
        </w:rPr>
      </w:pPr>
    </w:p>
    <w:bookmarkEnd w:id="9"/>
    <w:p w14:paraId="44CE1421" w14:textId="77777777" w:rsidR="00A1277A" w:rsidRPr="00AD0B71" w:rsidRDefault="00A1277A" w:rsidP="00A1277A">
      <w:pPr>
        <w:spacing w:after="160" w:line="259" w:lineRule="auto"/>
        <w:rPr>
          <w:rFonts w:ascii="Arial" w:hAnsi="Arial" w:cs="Arial"/>
          <w:b/>
          <w:bCs/>
          <w:szCs w:val="24"/>
          <w:u w:val="single"/>
        </w:rPr>
      </w:pPr>
      <w:r w:rsidRPr="00AD0B71">
        <w:rPr>
          <w:rFonts w:ascii="Arial" w:hAnsi="Arial" w:cs="Arial"/>
          <w:b/>
          <w:bCs/>
          <w:szCs w:val="24"/>
          <w:u w:val="single"/>
        </w:rPr>
        <w:t>Section 232/223(f) Transactions</w:t>
      </w:r>
    </w:p>
    <w:p w14:paraId="30E71C7E" w14:textId="109BD7B3" w:rsidR="00A1277A" w:rsidRPr="00AD0B71" w:rsidRDefault="00A1277A" w:rsidP="00A1277A">
      <w:pPr>
        <w:spacing w:after="160" w:line="259" w:lineRule="auto"/>
        <w:rPr>
          <w:rFonts w:ascii="Arial" w:hAnsi="Arial" w:cs="Arial"/>
          <w:color w:val="C00000"/>
          <w:szCs w:val="24"/>
        </w:rPr>
      </w:pPr>
      <w:r w:rsidRPr="00AD0B71">
        <w:rPr>
          <w:rFonts w:ascii="Arial" w:hAnsi="Arial" w:cs="Arial"/>
          <w:szCs w:val="24"/>
        </w:rPr>
        <w:t>As a reminder, Handbook Chapter 4232.1, Section II, Chapter 3.2 requires that projects have a minimum debt service coverage ratio (DSCR) of 1.45 for 223(f) projects and does not anticipate allowing any deviation from this requirement.</w:t>
      </w:r>
    </w:p>
    <w:p w14:paraId="2D3CD3D5" w14:textId="77777777" w:rsidR="00A1277A" w:rsidRPr="00AD0B71" w:rsidRDefault="00A1277A" w:rsidP="00A1277A">
      <w:pPr>
        <w:spacing w:after="160" w:line="259" w:lineRule="auto"/>
        <w:rPr>
          <w:rFonts w:ascii="Arial" w:hAnsi="Arial" w:cs="Arial"/>
          <w:szCs w:val="24"/>
        </w:rPr>
      </w:pPr>
      <w:r w:rsidRPr="00AD0B71">
        <w:rPr>
          <w:rFonts w:ascii="Arial" w:hAnsi="Arial" w:cs="Arial"/>
          <w:szCs w:val="24"/>
        </w:rPr>
        <w:t xml:space="preserve">Rate Lock Amendments should be submitted to </w:t>
      </w:r>
      <w:hyperlink r:id="rId32" w:history="1">
        <w:r w:rsidRPr="00AD0B71">
          <w:rPr>
            <w:rFonts w:ascii="Arial" w:hAnsi="Arial" w:cs="Arial"/>
            <w:color w:val="0563C1"/>
            <w:szCs w:val="24"/>
            <w:u w:val="single"/>
          </w:rPr>
          <w:t>ORCFcloser@hud.gov</w:t>
        </w:r>
      </w:hyperlink>
      <w:r w:rsidRPr="00AD0B71">
        <w:rPr>
          <w:rFonts w:ascii="Arial" w:hAnsi="Arial" w:cs="Arial"/>
          <w:szCs w:val="24"/>
        </w:rPr>
        <w:t xml:space="preserve"> and address the following:</w:t>
      </w:r>
    </w:p>
    <w:p w14:paraId="119765DA" w14:textId="77777777" w:rsidR="00A1277A" w:rsidRPr="00AD0B71" w:rsidRDefault="00A1277A" w:rsidP="00F42ACA">
      <w:pPr>
        <w:numPr>
          <w:ilvl w:val="0"/>
          <w:numId w:val="47"/>
        </w:numPr>
        <w:spacing w:after="160" w:line="259" w:lineRule="auto"/>
        <w:contextualSpacing/>
        <w:rPr>
          <w:rFonts w:ascii="Arial" w:hAnsi="Arial" w:cs="Arial"/>
          <w:szCs w:val="24"/>
        </w:rPr>
      </w:pPr>
      <w:r w:rsidRPr="00AD0B71">
        <w:rPr>
          <w:rFonts w:ascii="Arial" w:hAnsi="Arial" w:cs="Arial"/>
          <w:szCs w:val="24"/>
        </w:rPr>
        <w:t>Indicate that the rate lock is higher than the 223(f) underwritten interest rate.</w:t>
      </w:r>
    </w:p>
    <w:p w14:paraId="782B1D01" w14:textId="77777777" w:rsidR="00A1277A" w:rsidRPr="00AD0B71" w:rsidRDefault="00A1277A" w:rsidP="00F42ACA">
      <w:pPr>
        <w:numPr>
          <w:ilvl w:val="0"/>
          <w:numId w:val="47"/>
        </w:numPr>
        <w:spacing w:after="160" w:line="259" w:lineRule="auto"/>
        <w:contextualSpacing/>
        <w:rPr>
          <w:rFonts w:ascii="Arial" w:hAnsi="Arial" w:cs="Arial"/>
          <w:szCs w:val="24"/>
        </w:rPr>
      </w:pPr>
      <w:r w:rsidRPr="00AD0B71">
        <w:rPr>
          <w:rFonts w:ascii="Arial" w:hAnsi="Arial" w:cs="Arial"/>
          <w:b/>
          <w:bCs/>
          <w:szCs w:val="24"/>
        </w:rPr>
        <w:t>Submit an updated Stress Test for a period ended within 90 days with the amendment request.</w:t>
      </w:r>
      <w:r w:rsidRPr="00AD0B71">
        <w:rPr>
          <w:rFonts w:ascii="Arial" w:hAnsi="Arial" w:cs="Arial"/>
          <w:szCs w:val="24"/>
        </w:rPr>
        <w:t xml:space="preserve">  The amendment request should include an indication of financial analysis by the lender and confirm that the DSCR for the most recent three months in the Stress Test is greater than 1.45.  </w:t>
      </w:r>
    </w:p>
    <w:p w14:paraId="2904B423" w14:textId="77777777" w:rsidR="00A1277A" w:rsidRPr="00AD0B71" w:rsidRDefault="00A1277A" w:rsidP="00F42ACA">
      <w:pPr>
        <w:numPr>
          <w:ilvl w:val="0"/>
          <w:numId w:val="47"/>
        </w:numPr>
        <w:spacing w:after="160" w:line="259" w:lineRule="auto"/>
        <w:contextualSpacing/>
        <w:rPr>
          <w:rFonts w:ascii="Arial" w:hAnsi="Arial" w:cs="Arial"/>
          <w:szCs w:val="24"/>
        </w:rPr>
      </w:pPr>
      <w:r w:rsidRPr="00AD0B71">
        <w:rPr>
          <w:rFonts w:ascii="Arial" w:hAnsi="Arial" w:cs="Arial"/>
          <w:b/>
          <w:bCs/>
          <w:szCs w:val="24"/>
        </w:rPr>
        <w:lastRenderedPageBreak/>
        <w:t>Submit updated T12 Decision Circuit financials for a period ended within 90 days of the amendment request (the same T12 period as the Stress Test ends).</w:t>
      </w:r>
      <w:r w:rsidRPr="00AD0B71">
        <w:rPr>
          <w:rFonts w:ascii="Arial" w:hAnsi="Arial" w:cs="Arial"/>
          <w:szCs w:val="24"/>
        </w:rPr>
        <w:t xml:space="preserve">  The amendment request should include an indication of financial analysis by the lender and confirm that the DSCR for the most recent T12 period is greater than 1.45.</w:t>
      </w:r>
    </w:p>
    <w:p w14:paraId="347F7776" w14:textId="77777777" w:rsidR="00A1277A" w:rsidRPr="00AD0B71" w:rsidRDefault="00A1277A" w:rsidP="00F42ACA">
      <w:pPr>
        <w:numPr>
          <w:ilvl w:val="0"/>
          <w:numId w:val="47"/>
        </w:numPr>
        <w:spacing w:after="160" w:line="259" w:lineRule="auto"/>
        <w:contextualSpacing/>
        <w:rPr>
          <w:rFonts w:ascii="Arial" w:hAnsi="Arial" w:cs="Arial"/>
          <w:szCs w:val="24"/>
        </w:rPr>
      </w:pPr>
      <w:r w:rsidRPr="00AD0B71">
        <w:rPr>
          <w:rFonts w:ascii="Arial" w:hAnsi="Arial" w:cs="Arial"/>
          <w:szCs w:val="24"/>
        </w:rPr>
        <w:t xml:space="preserve">The calculation of DSCR needs to be based on the August 27, </w:t>
      </w:r>
      <w:proofErr w:type="gramStart"/>
      <w:r w:rsidRPr="00AD0B71">
        <w:rPr>
          <w:rFonts w:ascii="Arial" w:hAnsi="Arial" w:cs="Arial"/>
          <w:szCs w:val="24"/>
        </w:rPr>
        <w:t>2021</w:t>
      </w:r>
      <w:proofErr w:type="gramEnd"/>
      <w:r w:rsidRPr="00AD0B71">
        <w:rPr>
          <w:rFonts w:ascii="Arial" w:hAnsi="Arial" w:cs="Arial"/>
          <w:szCs w:val="24"/>
        </w:rPr>
        <w:t xml:space="preserve"> email blast, including accounting for the underwritten Replacement Reserve deposit.</w:t>
      </w:r>
    </w:p>
    <w:p w14:paraId="1916AE0E" w14:textId="79A2E36A" w:rsidR="00A1277A" w:rsidRPr="00AD0B71" w:rsidRDefault="00A1277A" w:rsidP="00F42ACA">
      <w:pPr>
        <w:numPr>
          <w:ilvl w:val="0"/>
          <w:numId w:val="47"/>
        </w:numPr>
        <w:spacing w:after="160" w:line="259" w:lineRule="auto"/>
        <w:contextualSpacing/>
        <w:rPr>
          <w:rFonts w:ascii="Arial" w:hAnsi="Arial" w:cs="Arial"/>
          <w:szCs w:val="24"/>
        </w:rPr>
      </w:pPr>
      <w:proofErr w:type="spellStart"/>
      <w:r w:rsidRPr="00AD0B71">
        <w:rPr>
          <w:rFonts w:ascii="Arial" w:hAnsi="Arial" w:cs="Arial"/>
          <w:szCs w:val="24"/>
        </w:rPr>
        <w:t>ORCF</w:t>
      </w:r>
      <w:proofErr w:type="spellEnd"/>
      <w:r w:rsidRPr="00AD0B71">
        <w:rPr>
          <w:rFonts w:ascii="Arial" w:hAnsi="Arial" w:cs="Arial"/>
          <w:szCs w:val="24"/>
        </w:rPr>
        <w:t xml:space="preserve"> anticipates that one-time COVID expenses have significantly diminished given the pandemic has reached the </w:t>
      </w:r>
      <w:proofErr w:type="gramStart"/>
      <w:r w:rsidRPr="00AD0B71">
        <w:rPr>
          <w:rFonts w:ascii="Arial" w:hAnsi="Arial" w:cs="Arial"/>
          <w:szCs w:val="24"/>
        </w:rPr>
        <w:t>two year</w:t>
      </w:r>
      <w:proofErr w:type="gramEnd"/>
      <w:r w:rsidRPr="00AD0B71">
        <w:rPr>
          <w:rFonts w:ascii="Arial" w:hAnsi="Arial" w:cs="Arial"/>
          <w:szCs w:val="24"/>
        </w:rPr>
        <w:t xml:space="preserve"> mark.  If any one-time expenses are removed from the financials, those should be detailed in the amendment request and justification as to why those expenses are truly one-time must be provided. </w:t>
      </w:r>
    </w:p>
    <w:p w14:paraId="78FB586F" w14:textId="77777777" w:rsidR="00EC1602" w:rsidRPr="00AD0B71" w:rsidRDefault="00EC1602" w:rsidP="00EC1602">
      <w:pPr>
        <w:spacing w:after="160" w:line="259" w:lineRule="auto"/>
        <w:ind w:left="720"/>
        <w:contextualSpacing/>
        <w:rPr>
          <w:rFonts w:ascii="Arial" w:hAnsi="Arial" w:cs="Arial"/>
          <w:szCs w:val="24"/>
        </w:rPr>
      </w:pPr>
    </w:p>
    <w:p w14:paraId="5F2D26A2" w14:textId="16200DCE" w:rsidR="00E225C7" w:rsidRPr="00AD0B71" w:rsidRDefault="00A1277A" w:rsidP="00A1277A">
      <w:pPr>
        <w:rPr>
          <w:rFonts w:ascii="Arial" w:hAnsi="Arial" w:cs="Arial"/>
          <w:b/>
          <w:color w:val="365F91" w:themeColor="accent1" w:themeShade="BF"/>
          <w:szCs w:val="24"/>
        </w:rPr>
      </w:pPr>
      <w:r w:rsidRPr="00AD0B71">
        <w:rPr>
          <w:rFonts w:ascii="Arial" w:hAnsi="Arial" w:cs="Arial"/>
          <w:szCs w:val="24"/>
        </w:rPr>
        <w:t xml:space="preserve">For 223(f) applications that have been submitted into the queue prior to this Email Blast publication date, pre-screening will occur before applications are assigned to an underwriter.  </w:t>
      </w:r>
      <w:proofErr w:type="spellStart"/>
      <w:r w:rsidRPr="00AD0B71">
        <w:rPr>
          <w:rFonts w:ascii="Arial" w:hAnsi="Arial" w:cs="Arial"/>
          <w:szCs w:val="24"/>
        </w:rPr>
        <w:t>ORCF</w:t>
      </w:r>
      <w:proofErr w:type="spellEnd"/>
      <w:r w:rsidRPr="00AD0B71">
        <w:rPr>
          <w:rFonts w:ascii="Arial" w:hAnsi="Arial" w:cs="Arial"/>
          <w:szCs w:val="24"/>
        </w:rPr>
        <w:t xml:space="preserve"> may request updated T12 financials as confirmation that programmatic DSCR of 1.45 is still being met by the project in the updated T12 period.  Additionally, </w:t>
      </w:r>
      <w:proofErr w:type="spellStart"/>
      <w:r w:rsidRPr="00AD0B71">
        <w:rPr>
          <w:rFonts w:ascii="Arial" w:hAnsi="Arial" w:cs="Arial"/>
          <w:szCs w:val="24"/>
        </w:rPr>
        <w:t>ORCF</w:t>
      </w:r>
      <w:proofErr w:type="spellEnd"/>
      <w:r w:rsidRPr="00AD0B71">
        <w:rPr>
          <w:rFonts w:ascii="Arial" w:hAnsi="Arial" w:cs="Arial"/>
          <w:szCs w:val="24"/>
        </w:rPr>
        <w:t xml:space="preserve"> may seek confirmation from lenders that the most recent three months of performance have not declined and/or that those individual months would meet the threshold of demonstrating DSCR of 1.45, as will be required in a Stress Test submission once the project is processed and ready to proceed to Loan Committee.</w:t>
      </w:r>
    </w:p>
    <w:p w14:paraId="1265D812" w14:textId="4FE420CB" w:rsidR="00A1277A" w:rsidRPr="00AD0B71" w:rsidRDefault="00A1277A" w:rsidP="004B268E">
      <w:pPr>
        <w:rPr>
          <w:rFonts w:ascii="Arial" w:hAnsi="Arial" w:cs="Arial"/>
          <w:b/>
          <w:color w:val="365F91" w:themeColor="accent1" w:themeShade="BF"/>
          <w:szCs w:val="24"/>
        </w:rPr>
      </w:pPr>
    </w:p>
    <w:p w14:paraId="6C2F9927" w14:textId="27921642" w:rsidR="00CF5E97" w:rsidRPr="00AD0B71" w:rsidRDefault="00CF5E97" w:rsidP="00CF5E97">
      <w:pPr>
        <w:rPr>
          <w:rFonts w:ascii="Arial" w:hAnsi="Arial" w:cs="Arial"/>
          <w:i/>
          <w:iCs/>
          <w:szCs w:val="24"/>
        </w:rPr>
      </w:pPr>
      <w:r w:rsidRPr="00AD0B71">
        <w:rPr>
          <w:rFonts w:ascii="Arial" w:hAnsi="Arial" w:cs="Arial"/>
          <w:b/>
          <w:bCs/>
          <w:i/>
          <w:iCs/>
          <w:szCs w:val="24"/>
        </w:rPr>
        <w:t>Keywords:</w:t>
      </w:r>
      <w:r w:rsidRPr="00AD0B71">
        <w:rPr>
          <w:rFonts w:ascii="Arial" w:hAnsi="Arial" w:cs="Arial"/>
          <w:i/>
          <w:iCs/>
          <w:szCs w:val="24"/>
        </w:rPr>
        <w:t xml:space="preserve"> 223(a)(7), 223(f)</w:t>
      </w:r>
    </w:p>
    <w:p w14:paraId="2FDEAC38" w14:textId="77777777" w:rsidR="008711CA" w:rsidRPr="00AD0B71" w:rsidRDefault="008711CA" w:rsidP="008711CA">
      <w:pPr>
        <w:rPr>
          <w:rFonts w:ascii="Arial" w:hAnsi="Arial" w:cs="Arial"/>
        </w:rPr>
      </w:pPr>
    </w:p>
    <w:p w14:paraId="0C81A2F5" w14:textId="77777777" w:rsidR="008711CA" w:rsidRPr="001F5102" w:rsidRDefault="00337008" w:rsidP="008711CA">
      <w:pPr>
        <w:rPr>
          <w:rFonts w:ascii="Arial" w:hAnsi="Arial" w:cs="Arial"/>
          <w:b/>
          <w:color w:val="365F91" w:themeColor="accent1" w:themeShade="BF"/>
          <w:szCs w:val="24"/>
        </w:rPr>
      </w:pPr>
      <w:hyperlink w:anchor="_top" w:history="1">
        <w:r w:rsidR="008711CA" w:rsidRPr="001F5102">
          <w:rPr>
            <w:rFonts w:ascii="Arial" w:hAnsi="Arial" w:cs="Arial"/>
            <w:color w:val="365F91" w:themeColor="accent1" w:themeShade="BF"/>
            <w:szCs w:val="24"/>
            <w:u w:val="single"/>
          </w:rPr>
          <w:t>Back to top</w:t>
        </w:r>
      </w:hyperlink>
    </w:p>
    <w:p w14:paraId="4DBEE832" w14:textId="77777777" w:rsidR="008711CA" w:rsidRDefault="008711CA" w:rsidP="00CF5E97">
      <w:pPr>
        <w:rPr>
          <w:rFonts w:ascii="Arial" w:hAnsi="Arial" w:cs="Arial"/>
          <w:szCs w:val="24"/>
        </w:rPr>
      </w:pPr>
    </w:p>
    <w:p w14:paraId="05906939" w14:textId="6D1A3220" w:rsidR="004B268E" w:rsidRPr="004B268E" w:rsidRDefault="004B268E" w:rsidP="00E225C7">
      <w:pPr>
        <w:pStyle w:val="EmailBlast"/>
      </w:pPr>
      <w:bookmarkStart w:id="10" w:name="_Toc485795984"/>
      <w:bookmarkStart w:id="11" w:name="_Toc102717946"/>
      <w:r w:rsidRPr="004B268E">
        <w:t xml:space="preserve">Updated State Risk </w:t>
      </w:r>
      <w:r w:rsidR="00E225C7" w:rsidRPr="00E225C7">
        <w:t>S</w:t>
      </w:r>
      <w:r w:rsidRPr="004B268E">
        <w:t xml:space="preserve">ummary </w:t>
      </w:r>
      <w:r w:rsidR="00E225C7" w:rsidRPr="00E225C7">
        <w:t>G</w:t>
      </w:r>
      <w:r w:rsidRPr="004B268E">
        <w:t>rid</w:t>
      </w:r>
      <w:bookmarkEnd w:id="10"/>
      <w:bookmarkEnd w:id="11"/>
    </w:p>
    <w:p w14:paraId="102159AC" w14:textId="6E5FBB52" w:rsidR="004B268E" w:rsidRPr="00970BA2" w:rsidRDefault="004B268E" w:rsidP="004B268E">
      <w:pPr>
        <w:rPr>
          <w:rFonts w:ascii="Arial" w:hAnsi="Arial" w:cs="Arial"/>
        </w:rPr>
      </w:pPr>
      <w:r w:rsidRPr="00970BA2">
        <w:rPr>
          <w:rFonts w:ascii="Arial" w:hAnsi="Arial" w:cs="Arial"/>
        </w:rPr>
        <w:t>In the June 28, 2017</w:t>
      </w:r>
      <w:r w:rsidR="00A854C5" w:rsidRPr="00970BA2">
        <w:rPr>
          <w:rFonts w:ascii="Arial" w:hAnsi="Arial" w:cs="Arial"/>
        </w:rPr>
        <w:t xml:space="preserve"> (</w:t>
      </w:r>
      <w:hyperlink r:id="rId33" w:history="1">
        <w:r w:rsidR="00A854C5" w:rsidRPr="00970BA2">
          <w:rPr>
            <w:rStyle w:val="Hyperlink"/>
            <w:rFonts w:ascii="Arial" w:hAnsi="Arial" w:cs="Arial"/>
          </w:rPr>
          <w:t>here</w:t>
        </w:r>
      </w:hyperlink>
      <w:r w:rsidR="00A854C5" w:rsidRPr="00970BA2">
        <w:rPr>
          <w:rFonts w:ascii="Arial" w:hAnsi="Arial" w:cs="Arial"/>
        </w:rPr>
        <w:t>)</w:t>
      </w:r>
      <w:r w:rsidRPr="00970BA2">
        <w:rPr>
          <w:rFonts w:ascii="Arial" w:hAnsi="Arial" w:cs="Arial"/>
        </w:rPr>
        <w:t xml:space="preserve"> and February 29, 2016 Email Blasts and </w:t>
      </w:r>
      <w:r w:rsidR="00A854C5" w:rsidRPr="00970BA2">
        <w:rPr>
          <w:rFonts w:ascii="Arial" w:hAnsi="Arial" w:cs="Arial"/>
        </w:rPr>
        <w:t>(</w:t>
      </w:r>
      <w:hyperlink r:id="rId34" w:history="1">
        <w:r w:rsidRPr="00970BA2">
          <w:rPr>
            <w:rStyle w:val="Hyperlink"/>
            <w:rFonts w:ascii="Arial" w:hAnsi="Arial" w:cs="Arial"/>
          </w:rPr>
          <w:t>here</w:t>
        </w:r>
      </w:hyperlink>
      <w:r w:rsidRPr="00970BA2">
        <w:rPr>
          <w:rFonts w:ascii="Arial" w:hAnsi="Arial" w:cs="Arial"/>
        </w:rPr>
        <w:t xml:space="preserve">), </w:t>
      </w:r>
      <w:proofErr w:type="spellStart"/>
      <w:r w:rsidRPr="00970BA2">
        <w:rPr>
          <w:rFonts w:ascii="Arial" w:hAnsi="Arial" w:cs="Arial"/>
        </w:rPr>
        <w:t>ORCF</w:t>
      </w:r>
      <w:proofErr w:type="spellEnd"/>
      <w:r w:rsidRPr="00970BA2">
        <w:rPr>
          <w:rFonts w:ascii="Arial" w:hAnsi="Arial" w:cs="Arial"/>
        </w:rPr>
        <w:t xml:space="preserve"> provided the industry with an Updated State Risk Summary Grid to provide suggestions on how to address and mitigate funding and regulatory risks.  </w:t>
      </w:r>
    </w:p>
    <w:p w14:paraId="6A79CFAA" w14:textId="77777777" w:rsidR="004B268E" w:rsidRPr="00970BA2" w:rsidRDefault="004B268E" w:rsidP="004B268E">
      <w:pPr>
        <w:rPr>
          <w:rFonts w:ascii="Arial" w:hAnsi="Arial" w:cs="Arial"/>
        </w:rPr>
      </w:pPr>
    </w:p>
    <w:p w14:paraId="2F05C9E8" w14:textId="37CDD739" w:rsidR="004B268E" w:rsidRPr="00970BA2" w:rsidRDefault="004B268E" w:rsidP="004B268E">
      <w:pPr>
        <w:rPr>
          <w:rFonts w:ascii="Arial" w:hAnsi="Arial" w:cs="Arial"/>
          <w:lang w:val="en"/>
        </w:rPr>
      </w:pPr>
      <w:r w:rsidRPr="00970BA2">
        <w:rPr>
          <w:rFonts w:ascii="Arial" w:hAnsi="Arial" w:cs="Arial"/>
          <w:lang w:val="en"/>
        </w:rPr>
        <w:t>On March 3, 2022, the Department of Justice notified the State of Colorado that it “</w:t>
      </w:r>
      <w:r w:rsidRPr="00970BA2">
        <w:rPr>
          <w:rFonts w:ascii="Arial" w:hAnsi="Arial" w:cs="Arial"/>
        </w:rPr>
        <w:t xml:space="preserve">is violating the ADA by administering its long-term care system in a way that unnecessarily segregates individuals with physical disabilities in nursing facilities and places others with physical disabilities at serious risk of unnecessary institutionalization” </w:t>
      </w:r>
      <w:r w:rsidRPr="00970BA2">
        <w:rPr>
          <w:rFonts w:ascii="Arial" w:hAnsi="Arial" w:cs="Arial"/>
          <w:lang w:val="en"/>
        </w:rPr>
        <w:t xml:space="preserve">(see the DOJ’s website </w:t>
      </w:r>
      <w:hyperlink r:id="rId35" w:history="1">
        <w:r w:rsidRPr="00970BA2">
          <w:rPr>
            <w:rStyle w:val="Hyperlink"/>
            <w:rFonts w:ascii="Arial" w:hAnsi="Arial" w:cs="Arial"/>
            <w:lang w:val="en"/>
          </w:rPr>
          <w:t>here</w:t>
        </w:r>
      </w:hyperlink>
      <w:r w:rsidRPr="00970BA2">
        <w:rPr>
          <w:rFonts w:ascii="Arial" w:hAnsi="Arial" w:cs="Arial"/>
          <w:lang w:val="en"/>
        </w:rPr>
        <w:t>).</w:t>
      </w:r>
    </w:p>
    <w:p w14:paraId="6EC68803" w14:textId="77777777" w:rsidR="003A23A4" w:rsidRPr="00970BA2" w:rsidRDefault="003A23A4" w:rsidP="004B268E">
      <w:pPr>
        <w:rPr>
          <w:rFonts w:ascii="Arial" w:hAnsi="Arial" w:cs="Arial"/>
          <w:lang w:val="en"/>
        </w:rPr>
      </w:pPr>
    </w:p>
    <w:p w14:paraId="0C1F8F91" w14:textId="77777777" w:rsidR="004B268E" w:rsidRPr="00970BA2" w:rsidRDefault="004B268E" w:rsidP="004B268E">
      <w:pPr>
        <w:rPr>
          <w:rFonts w:ascii="Arial" w:hAnsi="Arial" w:cs="Arial"/>
          <w:lang w:val="en"/>
        </w:rPr>
      </w:pPr>
      <w:r w:rsidRPr="00970BA2">
        <w:rPr>
          <w:rFonts w:ascii="Arial" w:hAnsi="Arial" w:cs="Arial"/>
          <w:lang w:val="en"/>
        </w:rPr>
        <w:t xml:space="preserve">As the State is enjoined to </w:t>
      </w:r>
      <w:r w:rsidRPr="00970BA2">
        <w:rPr>
          <w:rFonts w:ascii="Arial" w:hAnsi="Arial" w:cs="Arial"/>
        </w:rPr>
        <w:t xml:space="preserve">promptly transition eligible and interested </w:t>
      </w:r>
      <w:proofErr w:type="spellStart"/>
      <w:r w:rsidRPr="00970BA2">
        <w:rPr>
          <w:rFonts w:ascii="Arial" w:hAnsi="Arial" w:cs="Arial"/>
        </w:rPr>
        <w:t>SNF</w:t>
      </w:r>
      <w:proofErr w:type="spellEnd"/>
      <w:r w:rsidRPr="00970BA2">
        <w:rPr>
          <w:rFonts w:ascii="Arial" w:hAnsi="Arial" w:cs="Arial"/>
        </w:rPr>
        <w:t xml:space="preserve"> residents to community-based long-term care services, </w:t>
      </w:r>
      <w:r w:rsidRPr="00970BA2">
        <w:rPr>
          <w:rFonts w:ascii="Arial" w:hAnsi="Arial" w:cs="Arial"/>
          <w:lang w:val="en"/>
        </w:rPr>
        <w:t xml:space="preserve">the industry may reasonably expect an impact on </w:t>
      </w:r>
      <w:proofErr w:type="spellStart"/>
      <w:r w:rsidRPr="00970BA2">
        <w:rPr>
          <w:rFonts w:ascii="Arial" w:hAnsi="Arial" w:cs="Arial"/>
          <w:lang w:val="en"/>
        </w:rPr>
        <w:t>SNF</w:t>
      </w:r>
      <w:proofErr w:type="spellEnd"/>
      <w:r w:rsidRPr="00970BA2">
        <w:rPr>
          <w:rFonts w:ascii="Arial" w:hAnsi="Arial" w:cs="Arial"/>
          <w:lang w:val="en"/>
        </w:rPr>
        <w:t xml:space="preserve"> occupancy. </w:t>
      </w:r>
    </w:p>
    <w:p w14:paraId="31D36FB0" w14:textId="63A047D8" w:rsidR="004B268E" w:rsidRPr="00970BA2" w:rsidRDefault="004B268E" w:rsidP="004B268E">
      <w:pPr>
        <w:rPr>
          <w:rFonts w:ascii="Arial" w:hAnsi="Arial" w:cs="Arial"/>
        </w:rPr>
      </w:pPr>
    </w:p>
    <w:p w14:paraId="17708DC1" w14:textId="77777777" w:rsidR="004B268E" w:rsidRPr="00970BA2" w:rsidRDefault="004B268E" w:rsidP="004B268E">
      <w:pPr>
        <w:rPr>
          <w:rFonts w:ascii="Arial" w:hAnsi="Arial" w:cs="Arial"/>
        </w:rPr>
      </w:pPr>
      <w:r w:rsidRPr="00970BA2">
        <w:rPr>
          <w:rFonts w:ascii="Arial" w:hAnsi="Arial" w:cs="Arial"/>
        </w:rPr>
        <w:t xml:space="preserve">In light of this development, </w:t>
      </w:r>
      <w:proofErr w:type="spellStart"/>
      <w:r w:rsidRPr="00970BA2">
        <w:rPr>
          <w:rFonts w:ascii="Arial" w:hAnsi="Arial" w:cs="Arial"/>
        </w:rPr>
        <w:t>ORCF</w:t>
      </w:r>
      <w:proofErr w:type="spellEnd"/>
      <w:r w:rsidRPr="00970BA2">
        <w:rPr>
          <w:rFonts w:ascii="Arial" w:hAnsi="Arial" w:cs="Arial"/>
        </w:rPr>
        <w:t xml:space="preserve"> has updated the State Risk Summary Grid (on the </w:t>
      </w:r>
      <w:proofErr w:type="spellStart"/>
      <w:r w:rsidRPr="00970BA2">
        <w:rPr>
          <w:rFonts w:ascii="Arial" w:hAnsi="Arial" w:cs="Arial"/>
        </w:rPr>
        <w:t>ORCF</w:t>
      </w:r>
      <w:proofErr w:type="spellEnd"/>
      <w:r w:rsidRPr="00970BA2">
        <w:rPr>
          <w:rFonts w:ascii="Arial" w:hAnsi="Arial" w:cs="Arial"/>
        </w:rPr>
        <w:t xml:space="preserve"> website </w:t>
      </w:r>
      <w:hyperlink r:id="rId36" w:history="1">
        <w:r w:rsidRPr="00970BA2">
          <w:rPr>
            <w:rStyle w:val="Hyperlink"/>
            <w:rFonts w:ascii="Arial" w:hAnsi="Arial" w:cs="Arial"/>
          </w:rPr>
          <w:t>here</w:t>
        </w:r>
      </w:hyperlink>
      <w:r w:rsidRPr="00970BA2">
        <w:rPr>
          <w:rFonts w:ascii="Arial" w:hAnsi="Arial" w:cs="Arial"/>
        </w:rPr>
        <w:t xml:space="preserve">) to include Colorado in the list of examples of States that have Olmstead Settlement Agreements or pending related litigation.  </w:t>
      </w:r>
    </w:p>
    <w:p w14:paraId="53FADE48" w14:textId="77777777" w:rsidR="004B268E" w:rsidRPr="00970BA2" w:rsidRDefault="004B268E" w:rsidP="004B268E">
      <w:pPr>
        <w:rPr>
          <w:rFonts w:ascii="Arial" w:hAnsi="Arial" w:cs="Arial"/>
        </w:rPr>
      </w:pPr>
    </w:p>
    <w:p w14:paraId="5A2E60B3" w14:textId="77777777" w:rsidR="004B268E" w:rsidRPr="00970BA2" w:rsidRDefault="004B268E" w:rsidP="004B268E">
      <w:pPr>
        <w:rPr>
          <w:rFonts w:ascii="Arial" w:hAnsi="Arial" w:cs="Arial"/>
        </w:rPr>
      </w:pPr>
      <w:r w:rsidRPr="00970BA2">
        <w:rPr>
          <w:rFonts w:ascii="Arial" w:hAnsi="Arial" w:cs="Arial"/>
        </w:rPr>
        <w:lastRenderedPageBreak/>
        <w:t>Please note that the Risk Mitigation to Consider section of the State Risk Summary Grid is not intended to be all-inclusive.  Lenders may propose alternative risk mitigation with supporting rationale for why it would address the potential risk to the same or greater extent as the Risk Mitigation included in this grid.</w:t>
      </w:r>
    </w:p>
    <w:p w14:paraId="40408620" w14:textId="77777777" w:rsidR="004B268E" w:rsidRPr="00970BA2" w:rsidRDefault="004B268E" w:rsidP="004B268E">
      <w:pPr>
        <w:rPr>
          <w:rFonts w:ascii="Arial" w:hAnsi="Arial" w:cs="Arial"/>
        </w:rPr>
      </w:pPr>
    </w:p>
    <w:p w14:paraId="06663DF7" w14:textId="77777777" w:rsidR="004B268E" w:rsidRPr="00970BA2" w:rsidRDefault="004B268E" w:rsidP="004B268E">
      <w:pPr>
        <w:rPr>
          <w:rFonts w:ascii="Arial" w:hAnsi="Arial" w:cs="Arial"/>
        </w:rPr>
      </w:pPr>
      <w:r w:rsidRPr="00970BA2">
        <w:rPr>
          <w:rFonts w:ascii="Arial" w:hAnsi="Arial" w:cs="Arial"/>
        </w:rPr>
        <w:t xml:space="preserve">Additionally, this grid is not meant to limit the extent of the Lender’s inquiries.  As widely reported in industry media, many States have recently budgeted funds for reducing and/or eliminating Medicaid waiver wait lists even absent Olmstead litigation.  </w:t>
      </w:r>
      <w:proofErr w:type="spellStart"/>
      <w:r w:rsidRPr="00970BA2">
        <w:rPr>
          <w:rFonts w:ascii="Arial" w:hAnsi="Arial" w:cs="Arial"/>
        </w:rPr>
        <w:t>ORCF</w:t>
      </w:r>
      <w:proofErr w:type="spellEnd"/>
      <w:r w:rsidRPr="00970BA2">
        <w:rPr>
          <w:rFonts w:ascii="Arial" w:hAnsi="Arial" w:cs="Arial"/>
        </w:rPr>
        <w:t xml:space="preserve"> expects Lenders to be conversant in the regulatory risks particular to the project’s State and address as appropriate.    </w:t>
      </w:r>
    </w:p>
    <w:p w14:paraId="1B63D305" w14:textId="77777777" w:rsidR="004B268E" w:rsidRPr="00970BA2" w:rsidRDefault="004B268E" w:rsidP="004B268E">
      <w:pPr>
        <w:rPr>
          <w:rFonts w:ascii="Arial" w:hAnsi="Arial" w:cs="Arial"/>
        </w:rPr>
      </w:pPr>
    </w:p>
    <w:p w14:paraId="5FA339AF" w14:textId="77777777" w:rsidR="004B268E" w:rsidRPr="00970BA2" w:rsidRDefault="004B268E" w:rsidP="004B268E">
      <w:pPr>
        <w:rPr>
          <w:rFonts w:ascii="Arial" w:hAnsi="Arial" w:cs="Arial"/>
        </w:rPr>
      </w:pPr>
      <w:r w:rsidRPr="00970BA2">
        <w:rPr>
          <w:rFonts w:ascii="Arial" w:hAnsi="Arial" w:cs="Arial"/>
          <w:b/>
          <w:bCs/>
          <w:i/>
          <w:iCs/>
        </w:rPr>
        <w:t>Keywords:</w:t>
      </w:r>
      <w:r w:rsidRPr="00970BA2">
        <w:rPr>
          <w:rFonts w:ascii="Arial" w:hAnsi="Arial" w:cs="Arial"/>
          <w:i/>
          <w:iCs/>
        </w:rPr>
        <w:t xml:space="preserve"> State Risk, State Risk Summary Grid</w:t>
      </w:r>
    </w:p>
    <w:p w14:paraId="13E8EABC" w14:textId="77777777" w:rsidR="004B268E" w:rsidRPr="004B268E" w:rsidRDefault="004B268E" w:rsidP="004B268E">
      <w:pPr>
        <w:rPr>
          <w:rFonts w:ascii="Arial" w:hAnsi="Arial" w:cs="Arial"/>
        </w:rPr>
      </w:pPr>
    </w:p>
    <w:p w14:paraId="50DFACFB" w14:textId="77777777" w:rsidR="004B268E" w:rsidRPr="001F5102" w:rsidRDefault="00337008" w:rsidP="004B268E">
      <w:pPr>
        <w:rPr>
          <w:rFonts w:ascii="Arial" w:hAnsi="Arial" w:cs="Arial"/>
          <w:b/>
          <w:color w:val="365F91" w:themeColor="accent1" w:themeShade="BF"/>
          <w:szCs w:val="24"/>
        </w:rPr>
      </w:pPr>
      <w:hyperlink w:anchor="_top" w:history="1">
        <w:r w:rsidR="004B268E" w:rsidRPr="001F5102">
          <w:rPr>
            <w:rFonts w:ascii="Arial" w:hAnsi="Arial" w:cs="Arial"/>
            <w:color w:val="365F91" w:themeColor="accent1" w:themeShade="BF"/>
            <w:szCs w:val="24"/>
            <w:u w:val="single"/>
          </w:rPr>
          <w:t>Back to top</w:t>
        </w:r>
      </w:hyperlink>
    </w:p>
    <w:p w14:paraId="49688D66" w14:textId="5CA07341" w:rsidR="00004D6E" w:rsidRDefault="00004D6E" w:rsidP="00DC0C97">
      <w:pPr>
        <w:rPr>
          <w:rFonts w:ascii="Arial" w:hAnsi="Arial" w:cs="Arial"/>
        </w:rPr>
      </w:pPr>
    </w:p>
    <w:p w14:paraId="5B462D9D" w14:textId="684BB0BA" w:rsidR="00E01B65" w:rsidRPr="0054708C" w:rsidRDefault="0022275E" w:rsidP="00E01B65">
      <w:pPr>
        <w:pStyle w:val="EmailBlast"/>
      </w:pPr>
      <w:bookmarkStart w:id="12" w:name="_Toc102717947"/>
      <w:r>
        <w:t>R</w:t>
      </w:r>
      <w:r w:rsidR="006C2CF6">
        <w:t>eminder Regarding Loan Servicing Communication</w:t>
      </w:r>
      <w:bookmarkEnd w:id="12"/>
    </w:p>
    <w:p w14:paraId="7E77C548" w14:textId="3D758CE6" w:rsidR="00360590" w:rsidRPr="00477D25" w:rsidRDefault="00265555" w:rsidP="00E01B65">
      <w:pPr>
        <w:rPr>
          <w:rFonts w:ascii="Arial" w:hAnsi="Arial" w:cs="Arial"/>
        </w:rPr>
      </w:pPr>
      <w:r w:rsidRPr="00477D25">
        <w:rPr>
          <w:rFonts w:ascii="Arial" w:hAnsi="Arial" w:cs="Arial"/>
        </w:rPr>
        <w:t>In Section 232 loan servicing, l</w:t>
      </w:r>
      <w:r w:rsidR="00360590" w:rsidRPr="00477D25">
        <w:rPr>
          <w:rFonts w:ascii="Arial" w:hAnsi="Arial" w:cs="Arial"/>
        </w:rPr>
        <w:t xml:space="preserve">enders are reminded to keep clear records regarding their communication with other parties, for the lender’s use in communicating with HUD about risks arising from noncompliance with business agreements.  This information is paramount for overall risk management.  The information is also vital for </w:t>
      </w:r>
      <w:proofErr w:type="spellStart"/>
      <w:r w:rsidR="00360590" w:rsidRPr="00477D25">
        <w:rPr>
          <w:rFonts w:ascii="Arial" w:hAnsi="Arial" w:cs="Arial"/>
        </w:rPr>
        <w:t>ORCF’s</w:t>
      </w:r>
      <w:proofErr w:type="spellEnd"/>
      <w:r w:rsidR="00360590" w:rsidRPr="00477D25">
        <w:rPr>
          <w:rFonts w:ascii="Arial" w:hAnsi="Arial" w:cs="Arial"/>
        </w:rPr>
        <w:t xml:space="preserve"> use of two </w:t>
      </w:r>
      <w:proofErr w:type="gramStart"/>
      <w:r w:rsidR="00360590" w:rsidRPr="00477D25">
        <w:rPr>
          <w:rFonts w:ascii="Arial" w:hAnsi="Arial" w:cs="Arial"/>
        </w:rPr>
        <w:t>particular tools</w:t>
      </w:r>
      <w:proofErr w:type="gramEnd"/>
      <w:r w:rsidR="00360590" w:rsidRPr="00477D25">
        <w:rPr>
          <w:rFonts w:ascii="Arial" w:hAnsi="Arial" w:cs="Arial"/>
        </w:rPr>
        <w:t>, those being the Active Partners Participation System (APPS) and referrals to the Departmental Enforcement Center</w:t>
      </w:r>
      <w:r w:rsidR="00A764E8" w:rsidRPr="00477D25">
        <w:rPr>
          <w:rFonts w:ascii="Arial" w:hAnsi="Arial" w:cs="Arial"/>
        </w:rPr>
        <w:t xml:space="preserve"> (DEC)</w:t>
      </w:r>
      <w:r w:rsidR="00360590" w:rsidRPr="00477D25">
        <w:rPr>
          <w:rFonts w:ascii="Arial" w:hAnsi="Arial" w:cs="Arial"/>
        </w:rPr>
        <w:t>.</w:t>
      </w:r>
    </w:p>
    <w:p w14:paraId="158D6C5C" w14:textId="77777777" w:rsidR="00360590" w:rsidRPr="00477D25" w:rsidRDefault="00360590" w:rsidP="00E01B65">
      <w:pPr>
        <w:rPr>
          <w:rFonts w:ascii="Arial" w:hAnsi="Arial" w:cs="Arial"/>
        </w:rPr>
      </w:pPr>
    </w:p>
    <w:p w14:paraId="00F6B047" w14:textId="636F68F1" w:rsidR="00A764E8" w:rsidRPr="00477D25" w:rsidRDefault="00E01B65" w:rsidP="00E01B65">
      <w:pPr>
        <w:rPr>
          <w:rFonts w:ascii="Arial" w:hAnsi="Arial" w:cs="Arial"/>
        </w:rPr>
      </w:pPr>
      <w:proofErr w:type="spellStart"/>
      <w:r w:rsidRPr="00477D25">
        <w:rPr>
          <w:rFonts w:ascii="Arial" w:hAnsi="Arial" w:cs="Arial"/>
        </w:rPr>
        <w:t>ORCF</w:t>
      </w:r>
      <w:proofErr w:type="spellEnd"/>
      <w:r w:rsidRPr="00477D25">
        <w:rPr>
          <w:rFonts w:ascii="Arial" w:hAnsi="Arial" w:cs="Arial"/>
        </w:rPr>
        <w:t xml:space="preserve"> utilizes flags in </w:t>
      </w:r>
      <w:r w:rsidR="00EE1F36" w:rsidRPr="00477D25">
        <w:rPr>
          <w:rFonts w:ascii="Arial" w:hAnsi="Arial" w:cs="Arial"/>
        </w:rPr>
        <w:t>APPS</w:t>
      </w:r>
      <w:r w:rsidRPr="00477D25">
        <w:rPr>
          <w:rFonts w:ascii="Arial" w:hAnsi="Arial" w:cs="Arial"/>
        </w:rPr>
        <w:t xml:space="preserve"> to assess risk associated with the participants in </w:t>
      </w:r>
      <w:proofErr w:type="spellStart"/>
      <w:r w:rsidR="00265555" w:rsidRPr="00477D25">
        <w:rPr>
          <w:rFonts w:ascii="Arial" w:hAnsi="Arial" w:cs="Arial"/>
        </w:rPr>
        <w:t>ORCF</w:t>
      </w:r>
      <w:proofErr w:type="spellEnd"/>
      <w:r w:rsidR="00265555" w:rsidRPr="00477D25">
        <w:rPr>
          <w:rFonts w:ascii="Arial" w:hAnsi="Arial" w:cs="Arial"/>
        </w:rPr>
        <w:t xml:space="preserve"> programs</w:t>
      </w:r>
      <w:r w:rsidRPr="00477D25">
        <w:rPr>
          <w:rFonts w:ascii="Arial" w:hAnsi="Arial" w:cs="Arial"/>
        </w:rPr>
        <w:t>. Flags are placed when a violation or other circumstance warrant</w:t>
      </w:r>
      <w:r w:rsidR="00265555" w:rsidRPr="00477D25">
        <w:rPr>
          <w:rFonts w:ascii="Arial" w:hAnsi="Arial" w:cs="Arial"/>
        </w:rPr>
        <w:t>s,</w:t>
      </w:r>
      <w:r w:rsidRPr="00477D25">
        <w:rPr>
          <w:rFonts w:ascii="Arial" w:hAnsi="Arial" w:cs="Arial"/>
        </w:rPr>
        <w:t xml:space="preserve"> as outlined in </w:t>
      </w:r>
      <w:hyperlink r:id="rId37" w:history="1">
        <w:r w:rsidRPr="00477D25">
          <w:rPr>
            <w:rStyle w:val="Hyperlink"/>
            <w:rFonts w:ascii="Arial" w:hAnsi="Arial" w:cs="Arial"/>
          </w:rPr>
          <w:t>Housing Notice 2016-15</w:t>
        </w:r>
      </w:hyperlink>
      <w:r w:rsidRPr="00477D25">
        <w:rPr>
          <w:rFonts w:ascii="Arial" w:hAnsi="Arial" w:cs="Arial"/>
        </w:rPr>
        <w:t xml:space="preserve">.  </w:t>
      </w:r>
      <w:r w:rsidR="00A764E8" w:rsidRPr="00477D25">
        <w:rPr>
          <w:rFonts w:ascii="Arial" w:hAnsi="Arial" w:cs="Arial"/>
        </w:rPr>
        <w:t xml:space="preserve">These flags impact a party’s </w:t>
      </w:r>
      <w:r w:rsidR="00A764E8" w:rsidRPr="00477D25">
        <w:rPr>
          <w:rFonts w:ascii="Arial" w:hAnsi="Arial" w:cs="Arial"/>
          <w:u w:val="single"/>
        </w:rPr>
        <w:t xml:space="preserve">future </w:t>
      </w:r>
      <w:r w:rsidR="00A764E8" w:rsidRPr="00477D25">
        <w:rPr>
          <w:rFonts w:ascii="Arial" w:hAnsi="Arial" w:cs="Arial"/>
        </w:rPr>
        <w:t xml:space="preserve">ability to participate in HUD programs.  </w:t>
      </w:r>
      <w:r w:rsidR="00265555" w:rsidRPr="00477D25">
        <w:rPr>
          <w:rFonts w:ascii="Arial" w:hAnsi="Arial" w:cs="Arial"/>
        </w:rPr>
        <w:t xml:space="preserve">By contrast, </w:t>
      </w:r>
      <w:r w:rsidR="00A764E8" w:rsidRPr="00477D25">
        <w:rPr>
          <w:rFonts w:ascii="Arial" w:hAnsi="Arial" w:cs="Arial"/>
        </w:rPr>
        <w:t xml:space="preserve">DEC referrals are a key means of promptly taking administrative/enforcement action related to a party’s </w:t>
      </w:r>
      <w:r w:rsidR="00A764E8" w:rsidRPr="00477D25">
        <w:rPr>
          <w:rFonts w:ascii="Arial" w:hAnsi="Arial" w:cs="Arial"/>
          <w:u w:val="single"/>
        </w:rPr>
        <w:t>current</w:t>
      </w:r>
      <w:r w:rsidR="00A764E8" w:rsidRPr="00477D25">
        <w:rPr>
          <w:rFonts w:ascii="Arial" w:hAnsi="Arial" w:cs="Arial"/>
        </w:rPr>
        <w:t xml:space="preserve"> activity.</w:t>
      </w:r>
    </w:p>
    <w:p w14:paraId="271B26E9" w14:textId="77777777" w:rsidR="00542996" w:rsidRPr="00477D25" w:rsidRDefault="00542996" w:rsidP="00E01B65">
      <w:pPr>
        <w:rPr>
          <w:rFonts w:ascii="Arial" w:hAnsi="Arial" w:cs="Arial"/>
        </w:rPr>
      </w:pPr>
    </w:p>
    <w:p w14:paraId="15724C45" w14:textId="3937ADA4" w:rsidR="00E01B65" w:rsidRPr="0015490F" w:rsidRDefault="00E01B65" w:rsidP="00E01B65">
      <w:pPr>
        <w:rPr>
          <w:rFonts w:ascii="Arial" w:hAnsi="Arial" w:cs="Arial"/>
          <w:i/>
          <w:iCs/>
          <w:szCs w:val="24"/>
        </w:rPr>
      </w:pPr>
      <w:r w:rsidRPr="00477D25">
        <w:rPr>
          <w:rFonts w:ascii="Arial" w:hAnsi="Arial" w:cs="Arial"/>
          <w:b/>
          <w:bCs/>
          <w:i/>
          <w:iCs/>
          <w:szCs w:val="24"/>
        </w:rPr>
        <w:t>Keywords:</w:t>
      </w:r>
      <w:r w:rsidRPr="00477D25">
        <w:rPr>
          <w:rFonts w:ascii="Arial" w:hAnsi="Arial" w:cs="Arial"/>
          <w:i/>
          <w:iCs/>
          <w:szCs w:val="24"/>
        </w:rPr>
        <w:t xml:space="preserve"> </w:t>
      </w:r>
      <w:r w:rsidR="00814874" w:rsidRPr="00477D25">
        <w:rPr>
          <w:rFonts w:ascii="Arial" w:hAnsi="Arial" w:cs="Arial"/>
          <w:i/>
          <w:iCs/>
          <w:szCs w:val="24"/>
        </w:rPr>
        <w:t>APPS</w:t>
      </w:r>
    </w:p>
    <w:p w14:paraId="5CE4C26A" w14:textId="77777777" w:rsidR="00E01B65" w:rsidRDefault="00E01B65" w:rsidP="00E01B65">
      <w:pPr>
        <w:rPr>
          <w:rFonts w:ascii="Arial" w:hAnsi="Arial" w:cs="Arial"/>
          <w:szCs w:val="24"/>
        </w:rPr>
      </w:pPr>
    </w:p>
    <w:p w14:paraId="5C369FBE" w14:textId="77777777" w:rsidR="00E01B65" w:rsidRPr="001F5102" w:rsidRDefault="00337008" w:rsidP="00E01B65">
      <w:pPr>
        <w:rPr>
          <w:rFonts w:ascii="Arial" w:hAnsi="Arial" w:cs="Arial"/>
          <w:b/>
          <w:color w:val="365F91" w:themeColor="accent1" w:themeShade="BF"/>
          <w:szCs w:val="24"/>
        </w:rPr>
      </w:pPr>
      <w:hyperlink w:anchor="_top" w:history="1">
        <w:r w:rsidR="00E01B65" w:rsidRPr="001F5102">
          <w:rPr>
            <w:rFonts w:ascii="Arial" w:hAnsi="Arial" w:cs="Arial"/>
            <w:color w:val="365F91" w:themeColor="accent1" w:themeShade="BF"/>
            <w:szCs w:val="24"/>
            <w:u w:val="single"/>
          </w:rPr>
          <w:t>Back to top</w:t>
        </w:r>
      </w:hyperlink>
    </w:p>
    <w:p w14:paraId="5692BB86" w14:textId="4CE18A3C" w:rsidR="00E01B65" w:rsidRDefault="00E01B65" w:rsidP="00DC0C97">
      <w:pPr>
        <w:rPr>
          <w:rFonts w:ascii="Arial" w:hAnsi="Arial" w:cs="Arial"/>
        </w:rPr>
      </w:pPr>
    </w:p>
    <w:p w14:paraId="03810B53" w14:textId="77777777" w:rsidR="006D7A93" w:rsidRPr="001F5102" w:rsidRDefault="006D7A93" w:rsidP="00DC0C97">
      <w:pPr>
        <w:rPr>
          <w:rFonts w:ascii="Arial" w:hAnsi="Arial" w:cs="Arial"/>
        </w:rPr>
      </w:pPr>
    </w:p>
    <w:p w14:paraId="6EAC7DE2" w14:textId="0172E1D2" w:rsidR="00910E23" w:rsidRPr="001F5102" w:rsidRDefault="00910E23" w:rsidP="006F76CC">
      <w:pPr>
        <w:pStyle w:val="EmailBlast"/>
      </w:pPr>
      <w:bookmarkStart w:id="13" w:name="_Toc396209070"/>
      <w:bookmarkStart w:id="14" w:name="_Toc102717948"/>
      <w:r w:rsidRPr="001F5102">
        <w:t>FROM THE CLOSING CORNER</w:t>
      </w:r>
      <w:bookmarkEnd w:id="13"/>
      <w:bookmarkEnd w:id="14"/>
    </w:p>
    <w:p w14:paraId="2E19D584" w14:textId="26B7629E" w:rsidR="0036452B" w:rsidRPr="0036452B" w:rsidRDefault="0036452B" w:rsidP="006D7A93">
      <w:pPr>
        <w:pStyle w:val="EmailBlast2"/>
      </w:pPr>
      <w:bookmarkStart w:id="15" w:name="_Toc102717949"/>
      <w:r w:rsidRPr="006D7A93">
        <w:t>Updated:</w:t>
      </w:r>
      <w:r w:rsidRPr="0036452B">
        <w:t xml:space="preserve"> The HUD Refinance Closing Checklist for Section 223(f) and Section 223(a)(7) Programs</w:t>
      </w:r>
      <w:bookmarkEnd w:id="15"/>
      <w:r w:rsidRPr="0036452B">
        <w:t xml:space="preserve"> </w:t>
      </w:r>
    </w:p>
    <w:p w14:paraId="3020F827" w14:textId="389E77BF" w:rsidR="0036452B" w:rsidRPr="0036452B" w:rsidRDefault="0036452B" w:rsidP="0036452B">
      <w:pPr>
        <w:rPr>
          <w:rFonts w:ascii="Arial" w:hAnsi="Arial" w:cs="Arial"/>
        </w:rPr>
      </w:pPr>
      <w:r w:rsidRPr="0036452B">
        <w:rPr>
          <w:rFonts w:ascii="Arial" w:hAnsi="Arial" w:cs="Arial"/>
        </w:rPr>
        <w:t xml:space="preserve">In conjunction with the HUD Office of General Counsel (OGC), and in the spirit of “continuous improvement”, </w:t>
      </w:r>
      <w:proofErr w:type="spellStart"/>
      <w:r w:rsidRPr="0036452B">
        <w:rPr>
          <w:rFonts w:ascii="Arial" w:hAnsi="Arial" w:cs="Arial"/>
        </w:rPr>
        <w:t>ORCF</w:t>
      </w:r>
      <w:proofErr w:type="spellEnd"/>
      <w:r w:rsidRPr="0036452B">
        <w:rPr>
          <w:rFonts w:ascii="Arial" w:hAnsi="Arial" w:cs="Arial"/>
        </w:rPr>
        <w:t xml:space="preserve"> is proud to release the updated HUD Refinance Closing Checklist for the Section 223(f) and Section 223(a)(7) </w:t>
      </w:r>
      <w:r w:rsidRPr="00337008">
        <w:rPr>
          <w:rFonts w:ascii="Arial" w:hAnsi="Arial" w:cs="Arial"/>
        </w:rPr>
        <w:t>Programs</w:t>
      </w:r>
      <w:r w:rsidR="00A470A5" w:rsidRPr="00337008">
        <w:rPr>
          <w:rFonts w:ascii="Arial" w:hAnsi="Arial" w:cs="Arial"/>
        </w:rPr>
        <w:t xml:space="preserve"> (</w:t>
      </w:r>
      <w:hyperlink r:id="rId38" w:history="1">
        <w:r w:rsidR="00A470A5" w:rsidRPr="00337008">
          <w:rPr>
            <w:rStyle w:val="Hyperlink"/>
            <w:rFonts w:ascii="Arial" w:hAnsi="Arial" w:cs="Arial"/>
          </w:rPr>
          <w:t>here</w:t>
        </w:r>
      </w:hyperlink>
      <w:r w:rsidR="00A470A5" w:rsidRPr="00337008">
        <w:rPr>
          <w:rFonts w:ascii="Arial" w:hAnsi="Arial" w:cs="Arial"/>
        </w:rPr>
        <w:t>)</w:t>
      </w:r>
      <w:r w:rsidR="00A62126" w:rsidRPr="00337008">
        <w:rPr>
          <w:rFonts w:ascii="Arial" w:hAnsi="Arial" w:cs="Arial"/>
        </w:rPr>
        <w:t>.</w:t>
      </w:r>
      <w:r w:rsidRPr="0036452B">
        <w:rPr>
          <w:rFonts w:ascii="Arial" w:hAnsi="Arial" w:cs="Arial"/>
        </w:rPr>
        <w:t xml:space="preserve">  This </w:t>
      </w:r>
      <w:r w:rsidRPr="0036452B">
        <w:rPr>
          <w:rFonts w:ascii="Arial" w:hAnsi="Arial" w:cs="Arial"/>
          <w:b/>
          <w:bCs/>
          <w:i/>
          <w:iCs/>
          <w:u w:val="single"/>
        </w:rPr>
        <w:t>one</w:t>
      </w:r>
      <w:r w:rsidRPr="0036452B">
        <w:rPr>
          <w:rFonts w:ascii="Arial" w:hAnsi="Arial" w:cs="Arial"/>
        </w:rPr>
        <w:t xml:space="preserve"> checklist will replace both the HUD Attorney and Closer Checklists for these programs </w:t>
      </w:r>
      <w:r w:rsidRPr="0036452B">
        <w:rPr>
          <w:rFonts w:ascii="Arial" w:hAnsi="Arial" w:cs="Arial"/>
          <w:b/>
          <w:bCs/>
          <w:i/>
          <w:iCs/>
          <w:u w:val="single"/>
        </w:rPr>
        <w:t>effective April 2022</w:t>
      </w:r>
      <w:r w:rsidRPr="0036452B">
        <w:rPr>
          <w:rFonts w:ascii="Arial" w:hAnsi="Arial" w:cs="Arial"/>
        </w:rPr>
        <w:t xml:space="preserve">.  Please use this checklist when submitting draft closing packages to the HUD Attorney and the </w:t>
      </w:r>
      <w:proofErr w:type="spellStart"/>
      <w:r w:rsidRPr="0036452B">
        <w:rPr>
          <w:rFonts w:ascii="Arial" w:hAnsi="Arial" w:cs="Arial"/>
        </w:rPr>
        <w:t>ORCF</w:t>
      </w:r>
      <w:proofErr w:type="spellEnd"/>
      <w:r w:rsidRPr="0036452B">
        <w:rPr>
          <w:rFonts w:ascii="Arial" w:hAnsi="Arial" w:cs="Arial"/>
        </w:rPr>
        <w:t xml:space="preserve"> Closing Coordinator. </w:t>
      </w:r>
    </w:p>
    <w:p w14:paraId="7BDCC9C7" w14:textId="77777777" w:rsidR="0036452B" w:rsidRPr="0036452B" w:rsidRDefault="0036452B" w:rsidP="0036452B">
      <w:pPr>
        <w:rPr>
          <w:rFonts w:ascii="Arial" w:hAnsi="Arial" w:cs="Arial"/>
        </w:rPr>
      </w:pPr>
    </w:p>
    <w:p w14:paraId="6035E0C9" w14:textId="77777777" w:rsidR="0036452B" w:rsidRPr="0036452B" w:rsidRDefault="0036452B" w:rsidP="0036452B">
      <w:pPr>
        <w:rPr>
          <w:rFonts w:ascii="Arial" w:hAnsi="Arial" w:cs="Arial"/>
        </w:rPr>
      </w:pPr>
      <w:r w:rsidRPr="0036452B">
        <w:rPr>
          <w:rFonts w:ascii="Arial" w:hAnsi="Arial" w:cs="Arial"/>
        </w:rPr>
        <w:lastRenderedPageBreak/>
        <w:t xml:space="preserve">Should you have any questions, please contact your assigned </w:t>
      </w:r>
      <w:proofErr w:type="spellStart"/>
      <w:r w:rsidRPr="0036452B">
        <w:rPr>
          <w:rFonts w:ascii="Arial" w:hAnsi="Arial" w:cs="Arial"/>
        </w:rPr>
        <w:t>ORCF</w:t>
      </w:r>
      <w:proofErr w:type="spellEnd"/>
      <w:r w:rsidRPr="0036452B">
        <w:rPr>
          <w:rFonts w:ascii="Arial" w:hAnsi="Arial" w:cs="Arial"/>
        </w:rPr>
        <w:t xml:space="preserve"> Closing Coordinator.</w:t>
      </w:r>
    </w:p>
    <w:p w14:paraId="0DFD64DA" w14:textId="77777777" w:rsidR="0036452B" w:rsidRPr="0036452B" w:rsidRDefault="0036452B" w:rsidP="0036452B">
      <w:pPr>
        <w:rPr>
          <w:rFonts w:ascii="Arial" w:hAnsi="Arial" w:cs="Arial"/>
        </w:rPr>
      </w:pPr>
    </w:p>
    <w:p w14:paraId="4D12ACE7" w14:textId="1893787C" w:rsidR="0036452B" w:rsidRPr="0036452B" w:rsidRDefault="0036452B" w:rsidP="0036452B">
      <w:pPr>
        <w:rPr>
          <w:rFonts w:ascii="Arial" w:hAnsi="Arial" w:cs="Arial"/>
          <w:i/>
          <w:iCs/>
        </w:rPr>
      </w:pPr>
      <w:r w:rsidRPr="0036452B">
        <w:rPr>
          <w:rFonts w:ascii="Arial" w:hAnsi="Arial" w:cs="Arial"/>
          <w:b/>
          <w:bCs/>
          <w:i/>
          <w:iCs/>
        </w:rPr>
        <w:t>Keywords</w:t>
      </w:r>
      <w:r w:rsidRPr="0036452B">
        <w:rPr>
          <w:rFonts w:ascii="Arial" w:hAnsi="Arial" w:cs="Arial"/>
          <w:i/>
          <w:iCs/>
        </w:rPr>
        <w:t xml:space="preserve"> – </w:t>
      </w:r>
      <w:r w:rsidR="004A420F">
        <w:rPr>
          <w:rFonts w:ascii="Arial" w:hAnsi="Arial" w:cs="Arial"/>
          <w:i/>
          <w:iCs/>
        </w:rPr>
        <w:t xml:space="preserve">Closer Checklist Section </w:t>
      </w:r>
      <w:r w:rsidRPr="0036452B">
        <w:rPr>
          <w:rFonts w:ascii="Arial" w:hAnsi="Arial" w:cs="Arial"/>
          <w:i/>
          <w:iCs/>
        </w:rPr>
        <w:t xml:space="preserve">223f, </w:t>
      </w:r>
      <w:r w:rsidR="00FC2025">
        <w:rPr>
          <w:rFonts w:ascii="Arial" w:hAnsi="Arial" w:cs="Arial"/>
          <w:i/>
          <w:iCs/>
        </w:rPr>
        <w:t xml:space="preserve">Closer Checklist </w:t>
      </w:r>
      <w:r w:rsidRPr="0036452B">
        <w:rPr>
          <w:rFonts w:ascii="Arial" w:hAnsi="Arial" w:cs="Arial"/>
          <w:i/>
          <w:iCs/>
        </w:rPr>
        <w:t>223(a)(7), Closing Checklist, Refinance Closing</w:t>
      </w:r>
    </w:p>
    <w:p w14:paraId="512D6679" w14:textId="77777777" w:rsidR="00E815B3" w:rsidRPr="00BF58F3" w:rsidRDefault="00E815B3" w:rsidP="00E815B3">
      <w:pPr>
        <w:rPr>
          <w:rFonts w:ascii="Arial" w:eastAsiaTheme="minorHAnsi" w:hAnsi="Arial" w:cs="Arial"/>
          <w:i/>
          <w:iCs/>
        </w:rPr>
      </w:pPr>
    </w:p>
    <w:p w14:paraId="27E5D677" w14:textId="77777777" w:rsidR="006E2BD9" w:rsidRPr="001F5102" w:rsidRDefault="00337008" w:rsidP="006E2BD9">
      <w:pPr>
        <w:rPr>
          <w:rFonts w:ascii="Arial" w:hAnsi="Arial" w:cs="Arial"/>
          <w:b/>
          <w:color w:val="365F91" w:themeColor="accent1" w:themeShade="BF"/>
          <w:szCs w:val="24"/>
        </w:rPr>
      </w:pPr>
      <w:hyperlink w:anchor="_top" w:history="1">
        <w:r w:rsidR="006E2BD9" w:rsidRPr="001F5102">
          <w:rPr>
            <w:rFonts w:ascii="Arial" w:hAnsi="Arial" w:cs="Arial"/>
            <w:color w:val="365F91" w:themeColor="accent1" w:themeShade="BF"/>
            <w:szCs w:val="24"/>
            <w:u w:val="single"/>
          </w:rPr>
          <w:t>Back to top</w:t>
        </w:r>
      </w:hyperlink>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CF39C"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39"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40"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41"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46"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47"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6FFE" w14:textId="77777777" w:rsidR="00BE08AE" w:rsidRDefault="00BE08AE" w:rsidP="00E724F7">
      <w:r>
        <w:separator/>
      </w:r>
    </w:p>
  </w:endnote>
  <w:endnote w:type="continuationSeparator" w:id="0">
    <w:p w14:paraId="3A280580" w14:textId="77777777" w:rsidR="00BE08AE" w:rsidRDefault="00BE08AE" w:rsidP="00E724F7">
      <w:r>
        <w:continuationSeparator/>
      </w:r>
    </w:p>
  </w:endnote>
  <w:endnote w:type="continuationNotice" w:id="1">
    <w:p w14:paraId="24BF4AA9" w14:textId="77777777" w:rsidR="00BE08AE" w:rsidRDefault="00BE0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80E3" w14:textId="77777777" w:rsidR="00BE08AE" w:rsidRDefault="00BE08AE" w:rsidP="00E724F7">
      <w:r>
        <w:separator/>
      </w:r>
    </w:p>
  </w:footnote>
  <w:footnote w:type="continuationSeparator" w:id="0">
    <w:p w14:paraId="714E0A68" w14:textId="77777777" w:rsidR="00BE08AE" w:rsidRDefault="00BE08AE" w:rsidP="00E724F7">
      <w:r>
        <w:continuationSeparator/>
      </w:r>
    </w:p>
  </w:footnote>
  <w:footnote w:type="continuationNotice" w:id="1">
    <w:p w14:paraId="39D6AD43" w14:textId="77777777" w:rsidR="00BE08AE" w:rsidRDefault="00BE0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46E6130A"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F0161"/>
    <w:multiLevelType w:val="hybridMultilevel"/>
    <w:tmpl w:val="295C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7"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67351"/>
    <w:multiLevelType w:val="hybridMultilevel"/>
    <w:tmpl w:val="71CC0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C82682"/>
    <w:multiLevelType w:val="hybridMultilevel"/>
    <w:tmpl w:val="61D6CAB0"/>
    <w:lvl w:ilvl="0" w:tplc="79C2711A">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6"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5C17CB"/>
    <w:multiLevelType w:val="hybridMultilevel"/>
    <w:tmpl w:val="295C2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F11CC"/>
    <w:multiLevelType w:val="hybridMultilevel"/>
    <w:tmpl w:val="C76AE4D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2" w15:restartNumberingAfterBreak="0">
    <w:nsid w:val="5547491D"/>
    <w:multiLevelType w:val="hybridMultilevel"/>
    <w:tmpl w:val="388E2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302594"/>
    <w:multiLevelType w:val="hybridMultilevel"/>
    <w:tmpl w:val="02B6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40065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26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9935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185333">
    <w:abstractNumId w:val="14"/>
  </w:num>
  <w:num w:numId="5" w16cid:durableId="561523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743263">
    <w:abstractNumId w:val="13"/>
  </w:num>
  <w:num w:numId="7" w16cid:durableId="939334151">
    <w:abstractNumId w:val="21"/>
  </w:num>
  <w:num w:numId="8" w16cid:durableId="1379476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602641">
    <w:abstractNumId w:val="6"/>
  </w:num>
  <w:num w:numId="10" w16cid:durableId="1028336566">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653294333">
    <w:abstractNumId w:val="30"/>
  </w:num>
  <w:num w:numId="12" w16cid:durableId="92040890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216505323">
    <w:abstractNumId w:val="12"/>
  </w:num>
  <w:num w:numId="14" w16cid:durableId="390737016">
    <w:abstractNumId w:val="7"/>
  </w:num>
  <w:num w:numId="15" w16cid:durableId="2049794346">
    <w:abstractNumId w:val="39"/>
  </w:num>
  <w:num w:numId="16" w16cid:durableId="1185441575">
    <w:abstractNumId w:val="1"/>
  </w:num>
  <w:num w:numId="17" w16cid:durableId="1549872803">
    <w:abstractNumId w:val="35"/>
  </w:num>
  <w:num w:numId="18" w16cid:durableId="4930377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33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919435">
    <w:abstractNumId w:val="0"/>
  </w:num>
  <w:num w:numId="21" w16cid:durableId="1270817223">
    <w:abstractNumId w:val="9"/>
  </w:num>
  <w:num w:numId="22" w16cid:durableId="2008049594">
    <w:abstractNumId w:val="8"/>
  </w:num>
  <w:num w:numId="23" w16cid:durableId="1875121181">
    <w:abstractNumId w:val="24"/>
  </w:num>
  <w:num w:numId="24" w16cid:durableId="882597730">
    <w:abstractNumId w:val="5"/>
  </w:num>
  <w:num w:numId="25" w16cid:durableId="1353990864">
    <w:abstractNumId w:val="15"/>
  </w:num>
  <w:num w:numId="26" w16cid:durableId="1046292039">
    <w:abstractNumId w:val="33"/>
  </w:num>
  <w:num w:numId="27" w16cid:durableId="1528444648">
    <w:abstractNumId w:val="2"/>
  </w:num>
  <w:num w:numId="28" w16cid:durableId="149716934">
    <w:abstractNumId w:val="28"/>
  </w:num>
  <w:num w:numId="29" w16cid:durableId="1404180921">
    <w:abstractNumId w:val="23"/>
  </w:num>
  <w:num w:numId="30" w16cid:durableId="140539322">
    <w:abstractNumId w:val="18"/>
  </w:num>
  <w:num w:numId="31" w16cid:durableId="556212240">
    <w:abstractNumId w:val="4"/>
  </w:num>
  <w:num w:numId="32" w16cid:durableId="630357594">
    <w:abstractNumId w:val="36"/>
  </w:num>
  <w:num w:numId="33" w16cid:durableId="1103064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489987">
    <w:abstractNumId w:val="10"/>
  </w:num>
  <w:num w:numId="35" w16cid:durableId="1125192289">
    <w:abstractNumId w:val="25"/>
  </w:num>
  <w:num w:numId="36" w16cid:durableId="21055582">
    <w:abstractNumId w:val="43"/>
  </w:num>
  <w:num w:numId="37" w16cid:durableId="1733311932">
    <w:abstractNumId w:val="42"/>
  </w:num>
  <w:num w:numId="38" w16cid:durableId="396826579">
    <w:abstractNumId w:val="26"/>
  </w:num>
  <w:num w:numId="39" w16cid:durableId="1195189675">
    <w:abstractNumId w:val="34"/>
  </w:num>
  <w:num w:numId="40" w16cid:durableId="1234586019">
    <w:abstractNumId w:val="16"/>
  </w:num>
  <w:num w:numId="41" w16cid:durableId="866411735">
    <w:abstractNumId w:val="31"/>
  </w:num>
  <w:num w:numId="42" w16cid:durableId="931626126">
    <w:abstractNumId w:val="40"/>
  </w:num>
  <w:num w:numId="43" w16cid:durableId="999383764">
    <w:abstractNumId w:val="11"/>
  </w:num>
  <w:num w:numId="44" w16cid:durableId="525561460">
    <w:abstractNumId w:val="32"/>
  </w:num>
  <w:num w:numId="45" w16cid:durableId="2131168334">
    <w:abstractNumId w:val="17"/>
  </w:num>
  <w:num w:numId="46" w16cid:durableId="1207720832">
    <w:abstractNumId w:val="3"/>
  </w:num>
  <w:num w:numId="47" w16cid:durableId="1110784380">
    <w:abstractNumId w:val="27"/>
  </w:num>
  <w:num w:numId="48" w16cid:durableId="5342744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4B27"/>
    <w:rsid w:val="00004D6E"/>
    <w:rsid w:val="00010565"/>
    <w:rsid w:val="000112A7"/>
    <w:rsid w:val="00011D16"/>
    <w:rsid w:val="00012F68"/>
    <w:rsid w:val="0001456D"/>
    <w:rsid w:val="00014A66"/>
    <w:rsid w:val="000220E1"/>
    <w:rsid w:val="0002519C"/>
    <w:rsid w:val="00026721"/>
    <w:rsid w:val="00027DF5"/>
    <w:rsid w:val="00031481"/>
    <w:rsid w:val="00036CEF"/>
    <w:rsid w:val="0003786A"/>
    <w:rsid w:val="00041F02"/>
    <w:rsid w:val="00042F9C"/>
    <w:rsid w:val="000431CA"/>
    <w:rsid w:val="000452B8"/>
    <w:rsid w:val="00047C1D"/>
    <w:rsid w:val="000530A7"/>
    <w:rsid w:val="000553FE"/>
    <w:rsid w:val="000579E7"/>
    <w:rsid w:val="00064BEA"/>
    <w:rsid w:val="000747AE"/>
    <w:rsid w:val="00074C29"/>
    <w:rsid w:val="00074C2C"/>
    <w:rsid w:val="00082F31"/>
    <w:rsid w:val="00082FD5"/>
    <w:rsid w:val="00083A86"/>
    <w:rsid w:val="00094D4A"/>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2C8D"/>
    <w:rsid w:val="000F3D9F"/>
    <w:rsid w:val="000F55F6"/>
    <w:rsid w:val="000F593D"/>
    <w:rsid w:val="000F5AA2"/>
    <w:rsid w:val="000F6E87"/>
    <w:rsid w:val="000F7D2E"/>
    <w:rsid w:val="001007E7"/>
    <w:rsid w:val="001010D0"/>
    <w:rsid w:val="00102E21"/>
    <w:rsid w:val="00102EA3"/>
    <w:rsid w:val="00103273"/>
    <w:rsid w:val="00114E43"/>
    <w:rsid w:val="001166D4"/>
    <w:rsid w:val="00117426"/>
    <w:rsid w:val="00121FF4"/>
    <w:rsid w:val="001234C0"/>
    <w:rsid w:val="00125568"/>
    <w:rsid w:val="00127425"/>
    <w:rsid w:val="00132D0B"/>
    <w:rsid w:val="00136D47"/>
    <w:rsid w:val="00136D4E"/>
    <w:rsid w:val="001372A5"/>
    <w:rsid w:val="00140FD8"/>
    <w:rsid w:val="00144F98"/>
    <w:rsid w:val="00147B7D"/>
    <w:rsid w:val="001508E5"/>
    <w:rsid w:val="0015090D"/>
    <w:rsid w:val="0015202C"/>
    <w:rsid w:val="0015490F"/>
    <w:rsid w:val="00154C45"/>
    <w:rsid w:val="001551B9"/>
    <w:rsid w:val="001568BD"/>
    <w:rsid w:val="0016529F"/>
    <w:rsid w:val="001658FA"/>
    <w:rsid w:val="00167964"/>
    <w:rsid w:val="001703D1"/>
    <w:rsid w:val="001748B2"/>
    <w:rsid w:val="001748C6"/>
    <w:rsid w:val="00174F7A"/>
    <w:rsid w:val="00191D16"/>
    <w:rsid w:val="00193F69"/>
    <w:rsid w:val="0019457B"/>
    <w:rsid w:val="00194B8C"/>
    <w:rsid w:val="00196248"/>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3C5E"/>
    <w:rsid w:val="00205202"/>
    <w:rsid w:val="00205C0D"/>
    <w:rsid w:val="00210CA6"/>
    <w:rsid w:val="002125F1"/>
    <w:rsid w:val="002152F3"/>
    <w:rsid w:val="0021567D"/>
    <w:rsid w:val="002169B7"/>
    <w:rsid w:val="00221EC6"/>
    <w:rsid w:val="0022231F"/>
    <w:rsid w:val="0022275E"/>
    <w:rsid w:val="00226196"/>
    <w:rsid w:val="00231312"/>
    <w:rsid w:val="002315E4"/>
    <w:rsid w:val="00233DA8"/>
    <w:rsid w:val="00234B3A"/>
    <w:rsid w:val="002403A0"/>
    <w:rsid w:val="00240C9F"/>
    <w:rsid w:val="00241BAB"/>
    <w:rsid w:val="00244F7F"/>
    <w:rsid w:val="00245930"/>
    <w:rsid w:val="00245A9D"/>
    <w:rsid w:val="00250450"/>
    <w:rsid w:val="00252904"/>
    <w:rsid w:val="002533F5"/>
    <w:rsid w:val="00254E17"/>
    <w:rsid w:val="00265555"/>
    <w:rsid w:val="00266332"/>
    <w:rsid w:val="00275348"/>
    <w:rsid w:val="00276FA2"/>
    <w:rsid w:val="002811AB"/>
    <w:rsid w:val="00283571"/>
    <w:rsid w:val="00291BF9"/>
    <w:rsid w:val="00296F63"/>
    <w:rsid w:val="002A43CF"/>
    <w:rsid w:val="002B3D73"/>
    <w:rsid w:val="002B68FB"/>
    <w:rsid w:val="002C1693"/>
    <w:rsid w:val="002C1CC2"/>
    <w:rsid w:val="002C6D9D"/>
    <w:rsid w:val="002D529A"/>
    <w:rsid w:val="002E36C5"/>
    <w:rsid w:val="002F4CC5"/>
    <w:rsid w:val="002F7CDC"/>
    <w:rsid w:val="0030081A"/>
    <w:rsid w:val="003016E1"/>
    <w:rsid w:val="00302486"/>
    <w:rsid w:val="00303BBC"/>
    <w:rsid w:val="00305369"/>
    <w:rsid w:val="00313008"/>
    <w:rsid w:val="00314044"/>
    <w:rsid w:val="00317B1E"/>
    <w:rsid w:val="00323263"/>
    <w:rsid w:val="00325B1B"/>
    <w:rsid w:val="00337008"/>
    <w:rsid w:val="003375F7"/>
    <w:rsid w:val="00342426"/>
    <w:rsid w:val="00342F09"/>
    <w:rsid w:val="0034362D"/>
    <w:rsid w:val="00345602"/>
    <w:rsid w:val="003514F7"/>
    <w:rsid w:val="00352F9A"/>
    <w:rsid w:val="00360590"/>
    <w:rsid w:val="00361A15"/>
    <w:rsid w:val="0036452B"/>
    <w:rsid w:val="00367065"/>
    <w:rsid w:val="00367AC1"/>
    <w:rsid w:val="00370139"/>
    <w:rsid w:val="00370EA2"/>
    <w:rsid w:val="00380A0E"/>
    <w:rsid w:val="00382CCC"/>
    <w:rsid w:val="003850CD"/>
    <w:rsid w:val="00385418"/>
    <w:rsid w:val="00385613"/>
    <w:rsid w:val="00385E62"/>
    <w:rsid w:val="00392115"/>
    <w:rsid w:val="00396DB3"/>
    <w:rsid w:val="003976E9"/>
    <w:rsid w:val="003A0DC8"/>
    <w:rsid w:val="003A14CD"/>
    <w:rsid w:val="003A23A4"/>
    <w:rsid w:val="003A518E"/>
    <w:rsid w:val="003A7686"/>
    <w:rsid w:val="003B0B4E"/>
    <w:rsid w:val="003B3640"/>
    <w:rsid w:val="003B3A24"/>
    <w:rsid w:val="003B609D"/>
    <w:rsid w:val="003B6752"/>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3705A"/>
    <w:rsid w:val="00444E50"/>
    <w:rsid w:val="004501E7"/>
    <w:rsid w:val="00450705"/>
    <w:rsid w:val="00451A3D"/>
    <w:rsid w:val="004526BB"/>
    <w:rsid w:val="004544EF"/>
    <w:rsid w:val="00455415"/>
    <w:rsid w:val="00456081"/>
    <w:rsid w:val="00463B25"/>
    <w:rsid w:val="00465878"/>
    <w:rsid w:val="0046634C"/>
    <w:rsid w:val="004678DD"/>
    <w:rsid w:val="00475909"/>
    <w:rsid w:val="0047642B"/>
    <w:rsid w:val="00477B30"/>
    <w:rsid w:val="00477D25"/>
    <w:rsid w:val="00486B21"/>
    <w:rsid w:val="004876CC"/>
    <w:rsid w:val="004975EA"/>
    <w:rsid w:val="004A0486"/>
    <w:rsid w:val="004A0E10"/>
    <w:rsid w:val="004A3D29"/>
    <w:rsid w:val="004A420F"/>
    <w:rsid w:val="004A5D11"/>
    <w:rsid w:val="004A6AA3"/>
    <w:rsid w:val="004B1439"/>
    <w:rsid w:val="004B1446"/>
    <w:rsid w:val="004B182F"/>
    <w:rsid w:val="004B1C9D"/>
    <w:rsid w:val="004B268E"/>
    <w:rsid w:val="004B316D"/>
    <w:rsid w:val="004B62C4"/>
    <w:rsid w:val="004D68AA"/>
    <w:rsid w:val="004D6BFF"/>
    <w:rsid w:val="004E35EC"/>
    <w:rsid w:val="004E46F8"/>
    <w:rsid w:val="004E64BA"/>
    <w:rsid w:val="004E6BBE"/>
    <w:rsid w:val="004F6EF0"/>
    <w:rsid w:val="00500157"/>
    <w:rsid w:val="00504A6A"/>
    <w:rsid w:val="00506220"/>
    <w:rsid w:val="0050749B"/>
    <w:rsid w:val="00507D4A"/>
    <w:rsid w:val="00512271"/>
    <w:rsid w:val="00514249"/>
    <w:rsid w:val="00520297"/>
    <w:rsid w:val="0052057F"/>
    <w:rsid w:val="0052394E"/>
    <w:rsid w:val="0052470D"/>
    <w:rsid w:val="00527CA3"/>
    <w:rsid w:val="00530DFD"/>
    <w:rsid w:val="00532341"/>
    <w:rsid w:val="00535997"/>
    <w:rsid w:val="00536EA6"/>
    <w:rsid w:val="00537E8B"/>
    <w:rsid w:val="00540251"/>
    <w:rsid w:val="00542996"/>
    <w:rsid w:val="00543FEC"/>
    <w:rsid w:val="005456D4"/>
    <w:rsid w:val="00546640"/>
    <w:rsid w:val="0054708C"/>
    <w:rsid w:val="005504CA"/>
    <w:rsid w:val="00551685"/>
    <w:rsid w:val="00553043"/>
    <w:rsid w:val="0055355A"/>
    <w:rsid w:val="0055444D"/>
    <w:rsid w:val="0056265C"/>
    <w:rsid w:val="005626F6"/>
    <w:rsid w:val="0057025A"/>
    <w:rsid w:val="0057105F"/>
    <w:rsid w:val="00572543"/>
    <w:rsid w:val="0057310A"/>
    <w:rsid w:val="00577CA6"/>
    <w:rsid w:val="00580B82"/>
    <w:rsid w:val="00593E55"/>
    <w:rsid w:val="005968CA"/>
    <w:rsid w:val="005A0D50"/>
    <w:rsid w:val="005A208E"/>
    <w:rsid w:val="005A5C2E"/>
    <w:rsid w:val="005B39A1"/>
    <w:rsid w:val="005C0D72"/>
    <w:rsid w:val="005C2CD9"/>
    <w:rsid w:val="005C3423"/>
    <w:rsid w:val="005D02DB"/>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162D7"/>
    <w:rsid w:val="00623A5A"/>
    <w:rsid w:val="00625406"/>
    <w:rsid w:val="00626403"/>
    <w:rsid w:val="00626DA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5C0F"/>
    <w:rsid w:val="006668CD"/>
    <w:rsid w:val="00666DB8"/>
    <w:rsid w:val="00670C8F"/>
    <w:rsid w:val="00671FD2"/>
    <w:rsid w:val="00676689"/>
    <w:rsid w:val="006779DE"/>
    <w:rsid w:val="00681FAC"/>
    <w:rsid w:val="00686957"/>
    <w:rsid w:val="006909A3"/>
    <w:rsid w:val="00696BE5"/>
    <w:rsid w:val="00696CFA"/>
    <w:rsid w:val="0069739B"/>
    <w:rsid w:val="006A2DCD"/>
    <w:rsid w:val="006A4F7E"/>
    <w:rsid w:val="006A5A1E"/>
    <w:rsid w:val="006B0D96"/>
    <w:rsid w:val="006B5DA3"/>
    <w:rsid w:val="006C2CF6"/>
    <w:rsid w:val="006C2FA8"/>
    <w:rsid w:val="006C3AD6"/>
    <w:rsid w:val="006C7F7B"/>
    <w:rsid w:val="006D0A86"/>
    <w:rsid w:val="006D3C75"/>
    <w:rsid w:val="006D7A93"/>
    <w:rsid w:val="006D7D46"/>
    <w:rsid w:val="006E2BD9"/>
    <w:rsid w:val="006E3544"/>
    <w:rsid w:val="006E63FB"/>
    <w:rsid w:val="006F547F"/>
    <w:rsid w:val="006F5762"/>
    <w:rsid w:val="006F76CC"/>
    <w:rsid w:val="007011EC"/>
    <w:rsid w:val="00701E9E"/>
    <w:rsid w:val="00702B8B"/>
    <w:rsid w:val="00702CE9"/>
    <w:rsid w:val="007035E0"/>
    <w:rsid w:val="007054B4"/>
    <w:rsid w:val="007071E2"/>
    <w:rsid w:val="00710D2F"/>
    <w:rsid w:val="00711FBB"/>
    <w:rsid w:val="00712EA6"/>
    <w:rsid w:val="00713F6A"/>
    <w:rsid w:val="00717140"/>
    <w:rsid w:val="0072080D"/>
    <w:rsid w:val="00720B5D"/>
    <w:rsid w:val="007225F5"/>
    <w:rsid w:val="0072341C"/>
    <w:rsid w:val="00723EA8"/>
    <w:rsid w:val="00730CEC"/>
    <w:rsid w:val="0073355B"/>
    <w:rsid w:val="00735D4D"/>
    <w:rsid w:val="00740D11"/>
    <w:rsid w:val="00743451"/>
    <w:rsid w:val="00743DDB"/>
    <w:rsid w:val="00750ECD"/>
    <w:rsid w:val="00751AF4"/>
    <w:rsid w:val="0075254C"/>
    <w:rsid w:val="00754B66"/>
    <w:rsid w:val="007629CB"/>
    <w:rsid w:val="00762B2A"/>
    <w:rsid w:val="007633CA"/>
    <w:rsid w:val="00765853"/>
    <w:rsid w:val="007670CF"/>
    <w:rsid w:val="007675FB"/>
    <w:rsid w:val="00771538"/>
    <w:rsid w:val="007865C2"/>
    <w:rsid w:val="0078774A"/>
    <w:rsid w:val="0079016E"/>
    <w:rsid w:val="007971B8"/>
    <w:rsid w:val="007A6AF1"/>
    <w:rsid w:val="007A7AD2"/>
    <w:rsid w:val="007B15F3"/>
    <w:rsid w:val="007B1CB9"/>
    <w:rsid w:val="007B5246"/>
    <w:rsid w:val="007B680A"/>
    <w:rsid w:val="007C41B9"/>
    <w:rsid w:val="007C454B"/>
    <w:rsid w:val="007C570C"/>
    <w:rsid w:val="007C78C0"/>
    <w:rsid w:val="007D0FA3"/>
    <w:rsid w:val="007D1CB6"/>
    <w:rsid w:val="007D22CD"/>
    <w:rsid w:val="007D54CE"/>
    <w:rsid w:val="007D55E6"/>
    <w:rsid w:val="007E02EB"/>
    <w:rsid w:val="007E348B"/>
    <w:rsid w:val="007E4EA9"/>
    <w:rsid w:val="007F0EB1"/>
    <w:rsid w:val="007F1DFA"/>
    <w:rsid w:val="007F4C6F"/>
    <w:rsid w:val="007F584C"/>
    <w:rsid w:val="007F6BCA"/>
    <w:rsid w:val="007F730B"/>
    <w:rsid w:val="008020BB"/>
    <w:rsid w:val="008022F8"/>
    <w:rsid w:val="008036DA"/>
    <w:rsid w:val="00803C36"/>
    <w:rsid w:val="00804AF0"/>
    <w:rsid w:val="008052FE"/>
    <w:rsid w:val="008060EC"/>
    <w:rsid w:val="00806994"/>
    <w:rsid w:val="00807374"/>
    <w:rsid w:val="008129A3"/>
    <w:rsid w:val="008132F8"/>
    <w:rsid w:val="008144D7"/>
    <w:rsid w:val="00814874"/>
    <w:rsid w:val="008161EE"/>
    <w:rsid w:val="00820B0D"/>
    <w:rsid w:val="008230A8"/>
    <w:rsid w:val="00823286"/>
    <w:rsid w:val="00823A9C"/>
    <w:rsid w:val="0082548B"/>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11CA"/>
    <w:rsid w:val="00877BC5"/>
    <w:rsid w:val="008819F8"/>
    <w:rsid w:val="0088414C"/>
    <w:rsid w:val="0088466C"/>
    <w:rsid w:val="0088514A"/>
    <w:rsid w:val="00886FA2"/>
    <w:rsid w:val="008930F5"/>
    <w:rsid w:val="0089592C"/>
    <w:rsid w:val="00895B33"/>
    <w:rsid w:val="008A1765"/>
    <w:rsid w:val="008A1DBD"/>
    <w:rsid w:val="008A7284"/>
    <w:rsid w:val="008A7595"/>
    <w:rsid w:val="008A7867"/>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6F7E"/>
    <w:rsid w:val="008E7CC5"/>
    <w:rsid w:val="008F1D31"/>
    <w:rsid w:val="008F2D90"/>
    <w:rsid w:val="008F3D89"/>
    <w:rsid w:val="008F4A71"/>
    <w:rsid w:val="008F66AB"/>
    <w:rsid w:val="008F7199"/>
    <w:rsid w:val="0090051D"/>
    <w:rsid w:val="00901DAC"/>
    <w:rsid w:val="00907060"/>
    <w:rsid w:val="00910E23"/>
    <w:rsid w:val="009117CA"/>
    <w:rsid w:val="00912D45"/>
    <w:rsid w:val="00921EAA"/>
    <w:rsid w:val="009257F0"/>
    <w:rsid w:val="00932987"/>
    <w:rsid w:val="00934100"/>
    <w:rsid w:val="0093564D"/>
    <w:rsid w:val="00935890"/>
    <w:rsid w:val="00951E70"/>
    <w:rsid w:val="00953CD6"/>
    <w:rsid w:val="00955E0C"/>
    <w:rsid w:val="00961669"/>
    <w:rsid w:val="00963204"/>
    <w:rsid w:val="00963BF3"/>
    <w:rsid w:val="00967EEB"/>
    <w:rsid w:val="00970A64"/>
    <w:rsid w:val="00970AC1"/>
    <w:rsid w:val="00970BA2"/>
    <w:rsid w:val="00973B47"/>
    <w:rsid w:val="0097518E"/>
    <w:rsid w:val="00981AE8"/>
    <w:rsid w:val="00981E04"/>
    <w:rsid w:val="009825CE"/>
    <w:rsid w:val="0098384F"/>
    <w:rsid w:val="00990150"/>
    <w:rsid w:val="009924BF"/>
    <w:rsid w:val="0099348F"/>
    <w:rsid w:val="00995A44"/>
    <w:rsid w:val="009979FA"/>
    <w:rsid w:val="00997C33"/>
    <w:rsid w:val="009A6D83"/>
    <w:rsid w:val="009B3394"/>
    <w:rsid w:val="009C10DF"/>
    <w:rsid w:val="009C3410"/>
    <w:rsid w:val="009C5760"/>
    <w:rsid w:val="009C7F32"/>
    <w:rsid w:val="009D0FB7"/>
    <w:rsid w:val="009D1AD1"/>
    <w:rsid w:val="009D556C"/>
    <w:rsid w:val="009D6D5F"/>
    <w:rsid w:val="009E7AD6"/>
    <w:rsid w:val="009F4D59"/>
    <w:rsid w:val="00A01E02"/>
    <w:rsid w:val="00A10FC0"/>
    <w:rsid w:val="00A1277A"/>
    <w:rsid w:val="00A22AD1"/>
    <w:rsid w:val="00A25626"/>
    <w:rsid w:val="00A25B2E"/>
    <w:rsid w:val="00A30FDD"/>
    <w:rsid w:val="00A332DE"/>
    <w:rsid w:val="00A33C6C"/>
    <w:rsid w:val="00A36B64"/>
    <w:rsid w:val="00A37D94"/>
    <w:rsid w:val="00A461EB"/>
    <w:rsid w:val="00A470A5"/>
    <w:rsid w:val="00A537F4"/>
    <w:rsid w:val="00A56EDC"/>
    <w:rsid w:val="00A62126"/>
    <w:rsid w:val="00A66B15"/>
    <w:rsid w:val="00A713BC"/>
    <w:rsid w:val="00A7446E"/>
    <w:rsid w:val="00A764E8"/>
    <w:rsid w:val="00A76D42"/>
    <w:rsid w:val="00A76ECD"/>
    <w:rsid w:val="00A77F96"/>
    <w:rsid w:val="00A854C5"/>
    <w:rsid w:val="00A90DA2"/>
    <w:rsid w:val="00AA0603"/>
    <w:rsid w:val="00AA2344"/>
    <w:rsid w:val="00AA2770"/>
    <w:rsid w:val="00AA2E09"/>
    <w:rsid w:val="00AA5237"/>
    <w:rsid w:val="00AA705E"/>
    <w:rsid w:val="00AC2FE1"/>
    <w:rsid w:val="00AC59B4"/>
    <w:rsid w:val="00AC5A43"/>
    <w:rsid w:val="00AD0B71"/>
    <w:rsid w:val="00AD381A"/>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145A"/>
    <w:rsid w:val="00B22440"/>
    <w:rsid w:val="00B22BA0"/>
    <w:rsid w:val="00B22F0F"/>
    <w:rsid w:val="00B23EC5"/>
    <w:rsid w:val="00B243B2"/>
    <w:rsid w:val="00B26C1C"/>
    <w:rsid w:val="00B300CE"/>
    <w:rsid w:val="00B30118"/>
    <w:rsid w:val="00B3077D"/>
    <w:rsid w:val="00B31B3A"/>
    <w:rsid w:val="00B34BA7"/>
    <w:rsid w:val="00B35DFB"/>
    <w:rsid w:val="00B40D99"/>
    <w:rsid w:val="00B45ACE"/>
    <w:rsid w:val="00B4660B"/>
    <w:rsid w:val="00B51C66"/>
    <w:rsid w:val="00B51EAE"/>
    <w:rsid w:val="00B61253"/>
    <w:rsid w:val="00B64947"/>
    <w:rsid w:val="00B66D4E"/>
    <w:rsid w:val="00B713C0"/>
    <w:rsid w:val="00B7164F"/>
    <w:rsid w:val="00B74DAE"/>
    <w:rsid w:val="00B75A8D"/>
    <w:rsid w:val="00B807DB"/>
    <w:rsid w:val="00B82399"/>
    <w:rsid w:val="00B82D2D"/>
    <w:rsid w:val="00B85220"/>
    <w:rsid w:val="00B9539A"/>
    <w:rsid w:val="00B95455"/>
    <w:rsid w:val="00B962A5"/>
    <w:rsid w:val="00BA0435"/>
    <w:rsid w:val="00BA2F0F"/>
    <w:rsid w:val="00BB1493"/>
    <w:rsid w:val="00BB53D7"/>
    <w:rsid w:val="00BB561C"/>
    <w:rsid w:val="00BC1861"/>
    <w:rsid w:val="00BC1ED8"/>
    <w:rsid w:val="00BC39FA"/>
    <w:rsid w:val="00BC546A"/>
    <w:rsid w:val="00BC70D6"/>
    <w:rsid w:val="00BC7604"/>
    <w:rsid w:val="00BD0D2E"/>
    <w:rsid w:val="00BD2669"/>
    <w:rsid w:val="00BD7A55"/>
    <w:rsid w:val="00BE08AE"/>
    <w:rsid w:val="00BE2F56"/>
    <w:rsid w:val="00BE37B1"/>
    <w:rsid w:val="00BE3854"/>
    <w:rsid w:val="00BE5ACC"/>
    <w:rsid w:val="00BF0444"/>
    <w:rsid w:val="00BF16FF"/>
    <w:rsid w:val="00BF2CFC"/>
    <w:rsid w:val="00BF51C8"/>
    <w:rsid w:val="00BF58F3"/>
    <w:rsid w:val="00C00185"/>
    <w:rsid w:val="00C01BDC"/>
    <w:rsid w:val="00C01E84"/>
    <w:rsid w:val="00C02DF1"/>
    <w:rsid w:val="00C0667B"/>
    <w:rsid w:val="00C115E0"/>
    <w:rsid w:val="00C12924"/>
    <w:rsid w:val="00C13032"/>
    <w:rsid w:val="00C1601F"/>
    <w:rsid w:val="00C17185"/>
    <w:rsid w:val="00C17DB1"/>
    <w:rsid w:val="00C20607"/>
    <w:rsid w:val="00C21F3E"/>
    <w:rsid w:val="00C23CA4"/>
    <w:rsid w:val="00C25E4E"/>
    <w:rsid w:val="00C32066"/>
    <w:rsid w:val="00C34DE9"/>
    <w:rsid w:val="00C34E86"/>
    <w:rsid w:val="00C35C95"/>
    <w:rsid w:val="00C406C2"/>
    <w:rsid w:val="00C44A3B"/>
    <w:rsid w:val="00C51267"/>
    <w:rsid w:val="00C539CD"/>
    <w:rsid w:val="00C55261"/>
    <w:rsid w:val="00C56C58"/>
    <w:rsid w:val="00C56E9D"/>
    <w:rsid w:val="00C602B9"/>
    <w:rsid w:val="00C62E34"/>
    <w:rsid w:val="00C64758"/>
    <w:rsid w:val="00C65673"/>
    <w:rsid w:val="00C6586B"/>
    <w:rsid w:val="00C73CFC"/>
    <w:rsid w:val="00C759E1"/>
    <w:rsid w:val="00C81877"/>
    <w:rsid w:val="00C81F81"/>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1B05"/>
    <w:rsid w:val="00CE3666"/>
    <w:rsid w:val="00CE5846"/>
    <w:rsid w:val="00CE75ED"/>
    <w:rsid w:val="00CF04B2"/>
    <w:rsid w:val="00CF070D"/>
    <w:rsid w:val="00CF2541"/>
    <w:rsid w:val="00CF3CA7"/>
    <w:rsid w:val="00CF5E97"/>
    <w:rsid w:val="00CF7E49"/>
    <w:rsid w:val="00D027F2"/>
    <w:rsid w:val="00D0463E"/>
    <w:rsid w:val="00D06893"/>
    <w:rsid w:val="00D15458"/>
    <w:rsid w:val="00D15893"/>
    <w:rsid w:val="00D16458"/>
    <w:rsid w:val="00D16B29"/>
    <w:rsid w:val="00D16BAE"/>
    <w:rsid w:val="00D22DF8"/>
    <w:rsid w:val="00D22E0C"/>
    <w:rsid w:val="00D22E2E"/>
    <w:rsid w:val="00D36FAA"/>
    <w:rsid w:val="00D37106"/>
    <w:rsid w:val="00D37F4F"/>
    <w:rsid w:val="00D411ED"/>
    <w:rsid w:val="00D413C4"/>
    <w:rsid w:val="00D42FFF"/>
    <w:rsid w:val="00D50CB8"/>
    <w:rsid w:val="00D5116C"/>
    <w:rsid w:val="00D52A61"/>
    <w:rsid w:val="00D55967"/>
    <w:rsid w:val="00D57F37"/>
    <w:rsid w:val="00D57FAB"/>
    <w:rsid w:val="00D61A9F"/>
    <w:rsid w:val="00D62356"/>
    <w:rsid w:val="00D71BD4"/>
    <w:rsid w:val="00D72348"/>
    <w:rsid w:val="00D72DA8"/>
    <w:rsid w:val="00D72FBA"/>
    <w:rsid w:val="00D822D0"/>
    <w:rsid w:val="00D84FD4"/>
    <w:rsid w:val="00D86258"/>
    <w:rsid w:val="00D914EA"/>
    <w:rsid w:val="00D94614"/>
    <w:rsid w:val="00D95B5F"/>
    <w:rsid w:val="00DA0410"/>
    <w:rsid w:val="00DA1056"/>
    <w:rsid w:val="00DA1F60"/>
    <w:rsid w:val="00DA2126"/>
    <w:rsid w:val="00DA2230"/>
    <w:rsid w:val="00DA31D4"/>
    <w:rsid w:val="00DA5A5A"/>
    <w:rsid w:val="00DA72F3"/>
    <w:rsid w:val="00DB5F39"/>
    <w:rsid w:val="00DC0C97"/>
    <w:rsid w:val="00DC6BD6"/>
    <w:rsid w:val="00DD138A"/>
    <w:rsid w:val="00DD42D7"/>
    <w:rsid w:val="00DD6A76"/>
    <w:rsid w:val="00DE5952"/>
    <w:rsid w:val="00DF0114"/>
    <w:rsid w:val="00DF0DFA"/>
    <w:rsid w:val="00DF0F56"/>
    <w:rsid w:val="00DF13D9"/>
    <w:rsid w:val="00DF1937"/>
    <w:rsid w:val="00DF25BF"/>
    <w:rsid w:val="00DF6AC9"/>
    <w:rsid w:val="00DF7B47"/>
    <w:rsid w:val="00E01B65"/>
    <w:rsid w:val="00E03189"/>
    <w:rsid w:val="00E101B9"/>
    <w:rsid w:val="00E115E8"/>
    <w:rsid w:val="00E217E8"/>
    <w:rsid w:val="00E225C7"/>
    <w:rsid w:val="00E23EAD"/>
    <w:rsid w:val="00E24238"/>
    <w:rsid w:val="00E26A71"/>
    <w:rsid w:val="00E33DB6"/>
    <w:rsid w:val="00E40451"/>
    <w:rsid w:val="00E4260C"/>
    <w:rsid w:val="00E426DA"/>
    <w:rsid w:val="00E43543"/>
    <w:rsid w:val="00E47FA3"/>
    <w:rsid w:val="00E52379"/>
    <w:rsid w:val="00E55131"/>
    <w:rsid w:val="00E56473"/>
    <w:rsid w:val="00E5678B"/>
    <w:rsid w:val="00E619E9"/>
    <w:rsid w:val="00E66073"/>
    <w:rsid w:val="00E705A5"/>
    <w:rsid w:val="00E70DA9"/>
    <w:rsid w:val="00E724F7"/>
    <w:rsid w:val="00E7390B"/>
    <w:rsid w:val="00E75A3F"/>
    <w:rsid w:val="00E77069"/>
    <w:rsid w:val="00E77B9C"/>
    <w:rsid w:val="00E815B3"/>
    <w:rsid w:val="00E8206B"/>
    <w:rsid w:val="00E91ED5"/>
    <w:rsid w:val="00E933A0"/>
    <w:rsid w:val="00E95B28"/>
    <w:rsid w:val="00EA7708"/>
    <w:rsid w:val="00EB3297"/>
    <w:rsid w:val="00EB5431"/>
    <w:rsid w:val="00EB6A53"/>
    <w:rsid w:val="00EB6B2A"/>
    <w:rsid w:val="00EC1602"/>
    <w:rsid w:val="00EC2BF5"/>
    <w:rsid w:val="00EC3328"/>
    <w:rsid w:val="00EC3F20"/>
    <w:rsid w:val="00EC66B3"/>
    <w:rsid w:val="00EC7192"/>
    <w:rsid w:val="00ED11B7"/>
    <w:rsid w:val="00ED6B7D"/>
    <w:rsid w:val="00ED73B3"/>
    <w:rsid w:val="00EE1ADD"/>
    <w:rsid w:val="00EE1F36"/>
    <w:rsid w:val="00EE201B"/>
    <w:rsid w:val="00EE2194"/>
    <w:rsid w:val="00EE5159"/>
    <w:rsid w:val="00EE57A3"/>
    <w:rsid w:val="00EE6E3B"/>
    <w:rsid w:val="00EF0134"/>
    <w:rsid w:val="00EF3454"/>
    <w:rsid w:val="00F01A93"/>
    <w:rsid w:val="00F01E9B"/>
    <w:rsid w:val="00F0328A"/>
    <w:rsid w:val="00F03E9E"/>
    <w:rsid w:val="00F14266"/>
    <w:rsid w:val="00F1564F"/>
    <w:rsid w:val="00F21965"/>
    <w:rsid w:val="00F21C16"/>
    <w:rsid w:val="00F25F13"/>
    <w:rsid w:val="00F30127"/>
    <w:rsid w:val="00F42ACA"/>
    <w:rsid w:val="00F43BCF"/>
    <w:rsid w:val="00F603BF"/>
    <w:rsid w:val="00F64758"/>
    <w:rsid w:val="00F649F0"/>
    <w:rsid w:val="00F65977"/>
    <w:rsid w:val="00F66FF8"/>
    <w:rsid w:val="00F71CE1"/>
    <w:rsid w:val="00F72754"/>
    <w:rsid w:val="00F727EC"/>
    <w:rsid w:val="00F728BA"/>
    <w:rsid w:val="00F72BF6"/>
    <w:rsid w:val="00F733E7"/>
    <w:rsid w:val="00F76151"/>
    <w:rsid w:val="00F772F3"/>
    <w:rsid w:val="00F83D4D"/>
    <w:rsid w:val="00F915FA"/>
    <w:rsid w:val="00FA014D"/>
    <w:rsid w:val="00FA377A"/>
    <w:rsid w:val="00FA59C6"/>
    <w:rsid w:val="00FB21E7"/>
    <w:rsid w:val="00FB5F9A"/>
    <w:rsid w:val="00FC2025"/>
    <w:rsid w:val="00FC35B0"/>
    <w:rsid w:val="00FC691D"/>
    <w:rsid w:val="00FD129B"/>
    <w:rsid w:val="00FE28A5"/>
    <w:rsid w:val="00FE6973"/>
    <w:rsid w:val="00FF43E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7F730B"/>
    <w:pPr>
      <w:numPr>
        <w:numId w:val="48"/>
      </w:numPr>
      <w:tabs>
        <w:tab w:val="right" w:leader="dot" w:pos="9350"/>
      </w:tabs>
      <w:ind w:left="144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6F76CC"/>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47945414">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116060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4823009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23402332">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23224118">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6478728">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xSRVYekizUuokxGApT_HsjjlwOi7t3xDrs-mnt_GeUFUOE5TMzlVTFlQR0c5Tk1VTUhSSjhGNFVTNy4u" TargetMode="External"/><Relationship Id="rId18" Type="http://schemas.openxmlformats.org/officeDocument/2006/relationships/hyperlink" Target="mailto:leanthinking@hud.gov" TargetMode="External"/><Relationship Id="rId26" Type="http://schemas.openxmlformats.org/officeDocument/2006/relationships/hyperlink" Target="https://www.whitehouse.gov/briefing-room/statements-releases/2022/03/17/fact-sheet-biden-administration-launches-effort-to-improve-ventilation-and-reduce-the-spread-of-covid-19-in-buildings/" TargetMode="External"/><Relationship Id="rId39"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DksInVyaSI6ImJwMjpjbGljayIsImJ1bGxldGluX2lkIjoiMjAyMTA2MzAuNDI2MzYzMTEiLCJ1cmwiOiJodHRwczovL3d3dy5odWQuZ292L3NpdGVzL2RvY3VtZW50cy80MjMyMVMyQzhIU0dILlBERj91dG1fbWVkaXVtPWVtYWlsJnV0bV9zb3VyY2U9Z292ZGVsaXZlcnkifQ.3WvIdk2iemNsjAJrCuUKdyrsuPV61DhU5-UKuL5pNuQ/s/1356290806/br/108658064261-l" TargetMode="External"/><Relationship Id="rId34" Type="http://schemas.openxmlformats.org/officeDocument/2006/relationships/hyperlink" Target="http://portal.hud.gov/hudportal/documents/huddoc?id=FebEmailBlast022316.docx" TargetMode="External"/><Relationship Id="rId42"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47"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xSRVYekizUuokxGApT_HsjjlwOi7t3xDrs-mnt_GeUFUM0pINkhJNVFZWDE5WUsxVklaM1BZR0NOSS4u" TargetMode="External"/><Relationship Id="rId17" Type="http://schemas.openxmlformats.org/officeDocument/2006/relationships/hyperlink" Target="https://www.hud.gov/sites/dfiles/Housing/documents/FebEmailBlast02232022.docx" TargetMode="External"/><Relationship Id="rId25" Type="http://schemas.openxmlformats.org/officeDocument/2006/relationships/hyperlink" Target="https://www.cms.gov/medicareprovider-enrollment-and-certificationsurveycertificationgeninfopolicy-and-memos-states-and/nursing-home-staff-turnover-and-weekend-staffing-levels" TargetMode="External"/><Relationship Id="rId33" Type="http://schemas.openxmlformats.org/officeDocument/2006/relationships/hyperlink" Target="https://www.hud.gov/sites/documents/JuneEmailBlast06282017.docx" TargetMode="External"/><Relationship Id="rId38" Type="http://schemas.openxmlformats.org/officeDocument/2006/relationships/hyperlink" Target="https://www.hud.gov/sites/dfiles/Housing/documents/RefiClosingChecklist.docx" TargetMode="External"/><Relationship Id="rId46"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2" Type="http://schemas.openxmlformats.org/officeDocument/2006/relationships/customXml" Target="../customXml/item2.xml"/><Relationship Id="rId16" Type="http://schemas.openxmlformats.org/officeDocument/2006/relationships/hyperlink" Target="https://www.hud.gov/sites/dfiles/Housing/documents/AugEmailBlast08272021.docx" TargetMode="External"/><Relationship Id="rId20" Type="http://schemas.openxmlformats.org/officeDocument/2006/relationships/hyperlink" Target="https://lnks.gd/l/eyJhbGciOiJIUzI1NiJ9.eyJidWxsZXRpbl9saW5rX2lkIjoxMDgsInVyaSI6ImJwMjpjbGljayIsImJ1bGxldGluX2lkIjoiMjAyMTA2MzAuNDI2MzYzMTEiLCJ1cmwiOiJodHRwczovL3d3dy5odWQuZ292L3NpdGVzL2RvY3VtZW50cy80MjMyMVMyQzJIU0dILlBERj91dG1fbWVkaXVtPWVtYWlsJnV0bV9zb3VyY2U9Z292ZGVsaXZlcnkifQ.FUbhSaZEISZ4PjvFmcTtBTvONAfF5C-fYZb7BtWQeOQ/s/1356290806/br/108658064261-l" TargetMode="External"/><Relationship Id="rId29" Type="http://schemas.openxmlformats.org/officeDocument/2006/relationships/hyperlink" Target="https://nam10.safelinks.protection.outlook.com/?url=https%3A%2F%2Fwww.hud.gov%2Fsites%2Fdocuments%2F42321S3C3HSGH.PDF&amp;data=04%7C01%7Cmary.saunders%40pgim.com%7C0d3afee850c047eb6aad08d9fad30220%7Cd8fde2f5939242608a030ad01f4746e9%7C0%7C0%7C637816606734129329%7CUnknown%7CTWFpbGZsb3d8eyJWIjoiMC4wLjAwMDAiLCJQIjoiV2luMzIiLCJBTiI6Ik1haWwiLCJXVCI6Mn0%3D%7C3000&amp;sdata=fXNZrH7VXg0W%2FWR2nkOgEQ3VYNtbVLSCHIdpoXHI5vo%3D&amp;reserved=0" TargetMode="External"/><Relationship Id="rId41"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d.gov/sites/documents/FebEmailBlast022316.docx" TargetMode="External"/><Relationship Id="rId32" Type="http://schemas.openxmlformats.org/officeDocument/2006/relationships/hyperlink" Target="mailto:ORCFcloser@hud.gov" TargetMode="External"/><Relationship Id="rId37" Type="http://schemas.openxmlformats.org/officeDocument/2006/relationships/hyperlink" Target="https://www.hud.gov/sites/documents/16-15HSGN.PDF" TargetMode="External"/><Relationship Id="rId40" Type="http://schemas.openxmlformats.org/officeDocument/2006/relationships/hyperlink" Target="mailto:LeanThinking@hud.gov"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ud.gov/sites/dfiles/Housing/documents/ORCF_Closing_Documents_Memo_4-6-22.pdf" TargetMode="External"/><Relationship Id="rId23" Type="http://schemas.openxmlformats.org/officeDocument/2006/relationships/hyperlink" Target="https://www.hud.gov/sites/dfiles/Housing/documents/DecEmailBlast12192018.docx" TargetMode="External"/><Relationship Id="rId28" Type="http://schemas.openxmlformats.org/officeDocument/2006/relationships/hyperlink" Target="https://www.epa.gov/system/files/documents/2022-03/508-cleanairbuildings_factsheet_v5_508.pdf" TargetMode="External"/><Relationship Id="rId36" Type="http://schemas.openxmlformats.org/officeDocument/2006/relationships/hyperlink" Target="http://portal.hud.gov/hudportal/documents/huddoc?id=UpdtStRiskGrd.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gov/sites/dfiles/Housing/documents/223F_ENVCHECKLIST.xlsx" TargetMode="External"/><Relationship Id="rId31" Type="http://schemas.openxmlformats.org/officeDocument/2006/relationships/hyperlink" Target="mailto:ORCFcloser@hud.gov" TargetMode="External"/><Relationship Id="rId44"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xSRVYekizUuokxGApT_HsjjlwOi7t3xDrs-mnt_GeUFUREE0OTFKRUJVSVZPTklQNjlJQ0JNM1A2Uy4u" TargetMode="External"/><Relationship Id="rId22" Type="http://schemas.openxmlformats.org/officeDocument/2006/relationships/hyperlink" Target="https://lnks.gd/l/eyJhbGciOiJIUzI1NiJ9.eyJidWxsZXRpbl9saW5rX2lkIjoxMDMsInVyaSI6ImJwMjpjbGljayIsImJ1bGxldGluX2lkIjoiMjAyMTA2MzAuNDI2MzYzMTEiLCJ1cmwiOiJodHRwczovL3d3dy5odWQuZ292L3NpdGVzL2RmaWxlcy9Ib3VzaW5nL2RvY3VtZW50cy9GZWJFbWFpbEJsYXN0MDIyNjIwMjAuZG9jeD91dG1fbWVkaXVtPWVtYWlsJnV0bV9zb3VyY2U9Z292ZGVsaXZlcnkifQ.yZ5CmEmjVfrl6oMVzcP_5V98ybew-XLz-ojfkA3BbM4/s/1356290806/br/108658064261-l" TargetMode="External"/><Relationship Id="rId27" Type="http://schemas.openxmlformats.org/officeDocument/2006/relationships/hyperlink" Target="https://www.epa.gov/indoor-air-quality-iaq/clean-air-buildings-challenge" TargetMode="External"/><Relationship Id="rId30" Type="http://schemas.openxmlformats.org/officeDocument/2006/relationships/hyperlink" Target="mailto:Leanthinking@hud.gov" TargetMode="External"/><Relationship Id="rId35" Type="http://schemas.openxmlformats.org/officeDocument/2006/relationships/hyperlink" Target="https://www.ada.gov/olmstead/" TargetMode="External"/><Relationship Id="rId43" Type="http://schemas.openxmlformats.org/officeDocument/2006/relationships/image" Target="media/image2.png"/><Relationship Id="rId48"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23251</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Emmanuel Yeow</cp:lastModifiedBy>
  <cp:revision>8</cp:revision>
  <cp:lastPrinted>2014-08-11T13:53:00Z</cp:lastPrinted>
  <dcterms:created xsi:type="dcterms:W3CDTF">2022-05-09T13:03:00Z</dcterms:created>
  <dcterms:modified xsi:type="dcterms:W3CDTF">2022-05-09T13:42:00Z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