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590B68" w:rsidRDefault="006516EB" w:rsidP="00863472">
      <w:pPr>
        <w:pStyle w:val="NormalWeb"/>
        <w:jc w:val="center"/>
        <w:rPr>
          <w:rFonts w:ascii="Arial" w:hAnsi="Arial" w:cs="Arial"/>
          <w:sz w:val="22"/>
          <w:szCs w:val="22"/>
        </w:rPr>
      </w:pPr>
      <w:bookmarkStart w:id="0" w:name="_Hlk33784864"/>
      <w:r>
        <w:rPr>
          <w:noProof/>
        </w:rPr>
        <w:drawing>
          <wp:inline distT="0" distB="0" distL="0" distR="0" wp14:anchorId="7E308CCD" wp14:editId="7416BDD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590B68" w:rsidRDefault="008819F8" w:rsidP="00863472">
      <w:pPr>
        <w:rPr>
          <w:rFonts w:ascii="Arial" w:hAnsi="Arial" w:cs="Arial"/>
        </w:rPr>
      </w:pPr>
    </w:p>
    <w:p w14:paraId="6E0E6040" w14:textId="1B73C16A" w:rsidR="00743DDB" w:rsidRPr="00590B68" w:rsidRDefault="005427C8" w:rsidP="00863472">
      <w:pPr>
        <w:pStyle w:val="NoSpacing"/>
        <w:rPr>
          <w:rFonts w:ascii="Arial" w:hAnsi="Arial" w:cs="Arial"/>
          <w:iCs/>
          <w:sz w:val="28"/>
          <w:szCs w:val="28"/>
        </w:rPr>
      </w:pPr>
      <w:r>
        <w:rPr>
          <w:rFonts w:ascii="Arial" w:hAnsi="Arial" w:cs="Arial"/>
          <w:iCs/>
          <w:sz w:val="28"/>
          <w:szCs w:val="28"/>
        </w:rPr>
        <w:t>June 30</w:t>
      </w:r>
      <w:r w:rsidR="008129A3" w:rsidRPr="00590B68">
        <w:rPr>
          <w:rFonts w:ascii="Arial" w:hAnsi="Arial" w:cs="Arial"/>
          <w:iCs/>
          <w:sz w:val="28"/>
          <w:szCs w:val="28"/>
        </w:rPr>
        <w:t>, 20</w:t>
      </w:r>
      <w:r w:rsidR="001F686F" w:rsidRPr="00590B68">
        <w:rPr>
          <w:rFonts w:ascii="Arial" w:hAnsi="Arial" w:cs="Arial"/>
          <w:iCs/>
          <w:sz w:val="28"/>
          <w:szCs w:val="28"/>
        </w:rPr>
        <w:t>2</w:t>
      </w:r>
      <w:r w:rsidR="006516EB" w:rsidRPr="00590B68">
        <w:rPr>
          <w:rFonts w:ascii="Arial" w:hAnsi="Arial" w:cs="Arial"/>
          <w:iCs/>
          <w:sz w:val="28"/>
          <w:szCs w:val="28"/>
        </w:rPr>
        <w:t>1</w:t>
      </w:r>
    </w:p>
    <w:p w14:paraId="1E43C6F8" w14:textId="77777777" w:rsidR="00DF1260" w:rsidRPr="00DF1260" w:rsidRDefault="00DF1260" w:rsidP="00DF1260">
      <w:pPr>
        <w:pStyle w:val="NoSpacing"/>
        <w:rPr>
          <w:rFonts w:ascii="Arial" w:hAnsi="Arial" w:cs="Arial"/>
          <w:iCs/>
          <w:color w:val="000066"/>
          <w:sz w:val="24"/>
          <w:szCs w:val="24"/>
        </w:rPr>
      </w:pPr>
    </w:p>
    <w:p w14:paraId="1DC7243F" w14:textId="06950740" w:rsidR="00DF1260" w:rsidRPr="00DF1260" w:rsidRDefault="00DF1260" w:rsidP="00DF1260">
      <w:pPr>
        <w:pStyle w:val="NoSpacing"/>
        <w:rPr>
          <w:rFonts w:ascii="Arial" w:hAnsi="Arial" w:cs="Arial"/>
          <w:iCs/>
          <w:color w:val="000066"/>
          <w:sz w:val="24"/>
          <w:szCs w:val="24"/>
        </w:rPr>
      </w:pPr>
      <w:r w:rsidRPr="00DF1260">
        <w:rPr>
          <w:rFonts w:ascii="Arial" w:hAnsi="Arial" w:cs="Arial"/>
          <w:iCs/>
          <w:color w:val="000066"/>
          <w:sz w:val="24"/>
          <w:szCs w:val="24"/>
        </w:rPr>
        <w:t>In This Update</w:t>
      </w:r>
    </w:p>
    <w:p w14:paraId="6E0E6041" w14:textId="77777777" w:rsidR="00E55131" w:rsidRPr="00DF1260" w:rsidRDefault="00E55131" w:rsidP="00863472">
      <w:pPr>
        <w:pStyle w:val="NoSpacing"/>
        <w:rPr>
          <w:rFonts w:ascii="Arial" w:hAnsi="Arial" w:cs="Arial"/>
          <w:bCs/>
          <w:iCs/>
          <w:sz w:val="24"/>
          <w:szCs w:val="24"/>
        </w:rPr>
      </w:pPr>
    </w:p>
    <w:p w14:paraId="33FFA89B" w14:textId="7C3242D7" w:rsidR="00E846A5" w:rsidRPr="00DF1260" w:rsidRDefault="00396DB3" w:rsidP="00DF1260">
      <w:pPr>
        <w:pStyle w:val="TOC1"/>
        <w:rPr>
          <w:rFonts w:eastAsiaTheme="minorEastAsia"/>
          <w:noProof/>
          <w:sz w:val="22"/>
        </w:rPr>
      </w:pPr>
      <w:r w:rsidRPr="00DF1260">
        <w:rPr>
          <w:i/>
        </w:rPr>
        <w:fldChar w:fldCharType="begin"/>
      </w:r>
      <w:r w:rsidRPr="00DF1260">
        <w:rPr>
          <w:i/>
        </w:rPr>
        <w:instrText xml:space="preserve"> TOC \o "1-3" \n \h \z \u </w:instrText>
      </w:r>
      <w:r w:rsidRPr="00DF1260">
        <w:rPr>
          <w:i/>
        </w:rPr>
        <w:fldChar w:fldCharType="separate"/>
      </w:r>
      <w:hyperlink w:anchor="_Toc75955774" w:history="1">
        <w:r w:rsidR="00E846A5" w:rsidRPr="00DF1260">
          <w:rPr>
            <w:rStyle w:val="Hyperlink"/>
            <w:rFonts w:ascii="Arial" w:hAnsi="Arial" w:cs="Arial"/>
            <w:noProof/>
            <w:color w:val="000066"/>
          </w:rPr>
          <w:t>Operating Loss Loan 223(d) – COVID Firm Commitment Update</w:t>
        </w:r>
      </w:hyperlink>
    </w:p>
    <w:p w14:paraId="71F41DA5" w14:textId="72F2782C" w:rsidR="00E846A5" w:rsidRPr="00DF1260" w:rsidRDefault="00115F9E" w:rsidP="00DF1260">
      <w:pPr>
        <w:pStyle w:val="TOC1"/>
        <w:rPr>
          <w:rFonts w:eastAsiaTheme="minorEastAsia"/>
          <w:noProof/>
          <w:sz w:val="22"/>
        </w:rPr>
      </w:pPr>
      <w:hyperlink w:anchor="_Toc75955775" w:history="1">
        <w:r w:rsidR="00E846A5" w:rsidRPr="00DF1260">
          <w:rPr>
            <w:rStyle w:val="Hyperlink"/>
            <w:rFonts w:ascii="Arial" w:hAnsi="Arial" w:cs="Arial"/>
            <w:noProof/>
            <w:color w:val="000066"/>
          </w:rPr>
          <w:t>Clarifications on Decision Circuit Financial Tables and Net Operating Income</w:t>
        </w:r>
      </w:hyperlink>
    </w:p>
    <w:p w14:paraId="3D222CE4" w14:textId="35941352" w:rsidR="00E846A5" w:rsidRPr="00DF1260" w:rsidRDefault="00115F9E" w:rsidP="00DF1260">
      <w:pPr>
        <w:pStyle w:val="TOC1"/>
        <w:rPr>
          <w:rFonts w:eastAsiaTheme="minorEastAsia"/>
          <w:noProof/>
          <w:sz w:val="22"/>
        </w:rPr>
      </w:pPr>
      <w:hyperlink w:anchor="_Toc75955776" w:history="1">
        <w:r w:rsidR="00E846A5" w:rsidRPr="00DF1260">
          <w:rPr>
            <w:rStyle w:val="Hyperlink"/>
            <w:rFonts w:ascii="Arial" w:hAnsi="Arial" w:cs="Arial"/>
            <w:noProof/>
            <w:color w:val="000066"/>
          </w:rPr>
          <w:t>Cashflow Stress Test Instructions Reminder</w:t>
        </w:r>
      </w:hyperlink>
    </w:p>
    <w:p w14:paraId="6320FAAC" w14:textId="3D21C6EA" w:rsidR="00E846A5" w:rsidRPr="00DF1260" w:rsidRDefault="00115F9E" w:rsidP="00DF1260">
      <w:pPr>
        <w:pStyle w:val="TOC1"/>
        <w:rPr>
          <w:rFonts w:eastAsiaTheme="minorEastAsia"/>
          <w:noProof/>
          <w:sz w:val="22"/>
        </w:rPr>
      </w:pPr>
      <w:hyperlink w:anchor="_Toc75955777" w:history="1">
        <w:r w:rsidR="00E846A5" w:rsidRPr="00DF1260">
          <w:rPr>
            <w:rStyle w:val="Hyperlink"/>
            <w:rFonts w:ascii="Arial" w:hAnsi="Arial" w:cs="Arial"/>
            <w:noProof/>
            <w:color w:val="000066"/>
          </w:rPr>
          <w:t>Quality of Care/Survey Issues</w:t>
        </w:r>
      </w:hyperlink>
    </w:p>
    <w:p w14:paraId="033D7C25" w14:textId="3E82CB58" w:rsidR="00E846A5" w:rsidRPr="00DF1260" w:rsidRDefault="00115F9E" w:rsidP="00DF1260">
      <w:pPr>
        <w:pStyle w:val="TOC1"/>
        <w:rPr>
          <w:rFonts w:eastAsiaTheme="minorEastAsia"/>
          <w:noProof/>
          <w:sz w:val="22"/>
        </w:rPr>
      </w:pPr>
      <w:hyperlink w:anchor="_Toc75955778" w:history="1">
        <w:r w:rsidR="00E846A5" w:rsidRPr="00DF1260">
          <w:rPr>
            <w:rStyle w:val="Hyperlink"/>
            <w:rFonts w:ascii="Arial" w:hAnsi="Arial" w:cs="Arial"/>
            <w:noProof/>
            <w:color w:val="000066"/>
          </w:rPr>
          <w:t>Supplemental Income Sources</w:t>
        </w:r>
      </w:hyperlink>
    </w:p>
    <w:p w14:paraId="68D03AE1" w14:textId="6A34229F" w:rsidR="00E846A5" w:rsidRPr="00DF1260" w:rsidRDefault="00115F9E" w:rsidP="00DF1260">
      <w:pPr>
        <w:pStyle w:val="TOC1"/>
        <w:rPr>
          <w:rFonts w:eastAsiaTheme="minorEastAsia"/>
          <w:noProof/>
          <w:sz w:val="22"/>
        </w:rPr>
      </w:pPr>
      <w:hyperlink w:anchor="_Toc75955779" w:history="1">
        <w:r w:rsidR="00E846A5" w:rsidRPr="00DF1260">
          <w:rPr>
            <w:rStyle w:val="Hyperlink"/>
            <w:rFonts w:ascii="Arial" w:hAnsi="Arial" w:cs="Arial"/>
            <w:noProof/>
            <w:color w:val="000066"/>
          </w:rPr>
          <w:t>Borrower/Operator Experience requirements</w:t>
        </w:r>
      </w:hyperlink>
    </w:p>
    <w:p w14:paraId="176FC6B9" w14:textId="27C5C9C4" w:rsidR="00E846A5" w:rsidRPr="00DF1260" w:rsidRDefault="00115F9E" w:rsidP="00DF1260">
      <w:pPr>
        <w:pStyle w:val="TOC1"/>
        <w:rPr>
          <w:rFonts w:eastAsiaTheme="minorEastAsia"/>
          <w:noProof/>
          <w:sz w:val="22"/>
        </w:rPr>
      </w:pPr>
      <w:hyperlink w:anchor="_Toc75955780" w:history="1">
        <w:r w:rsidR="00E846A5" w:rsidRPr="00DF1260">
          <w:rPr>
            <w:rStyle w:val="Hyperlink"/>
            <w:rFonts w:ascii="Arial" w:hAnsi="Arial" w:cs="Arial"/>
            <w:noProof/>
            <w:color w:val="000066"/>
          </w:rPr>
          <w:t>Recent Purchases and Short-Term Turnaround Projects</w:t>
        </w:r>
      </w:hyperlink>
    </w:p>
    <w:p w14:paraId="362770CA" w14:textId="70802C39" w:rsidR="00E846A5" w:rsidRPr="00DF1260" w:rsidRDefault="00115F9E" w:rsidP="00DF1260">
      <w:pPr>
        <w:pStyle w:val="TOC1"/>
        <w:rPr>
          <w:rFonts w:eastAsiaTheme="minorEastAsia"/>
          <w:noProof/>
          <w:sz w:val="22"/>
        </w:rPr>
      </w:pPr>
      <w:hyperlink w:anchor="_Toc75955781" w:history="1">
        <w:r w:rsidR="00E846A5" w:rsidRPr="00DF1260">
          <w:rPr>
            <w:rStyle w:val="Hyperlink"/>
            <w:rFonts w:ascii="Arial" w:hAnsi="Arial" w:cs="Arial"/>
            <w:noProof/>
            <w:color w:val="000066"/>
          </w:rPr>
          <w:t>Limited Debt Seasoning Exception Projects</w:t>
        </w:r>
      </w:hyperlink>
    </w:p>
    <w:p w14:paraId="221EB719" w14:textId="6BA940E4" w:rsidR="00E846A5" w:rsidRPr="00DF1260" w:rsidRDefault="00115F9E" w:rsidP="00DF1260">
      <w:pPr>
        <w:pStyle w:val="TOC1"/>
        <w:rPr>
          <w:rFonts w:eastAsiaTheme="minorEastAsia"/>
          <w:noProof/>
          <w:sz w:val="22"/>
        </w:rPr>
      </w:pPr>
      <w:hyperlink w:anchor="_Toc75955782" w:history="1">
        <w:r w:rsidR="00E846A5" w:rsidRPr="00DF1260">
          <w:rPr>
            <w:rStyle w:val="Hyperlink"/>
            <w:rFonts w:ascii="Arial" w:hAnsi="Arial" w:cs="Arial"/>
            <w:noProof/>
            <w:color w:val="000066"/>
          </w:rPr>
          <w:t>Guidance for Lenders Reporting Quarterly Operator Financials in the 232 Healthcare Portal In Special Situations</w:t>
        </w:r>
      </w:hyperlink>
    </w:p>
    <w:p w14:paraId="0F62F906" w14:textId="36E9DB26" w:rsidR="00E846A5" w:rsidRPr="00DF1260" w:rsidRDefault="00115F9E" w:rsidP="00DF1260">
      <w:pPr>
        <w:pStyle w:val="TOC1"/>
        <w:rPr>
          <w:rFonts w:eastAsiaTheme="minorEastAsia"/>
          <w:noProof/>
          <w:sz w:val="22"/>
        </w:rPr>
      </w:pPr>
      <w:hyperlink w:anchor="_Toc75955783" w:history="1">
        <w:r w:rsidR="00E846A5" w:rsidRPr="00DF1260">
          <w:rPr>
            <w:rStyle w:val="Hyperlink"/>
            <w:rFonts w:ascii="Arial" w:hAnsi="Arial" w:cs="Arial"/>
            <w:noProof/>
            <w:color w:val="000066"/>
          </w:rPr>
          <w:t>State Regulatory Changes</w:t>
        </w:r>
      </w:hyperlink>
    </w:p>
    <w:p w14:paraId="62F824D5" w14:textId="57E1BF5E" w:rsidR="00E846A5" w:rsidRPr="00DF1260" w:rsidRDefault="00115F9E" w:rsidP="00DF1260">
      <w:pPr>
        <w:pStyle w:val="TOC1"/>
        <w:rPr>
          <w:rFonts w:eastAsiaTheme="minorEastAsia"/>
          <w:noProof/>
          <w:sz w:val="22"/>
        </w:rPr>
      </w:pPr>
      <w:hyperlink w:anchor="_Toc75955784" w:history="1">
        <w:r w:rsidR="00E846A5" w:rsidRPr="00DF1260">
          <w:rPr>
            <w:rStyle w:val="Hyperlink"/>
            <w:rFonts w:ascii="Arial" w:hAnsi="Arial" w:cs="Arial"/>
            <w:noProof/>
            <w:color w:val="000066"/>
          </w:rPr>
          <w:t>ORCF-HMAC Asset Management Webinar Recordings Now Available</w:t>
        </w:r>
      </w:hyperlink>
    </w:p>
    <w:p w14:paraId="64A9EE6C" w14:textId="1EDCE3E7" w:rsidR="00E846A5" w:rsidRPr="00DF1260" w:rsidRDefault="00115F9E" w:rsidP="00DF1260">
      <w:pPr>
        <w:pStyle w:val="TOC1"/>
        <w:rPr>
          <w:rFonts w:eastAsiaTheme="minorEastAsia"/>
          <w:noProof/>
          <w:sz w:val="22"/>
        </w:rPr>
      </w:pPr>
      <w:hyperlink w:anchor="_Toc75955785" w:history="1">
        <w:r w:rsidR="00E846A5" w:rsidRPr="00DF1260">
          <w:rPr>
            <w:rStyle w:val="Hyperlink"/>
            <w:rFonts w:ascii="Arial" w:hAnsi="Arial" w:cs="Arial"/>
            <w:noProof/>
            <w:color w:val="000066"/>
          </w:rPr>
          <w:t>FROM THE CLOSING CORNER</w:t>
        </w:r>
      </w:hyperlink>
    </w:p>
    <w:p w14:paraId="662C866A" w14:textId="30BE952E" w:rsidR="00E846A5" w:rsidRPr="00DF1260" w:rsidRDefault="00115F9E" w:rsidP="00DF1260">
      <w:pPr>
        <w:pStyle w:val="TOC1"/>
        <w:ind w:left="1080"/>
        <w:rPr>
          <w:rFonts w:eastAsiaTheme="minorEastAsia"/>
          <w:noProof/>
          <w:sz w:val="22"/>
        </w:rPr>
      </w:pPr>
      <w:hyperlink w:anchor="_Toc75955786" w:history="1">
        <w:r w:rsidR="00E846A5" w:rsidRPr="00DF1260">
          <w:rPr>
            <w:rStyle w:val="Hyperlink"/>
            <w:rFonts w:ascii="Arial" w:hAnsi="Arial" w:cs="Arial"/>
            <w:noProof/>
            <w:color w:val="000066"/>
          </w:rPr>
          <w:t>Please Use ORCF Posted Documents to Complete Closing and Cost Certification Packages</w:t>
        </w:r>
      </w:hyperlink>
    </w:p>
    <w:p w14:paraId="6E0E6047" w14:textId="552D80E6" w:rsidR="00743DDB" w:rsidRPr="00590B68" w:rsidRDefault="00396DB3" w:rsidP="00863472">
      <w:pPr>
        <w:rPr>
          <w:rFonts w:ascii="Arial" w:hAnsi="Arial" w:cs="Arial"/>
          <w:iCs/>
        </w:rPr>
      </w:pPr>
      <w:r w:rsidRPr="00DF1260">
        <w:rPr>
          <w:rFonts w:ascii="Arial" w:hAnsi="Arial" w:cs="Arial"/>
          <w:i/>
        </w:rPr>
        <w:fldChar w:fldCharType="end"/>
      </w:r>
    </w:p>
    <w:p w14:paraId="5A625462" w14:textId="77777777" w:rsidR="000112A7" w:rsidRPr="00590B68" w:rsidRDefault="000112A7" w:rsidP="00863472">
      <w:pPr>
        <w:rPr>
          <w:rFonts w:ascii="Arial" w:hAnsi="Arial" w:cs="Arial"/>
          <w:iCs/>
        </w:rPr>
      </w:pPr>
    </w:p>
    <w:p w14:paraId="50CC1DAB" w14:textId="45BAA963" w:rsidR="003E4D05" w:rsidRPr="00590B68" w:rsidRDefault="00144543" w:rsidP="00CE56F4">
      <w:pPr>
        <w:pStyle w:val="EmailBlast"/>
      </w:pPr>
      <w:bookmarkStart w:id="1" w:name="_Toc380585836"/>
      <w:bookmarkStart w:id="2" w:name="_Toc58832847"/>
      <w:bookmarkStart w:id="3" w:name="_Toc75955774"/>
      <w:bookmarkStart w:id="4" w:name="_Hlk74295403"/>
      <w:bookmarkEnd w:id="1"/>
      <w:r w:rsidRPr="00590B68">
        <w:t xml:space="preserve">Operating Loss Loan 223(d) – COVID </w:t>
      </w:r>
      <w:r w:rsidR="00CE56F4">
        <w:t>Firm Commitment</w:t>
      </w:r>
      <w:r w:rsidRPr="00590B68">
        <w:t xml:space="preserve"> Update</w:t>
      </w:r>
      <w:bookmarkEnd w:id="2"/>
      <w:bookmarkEnd w:id="3"/>
    </w:p>
    <w:bookmarkEnd w:id="4"/>
    <w:p w14:paraId="419B11F2" w14:textId="5F7DE320" w:rsidR="003E4D05" w:rsidRPr="00590B68" w:rsidRDefault="00144543" w:rsidP="003E4D05">
      <w:pPr>
        <w:rPr>
          <w:rFonts w:ascii="Arial" w:hAnsi="Arial" w:cs="Arial"/>
        </w:rPr>
      </w:pPr>
      <w:r w:rsidRPr="00590B68">
        <w:rPr>
          <w:rFonts w:ascii="Arial" w:hAnsi="Arial" w:cs="Arial"/>
        </w:rPr>
        <w:t xml:space="preserve">The Operating Loss Loan 223(d) – COVID </w:t>
      </w:r>
      <w:r w:rsidR="00CE56F4">
        <w:rPr>
          <w:rFonts w:ascii="Arial" w:hAnsi="Arial" w:cs="Arial"/>
        </w:rPr>
        <w:t>Firm Commitment</w:t>
      </w:r>
      <w:r w:rsidRPr="00590B68">
        <w:rPr>
          <w:rFonts w:ascii="Arial" w:hAnsi="Arial" w:cs="Arial"/>
        </w:rPr>
        <w:t xml:space="preserve"> has been updated (</w:t>
      </w:r>
      <w:hyperlink r:id="rId12" w:history="1">
        <w:r w:rsidRPr="002901D1">
          <w:rPr>
            <w:rStyle w:val="Hyperlink"/>
            <w:rFonts w:ascii="Arial" w:hAnsi="Arial" w:cs="Arial"/>
          </w:rPr>
          <w:t>here</w:t>
        </w:r>
      </w:hyperlink>
      <w:r w:rsidRPr="00590B68">
        <w:rPr>
          <w:rFonts w:ascii="Arial" w:hAnsi="Arial" w:cs="Arial"/>
        </w:rPr>
        <w:t xml:space="preserve">) to include language on escrows. Please see the updated </w:t>
      </w:r>
      <w:r w:rsidR="005511BE">
        <w:rPr>
          <w:rFonts w:ascii="Arial" w:hAnsi="Arial" w:cs="Arial"/>
        </w:rPr>
        <w:t>Firm Commitment</w:t>
      </w:r>
      <w:r w:rsidRPr="00590B68">
        <w:rPr>
          <w:rFonts w:ascii="Arial" w:hAnsi="Arial" w:cs="Arial"/>
        </w:rPr>
        <w:t xml:space="preserve"> for more details.</w:t>
      </w:r>
    </w:p>
    <w:p w14:paraId="750C4F2C" w14:textId="77777777" w:rsidR="003E4D05" w:rsidRPr="00590B68" w:rsidRDefault="003E4D05" w:rsidP="003E4D05">
      <w:pPr>
        <w:rPr>
          <w:rFonts w:ascii="Arial" w:hAnsi="Arial" w:cs="Arial"/>
        </w:rPr>
      </w:pPr>
    </w:p>
    <w:p w14:paraId="74463827" w14:textId="009C261B" w:rsidR="003E4D05" w:rsidRPr="00590B68" w:rsidRDefault="003E4D05" w:rsidP="003E4D05">
      <w:pPr>
        <w:rPr>
          <w:rFonts w:ascii="Arial" w:hAnsi="Arial" w:cs="Arial"/>
          <w:i/>
          <w:iCs/>
        </w:rPr>
      </w:pPr>
      <w:r w:rsidRPr="00590B68">
        <w:rPr>
          <w:rFonts w:ascii="Arial" w:hAnsi="Arial" w:cs="Arial"/>
          <w:b/>
          <w:bCs/>
          <w:i/>
          <w:iCs/>
        </w:rPr>
        <w:t>Keywords:</w:t>
      </w:r>
      <w:r w:rsidRPr="00590B68">
        <w:rPr>
          <w:rFonts w:ascii="Arial" w:hAnsi="Arial" w:cs="Arial"/>
          <w:i/>
          <w:iCs/>
        </w:rPr>
        <w:tab/>
      </w:r>
      <w:r w:rsidR="0035487F">
        <w:rPr>
          <w:rFonts w:ascii="Arial" w:hAnsi="Arial" w:cs="Arial"/>
          <w:i/>
          <w:iCs/>
        </w:rPr>
        <w:t xml:space="preserve">COVID, </w:t>
      </w:r>
      <w:r w:rsidR="00144543" w:rsidRPr="00590B68">
        <w:rPr>
          <w:rFonts w:ascii="Arial" w:hAnsi="Arial" w:cs="Arial"/>
          <w:i/>
          <w:iCs/>
        </w:rPr>
        <w:t>223(d)</w:t>
      </w:r>
    </w:p>
    <w:p w14:paraId="0ABD2489" w14:textId="77777777" w:rsidR="00622C81" w:rsidRDefault="00622C81" w:rsidP="00B7164F"/>
    <w:p w14:paraId="682647E3" w14:textId="566F6687" w:rsidR="00B7164F" w:rsidRPr="00590B68" w:rsidRDefault="00115F9E" w:rsidP="00B7164F">
      <w:pPr>
        <w:rPr>
          <w:rFonts w:ascii="Arial" w:hAnsi="Arial" w:cs="Arial"/>
          <w:b/>
          <w:color w:val="365F91" w:themeColor="accent1" w:themeShade="BF"/>
          <w:szCs w:val="24"/>
        </w:rPr>
      </w:pPr>
      <w:hyperlink w:anchor="_top" w:history="1">
        <w:r w:rsidR="00B7164F" w:rsidRPr="00590B68">
          <w:rPr>
            <w:rFonts w:ascii="Arial" w:hAnsi="Arial" w:cs="Arial"/>
            <w:color w:val="365F91" w:themeColor="accent1" w:themeShade="BF"/>
            <w:szCs w:val="24"/>
            <w:u w:val="single"/>
          </w:rPr>
          <w:t>Back to top</w:t>
        </w:r>
      </w:hyperlink>
    </w:p>
    <w:p w14:paraId="492CECAF" w14:textId="2ACA3270" w:rsidR="00997C33" w:rsidRDefault="00997C33" w:rsidP="00997C33">
      <w:pPr>
        <w:rPr>
          <w:rFonts w:ascii="Arial" w:hAnsi="Arial" w:cs="Arial"/>
        </w:rPr>
      </w:pPr>
    </w:p>
    <w:p w14:paraId="6C816F4A" w14:textId="61D1983C" w:rsidR="00B42F9D" w:rsidRPr="00CE56F4" w:rsidRDefault="00B42F9D" w:rsidP="00CE56F4">
      <w:pPr>
        <w:pStyle w:val="EmailBlast"/>
        <w:rPr>
          <w:rFonts w:cs="Arial"/>
        </w:rPr>
      </w:pPr>
      <w:bookmarkStart w:id="5" w:name="_Toc75955775"/>
      <w:r w:rsidRPr="00CE56F4">
        <w:lastRenderedPageBreak/>
        <w:t>Clarifications on Decision Circuit Financial Tables and Net Operating Income</w:t>
      </w:r>
      <w:bookmarkEnd w:id="5"/>
    </w:p>
    <w:p w14:paraId="3C976464" w14:textId="58515FB8" w:rsidR="00B42F9D" w:rsidRPr="00CE56F4" w:rsidRDefault="00B42F9D" w:rsidP="00B42F9D">
      <w:pPr>
        <w:rPr>
          <w:rFonts w:ascii="Arial" w:hAnsi="Arial" w:cs="Calibri"/>
        </w:rPr>
      </w:pPr>
      <w:proofErr w:type="spellStart"/>
      <w:r w:rsidRPr="00CE56F4">
        <w:rPr>
          <w:rFonts w:ascii="Arial" w:hAnsi="Arial" w:cs="Calibri"/>
        </w:rPr>
        <w:t>ORCF</w:t>
      </w:r>
      <w:proofErr w:type="spellEnd"/>
      <w:r w:rsidRPr="00CE56F4">
        <w:rPr>
          <w:rFonts w:ascii="Arial" w:hAnsi="Arial" w:cs="Calibri"/>
        </w:rPr>
        <w:t xml:space="preserve"> recognizes that COVID-19 has impacted financial performance of healthcare facilities</w:t>
      </w:r>
      <w:r w:rsidR="00623DB3">
        <w:rPr>
          <w:rFonts w:ascii="Arial" w:hAnsi="Arial" w:cs="Calibri"/>
        </w:rPr>
        <w:t>,</w:t>
      </w:r>
      <w:r w:rsidRPr="00CE56F4">
        <w:rPr>
          <w:rFonts w:ascii="Arial" w:hAnsi="Arial" w:cs="Calibri"/>
        </w:rPr>
        <w:t xml:space="preserve"> and these financials will be included in applications going forward for the next several years.  </w:t>
      </w:r>
      <w:proofErr w:type="spellStart"/>
      <w:r w:rsidRPr="00CE56F4">
        <w:rPr>
          <w:rFonts w:ascii="Arial" w:hAnsi="Arial" w:cs="Calibri"/>
        </w:rPr>
        <w:t>ORCF</w:t>
      </w:r>
      <w:proofErr w:type="spellEnd"/>
      <w:r w:rsidRPr="00CE56F4">
        <w:rPr>
          <w:rFonts w:ascii="Arial" w:hAnsi="Arial" w:cs="Calibri"/>
        </w:rPr>
        <w:t xml:space="preserve"> is providing the below guidance </w:t>
      </w:r>
      <w:r w:rsidR="00623DB3">
        <w:rPr>
          <w:rFonts w:ascii="Arial" w:hAnsi="Arial" w:cs="Calibri"/>
        </w:rPr>
        <w:t>for</w:t>
      </w:r>
      <w:r w:rsidRPr="00CE56F4">
        <w:rPr>
          <w:rFonts w:ascii="Arial" w:hAnsi="Arial" w:cs="Calibri"/>
        </w:rPr>
        <w:t xml:space="preserve"> lenders when submitting financial tables on applications.</w:t>
      </w:r>
    </w:p>
    <w:p w14:paraId="16F32992" w14:textId="77777777" w:rsidR="00B42F9D" w:rsidRPr="00CE56F4" w:rsidRDefault="00B42F9D" w:rsidP="00B42F9D">
      <w:pPr>
        <w:rPr>
          <w:rFonts w:ascii="Arial" w:hAnsi="Arial" w:cs="Calibri"/>
        </w:rPr>
      </w:pPr>
    </w:p>
    <w:p w14:paraId="098E8655" w14:textId="77777777" w:rsidR="00B42F9D" w:rsidRPr="00CE56F4" w:rsidRDefault="00B42F9D" w:rsidP="00CE56F4">
      <w:pPr>
        <w:numPr>
          <w:ilvl w:val="0"/>
          <w:numId w:val="11"/>
        </w:numPr>
        <w:spacing w:before="120"/>
        <w:rPr>
          <w:rFonts w:ascii="Arial" w:eastAsia="Times New Roman" w:hAnsi="Arial" w:cs="Calibri"/>
        </w:rPr>
      </w:pPr>
      <w:r w:rsidRPr="00CE56F4">
        <w:rPr>
          <w:rFonts w:ascii="Arial" w:eastAsia="Times New Roman" w:hAnsi="Arial" w:cs="Calibri"/>
        </w:rPr>
        <w:t>Historical Financials:</w:t>
      </w:r>
    </w:p>
    <w:p w14:paraId="3BC41883" w14:textId="77777777" w:rsidR="00B42F9D" w:rsidRPr="00CE56F4" w:rsidRDefault="00B42F9D" w:rsidP="00CE56F4">
      <w:pPr>
        <w:numPr>
          <w:ilvl w:val="1"/>
          <w:numId w:val="16"/>
        </w:numPr>
        <w:spacing w:before="120"/>
        <w:rPr>
          <w:rFonts w:ascii="Arial" w:eastAsia="Times New Roman" w:hAnsi="Arial" w:cs="Calibri"/>
        </w:rPr>
      </w:pPr>
      <w:r w:rsidRPr="00CE56F4">
        <w:rPr>
          <w:rFonts w:ascii="Arial" w:eastAsia="Times New Roman" w:hAnsi="Arial" w:cs="Calibri"/>
        </w:rPr>
        <w:t xml:space="preserve">Include actual historical financials including any temporary COVID-19 rate, expense, or census changes.  Describe and analyze impact to the project’s financial history and trends in the Lender Narrative.  </w:t>
      </w:r>
    </w:p>
    <w:p w14:paraId="6CED24D1" w14:textId="77777777" w:rsidR="00B42F9D" w:rsidRPr="00CE56F4" w:rsidRDefault="00B42F9D" w:rsidP="00CE56F4">
      <w:pPr>
        <w:numPr>
          <w:ilvl w:val="1"/>
          <w:numId w:val="16"/>
        </w:numPr>
        <w:spacing w:before="120"/>
        <w:rPr>
          <w:rFonts w:ascii="Arial" w:eastAsia="Times New Roman" w:hAnsi="Arial" w:cs="Calibri"/>
        </w:rPr>
      </w:pPr>
      <w:r w:rsidRPr="00CE56F4">
        <w:rPr>
          <w:rFonts w:ascii="Arial" w:eastAsia="Times New Roman" w:hAnsi="Arial" w:cs="Calibri"/>
        </w:rPr>
        <w:t>Do not include large capital expenditures.</w:t>
      </w:r>
    </w:p>
    <w:p w14:paraId="60AA4DDA" w14:textId="77777777" w:rsidR="00B42F9D" w:rsidRPr="00CE56F4" w:rsidRDefault="00B42F9D" w:rsidP="00CE56F4">
      <w:pPr>
        <w:numPr>
          <w:ilvl w:val="1"/>
          <w:numId w:val="16"/>
        </w:numPr>
        <w:spacing w:before="120"/>
        <w:rPr>
          <w:rFonts w:ascii="Arial" w:eastAsia="Times New Roman" w:hAnsi="Arial" w:cs="Calibri"/>
        </w:rPr>
      </w:pPr>
      <w:r w:rsidRPr="00CE56F4">
        <w:rPr>
          <w:rFonts w:ascii="Arial" w:eastAsia="Times New Roman" w:hAnsi="Arial" w:cs="Calibri"/>
        </w:rPr>
        <w:t>Do not include stimulus funds.</w:t>
      </w:r>
    </w:p>
    <w:p w14:paraId="00797BA4" w14:textId="77777777" w:rsidR="00B42F9D" w:rsidRPr="00CE56F4" w:rsidRDefault="00B42F9D" w:rsidP="00CE56F4">
      <w:pPr>
        <w:numPr>
          <w:ilvl w:val="1"/>
          <w:numId w:val="16"/>
        </w:numPr>
        <w:spacing w:before="120"/>
        <w:rPr>
          <w:rFonts w:ascii="Arial" w:eastAsia="Times New Roman" w:hAnsi="Arial" w:cs="Calibri"/>
        </w:rPr>
      </w:pPr>
      <w:r w:rsidRPr="00CE56F4">
        <w:rPr>
          <w:rFonts w:ascii="Arial" w:eastAsia="Times New Roman" w:hAnsi="Arial" w:cs="Calibri"/>
        </w:rPr>
        <w:t>The lender is free to show adjusted financials in the yellow highlighted optional reporting period columns.</w:t>
      </w:r>
    </w:p>
    <w:p w14:paraId="4F88F514" w14:textId="77777777" w:rsidR="00B42F9D" w:rsidRPr="00CE56F4" w:rsidRDefault="00B42F9D" w:rsidP="00CE56F4">
      <w:pPr>
        <w:numPr>
          <w:ilvl w:val="0"/>
          <w:numId w:val="11"/>
        </w:numPr>
        <w:spacing w:before="120"/>
        <w:rPr>
          <w:rFonts w:ascii="Arial" w:eastAsia="Times New Roman" w:hAnsi="Arial" w:cs="Calibri"/>
        </w:rPr>
      </w:pPr>
      <w:r w:rsidRPr="00CE56F4">
        <w:rPr>
          <w:rFonts w:ascii="Arial" w:eastAsia="Times New Roman" w:hAnsi="Arial" w:cs="Calibri"/>
        </w:rPr>
        <w:t xml:space="preserve">Appraisal Column: </w:t>
      </w:r>
    </w:p>
    <w:p w14:paraId="542EEA70" w14:textId="4AB85734" w:rsidR="00B42F9D" w:rsidRPr="00CE56F4" w:rsidRDefault="00B42F9D" w:rsidP="00CE56F4">
      <w:pPr>
        <w:numPr>
          <w:ilvl w:val="1"/>
          <w:numId w:val="15"/>
        </w:numPr>
        <w:spacing w:before="120"/>
        <w:rPr>
          <w:rFonts w:ascii="Arial" w:eastAsia="Times New Roman" w:hAnsi="Arial" w:cs="Calibri"/>
        </w:rPr>
      </w:pPr>
      <w:r w:rsidRPr="00CE56F4">
        <w:rPr>
          <w:rFonts w:ascii="Arial" w:eastAsia="Times New Roman" w:hAnsi="Arial" w:cs="Calibri"/>
        </w:rPr>
        <w:t xml:space="preserve">Take directly </w:t>
      </w:r>
      <w:r w:rsidR="00804F6C">
        <w:rPr>
          <w:rFonts w:ascii="Arial" w:eastAsia="Times New Roman" w:hAnsi="Arial" w:cs="Calibri"/>
        </w:rPr>
        <w:t>from</w:t>
      </w:r>
      <w:r w:rsidRPr="00CE56F4">
        <w:rPr>
          <w:rFonts w:ascii="Arial" w:eastAsia="Times New Roman" w:hAnsi="Arial" w:cs="Calibri"/>
        </w:rPr>
        <w:t xml:space="preserve"> the appraisal.</w:t>
      </w:r>
    </w:p>
    <w:p w14:paraId="26E4BEC1" w14:textId="77777777" w:rsidR="00B42F9D" w:rsidRPr="00CE56F4" w:rsidRDefault="00B42F9D" w:rsidP="00CE56F4">
      <w:pPr>
        <w:numPr>
          <w:ilvl w:val="1"/>
          <w:numId w:val="15"/>
        </w:numPr>
        <w:spacing w:before="120"/>
        <w:rPr>
          <w:rFonts w:ascii="Arial" w:eastAsia="Times New Roman" w:hAnsi="Arial" w:cs="Calibri"/>
        </w:rPr>
      </w:pPr>
      <w:r w:rsidRPr="00CE56F4">
        <w:rPr>
          <w:rFonts w:ascii="Arial" w:eastAsia="Times New Roman" w:hAnsi="Arial" w:cs="Calibri"/>
        </w:rPr>
        <w:t>Assumes a typical market owner.</w:t>
      </w:r>
    </w:p>
    <w:p w14:paraId="3076B374" w14:textId="77777777" w:rsidR="00B42F9D" w:rsidRPr="00CE56F4" w:rsidRDefault="00B42F9D" w:rsidP="00CE56F4">
      <w:pPr>
        <w:numPr>
          <w:ilvl w:val="0"/>
          <w:numId w:val="11"/>
        </w:numPr>
        <w:spacing w:before="120"/>
        <w:rPr>
          <w:rFonts w:ascii="Arial" w:eastAsia="Times New Roman" w:hAnsi="Arial" w:cs="Calibri"/>
        </w:rPr>
      </w:pPr>
      <w:r w:rsidRPr="00CE56F4">
        <w:rPr>
          <w:rFonts w:ascii="Arial" w:eastAsia="Times New Roman" w:hAnsi="Arial" w:cs="Calibri"/>
        </w:rPr>
        <w:t>UW Column:</w:t>
      </w:r>
    </w:p>
    <w:p w14:paraId="54CF2B9A" w14:textId="77777777" w:rsidR="00B42F9D" w:rsidRPr="00CE56F4" w:rsidRDefault="00B42F9D" w:rsidP="00CE56F4">
      <w:pPr>
        <w:numPr>
          <w:ilvl w:val="1"/>
          <w:numId w:val="14"/>
        </w:numPr>
        <w:spacing w:before="120"/>
        <w:rPr>
          <w:rFonts w:ascii="Arial" w:eastAsia="Times New Roman" w:hAnsi="Arial" w:cs="Calibri"/>
        </w:rPr>
      </w:pPr>
      <w:r w:rsidRPr="00CE56F4">
        <w:rPr>
          <w:rFonts w:ascii="Arial" w:eastAsia="Times New Roman" w:hAnsi="Arial" w:cs="Calibri"/>
        </w:rPr>
        <w:t>Assumes actual owner/operator.</w:t>
      </w:r>
    </w:p>
    <w:p w14:paraId="2AC89135" w14:textId="19DBB877" w:rsidR="00B42F9D" w:rsidRPr="00CE56F4" w:rsidRDefault="00B42F9D" w:rsidP="00CE56F4">
      <w:pPr>
        <w:numPr>
          <w:ilvl w:val="1"/>
          <w:numId w:val="14"/>
        </w:numPr>
        <w:spacing w:before="120"/>
        <w:rPr>
          <w:rFonts w:ascii="Arial" w:eastAsia="Times New Roman" w:hAnsi="Arial" w:cs="Calibri"/>
        </w:rPr>
      </w:pPr>
      <w:r w:rsidRPr="00CE56F4">
        <w:rPr>
          <w:rFonts w:ascii="Arial" w:eastAsia="Times New Roman" w:hAnsi="Arial" w:cs="Calibri"/>
        </w:rPr>
        <w:t>Assumes No COVID-19 revenue or non-recurring expenses, but assumes actual taxes, R</w:t>
      </w:r>
      <w:r w:rsidR="007A0A55">
        <w:rPr>
          <w:rFonts w:ascii="Arial" w:eastAsia="Times New Roman" w:hAnsi="Arial" w:cs="Calibri"/>
        </w:rPr>
        <w:t>eserve</w:t>
      </w:r>
      <w:r w:rsidRPr="00CE56F4">
        <w:rPr>
          <w:rFonts w:ascii="Arial" w:eastAsia="Times New Roman" w:hAnsi="Arial" w:cs="Calibri"/>
        </w:rPr>
        <w:t xml:space="preserve"> for R</w:t>
      </w:r>
      <w:r w:rsidR="007A0A55">
        <w:rPr>
          <w:rFonts w:ascii="Arial" w:eastAsia="Times New Roman" w:hAnsi="Arial" w:cs="Calibri"/>
        </w:rPr>
        <w:t>eplacement</w:t>
      </w:r>
      <w:r w:rsidRPr="00CE56F4">
        <w:rPr>
          <w:rFonts w:ascii="Arial" w:eastAsia="Times New Roman" w:hAnsi="Arial" w:cs="Calibri"/>
        </w:rPr>
        <w:t>, etc.  </w:t>
      </w:r>
    </w:p>
    <w:p w14:paraId="5F6D1BAF" w14:textId="77777777" w:rsidR="00CE56F4" w:rsidRDefault="00B42F9D" w:rsidP="00CE56F4">
      <w:pPr>
        <w:numPr>
          <w:ilvl w:val="1"/>
          <w:numId w:val="14"/>
        </w:numPr>
        <w:spacing w:before="120"/>
        <w:rPr>
          <w:rFonts w:ascii="Arial" w:eastAsia="Times New Roman" w:hAnsi="Arial" w:cs="Calibri"/>
        </w:rPr>
      </w:pPr>
      <w:r w:rsidRPr="00CE56F4">
        <w:rPr>
          <w:rFonts w:ascii="Arial" w:eastAsia="Times New Roman" w:hAnsi="Arial" w:cs="Calibri"/>
        </w:rPr>
        <w:t xml:space="preserve">Include increases in ongoing expenses that have resulted from COVID-19 (e.g., additional infection control expenses) and are anticipated to </w:t>
      </w:r>
      <w:proofErr w:type="gramStart"/>
      <w:r w:rsidRPr="00CE56F4">
        <w:rPr>
          <w:rFonts w:ascii="Arial" w:eastAsia="Times New Roman" w:hAnsi="Arial" w:cs="Calibri"/>
        </w:rPr>
        <w:t>continue into the future</w:t>
      </w:r>
      <w:proofErr w:type="gramEnd"/>
      <w:r w:rsidRPr="00CE56F4">
        <w:rPr>
          <w:rFonts w:ascii="Arial" w:eastAsia="Times New Roman" w:hAnsi="Arial" w:cs="Calibri"/>
        </w:rPr>
        <w:t>.</w:t>
      </w:r>
    </w:p>
    <w:p w14:paraId="451CD896" w14:textId="187E6752" w:rsidR="004B62C4" w:rsidRPr="00CE56F4" w:rsidRDefault="00B42F9D" w:rsidP="00CE56F4">
      <w:pPr>
        <w:numPr>
          <w:ilvl w:val="1"/>
          <w:numId w:val="14"/>
        </w:numPr>
        <w:spacing w:before="120"/>
        <w:rPr>
          <w:rFonts w:ascii="Arial" w:hAnsi="Arial" w:cs="Arial"/>
          <w:szCs w:val="24"/>
        </w:rPr>
      </w:pPr>
      <w:r w:rsidRPr="00CE56F4">
        <w:rPr>
          <w:rFonts w:ascii="Arial" w:eastAsia="Times New Roman" w:hAnsi="Arial" w:cs="Calibri"/>
        </w:rPr>
        <w:t>The Lender Underwriting column should be more reflective of historic operations that do not include temporary shifts in revenue and expenses.</w:t>
      </w:r>
    </w:p>
    <w:p w14:paraId="444E8257" w14:textId="77777777" w:rsidR="00CE56F4" w:rsidRPr="00CE56F4" w:rsidRDefault="00CE56F4" w:rsidP="00CE56F4">
      <w:pPr>
        <w:ind w:left="1440"/>
        <w:rPr>
          <w:rFonts w:ascii="Arial" w:hAnsi="Arial" w:cs="Arial"/>
          <w:szCs w:val="24"/>
        </w:rPr>
      </w:pPr>
    </w:p>
    <w:p w14:paraId="7EADDCE3" w14:textId="1F3DDB6C" w:rsidR="004B62C4" w:rsidRPr="00590B68" w:rsidRDefault="004B62C4" w:rsidP="004B62C4">
      <w:pPr>
        <w:rPr>
          <w:rFonts w:ascii="Arial" w:hAnsi="Arial" w:cs="Arial"/>
          <w:i/>
          <w:szCs w:val="24"/>
        </w:rPr>
      </w:pPr>
      <w:r w:rsidRPr="00590B68">
        <w:rPr>
          <w:rFonts w:ascii="Arial" w:hAnsi="Arial" w:cs="Arial"/>
          <w:b/>
          <w:i/>
          <w:szCs w:val="24"/>
        </w:rPr>
        <w:t>Keywords:</w:t>
      </w:r>
      <w:r w:rsidRPr="00590B68">
        <w:rPr>
          <w:rFonts w:ascii="Arial" w:hAnsi="Arial" w:cs="Arial"/>
          <w:i/>
          <w:szCs w:val="24"/>
        </w:rPr>
        <w:t xml:space="preserve"> </w:t>
      </w:r>
      <w:r w:rsidR="007E7AE7" w:rsidRPr="00590B68">
        <w:rPr>
          <w:rFonts w:ascii="Arial" w:hAnsi="Arial" w:cs="Arial"/>
          <w:i/>
          <w:szCs w:val="24"/>
        </w:rPr>
        <w:t>Financial Tables, Net Operating Income (</w:t>
      </w:r>
      <w:proofErr w:type="spellStart"/>
      <w:r w:rsidR="007E7AE7" w:rsidRPr="00590B68">
        <w:rPr>
          <w:rFonts w:ascii="Arial" w:hAnsi="Arial" w:cs="Arial"/>
          <w:i/>
          <w:szCs w:val="24"/>
        </w:rPr>
        <w:t>NOI</w:t>
      </w:r>
      <w:proofErr w:type="spellEnd"/>
      <w:r w:rsidR="007E7AE7" w:rsidRPr="00590B68">
        <w:rPr>
          <w:rFonts w:ascii="Arial" w:hAnsi="Arial" w:cs="Arial"/>
          <w:i/>
          <w:szCs w:val="24"/>
        </w:rPr>
        <w:t>)</w:t>
      </w:r>
    </w:p>
    <w:p w14:paraId="61047DC5" w14:textId="77777777" w:rsidR="0084300D" w:rsidRPr="00590B68" w:rsidRDefault="0084300D" w:rsidP="0084300D">
      <w:pPr>
        <w:rPr>
          <w:rFonts w:ascii="Arial" w:eastAsia="MS Mincho" w:hAnsi="Arial" w:cs="Arial"/>
          <w:b/>
          <w:szCs w:val="24"/>
        </w:rPr>
      </w:pPr>
    </w:p>
    <w:p w14:paraId="38668F80" w14:textId="77777777" w:rsidR="00B7164F" w:rsidRPr="00590B68" w:rsidRDefault="00115F9E" w:rsidP="00B7164F">
      <w:pPr>
        <w:rPr>
          <w:rFonts w:ascii="Arial" w:hAnsi="Arial" w:cs="Arial"/>
          <w:b/>
          <w:color w:val="365F91" w:themeColor="accent1" w:themeShade="BF"/>
          <w:szCs w:val="24"/>
        </w:rPr>
      </w:pPr>
      <w:hyperlink w:anchor="_top" w:history="1">
        <w:r w:rsidR="00B7164F" w:rsidRPr="00590B68">
          <w:rPr>
            <w:rFonts w:ascii="Arial" w:hAnsi="Arial" w:cs="Arial"/>
            <w:color w:val="365F91" w:themeColor="accent1" w:themeShade="BF"/>
            <w:szCs w:val="24"/>
            <w:u w:val="single"/>
          </w:rPr>
          <w:t>Back to top</w:t>
        </w:r>
      </w:hyperlink>
    </w:p>
    <w:p w14:paraId="1BD50F7B" w14:textId="1175F5E2" w:rsidR="0084300D" w:rsidRPr="00590B68" w:rsidRDefault="0084300D" w:rsidP="00997C33">
      <w:pPr>
        <w:rPr>
          <w:rFonts w:ascii="Arial" w:hAnsi="Arial" w:cs="Arial"/>
          <w:szCs w:val="24"/>
        </w:rPr>
      </w:pPr>
    </w:p>
    <w:p w14:paraId="4D4A1EF2" w14:textId="19C3A413" w:rsidR="00851100" w:rsidRPr="007F746E" w:rsidRDefault="00187D60" w:rsidP="00CE56F4">
      <w:pPr>
        <w:pStyle w:val="EmailBlast"/>
      </w:pPr>
      <w:bookmarkStart w:id="6" w:name="_Toc75955776"/>
      <w:r w:rsidRPr="007F746E">
        <w:t>Cashflow Stress Test Instructions Reminder</w:t>
      </w:r>
      <w:bookmarkEnd w:id="6"/>
    </w:p>
    <w:p w14:paraId="7E851117" w14:textId="77777777" w:rsidR="00A00298" w:rsidRPr="00CE56F4" w:rsidRDefault="00A00298" w:rsidP="00A00298">
      <w:pPr>
        <w:rPr>
          <w:rFonts w:ascii="Arial" w:hAnsi="Arial" w:cs="Calibri"/>
        </w:rPr>
      </w:pPr>
      <w:r w:rsidRPr="00CE56F4">
        <w:rPr>
          <w:rFonts w:ascii="Arial" w:hAnsi="Arial" w:cs="Calibri"/>
        </w:rPr>
        <w:t>Lenders are reminded to review and follow the instructions on the Instructions tab of the Cashflow Stress Test when completing the workbook information:</w:t>
      </w:r>
    </w:p>
    <w:p w14:paraId="51ED97FD" w14:textId="77777777" w:rsidR="00A00298" w:rsidRPr="00CE56F4" w:rsidRDefault="00A00298" w:rsidP="00A00298">
      <w:pPr>
        <w:rPr>
          <w:rFonts w:ascii="Arial" w:hAnsi="Arial" w:cs="Calibri"/>
        </w:rPr>
      </w:pPr>
    </w:p>
    <w:p w14:paraId="22ECAFD6" w14:textId="77777777" w:rsidR="00A00298" w:rsidRPr="00CE56F4" w:rsidRDefault="00A00298" w:rsidP="00A00298">
      <w:pPr>
        <w:rPr>
          <w:rFonts w:ascii="Arial" w:hAnsi="Arial" w:cs="Calibri"/>
          <w:bCs/>
        </w:rPr>
      </w:pPr>
      <w:r w:rsidRPr="00CE56F4">
        <w:rPr>
          <w:rFonts w:ascii="Arial" w:hAnsi="Arial" w:cs="Calibri"/>
          <w:bCs/>
        </w:rPr>
        <w:t xml:space="preserve">Terms:  </w:t>
      </w:r>
      <w:r w:rsidRPr="00CE56F4">
        <w:rPr>
          <w:rFonts w:ascii="Arial" w:hAnsi="Arial" w:cs="Calibri"/>
        </w:rPr>
        <w:t xml:space="preserve">Most of the inputs are self-explanatory and should represent the information submitted in the application. </w:t>
      </w:r>
    </w:p>
    <w:p w14:paraId="6D225FEF" w14:textId="567A28E1" w:rsidR="00A00298" w:rsidRPr="00CE56F4" w:rsidRDefault="00A00298" w:rsidP="00CE56F4">
      <w:pPr>
        <w:numPr>
          <w:ilvl w:val="0"/>
          <w:numId w:val="12"/>
        </w:numPr>
        <w:spacing w:before="120"/>
        <w:rPr>
          <w:rFonts w:ascii="Arial" w:eastAsia="Times New Roman" w:hAnsi="Arial" w:cs="Calibri"/>
        </w:rPr>
      </w:pPr>
      <w:r w:rsidRPr="00CE56F4">
        <w:rPr>
          <w:rFonts w:ascii="Arial" w:eastAsia="Times New Roman" w:hAnsi="Arial" w:cs="Calibri"/>
        </w:rPr>
        <w:lastRenderedPageBreak/>
        <w:t>Forgivable Aid/Relief:  List the remaining balances of any forgivable aid or relief the Operator has received to assist in meeting financial needs during the COVID</w:t>
      </w:r>
      <w:r w:rsidR="007A0A55">
        <w:rPr>
          <w:rFonts w:ascii="Arial" w:eastAsia="Times New Roman" w:hAnsi="Arial" w:cs="Calibri"/>
        </w:rPr>
        <w:t>-19 national emergency</w:t>
      </w:r>
      <w:r w:rsidRPr="00CE56F4">
        <w:rPr>
          <w:rFonts w:ascii="Arial" w:eastAsia="Times New Roman" w:hAnsi="Arial" w:cs="Calibri"/>
        </w:rPr>
        <w:t>.</w:t>
      </w:r>
    </w:p>
    <w:p w14:paraId="5AC740B2" w14:textId="225AA988" w:rsidR="00A00298" w:rsidRPr="00CE56F4" w:rsidRDefault="00A00298" w:rsidP="00A00298">
      <w:pPr>
        <w:rPr>
          <w:rFonts w:ascii="Arial" w:hAnsi="Arial" w:cs="Calibri"/>
        </w:rPr>
      </w:pPr>
    </w:p>
    <w:p w14:paraId="2909C3A8" w14:textId="5DBF4424" w:rsidR="00A00298" w:rsidRPr="00CE56F4" w:rsidRDefault="00A00298" w:rsidP="00A00298">
      <w:pPr>
        <w:rPr>
          <w:rFonts w:ascii="Arial" w:hAnsi="Arial" w:cs="Calibri"/>
          <w:bCs/>
        </w:rPr>
      </w:pPr>
      <w:r w:rsidRPr="00CE56F4">
        <w:rPr>
          <w:rFonts w:ascii="Arial" w:hAnsi="Arial" w:cs="Calibri"/>
          <w:bCs/>
        </w:rPr>
        <w:t>Analysis:</w:t>
      </w:r>
    </w:p>
    <w:p w14:paraId="06D9ED51" w14:textId="277F2DA9" w:rsidR="00A00298" w:rsidRDefault="00A00298" w:rsidP="00CE56F4">
      <w:pPr>
        <w:numPr>
          <w:ilvl w:val="0"/>
          <w:numId w:val="12"/>
        </w:numPr>
        <w:spacing w:before="120"/>
        <w:rPr>
          <w:rFonts w:ascii="Arial" w:eastAsia="Times New Roman" w:hAnsi="Arial" w:cs="Calibri"/>
        </w:rPr>
      </w:pPr>
      <w:r w:rsidRPr="00CE56F4">
        <w:rPr>
          <w:rFonts w:ascii="Arial" w:eastAsia="Times New Roman" w:hAnsi="Arial" w:cs="Calibri"/>
        </w:rPr>
        <w:t>Income Categories: The income labels in this section should mirror those identified in the decision circuit and/or lender narrative table</w:t>
      </w:r>
      <w:r w:rsidR="007A0A55">
        <w:rPr>
          <w:rFonts w:ascii="Arial" w:eastAsia="Times New Roman" w:hAnsi="Arial" w:cs="Calibri"/>
        </w:rPr>
        <w:t>.</w:t>
      </w:r>
    </w:p>
    <w:p w14:paraId="10B44EDA" w14:textId="77777777" w:rsidR="00CE56F4" w:rsidRPr="00CE56F4" w:rsidRDefault="00CE56F4" w:rsidP="00CE56F4">
      <w:pPr>
        <w:ind w:left="1080"/>
        <w:rPr>
          <w:rFonts w:ascii="Arial" w:eastAsia="Times New Roman" w:hAnsi="Arial" w:cs="Calibri"/>
        </w:rPr>
      </w:pPr>
    </w:p>
    <w:p w14:paraId="7171FC7D" w14:textId="012DF5BF" w:rsidR="00A00298" w:rsidRPr="00CE56F4" w:rsidRDefault="00A00298" w:rsidP="00CE56F4">
      <w:pPr>
        <w:ind w:left="720"/>
        <w:rPr>
          <w:rFonts w:ascii="Arial" w:hAnsi="Arial" w:cs="Calibri"/>
          <w:u w:val="single"/>
        </w:rPr>
      </w:pPr>
      <w:r w:rsidRPr="00CE56F4">
        <w:rPr>
          <w:rFonts w:ascii="Arial" w:hAnsi="Arial" w:cs="Calibri"/>
          <w:u w:val="single"/>
        </w:rPr>
        <w:t>Actual or Estimated Column Designations</w:t>
      </w:r>
      <w:r w:rsidRPr="00CE56F4">
        <w:rPr>
          <w:rFonts w:ascii="Arial" w:hAnsi="Arial" w:cs="Calibri"/>
        </w:rPr>
        <w:t>:</w:t>
      </w:r>
    </w:p>
    <w:p w14:paraId="3CF02CDD" w14:textId="77777777" w:rsidR="00A00298" w:rsidRPr="00CE56F4" w:rsidRDefault="00A00298" w:rsidP="00CE56F4">
      <w:pPr>
        <w:numPr>
          <w:ilvl w:val="0"/>
          <w:numId w:val="12"/>
        </w:numPr>
        <w:spacing w:before="120"/>
        <w:rPr>
          <w:rFonts w:ascii="Arial" w:eastAsia="Times New Roman" w:hAnsi="Arial" w:cs="Calibri"/>
          <w:bCs/>
        </w:rPr>
      </w:pPr>
      <w:r w:rsidRPr="00CE56F4">
        <w:rPr>
          <w:rFonts w:ascii="Arial" w:eastAsia="Times New Roman" w:hAnsi="Arial" w:cs="Calibri"/>
          <w:bCs/>
        </w:rPr>
        <w:t xml:space="preserve">If you have Actual Income supported by a financial statement, select Actual and input actual census and income detail.   </w:t>
      </w:r>
    </w:p>
    <w:p w14:paraId="64F5F206" w14:textId="77777777" w:rsidR="00A00298" w:rsidRPr="00CE56F4" w:rsidRDefault="00A00298" w:rsidP="00CE56F4">
      <w:pPr>
        <w:numPr>
          <w:ilvl w:val="0"/>
          <w:numId w:val="12"/>
        </w:numPr>
        <w:spacing w:before="120"/>
        <w:rPr>
          <w:rFonts w:ascii="Arial" w:eastAsia="Times New Roman" w:hAnsi="Arial" w:cs="Calibri"/>
        </w:rPr>
      </w:pPr>
      <w:r w:rsidRPr="00CE56F4">
        <w:rPr>
          <w:rFonts w:ascii="Arial" w:eastAsia="Times New Roman" w:hAnsi="Arial" w:cs="Calibri"/>
        </w:rPr>
        <w:t xml:space="preserve">COVID Revenue sources should not be included, for example stimulus or business interruption insurance proceeds should not be included.  </w:t>
      </w:r>
    </w:p>
    <w:p w14:paraId="4A52C4EB" w14:textId="77777777" w:rsidR="00A00298" w:rsidRPr="00CE56F4" w:rsidRDefault="00A00298" w:rsidP="00CE56F4">
      <w:pPr>
        <w:numPr>
          <w:ilvl w:val="0"/>
          <w:numId w:val="12"/>
        </w:numPr>
        <w:spacing w:before="120"/>
        <w:rPr>
          <w:rFonts w:ascii="Arial" w:eastAsia="Times New Roman" w:hAnsi="Arial" w:cs="Calibri"/>
        </w:rPr>
      </w:pPr>
      <w:r w:rsidRPr="00CE56F4">
        <w:rPr>
          <w:rFonts w:ascii="Arial" w:eastAsia="Times New Roman" w:hAnsi="Arial" w:cs="Calibri"/>
        </w:rPr>
        <w:t xml:space="preserve">Medicaid rate reimbursement increases for COVID should not be included.  Only typical, long-term Medicaid rate increases may be included and considered.   </w:t>
      </w:r>
    </w:p>
    <w:p w14:paraId="6459450F" w14:textId="77777777" w:rsidR="00A00298" w:rsidRPr="00CE56F4" w:rsidRDefault="00A00298" w:rsidP="00CE56F4">
      <w:pPr>
        <w:numPr>
          <w:ilvl w:val="0"/>
          <w:numId w:val="12"/>
        </w:numPr>
        <w:spacing w:before="120"/>
        <w:rPr>
          <w:rFonts w:ascii="Arial" w:eastAsia="Times New Roman" w:hAnsi="Arial" w:cs="Calibri"/>
        </w:rPr>
      </w:pPr>
      <w:r w:rsidRPr="00CE56F4">
        <w:rPr>
          <w:rFonts w:ascii="Arial" w:eastAsia="Times New Roman" w:hAnsi="Arial" w:cs="Calibri"/>
          <w:bCs/>
        </w:rPr>
        <w:t>If you only have Actual Census Data, choose Estimated and input the actual census days.</w:t>
      </w:r>
      <w:r w:rsidRPr="00CE56F4">
        <w:rPr>
          <w:rFonts w:ascii="Arial" w:eastAsia="Times New Roman" w:hAnsi="Arial" w:cs="Calibri"/>
        </w:rPr>
        <w:t>  DO NOT ALTER THE EXPENSE FORMULAS.</w:t>
      </w:r>
    </w:p>
    <w:p w14:paraId="4FBB3A8C" w14:textId="77777777" w:rsidR="00A00298" w:rsidRPr="00CE56F4" w:rsidRDefault="00A00298" w:rsidP="00CE56F4">
      <w:pPr>
        <w:numPr>
          <w:ilvl w:val="0"/>
          <w:numId w:val="12"/>
        </w:numPr>
        <w:spacing w:before="120"/>
        <w:rPr>
          <w:rFonts w:ascii="Arial" w:eastAsia="Times New Roman" w:hAnsi="Arial" w:cs="Calibri"/>
        </w:rPr>
      </w:pPr>
      <w:r w:rsidRPr="00CE56F4">
        <w:rPr>
          <w:rFonts w:ascii="Arial" w:eastAsia="Times New Roman" w:hAnsi="Arial" w:cs="Calibri"/>
        </w:rPr>
        <w:t xml:space="preserve">Current Month:  </w:t>
      </w:r>
      <w:r w:rsidRPr="00CE56F4">
        <w:rPr>
          <w:rFonts w:ascii="Arial" w:eastAsia="Times New Roman" w:hAnsi="Arial" w:cs="Calibri"/>
          <w:bCs/>
        </w:rPr>
        <w:t>If it is after the 15th of the current month</w:t>
      </w:r>
      <w:r w:rsidRPr="00CE56F4">
        <w:rPr>
          <w:rFonts w:ascii="Arial" w:eastAsia="Times New Roman" w:hAnsi="Arial" w:cs="Calibri"/>
        </w:rPr>
        <w:t>, gather actual to-date monthly census data from the facility and extrapolate the data to estimate the full month census.  DO NOT ALTER EXPENSE FORMULAS.</w:t>
      </w:r>
    </w:p>
    <w:p w14:paraId="5CC1EE7D" w14:textId="36F3BEEA" w:rsidR="00A00298" w:rsidRPr="00CE56F4" w:rsidRDefault="00A00298" w:rsidP="00A00298">
      <w:pPr>
        <w:rPr>
          <w:rFonts w:ascii="Arial" w:hAnsi="Arial" w:cs="Calibri"/>
        </w:rPr>
      </w:pPr>
    </w:p>
    <w:p w14:paraId="16E72541" w14:textId="77777777" w:rsidR="00A00298" w:rsidRPr="00CE56F4" w:rsidRDefault="00A00298" w:rsidP="00A00298">
      <w:pPr>
        <w:ind w:left="720"/>
        <w:rPr>
          <w:rFonts w:ascii="Arial" w:hAnsi="Arial" w:cs="Calibri"/>
        </w:rPr>
      </w:pPr>
      <w:r w:rsidRPr="00CE56F4">
        <w:rPr>
          <w:rFonts w:ascii="Arial" w:hAnsi="Arial" w:cs="Calibri"/>
          <w:u w:val="single"/>
        </w:rPr>
        <w:t>Appraisal Column</w:t>
      </w:r>
      <w:r w:rsidRPr="00CE56F4">
        <w:rPr>
          <w:rFonts w:ascii="Arial" w:hAnsi="Arial" w:cs="Calibri"/>
        </w:rPr>
        <w:t>:  The income and census data for this column should reflect 1/12th (the average monthly) of the annual income, expenses (including reserves) and census from the appraisal.</w:t>
      </w:r>
    </w:p>
    <w:p w14:paraId="3C8CDB0C" w14:textId="3716FD3B" w:rsidR="00A00298" w:rsidRPr="00CE56F4" w:rsidRDefault="00A00298" w:rsidP="00A00298">
      <w:pPr>
        <w:rPr>
          <w:rFonts w:ascii="Arial" w:hAnsi="Arial" w:cs="Calibri"/>
        </w:rPr>
      </w:pPr>
    </w:p>
    <w:p w14:paraId="02BC2A30" w14:textId="08C940A6" w:rsidR="00A00298" w:rsidRPr="00CE56F4" w:rsidRDefault="00A00298" w:rsidP="00A00298">
      <w:pPr>
        <w:ind w:left="720"/>
        <w:rPr>
          <w:rFonts w:ascii="Arial" w:hAnsi="Arial" w:cs="Calibri"/>
        </w:rPr>
      </w:pPr>
      <w:r w:rsidRPr="00CE56F4">
        <w:rPr>
          <w:rFonts w:ascii="Arial" w:hAnsi="Arial" w:cs="Calibri"/>
          <w:u w:val="single"/>
        </w:rPr>
        <w:t>Lender (for DSCR) Column</w:t>
      </w:r>
      <w:r w:rsidRPr="00CE56F4">
        <w:rPr>
          <w:rFonts w:ascii="Arial" w:hAnsi="Arial" w:cs="Calibri"/>
        </w:rPr>
        <w:t>:  The income and census data for this column should reflect 1/12th (the average monthly) of the annual income, expenses (including reserves) and census used to determine the N</w:t>
      </w:r>
      <w:r w:rsidR="007A0A55">
        <w:rPr>
          <w:rFonts w:ascii="Arial" w:hAnsi="Arial" w:cs="Calibri"/>
        </w:rPr>
        <w:t xml:space="preserve">et </w:t>
      </w:r>
      <w:r w:rsidRPr="00CE56F4">
        <w:rPr>
          <w:rFonts w:ascii="Arial" w:hAnsi="Arial" w:cs="Calibri"/>
        </w:rPr>
        <w:t>O</w:t>
      </w:r>
      <w:r w:rsidR="007A0A55">
        <w:rPr>
          <w:rFonts w:ascii="Arial" w:hAnsi="Arial" w:cs="Calibri"/>
        </w:rPr>
        <w:t xml:space="preserve">perating </w:t>
      </w:r>
      <w:r w:rsidRPr="00CE56F4">
        <w:rPr>
          <w:rFonts w:ascii="Arial" w:hAnsi="Arial" w:cs="Calibri"/>
        </w:rPr>
        <w:t>I</w:t>
      </w:r>
      <w:r w:rsidR="007A0A55">
        <w:rPr>
          <w:rFonts w:ascii="Arial" w:hAnsi="Arial" w:cs="Calibri"/>
        </w:rPr>
        <w:t>ncome (</w:t>
      </w:r>
      <w:proofErr w:type="spellStart"/>
      <w:r w:rsidR="007A0A55">
        <w:rPr>
          <w:rFonts w:ascii="Arial" w:hAnsi="Arial" w:cs="Calibri"/>
        </w:rPr>
        <w:t>NOI</w:t>
      </w:r>
      <w:proofErr w:type="spellEnd"/>
      <w:r w:rsidR="007A0A55">
        <w:rPr>
          <w:rFonts w:ascii="Arial" w:hAnsi="Arial" w:cs="Calibri"/>
        </w:rPr>
        <w:t>)</w:t>
      </w:r>
      <w:r w:rsidRPr="00CE56F4">
        <w:rPr>
          <w:rFonts w:ascii="Arial" w:hAnsi="Arial" w:cs="Calibri"/>
        </w:rPr>
        <w:t xml:space="preserve"> used for the Lender's D</w:t>
      </w:r>
      <w:r w:rsidR="007A0A55">
        <w:rPr>
          <w:rFonts w:ascii="Arial" w:hAnsi="Arial" w:cs="Calibri"/>
        </w:rPr>
        <w:t xml:space="preserve">ebt </w:t>
      </w:r>
      <w:r w:rsidRPr="00CE56F4">
        <w:rPr>
          <w:rFonts w:ascii="Arial" w:hAnsi="Arial" w:cs="Calibri"/>
        </w:rPr>
        <w:t>S</w:t>
      </w:r>
      <w:r w:rsidR="007A0A55">
        <w:rPr>
          <w:rFonts w:ascii="Arial" w:hAnsi="Arial" w:cs="Calibri"/>
        </w:rPr>
        <w:t xml:space="preserve">ervice </w:t>
      </w:r>
      <w:r w:rsidRPr="00CE56F4">
        <w:rPr>
          <w:rFonts w:ascii="Arial" w:hAnsi="Arial" w:cs="Calibri"/>
        </w:rPr>
        <w:t>C</w:t>
      </w:r>
      <w:r w:rsidR="007A0A55">
        <w:rPr>
          <w:rFonts w:ascii="Arial" w:hAnsi="Arial" w:cs="Calibri"/>
        </w:rPr>
        <w:t xml:space="preserve">overage </w:t>
      </w:r>
      <w:r w:rsidRPr="00CE56F4">
        <w:rPr>
          <w:rFonts w:ascii="Arial" w:hAnsi="Arial" w:cs="Calibri"/>
        </w:rPr>
        <w:t>R</w:t>
      </w:r>
      <w:r w:rsidR="007A0A55">
        <w:rPr>
          <w:rFonts w:ascii="Arial" w:hAnsi="Arial" w:cs="Calibri"/>
        </w:rPr>
        <w:t>atio (DSCR)</w:t>
      </w:r>
      <w:r w:rsidRPr="00CE56F4">
        <w:rPr>
          <w:rFonts w:ascii="Arial" w:hAnsi="Arial" w:cs="Calibri"/>
        </w:rPr>
        <w:t xml:space="preserve"> underwriting.</w:t>
      </w:r>
    </w:p>
    <w:p w14:paraId="07AB2A37" w14:textId="208CF6F3" w:rsidR="00A00298" w:rsidRPr="00CE56F4" w:rsidRDefault="00A00298" w:rsidP="00A00298">
      <w:pPr>
        <w:rPr>
          <w:rFonts w:ascii="Arial" w:hAnsi="Arial" w:cs="Calibri"/>
        </w:rPr>
      </w:pPr>
    </w:p>
    <w:p w14:paraId="4C7F2AFE" w14:textId="5EBA387E" w:rsidR="00A00298" w:rsidRPr="00CE56F4" w:rsidRDefault="00A00298" w:rsidP="00CE56F4">
      <w:pPr>
        <w:ind w:left="720"/>
        <w:rPr>
          <w:rFonts w:ascii="Arial" w:hAnsi="Arial" w:cs="Calibri"/>
        </w:rPr>
      </w:pPr>
      <w:r w:rsidRPr="00CE56F4">
        <w:rPr>
          <w:rFonts w:ascii="Arial" w:hAnsi="Arial" w:cs="Calibri"/>
          <w:u w:val="single"/>
        </w:rPr>
        <w:t>Expenses</w:t>
      </w:r>
      <w:r w:rsidRPr="00CE56F4">
        <w:rPr>
          <w:rFonts w:ascii="Arial" w:hAnsi="Arial" w:cs="Calibri"/>
        </w:rPr>
        <w:t>:</w:t>
      </w:r>
    </w:p>
    <w:p w14:paraId="45A126C8" w14:textId="77777777" w:rsidR="00A00298" w:rsidRPr="00CE56F4" w:rsidRDefault="00A00298" w:rsidP="00CE56F4">
      <w:pPr>
        <w:numPr>
          <w:ilvl w:val="0"/>
          <w:numId w:val="13"/>
        </w:numPr>
        <w:spacing w:before="120"/>
        <w:ind w:left="1080"/>
        <w:rPr>
          <w:rFonts w:ascii="Arial" w:eastAsia="Times New Roman" w:hAnsi="Arial" w:cs="Calibri"/>
        </w:rPr>
      </w:pPr>
      <w:r w:rsidRPr="00CE56F4">
        <w:rPr>
          <w:rFonts w:ascii="Arial" w:eastAsia="Times New Roman" w:hAnsi="Arial" w:cs="Calibri"/>
        </w:rPr>
        <w:t>Input the monthly operating expenses, including replacement reserves, for the reported period.</w:t>
      </w:r>
    </w:p>
    <w:p w14:paraId="5259B360" w14:textId="77777777" w:rsidR="00A00298" w:rsidRPr="00CE56F4" w:rsidRDefault="00A00298" w:rsidP="00CE56F4">
      <w:pPr>
        <w:numPr>
          <w:ilvl w:val="0"/>
          <w:numId w:val="13"/>
        </w:numPr>
        <w:spacing w:before="120"/>
        <w:ind w:left="1080"/>
        <w:rPr>
          <w:rFonts w:ascii="Arial" w:eastAsia="Times New Roman" w:hAnsi="Arial" w:cs="Calibri"/>
          <w:bCs/>
        </w:rPr>
      </w:pPr>
      <w:r w:rsidRPr="00CE56F4">
        <w:rPr>
          <w:rFonts w:ascii="Arial" w:eastAsia="Times New Roman" w:hAnsi="Arial" w:cs="Calibri"/>
          <w:bCs/>
        </w:rPr>
        <w:t>For Actual months, the underwritten amount for replacement reserves should be included.</w:t>
      </w:r>
    </w:p>
    <w:p w14:paraId="56435938" w14:textId="77777777" w:rsidR="00A00298" w:rsidRPr="00CE56F4" w:rsidRDefault="00A00298" w:rsidP="00CE56F4">
      <w:pPr>
        <w:numPr>
          <w:ilvl w:val="0"/>
          <w:numId w:val="13"/>
        </w:numPr>
        <w:spacing w:before="120"/>
        <w:ind w:left="1080"/>
        <w:rPr>
          <w:rFonts w:ascii="Arial" w:eastAsia="Times New Roman" w:hAnsi="Arial" w:cs="Calibri"/>
        </w:rPr>
      </w:pPr>
      <w:r w:rsidRPr="00CE56F4">
        <w:rPr>
          <w:rFonts w:ascii="Arial" w:eastAsia="Times New Roman" w:hAnsi="Arial" w:cs="Calibri"/>
        </w:rPr>
        <w:t xml:space="preserve">For Estimated months, the template will default to the Lender's </w:t>
      </w:r>
      <w:r w:rsidRPr="00CE56F4">
        <w:rPr>
          <w:rFonts w:ascii="Arial" w:eastAsia="Times New Roman" w:hAnsi="Arial" w:cs="Arial"/>
          <w:szCs w:val="24"/>
        </w:rPr>
        <w:t>assumption</w:t>
      </w:r>
      <w:r w:rsidRPr="00CE56F4">
        <w:rPr>
          <w:rFonts w:ascii="Arial" w:eastAsia="Times New Roman" w:hAnsi="Arial" w:cs="Calibri"/>
        </w:rPr>
        <w:t xml:space="preserve"> for DSCR.</w:t>
      </w:r>
    </w:p>
    <w:p w14:paraId="70C29008" w14:textId="77777777" w:rsidR="00A00298" w:rsidRPr="00CE56F4" w:rsidRDefault="00A00298" w:rsidP="00CE56F4">
      <w:pPr>
        <w:numPr>
          <w:ilvl w:val="0"/>
          <w:numId w:val="13"/>
        </w:numPr>
        <w:spacing w:before="120"/>
        <w:ind w:left="1080"/>
        <w:rPr>
          <w:rFonts w:ascii="Arial" w:eastAsia="Times New Roman" w:hAnsi="Arial" w:cs="Calibri"/>
        </w:rPr>
      </w:pPr>
      <w:r w:rsidRPr="00CE56F4">
        <w:rPr>
          <w:rFonts w:ascii="Arial" w:eastAsia="Times New Roman" w:hAnsi="Arial" w:cs="Calibri"/>
        </w:rPr>
        <w:t>One-time COVID expenses may be removed, but ongoing, recurring expenses must be included.</w:t>
      </w:r>
    </w:p>
    <w:p w14:paraId="0AA7EFB2" w14:textId="0BBE7AB4" w:rsidR="00DC0C97" w:rsidRPr="00CE56F4" w:rsidRDefault="00DC0C97" w:rsidP="00DC0C97">
      <w:pPr>
        <w:autoSpaceDE w:val="0"/>
        <w:autoSpaceDN w:val="0"/>
        <w:rPr>
          <w:rFonts w:ascii="Arial" w:hAnsi="Arial" w:cs="Arial"/>
          <w:szCs w:val="24"/>
        </w:rPr>
      </w:pPr>
    </w:p>
    <w:p w14:paraId="67A323ED" w14:textId="74E09D23" w:rsidR="00DC0C97" w:rsidRPr="00382AE7" w:rsidRDefault="00DC0C97" w:rsidP="00DC0C97">
      <w:pPr>
        <w:rPr>
          <w:rFonts w:ascii="Arial" w:eastAsia="MS Mincho" w:hAnsi="Arial" w:cs="Arial"/>
          <w:i/>
          <w:iCs/>
          <w:szCs w:val="24"/>
        </w:rPr>
      </w:pPr>
      <w:r w:rsidRPr="00382AE7">
        <w:rPr>
          <w:rFonts w:ascii="Arial" w:eastAsia="MS Mincho" w:hAnsi="Arial" w:cs="Arial"/>
          <w:b/>
          <w:bCs/>
          <w:i/>
          <w:iCs/>
          <w:szCs w:val="24"/>
        </w:rPr>
        <w:lastRenderedPageBreak/>
        <w:t>Keywords:</w:t>
      </w:r>
      <w:r w:rsidRPr="00382AE7">
        <w:rPr>
          <w:rFonts w:ascii="Arial" w:eastAsia="MS Mincho" w:hAnsi="Arial" w:cs="Arial"/>
          <w:b/>
          <w:bCs/>
          <w:i/>
          <w:iCs/>
          <w:szCs w:val="24"/>
        </w:rPr>
        <w:tab/>
      </w:r>
      <w:bookmarkStart w:id="7" w:name="_Hlk75954600"/>
      <w:r w:rsidR="00187D60" w:rsidRPr="00382AE7">
        <w:rPr>
          <w:rFonts w:ascii="Arial" w:eastAsia="MS Mincho" w:hAnsi="Arial" w:cs="Arial"/>
          <w:i/>
          <w:iCs/>
          <w:szCs w:val="24"/>
        </w:rPr>
        <w:t>Cashflow Stress Test</w:t>
      </w:r>
    </w:p>
    <w:bookmarkEnd w:id="7"/>
    <w:p w14:paraId="52A1A2AE" w14:textId="77777777" w:rsidR="00622C81" w:rsidRPr="00590B68" w:rsidRDefault="00622C81" w:rsidP="00DC0C97">
      <w:pPr>
        <w:rPr>
          <w:rFonts w:ascii="Arial" w:eastAsia="MS Mincho" w:hAnsi="Arial" w:cs="Arial"/>
          <w:b/>
          <w:szCs w:val="24"/>
        </w:rPr>
      </w:pPr>
    </w:p>
    <w:p w14:paraId="4C7B589D" w14:textId="77777777" w:rsidR="00B7164F" w:rsidRPr="00590B68" w:rsidRDefault="00115F9E" w:rsidP="00B7164F">
      <w:pPr>
        <w:rPr>
          <w:rFonts w:ascii="Arial" w:hAnsi="Arial" w:cs="Arial"/>
          <w:b/>
          <w:color w:val="365F91" w:themeColor="accent1" w:themeShade="BF"/>
          <w:szCs w:val="24"/>
        </w:rPr>
      </w:pPr>
      <w:hyperlink w:anchor="_top" w:history="1">
        <w:r w:rsidR="00B7164F" w:rsidRPr="00590B68">
          <w:rPr>
            <w:rFonts w:ascii="Arial" w:hAnsi="Arial" w:cs="Arial"/>
            <w:color w:val="365F91" w:themeColor="accent1" w:themeShade="BF"/>
            <w:szCs w:val="24"/>
            <w:u w:val="single"/>
          </w:rPr>
          <w:t>Back to top</w:t>
        </w:r>
      </w:hyperlink>
    </w:p>
    <w:p w14:paraId="1506E528" w14:textId="3682B230" w:rsidR="00DC0C97" w:rsidRPr="00590B68" w:rsidRDefault="00DC0C97" w:rsidP="00DC0C97">
      <w:pPr>
        <w:rPr>
          <w:rFonts w:ascii="Arial" w:hAnsi="Arial" w:cs="Arial"/>
        </w:rPr>
      </w:pPr>
    </w:p>
    <w:p w14:paraId="1FA1E180" w14:textId="15B22A7F" w:rsidR="00590B68" w:rsidRPr="00590B68" w:rsidRDefault="00590B68" w:rsidP="00CE56F4">
      <w:pPr>
        <w:pStyle w:val="EmailBlast"/>
      </w:pPr>
      <w:bookmarkStart w:id="8" w:name="_Toc75955777"/>
      <w:bookmarkStart w:id="9" w:name="_Hlk57621821"/>
      <w:r w:rsidRPr="00590B68">
        <w:t>Quality of Care/Survey Issues</w:t>
      </w:r>
      <w:bookmarkEnd w:id="8"/>
    </w:p>
    <w:p w14:paraId="20549FBA" w14:textId="06A7E5BD" w:rsidR="00590B68" w:rsidRPr="00590B68" w:rsidRDefault="007A0A55" w:rsidP="00590B68">
      <w:pPr>
        <w:rPr>
          <w:rFonts w:ascii="Arial" w:hAnsi="Arial" w:cs="Arial"/>
        </w:rPr>
      </w:pPr>
      <w:r>
        <w:rPr>
          <w:rFonts w:ascii="Arial" w:hAnsi="Arial" w:cs="Arial"/>
        </w:rPr>
        <w:t>A</w:t>
      </w:r>
      <w:r w:rsidR="00590B68" w:rsidRPr="00590B68">
        <w:rPr>
          <w:rFonts w:ascii="Arial" w:hAnsi="Arial" w:cs="Arial"/>
        </w:rPr>
        <w:t xml:space="preserve"> successful performance record i</w:t>
      </w:r>
      <w:r>
        <w:rPr>
          <w:rFonts w:ascii="Arial" w:hAnsi="Arial" w:cs="Arial"/>
        </w:rPr>
        <w:t>nclude</w:t>
      </w:r>
      <w:r w:rsidR="00590B68" w:rsidRPr="00590B68">
        <w:rPr>
          <w:rFonts w:ascii="Arial" w:hAnsi="Arial" w:cs="Arial"/>
        </w:rPr>
        <w:t xml:space="preserve">s a history of providing quality of care.  Lenders are reminded that they must present evidence that owners and operators have the </w:t>
      </w:r>
      <w:r w:rsidR="00590B68" w:rsidRPr="00590B68">
        <w:rPr>
          <w:rFonts w:ascii="Arial" w:hAnsi="Arial" w:cs="Arial"/>
          <w:i/>
          <w:iCs/>
        </w:rPr>
        <w:t>demonstrated ability</w:t>
      </w:r>
      <w:r w:rsidR="00590B68" w:rsidRPr="00590B68">
        <w:rPr>
          <w:rFonts w:ascii="Arial" w:hAnsi="Arial" w:cs="Arial"/>
        </w:rPr>
        <w:t xml:space="preserve"> to provide strong quality of care to the facility’s residents.  Quality of care is addressed in the Section 232 Handbook, Section II, Production, Chapter 8, Section 8.8 (</w:t>
      </w:r>
      <w:hyperlink r:id="rId13" w:history="1">
        <w:r w:rsidR="00590B68" w:rsidRPr="00590B68">
          <w:rPr>
            <w:rStyle w:val="Hyperlink"/>
            <w:rFonts w:ascii="Arial" w:hAnsi="Arial" w:cs="Arial"/>
          </w:rPr>
          <w:t>here</w:t>
        </w:r>
      </w:hyperlink>
      <w:r w:rsidR="00590B68" w:rsidRPr="00590B68">
        <w:rPr>
          <w:rFonts w:ascii="Arial" w:hAnsi="Arial" w:cs="Arial"/>
        </w:rPr>
        <w:t>), in the underwriting Lender Narratives and in various Email Blasts including our February 26, 2020 (</w:t>
      </w:r>
      <w:hyperlink r:id="rId14" w:history="1">
        <w:r w:rsidR="00590B68" w:rsidRPr="00590B68">
          <w:rPr>
            <w:rStyle w:val="Hyperlink"/>
            <w:rFonts w:ascii="Arial" w:hAnsi="Arial" w:cs="Arial"/>
          </w:rPr>
          <w:t>here</w:t>
        </w:r>
      </w:hyperlink>
      <w:r w:rsidR="00590B68" w:rsidRPr="00590B68">
        <w:rPr>
          <w:rFonts w:ascii="Arial" w:hAnsi="Arial" w:cs="Arial"/>
        </w:rPr>
        <w:t>) and December 18, 2019 (</w:t>
      </w:r>
      <w:hyperlink r:id="rId15" w:history="1">
        <w:r w:rsidR="00590B68" w:rsidRPr="001B01E2">
          <w:rPr>
            <w:rStyle w:val="Hyperlink"/>
            <w:rFonts w:ascii="Arial" w:hAnsi="Arial" w:cs="Arial"/>
          </w:rPr>
          <w:t>here</w:t>
        </w:r>
      </w:hyperlink>
      <w:r w:rsidR="00590B68" w:rsidRPr="00590B68">
        <w:rPr>
          <w:rFonts w:ascii="Arial" w:hAnsi="Arial" w:cs="Arial"/>
        </w:rPr>
        <w:t xml:space="preserve">) Blasts.  </w:t>
      </w:r>
    </w:p>
    <w:p w14:paraId="69806D32" w14:textId="1887941A" w:rsidR="00590B68" w:rsidRPr="00590B68" w:rsidRDefault="00590B68" w:rsidP="00590B68">
      <w:pPr>
        <w:rPr>
          <w:rFonts w:ascii="Arial" w:hAnsi="Arial" w:cs="Arial"/>
        </w:rPr>
      </w:pPr>
    </w:p>
    <w:p w14:paraId="7EEA1411" w14:textId="03F71EC3" w:rsidR="00590B68" w:rsidRPr="00590B68" w:rsidRDefault="00590B68" w:rsidP="00590B68">
      <w:pPr>
        <w:rPr>
          <w:rFonts w:ascii="Arial" w:hAnsi="Arial" w:cs="Arial"/>
        </w:rPr>
      </w:pPr>
      <w:r w:rsidRPr="00590B68">
        <w:rPr>
          <w:rFonts w:ascii="Arial" w:hAnsi="Arial" w:cs="Arial"/>
        </w:rPr>
        <w:t>As outlined in the underwriting Lender Narratives, when data suggest either recent quality-of-care concerns or a pattern</w:t>
      </w:r>
      <w:r w:rsidRPr="00590B68">
        <w:rPr>
          <w:rFonts w:ascii="Arial" w:hAnsi="Arial" w:cs="Arial"/>
          <w:i/>
          <w:iCs/>
        </w:rPr>
        <w:t xml:space="preserve"> </w:t>
      </w:r>
      <w:r w:rsidRPr="00590B68">
        <w:rPr>
          <w:rFonts w:ascii="Arial" w:hAnsi="Arial" w:cs="Arial"/>
        </w:rPr>
        <w:t xml:space="preserve">of such concerns, the Lender must provide a detailed explanation of the analysis supporting their </w:t>
      </w:r>
      <w:r w:rsidR="007A0A55">
        <w:rPr>
          <w:rFonts w:ascii="Arial" w:hAnsi="Arial" w:cs="Arial"/>
        </w:rPr>
        <w:t xml:space="preserve">quality-of-care </w:t>
      </w:r>
      <w:r w:rsidRPr="00590B68">
        <w:rPr>
          <w:rFonts w:ascii="Arial" w:hAnsi="Arial" w:cs="Arial"/>
        </w:rPr>
        <w:t xml:space="preserve">recommendation.  Examples of quality-of-care indicators that </w:t>
      </w:r>
      <w:proofErr w:type="spellStart"/>
      <w:r w:rsidRPr="00590B68">
        <w:rPr>
          <w:rFonts w:ascii="Arial" w:hAnsi="Arial" w:cs="Arial"/>
        </w:rPr>
        <w:t>ORCF</w:t>
      </w:r>
      <w:proofErr w:type="spellEnd"/>
      <w:r w:rsidRPr="00590B68">
        <w:rPr>
          <w:rFonts w:ascii="Arial" w:hAnsi="Arial" w:cs="Arial"/>
        </w:rPr>
        <w:t xml:space="preserve"> has found concerning include:</w:t>
      </w:r>
      <w:r w:rsidRPr="00590B68">
        <w:rPr>
          <w:rFonts w:ascii="Arial" w:hAnsi="Arial" w:cs="Arial"/>
        </w:rPr>
        <w:br/>
      </w:r>
    </w:p>
    <w:p w14:paraId="7510C882" w14:textId="77777777" w:rsidR="00590B68" w:rsidRPr="00590B68" w:rsidRDefault="00590B68" w:rsidP="00A64AB0">
      <w:pPr>
        <w:numPr>
          <w:ilvl w:val="0"/>
          <w:numId w:val="5"/>
        </w:numPr>
        <w:spacing w:before="120"/>
        <w:rPr>
          <w:rFonts w:ascii="Arial" w:hAnsi="Arial" w:cs="Arial"/>
        </w:rPr>
      </w:pPr>
      <w:r w:rsidRPr="00590B68">
        <w:rPr>
          <w:rFonts w:ascii="Arial" w:hAnsi="Arial" w:cs="Arial"/>
        </w:rPr>
        <w:t>1 Star or 2 Star CMS rating for overall or health inspections,</w:t>
      </w:r>
    </w:p>
    <w:p w14:paraId="1FE918A4" w14:textId="77777777" w:rsidR="00590B68" w:rsidRPr="00590B68" w:rsidRDefault="00590B68" w:rsidP="00A64AB0">
      <w:pPr>
        <w:numPr>
          <w:ilvl w:val="0"/>
          <w:numId w:val="5"/>
        </w:numPr>
        <w:spacing w:before="120"/>
        <w:rPr>
          <w:rFonts w:ascii="Arial" w:hAnsi="Arial" w:cs="Arial"/>
        </w:rPr>
      </w:pPr>
      <w:r w:rsidRPr="00590B68">
        <w:rPr>
          <w:rFonts w:ascii="Arial" w:hAnsi="Arial" w:cs="Arial"/>
        </w:rPr>
        <w:t xml:space="preserve">“G” or Higher survey tags in the past 2 years, </w:t>
      </w:r>
    </w:p>
    <w:p w14:paraId="4C631755" w14:textId="77777777" w:rsidR="00590B68" w:rsidRPr="00590B68" w:rsidRDefault="00590B68" w:rsidP="00A64AB0">
      <w:pPr>
        <w:numPr>
          <w:ilvl w:val="0"/>
          <w:numId w:val="5"/>
        </w:numPr>
        <w:spacing w:before="120"/>
        <w:rPr>
          <w:rFonts w:ascii="Arial" w:hAnsi="Arial" w:cs="Arial"/>
        </w:rPr>
      </w:pPr>
      <w:r w:rsidRPr="00590B68">
        <w:rPr>
          <w:rFonts w:ascii="Arial" w:hAnsi="Arial" w:cs="Arial"/>
        </w:rPr>
        <w:t>Instances of abuse or neglect in the past 2 years, or</w:t>
      </w:r>
    </w:p>
    <w:p w14:paraId="1082E3DC" w14:textId="77777777" w:rsidR="00590B68" w:rsidRPr="00590B68" w:rsidRDefault="00590B68" w:rsidP="00A64AB0">
      <w:pPr>
        <w:numPr>
          <w:ilvl w:val="0"/>
          <w:numId w:val="5"/>
        </w:numPr>
        <w:spacing w:before="120"/>
        <w:rPr>
          <w:rFonts w:ascii="Arial" w:hAnsi="Arial" w:cs="Arial"/>
        </w:rPr>
      </w:pPr>
      <w:r w:rsidRPr="00590B68">
        <w:rPr>
          <w:rFonts w:ascii="Arial" w:hAnsi="Arial" w:cs="Arial"/>
        </w:rPr>
        <w:t>Other care related issues.</w:t>
      </w:r>
    </w:p>
    <w:p w14:paraId="086C2972" w14:textId="77777777" w:rsidR="00590B68" w:rsidRPr="00590B68" w:rsidRDefault="00590B68" w:rsidP="00590B68">
      <w:pPr>
        <w:rPr>
          <w:rFonts w:ascii="Arial" w:hAnsi="Arial" w:cs="Arial"/>
        </w:rPr>
      </w:pPr>
      <w:r w:rsidRPr="00590B68">
        <w:rPr>
          <w:rFonts w:ascii="Arial" w:hAnsi="Arial" w:cs="Arial"/>
        </w:rPr>
        <w:tab/>
      </w:r>
    </w:p>
    <w:p w14:paraId="387EA892" w14:textId="77777777" w:rsidR="00590B68" w:rsidRPr="00A64AB0" w:rsidRDefault="00590B68" w:rsidP="00590B68">
      <w:pPr>
        <w:rPr>
          <w:rFonts w:ascii="Arial" w:hAnsi="Arial" w:cs="Arial"/>
        </w:rPr>
      </w:pPr>
      <w:r w:rsidRPr="00590B68">
        <w:rPr>
          <w:rFonts w:ascii="Arial" w:hAnsi="Arial" w:cs="Arial"/>
        </w:rPr>
        <w:t xml:space="preserve">When an application has presented such concerns, </w:t>
      </w:r>
      <w:proofErr w:type="spellStart"/>
      <w:r w:rsidRPr="00590B68">
        <w:rPr>
          <w:rFonts w:ascii="Arial" w:hAnsi="Arial" w:cs="Arial"/>
        </w:rPr>
        <w:t>ORCF</w:t>
      </w:r>
      <w:proofErr w:type="spellEnd"/>
      <w:r w:rsidRPr="00590B68">
        <w:rPr>
          <w:rFonts w:ascii="Arial" w:hAnsi="Arial" w:cs="Arial"/>
        </w:rPr>
        <w:t xml:space="preserve"> has looked to the lender’s analysis of how the matters have been well addressed.  Such analyses have included (and should at a minimum include) identifying:</w:t>
      </w:r>
      <w:r w:rsidRPr="00590B68">
        <w:rPr>
          <w:rFonts w:ascii="Arial" w:hAnsi="Arial" w:cs="Arial"/>
        </w:rPr>
        <w:br/>
      </w:r>
    </w:p>
    <w:p w14:paraId="6E15BEAE" w14:textId="77777777" w:rsidR="00590B68" w:rsidRPr="00A64AB0" w:rsidRDefault="00590B68" w:rsidP="00A64AB0">
      <w:pPr>
        <w:pStyle w:val="ListParagraph"/>
        <w:numPr>
          <w:ilvl w:val="0"/>
          <w:numId w:val="17"/>
        </w:numPr>
        <w:spacing w:before="120"/>
        <w:ind w:left="1080"/>
        <w:rPr>
          <w:rFonts w:ascii="Arial" w:hAnsi="Arial" w:cs="Arial"/>
        </w:rPr>
      </w:pPr>
      <w:r w:rsidRPr="00A64AB0">
        <w:rPr>
          <w:rFonts w:ascii="Arial" w:hAnsi="Arial" w:cs="Arial"/>
        </w:rPr>
        <w:t>Specific, remedial steps the operator has taken to improve the overall quality of care, addressing the specific survey tags and quality of care in general.</w:t>
      </w:r>
    </w:p>
    <w:p w14:paraId="53410AA7" w14:textId="221124FA" w:rsidR="00590B68" w:rsidRPr="00A64AB0" w:rsidRDefault="00590B68" w:rsidP="00A64AB0">
      <w:pPr>
        <w:pStyle w:val="ListParagraph"/>
        <w:numPr>
          <w:ilvl w:val="0"/>
          <w:numId w:val="17"/>
        </w:numPr>
        <w:spacing w:before="120"/>
        <w:ind w:left="1080"/>
        <w:rPr>
          <w:rFonts w:ascii="Arial" w:hAnsi="Arial" w:cs="Arial"/>
        </w:rPr>
      </w:pPr>
      <w:r w:rsidRPr="00A64AB0">
        <w:rPr>
          <w:rFonts w:ascii="Arial" w:hAnsi="Arial" w:cs="Arial"/>
        </w:rPr>
        <w:t>Evidence that these steps have led to improved care and survey results.</w:t>
      </w:r>
    </w:p>
    <w:p w14:paraId="014282D0" w14:textId="069D4D66" w:rsidR="00590B68" w:rsidRPr="00A64AB0" w:rsidRDefault="00590B68" w:rsidP="00A64AB0">
      <w:pPr>
        <w:numPr>
          <w:ilvl w:val="0"/>
          <w:numId w:val="17"/>
        </w:numPr>
        <w:spacing w:before="120"/>
        <w:ind w:left="1080"/>
        <w:rPr>
          <w:rFonts w:ascii="Arial" w:hAnsi="Arial" w:cs="Arial"/>
        </w:rPr>
      </w:pPr>
      <w:r w:rsidRPr="00A64AB0">
        <w:rPr>
          <w:rFonts w:ascii="Arial" w:hAnsi="Arial" w:cs="Arial"/>
        </w:rPr>
        <w:t xml:space="preserve">Explanation for survey and Star ratings issues at other owned or operated facilities, </w:t>
      </w:r>
      <w:r w:rsidR="007A0A55">
        <w:rPr>
          <w:rFonts w:ascii="Arial" w:hAnsi="Arial" w:cs="Arial"/>
        </w:rPr>
        <w:t xml:space="preserve">and </w:t>
      </w:r>
      <w:r w:rsidRPr="00A64AB0">
        <w:rPr>
          <w:rFonts w:ascii="Arial" w:hAnsi="Arial" w:cs="Arial"/>
        </w:rPr>
        <w:t xml:space="preserve">Star Ratings including detailed information on any Denials of Payment or Civil Money Penalties </w:t>
      </w:r>
      <w:r w:rsidRPr="00A64AB0">
        <w:rPr>
          <w:rFonts w:ascii="Arial" w:hAnsi="Arial" w:cs="Arial"/>
        </w:rPr>
        <w:br/>
      </w:r>
    </w:p>
    <w:p w14:paraId="6FA10661" w14:textId="03F674B0" w:rsidR="00590B68" w:rsidRPr="00590B68" w:rsidRDefault="00590B68" w:rsidP="00590B68">
      <w:pPr>
        <w:rPr>
          <w:rFonts w:ascii="Arial" w:hAnsi="Arial" w:cs="Arial"/>
        </w:rPr>
      </w:pPr>
      <w:r w:rsidRPr="00A64AB0">
        <w:rPr>
          <w:rFonts w:ascii="Arial" w:hAnsi="Arial" w:cs="Arial"/>
        </w:rPr>
        <w:t xml:space="preserve">Additionally, it </w:t>
      </w:r>
      <w:r w:rsidRPr="00590B68">
        <w:rPr>
          <w:rFonts w:ascii="Arial" w:hAnsi="Arial" w:cs="Arial"/>
        </w:rPr>
        <w:t xml:space="preserve">has become common practice for lenders to propose a one-time third-party on-site risk assessment when quality-of-care concerns such as those above exist.  </w:t>
      </w:r>
      <w:proofErr w:type="spellStart"/>
      <w:r w:rsidRPr="00590B68">
        <w:rPr>
          <w:rFonts w:ascii="Arial" w:hAnsi="Arial" w:cs="Arial"/>
        </w:rPr>
        <w:t>ORCF</w:t>
      </w:r>
      <w:proofErr w:type="spellEnd"/>
      <w:r w:rsidRPr="00590B68">
        <w:rPr>
          <w:rFonts w:ascii="Arial" w:hAnsi="Arial" w:cs="Arial"/>
        </w:rPr>
        <w:t xml:space="preserve"> has found the practice useful</w:t>
      </w:r>
      <w:r w:rsidR="000D71CC">
        <w:rPr>
          <w:rFonts w:ascii="Arial" w:hAnsi="Arial" w:cs="Arial"/>
        </w:rPr>
        <w:t>.</w:t>
      </w:r>
      <w:r w:rsidRPr="00590B68">
        <w:rPr>
          <w:rFonts w:ascii="Arial" w:hAnsi="Arial" w:cs="Arial"/>
        </w:rPr>
        <w:t xml:space="preserve">  </w:t>
      </w:r>
      <w:proofErr w:type="spellStart"/>
      <w:r w:rsidR="007A0A55">
        <w:rPr>
          <w:rFonts w:ascii="Arial" w:hAnsi="Arial" w:cs="Arial"/>
        </w:rPr>
        <w:t>ORCF</w:t>
      </w:r>
      <w:proofErr w:type="spellEnd"/>
      <w:r w:rsidR="007A0A55">
        <w:rPr>
          <w:rFonts w:ascii="Arial" w:hAnsi="Arial" w:cs="Arial"/>
        </w:rPr>
        <w:t xml:space="preserve"> encourages </w:t>
      </w:r>
      <w:r w:rsidRPr="00590B68">
        <w:rPr>
          <w:rFonts w:ascii="Arial" w:hAnsi="Arial" w:cs="Arial"/>
        </w:rPr>
        <w:t xml:space="preserve">Lenders to obtain such an assessment </w:t>
      </w:r>
      <w:r w:rsidRPr="00590B68">
        <w:rPr>
          <w:rFonts w:ascii="Arial" w:hAnsi="Arial" w:cs="Arial"/>
          <w:i/>
          <w:iCs/>
        </w:rPr>
        <w:t>pre-submission</w:t>
      </w:r>
      <w:r w:rsidRPr="00590B68">
        <w:rPr>
          <w:rFonts w:ascii="Arial" w:hAnsi="Arial" w:cs="Arial"/>
        </w:rPr>
        <w:t xml:space="preserve"> when quality-of-care concerns exist; such assessment can inform the lender’s analysis and position </w:t>
      </w:r>
      <w:proofErr w:type="spellStart"/>
      <w:r w:rsidRPr="00590B68">
        <w:rPr>
          <w:rFonts w:ascii="Arial" w:hAnsi="Arial" w:cs="Arial"/>
        </w:rPr>
        <w:t>ORCF</w:t>
      </w:r>
      <w:proofErr w:type="spellEnd"/>
      <w:r w:rsidRPr="00590B68">
        <w:rPr>
          <w:rFonts w:ascii="Arial" w:hAnsi="Arial" w:cs="Arial"/>
        </w:rPr>
        <w:t xml:space="preserve"> to reach a decision more promptly. A one-time risk assessment would be expected to include:</w:t>
      </w:r>
    </w:p>
    <w:p w14:paraId="0F7EA683" w14:textId="77777777" w:rsidR="00590B68" w:rsidRPr="00590B68" w:rsidRDefault="00590B68" w:rsidP="00590B68">
      <w:pPr>
        <w:rPr>
          <w:rFonts w:ascii="Arial" w:hAnsi="Arial" w:cs="Arial"/>
        </w:rPr>
      </w:pPr>
    </w:p>
    <w:p w14:paraId="08C6A491" w14:textId="77777777" w:rsidR="00590B68" w:rsidRPr="00590B68" w:rsidRDefault="00590B68" w:rsidP="00A64AB0">
      <w:pPr>
        <w:numPr>
          <w:ilvl w:val="0"/>
          <w:numId w:val="7"/>
        </w:numPr>
        <w:spacing w:before="120"/>
        <w:rPr>
          <w:rFonts w:ascii="Arial" w:hAnsi="Arial" w:cs="Arial"/>
        </w:rPr>
      </w:pPr>
      <w:r w:rsidRPr="00590B68">
        <w:rPr>
          <w:rFonts w:ascii="Arial" w:hAnsi="Arial" w:cs="Arial"/>
        </w:rPr>
        <w:t>Review of both operational and clinical processes</w:t>
      </w:r>
    </w:p>
    <w:p w14:paraId="47A41243" w14:textId="77777777" w:rsidR="00590B68" w:rsidRPr="00590B68" w:rsidRDefault="00590B68" w:rsidP="00A64AB0">
      <w:pPr>
        <w:numPr>
          <w:ilvl w:val="0"/>
          <w:numId w:val="7"/>
        </w:numPr>
        <w:spacing w:before="120"/>
        <w:rPr>
          <w:rFonts w:ascii="Arial" w:hAnsi="Arial" w:cs="Arial"/>
        </w:rPr>
      </w:pPr>
      <w:r w:rsidRPr="00590B68">
        <w:rPr>
          <w:rFonts w:ascii="Arial" w:hAnsi="Arial" w:cs="Arial"/>
        </w:rPr>
        <w:lastRenderedPageBreak/>
        <w:t>Review of the environment for liability risk exposures</w:t>
      </w:r>
    </w:p>
    <w:p w14:paraId="7C5D6808" w14:textId="77777777" w:rsidR="00590B68" w:rsidRPr="00590B68" w:rsidRDefault="00590B68" w:rsidP="00A64AB0">
      <w:pPr>
        <w:numPr>
          <w:ilvl w:val="0"/>
          <w:numId w:val="7"/>
        </w:numPr>
        <w:spacing w:before="120"/>
        <w:rPr>
          <w:rFonts w:ascii="Arial" w:hAnsi="Arial" w:cs="Arial"/>
        </w:rPr>
      </w:pPr>
      <w:r w:rsidRPr="00590B68">
        <w:rPr>
          <w:rFonts w:ascii="Arial" w:hAnsi="Arial" w:cs="Arial"/>
        </w:rPr>
        <w:t>Identification of operational and clinical opportunities</w:t>
      </w:r>
    </w:p>
    <w:p w14:paraId="266CF6FD" w14:textId="77777777" w:rsidR="00590B68" w:rsidRPr="00590B68" w:rsidRDefault="00590B68" w:rsidP="00A64AB0">
      <w:pPr>
        <w:numPr>
          <w:ilvl w:val="0"/>
          <w:numId w:val="7"/>
        </w:numPr>
        <w:spacing w:before="120"/>
        <w:rPr>
          <w:rFonts w:ascii="Arial" w:hAnsi="Arial" w:cs="Arial"/>
        </w:rPr>
      </w:pPr>
      <w:r w:rsidRPr="00590B68">
        <w:rPr>
          <w:rFonts w:ascii="Arial" w:hAnsi="Arial" w:cs="Arial"/>
        </w:rPr>
        <w:t>Recommendations for improvement of operational and clinical processes</w:t>
      </w:r>
    </w:p>
    <w:p w14:paraId="3D4C19F5" w14:textId="77777777" w:rsidR="00590B68" w:rsidRPr="00590B68" w:rsidRDefault="00590B68" w:rsidP="00A64AB0">
      <w:pPr>
        <w:numPr>
          <w:ilvl w:val="0"/>
          <w:numId w:val="7"/>
        </w:numPr>
        <w:spacing w:before="120"/>
        <w:rPr>
          <w:rFonts w:ascii="Arial" w:hAnsi="Arial" w:cs="Arial"/>
        </w:rPr>
      </w:pPr>
      <w:r w:rsidRPr="00590B68">
        <w:rPr>
          <w:rFonts w:ascii="Arial" w:hAnsi="Arial" w:cs="Arial"/>
        </w:rPr>
        <w:t>Development of a strategy to implement the recommendations</w:t>
      </w:r>
    </w:p>
    <w:p w14:paraId="4D2AC7FF" w14:textId="77777777" w:rsidR="00590B68" w:rsidRPr="00590B68" w:rsidRDefault="00590B68" w:rsidP="00590B68">
      <w:pPr>
        <w:rPr>
          <w:rFonts w:ascii="Arial" w:hAnsi="Arial" w:cs="Arial"/>
        </w:rPr>
      </w:pPr>
    </w:p>
    <w:p w14:paraId="7D474F42" w14:textId="77777777" w:rsidR="00590B68" w:rsidRPr="00590B68" w:rsidRDefault="00590B68" w:rsidP="00590B68">
      <w:pPr>
        <w:rPr>
          <w:rFonts w:ascii="Arial" w:hAnsi="Arial" w:cs="Arial"/>
        </w:rPr>
      </w:pPr>
      <w:r w:rsidRPr="00590B68">
        <w:rPr>
          <w:rFonts w:ascii="Arial" w:hAnsi="Arial" w:cs="Arial"/>
        </w:rPr>
        <w:t>The recommendations in the one-time risk assessment should be used to strengthen the required risk management program described in the Lender Narrative.  Additionally, in summarizing the assessment and its recommendations, the lender should explain which, if any, recommendations have not been followed and why.</w:t>
      </w:r>
    </w:p>
    <w:p w14:paraId="33B89E13" w14:textId="77777777" w:rsidR="00590B68" w:rsidRPr="00590B68" w:rsidRDefault="00590B68" w:rsidP="00590B68">
      <w:pPr>
        <w:rPr>
          <w:rFonts w:ascii="Arial" w:hAnsi="Arial" w:cs="Arial"/>
        </w:rPr>
      </w:pPr>
    </w:p>
    <w:p w14:paraId="6A707CDA" w14:textId="22E26D09" w:rsidR="00590B68" w:rsidRPr="00590B68" w:rsidRDefault="00590B68" w:rsidP="00943883">
      <w:pPr>
        <w:rPr>
          <w:rFonts w:ascii="Arial" w:hAnsi="Arial" w:cs="Arial"/>
        </w:rPr>
      </w:pPr>
      <w:r w:rsidRPr="00590B68">
        <w:rPr>
          <w:rFonts w:ascii="Arial" w:hAnsi="Arial" w:cs="Arial"/>
        </w:rPr>
        <w:t xml:space="preserve">Lenders have sometimes addressed quality-of-care concerns not only by establishing how processes have recently improved but also by using a “Quality-of-Care Escrow Agreement” (comprised of non-mortgageable funds).  Such an escrow can be a helpful mitigant; it involves the borrower’s own </w:t>
      </w:r>
      <w:proofErr w:type="gramStart"/>
      <w:r w:rsidRPr="00590B68">
        <w:rPr>
          <w:rFonts w:ascii="Arial" w:hAnsi="Arial" w:cs="Arial"/>
        </w:rPr>
        <w:t>funds</w:t>
      </w:r>
      <w:proofErr w:type="gramEnd"/>
      <w:r w:rsidRPr="00590B68">
        <w:rPr>
          <w:rFonts w:ascii="Arial" w:hAnsi="Arial" w:cs="Arial"/>
        </w:rPr>
        <w:t xml:space="preserve"> and its release is tied in part to sustained favorable quality-of-care indicators.  </w:t>
      </w:r>
    </w:p>
    <w:p w14:paraId="6220EAAD" w14:textId="7BCC4AE5" w:rsidR="00590B68" w:rsidRPr="00590B68" w:rsidRDefault="00590B68" w:rsidP="00590B68">
      <w:pPr>
        <w:rPr>
          <w:rFonts w:ascii="Arial" w:hAnsi="Arial" w:cs="Arial"/>
        </w:rPr>
      </w:pPr>
    </w:p>
    <w:p w14:paraId="0E22CD02" w14:textId="0A125179" w:rsidR="000D4CB0" w:rsidRPr="00590B68" w:rsidRDefault="00590B68" w:rsidP="000D4CB0">
      <w:pPr>
        <w:rPr>
          <w:rFonts w:ascii="Arial" w:hAnsi="Arial" w:cs="Arial"/>
          <w:i/>
          <w:iCs/>
        </w:rPr>
      </w:pPr>
      <w:r w:rsidRPr="00590B68">
        <w:rPr>
          <w:rFonts w:ascii="Arial" w:hAnsi="Arial" w:cs="Arial"/>
          <w:b/>
          <w:bCs/>
          <w:i/>
          <w:iCs/>
        </w:rPr>
        <w:t>Keywords:</w:t>
      </w:r>
      <w:r w:rsidRPr="00590B68">
        <w:rPr>
          <w:rFonts w:ascii="Arial" w:hAnsi="Arial" w:cs="Arial"/>
          <w:i/>
          <w:iCs/>
        </w:rPr>
        <w:t xml:space="preserve"> Quality of Care, Underwriting, Operator and Management Analysis, Lender Narrative</w:t>
      </w:r>
      <w:bookmarkEnd w:id="9"/>
    </w:p>
    <w:p w14:paraId="681F8796" w14:textId="77777777" w:rsidR="000D4CB0" w:rsidRPr="00590B68" w:rsidRDefault="000D4CB0" w:rsidP="000D4CB0">
      <w:pPr>
        <w:rPr>
          <w:rFonts w:ascii="Arial" w:eastAsia="MS Mincho" w:hAnsi="Arial" w:cs="Arial"/>
          <w:b/>
          <w:szCs w:val="24"/>
        </w:rPr>
      </w:pPr>
    </w:p>
    <w:p w14:paraId="4493608C" w14:textId="77777777" w:rsidR="000D4CB0" w:rsidRPr="00590B68" w:rsidRDefault="00115F9E" w:rsidP="000D4CB0">
      <w:pPr>
        <w:rPr>
          <w:rFonts w:ascii="Arial" w:hAnsi="Arial" w:cs="Arial"/>
          <w:b/>
          <w:color w:val="365F91" w:themeColor="accent1" w:themeShade="BF"/>
          <w:szCs w:val="24"/>
        </w:rPr>
      </w:pPr>
      <w:hyperlink w:anchor="_top" w:history="1">
        <w:r w:rsidR="000D4CB0" w:rsidRPr="00590B68">
          <w:rPr>
            <w:rFonts w:ascii="Arial" w:hAnsi="Arial" w:cs="Arial"/>
            <w:color w:val="365F91" w:themeColor="accent1" w:themeShade="BF"/>
            <w:szCs w:val="24"/>
            <w:u w:val="single"/>
          </w:rPr>
          <w:t>Back to top</w:t>
        </w:r>
      </w:hyperlink>
    </w:p>
    <w:p w14:paraId="0128A89B" w14:textId="64EBB4FF" w:rsidR="009F4D59" w:rsidRPr="00590B68" w:rsidRDefault="009F4D59" w:rsidP="008930F5">
      <w:pPr>
        <w:rPr>
          <w:rFonts w:ascii="Arial" w:hAnsi="Arial" w:cs="Arial"/>
          <w:b/>
        </w:rPr>
      </w:pPr>
    </w:p>
    <w:p w14:paraId="2D4F6F96" w14:textId="77777777" w:rsidR="00590B68" w:rsidRPr="00590B68" w:rsidRDefault="00590B68" w:rsidP="00CE56F4">
      <w:pPr>
        <w:pStyle w:val="EmailBlast"/>
      </w:pPr>
      <w:bookmarkStart w:id="10" w:name="_Toc75955778"/>
      <w:bookmarkStart w:id="11" w:name="_Toc57877541"/>
      <w:r w:rsidRPr="00590B68">
        <w:t>Supplemental Income Sources</w:t>
      </w:r>
      <w:bookmarkEnd w:id="10"/>
    </w:p>
    <w:p w14:paraId="3EE077BE" w14:textId="7D729090" w:rsidR="00590B68" w:rsidRPr="00590B68" w:rsidRDefault="00590B68" w:rsidP="00590B68">
      <w:pPr>
        <w:rPr>
          <w:rFonts w:ascii="Arial" w:hAnsi="Arial" w:cs="Arial"/>
          <w:bCs/>
        </w:rPr>
      </w:pPr>
      <w:proofErr w:type="spellStart"/>
      <w:r w:rsidRPr="00590B68">
        <w:rPr>
          <w:rFonts w:ascii="Arial" w:hAnsi="Arial" w:cs="Arial"/>
          <w:bCs/>
        </w:rPr>
        <w:t>ORCF</w:t>
      </w:r>
      <w:proofErr w:type="spellEnd"/>
      <w:r w:rsidRPr="00590B68">
        <w:rPr>
          <w:rFonts w:ascii="Arial" w:hAnsi="Arial" w:cs="Arial"/>
          <w:bCs/>
        </w:rPr>
        <w:t xml:space="preserve"> has previously communicated use of conservative underwriting and loan sizing with regard to supplemental income sources such as Upper Payment Limit (</w:t>
      </w:r>
      <w:proofErr w:type="spellStart"/>
      <w:r w:rsidRPr="00590B68">
        <w:rPr>
          <w:rFonts w:ascii="Arial" w:hAnsi="Arial" w:cs="Arial"/>
          <w:bCs/>
        </w:rPr>
        <w:t>UPL</w:t>
      </w:r>
      <w:proofErr w:type="spellEnd"/>
      <w:r w:rsidRPr="00590B68">
        <w:rPr>
          <w:rFonts w:ascii="Arial" w:hAnsi="Arial" w:cs="Arial"/>
          <w:bCs/>
        </w:rPr>
        <w:t>), Intergovernmental Transfer (</w:t>
      </w:r>
      <w:proofErr w:type="spellStart"/>
      <w:r w:rsidRPr="00590B68">
        <w:rPr>
          <w:rFonts w:ascii="Arial" w:hAnsi="Arial" w:cs="Arial"/>
          <w:bCs/>
        </w:rPr>
        <w:t>IGT</w:t>
      </w:r>
      <w:proofErr w:type="spellEnd"/>
      <w:r w:rsidRPr="00590B68">
        <w:rPr>
          <w:rFonts w:ascii="Arial" w:hAnsi="Arial" w:cs="Arial"/>
          <w:bCs/>
        </w:rPr>
        <w:t>), Quality and Accountability Supplemental Payment (</w:t>
      </w:r>
      <w:proofErr w:type="spellStart"/>
      <w:r w:rsidRPr="00590B68">
        <w:rPr>
          <w:rFonts w:ascii="Arial" w:hAnsi="Arial" w:cs="Arial"/>
          <w:bCs/>
        </w:rPr>
        <w:t>QASP</w:t>
      </w:r>
      <w:proofErr w:type="spellEnd"/>
      <w:r w:rsidRPr="00590B68">
        <w:rPr>
          <w:rFonts w:ascii="Arial" w:hAnsi="Arial" w:cs="Arial"/>
          <w:bCs/>
        </w:rPr>
        <w:t>), Quality Incentive Payment Program (</w:t>
      </w:r>
      <w:proofErr w:type="spellStart"/>
      <w:r w:rsidRPr="00590B68">
        <w:rPr>
          <w:rFonts w:ascii="Arial" w:hAnsi="Arial" w:cs="Arial"/>
          <w:bCs/>
        </w:rPr>
        <w:t>QIPP</w:t>
      </w:r>
      <w:proofErr w:type="spellEnd"/>
      <w:r w:rsidRPr="00590B68">
        <w:rPr>
          <w:rFonts w:ascii="Arial" w:hAnsi="Arial" w:cs="Arial"/>
          <w:bCs/>
        </w:rPr>
        <w:t xml:space="preserve">), or other similar income sources  (See, for example, the Blasts of </w:t>
      </w:r>
      <w:hyperlink r:id="rId16" w:history="1">
        <w:r w:rsidRPr="00590B68">
          <w:rPr>
            <w:rStyle w:val="Hyperlink"/>
            <w:rFonts w:ascii="Arial" w:hAnsi="Arial" w:cs="Arial"/>
            <w:bCs/>
          </w:rPr>
          <w:t>February 24, 2021</w:t>
        </w:r>
      </w:hyperlink>
      <w:r w:rsidRPr="00590B68">
        <w:rPr>
          <w:rFonts w:ascii="Arial" w:hAnsi="Arial" w:cs="Arial"/>
          <w:bCs/>
        </w:rPr>
        <w:t xml:space="preserve">, </w:t>
      </w:r>
      <w:hyperlink r:id="rId17" w:history="1">
        <w:r w:rsidRPr="00590B68">
          <w:rPr>
            <w:rStyle w:val="Hyperlink"/>
            <w:rFonts w:ascii="Arial" w:hAnsi="Arial" w:cs="Arial"/>
            <w:bCs/>
          </w:rPr>
          <w:t>June 24, 2015</w:t>
        </w:r>
      </w:hyperlink>
      <w:r w:rsidRPr="00590B68">
        <w:rPr>
          <w:rFonts w:ascii="Arial" w:hAnsi="Arial" w:cs="Arial"/>
          <w:bCs/>
        </w:rPr>
        <w:t xml:space="preserve"> </w:t>
      </w:r>
      <w:hyperlink r:id="rId18" w:history="1">
        <w:r w:rsidRPr="00590B68">
          <w:rPr>
            <w:rStyle w:val="Hyperlink"/>
            <w:rFonts w:ascii="Arial" w:hAnsi="Arial" w:cs="Arial"/>
            <w:bCs/>
          </w:rPr>
          <w:t>June 27, 2012</w:t>
        </w:r>
      </w:hyperlink>
      <w:r w:rsidRPr="00590B68">
        <w:rPr>
          <w:rFonts w:ascii="Arial" w:hAnsi="Arial" w:cs="Arial"/>
          <w:bCs/>
        </w:rPr>
        <w:t>)</w:t>
      </w:r>
      <w:r w:rsidR="00DA6F41">
        <w:rPr>
          <w:rFonts w:ascii="Arial" w:hAnsi="Arial" w:cs="Arial"/>
          <w:bCs/>
        </w:rPr>
        <w:t>.</w:t>
      </w:r>
      <w:r w:rsidRPr="00590B68">
        <w:rPr>
          <w:rFonts w:ascii="Arial" w:hAnsi="Arial" w:cs="Arial"/>
          <w:bCs/>
        </w:rPr>
        <w:t xml:space="preserve">  In the current reimbursement environment, many of these programs appear to be at increased risk of continuing in the long term, and </w:t>
      </w:r>
      <w:r w:rsidR="007A0A55">
        <w:rPr>
          <w:rFonts w:ascii="Arial" w:hAnsi="Arial" w:cs="Arial"/>
          <w:bCs/>
        </w:rPr>
        <w:t>L</w:t>
      </w:r>
      <w:r w:rsidRPr="00590B68">
        <w:rPr>
          <w:rFonts w:ascii="Arial" w:hAnsi="Arial" w:cs="Arial"/>
          <w:bCs/>
        </w:rPr>
        <w:t xml:space="preserve">enders are reminded that </w:t>
      </w:r>
      <w:r w:rsidR="00F53875" w:rsidRPr="00F53875">
        <w:rPr>
          <w:rFonts w:ascii="Arial" w:hAnsi="Arial" w:cs="Arial"/>
          <w:bCs/>
        </w:rPr>
        <w:t xml:space="preserve">additional </w:t>
      </w:r>
      <w:r w:rsidR="00F53875">
        <w:rPr>
          <w:rFonts w:ascii="Arial" w:hAnsi="Arial" w:cs="Arial"/>
          <w:bCs/>
        </w:rPr>
        <w:t xml:space="preserve">underwriting </w:t>
      </w:r>
      <w:r w:rsidR="00F53875" w:rsidRPr="00F53875">
        <w:rPr>
          <w:rFonts w:ascii="Arial" w:hAnsi="Arial" w:cs="Arial"/>
          <w:bCs/>
        </w:rPr>
        <w:t xml:space="preserve">scrutiny is applied as the percentage of </w:t>
      </w:r>
      <w:proofErr w:type="spellStart"/>
      <w:r w:rsidR="00F53875" w:rsidRPr="00F53875">
        <w:rPr>
          <w:rFonts w:ascii="Arial" w:hAnsi="Arial" w:cs="Arial"/>
          <w:bCs/>
        </w:rPr>
        <w:t>NOI</w:t>
      </w:r>
      <w:proofErr w:type="spellEnd"/>
      <w:r w:rsidR="00F53875" w:rsidRPr="00F53875">
        <w:rPr>
          <w:rFonts w:ascii="Arial" w:hAnsi="Arial" w:cs="Arial"/>
          <w:bCs/>
        </w:rPr>
        <w:t xml:space="preserve"> derived from </w:t>
      </w:r>
      <w:r w:rsidR="00F53875">
        <w:rPr>
          <w:rFonts w:ascii="Arial" w:hAnsi="Arial" w:cs="Arial"/>
          <w:bCs/>
        </w:rPr>
        <w:t>supplemental income sources</w:t>
      </w:r>
      <w:r w:rsidR="00F53875" w:rsidRPr="00F53875">
        <w:rPr>
          <w:rFonts w:ascii="Arial" w:hAnsi="Arial" w:cs="Arial"/>
          <w:bCs/>
        </w:rPr>
        <w:t xml:space="preserve"> increases</w:t>
      </w:r>
      <w:r w:rsidR="00F53875">
        <w:rPr>
          <w:rFonts w:ascii="Arial" w:hAnsi="Arial" w:cs="Arial"/>
          <w:bCs/>
        </w:rPr>
        <w:t>, and conservative underwriting represent</w:t>
      </w:r>
      <w:r w:rsidR="00BA34C3">
        <w:rPr>
          <w:rFonts w:ascii="Arial" w:hAnsi="Arial" w:cs="Arial"/>
          <w:bCs/>
        </w:rPr>
        <w:t>s</w:t>
      </w:r>
      <w:r w:rsidR="00F53875">
        <w:rPr>
          <w:rFonts w:ascii="Arial" w:hAnsi="Arial" w:cs="Arial"/>
          <w:bCs/>
        </w:rPr>
        <w:t xml:space="preserve"> having</w:t>
      </w:r>
      <w:r w:rsidR="00F53875" w:rsidRPr="00F53875" w:rsidDel="00F53875">
        <w:rPr>
          <w:rFonts w:ascii="Arial" w:hAnsi="Arial" w:cs="Arial"/>
          <w:bCs/>
        </w:rPr>
        <w:t xml:space="preserve"> </w:t>
      </w:r>
      <w:r w:rsidRPr="00590B68">
        <w:rPr>
          <w:rFonts w:ascii="Arial" w:hAnsi="Arial" w:cs="Arial"/>
          <w:bCs/>
        </w:rPr>
        <w:t>little to no inclusion of these revenue streams in value for loan sizing, given the long-term nature of Section 232 insured mortgages.</w:t>
      </w:r>
      <w:bookmarkEnd w:id="11"/>
    </w:p>
    <w:p w14:paraId="418B882F" w14:textId="671B0131" w:rsidR="000D4CB0" w:rsidRPr="00590B68" w:rsidRDefault="000D4CB0" w:rsidP="008930F5">
      <w:pPr>
        <w:rPr>
          <w:rFonts w:ascii="Arial" w:hAnsi="Arial" w:cs="Arial"/>
          <w:b/>
        </w:rPr>
      </w:pPr>
    </w:p>
    <w:p w14:paraId="71B1F817" w14:textId="33851913" w:rsidR="00590B68" w:rsidRPr="00590B68" w:rsidRDefault="00590B68" w:rsidP="00590B68">
      <w:pPr>
        <w:rPr>
          <w:rFonts w:ascii="Arial" w:hAnsi="Arial" w:cs="Arial"/>
          <w:i/>
          <w:iCs/>
        </w:rPr>
      </w:pPr>
      <w:r w:rsidRPr="00590B68">
        <w:rPr>
          <w:rFonts w:ascii="Arial" w:hAnsi="Arial" w:cs="Arial"/>
          <w:b/>
          <w:bCs/>
          <w:i/>
          <w:iCs/>
        </w:rPr>
        <w:t>Keywords:</w:t>
      </w:r>
      <w:r w:rsidRPr="00590B68">
        <w:rPr>
          <w:rFonts w:ascii="Arial" w:hAnsi="Arial" w:cs="Arial"/>
          <w:i/>
          <w:iCs/>
        </w:rPr>
        <w:t xml:space="preserve"> Underwriting, </w:t>
      </w:r>
      <w:bookmarkStart w:id="12" w:name="_Hlk75954722"/>
      <w:r w:rsidRPr="00590B68">
        <w:rPr>
          <w:rFonts w:ascii="Arial" w:hAnsi="Arial" w:cs="Arial"/>
          <w:i/>
          <w:iCs/>
        </w:rPr>
        <w:t>Supplemental Income</w:t>
      </w:r>
      <w:bookmarkEnd w:id="12"/>
    </w:p>
    <w:p w14:paraId="1127AC3F" w14:textId="77777777" w:rsidR="00065099" w:rsidRDefault="00065099" w:rsidP="00590B68"/>
    <w:p w14:paraId="26378289" w14:textId="23FF3883" w:rsidR="00590B68" w:rsidRPr="00590B68" w:rsidRDefault="00115F9E" w:rsidP="00590B68">
      <w:pPr>
        <w:rPr>
          <w:rFonts w:ascii="Arial" w:hAnsi="Arial" w:cs="Arial"/>
          <w:b/>
          <w:color w:val="365F91" w:themeColor="accent1" w:themeShade="BF"/>
          <w:szCs w:val="24"/>
        </w:rPr>
      </w:pPr>
      <w:hyperlink w:anchor="_top" w:history="1">
        <w:r w:rsidR="00590B68" w:rsidRPr="00590B68">
          <w:rPr>
            <w:rFonts w:ascii="Arial" w:hAnsi="Arial" w:cs="Arial"/>
            <w:color w:val="365F91" w:themeColor="accent1" w:themeShade="BF"/>
            <w:szCs w:val="24"/>
            <w:u w:val="single"/>
          </w:rPr>
          <w:t>Back to top</w:t>
        </w:r>
      </w:hyperlink>
    </w:p>
    <w:p w14:paraId="12099A42" w14:textId="21F9E586" w:rsidR="00590B68" w:rsidRPr="00590B68" w:rsidRDefault="00590B68" w:rsidP="008930F5">
      <w:pPr>
        <w:rPr>
          <w:rFonts w:ascii="Arial" w:hAnsi="Arial" w:cs="Arial"/>
          <w:b/>
        </w:rPr>
      </w:pPr>
    </w:p>
    <w:p w14:paraId="0265465E" w14:textId="72005B8C" w:rsidR="00590B68" w:rsidRPr="00590B68" w:rsidRDefault="00590B68" w:rsidP="00CE56F4">
      <w:pPr>
        <w:pStyle w:val="EmailBlast"/>
      </w:pPr>
      <w:bookmarkStart w:id="13" w:name="_Toc75955779"/>
      <w:r w:rsidRPr="00590B68">
        <w:t>Borrower/Operator Experience requirements</w:t>
      </w:r>
      <w:bookmarkEnd w:id="13"/>
    </w:p>
    <w:p w14:paraId="0249298B" w14:textId="4C8CBABA" w:rsidR="00590B68" w:rsidRPr="00590B68" w:rsidRDefault="00590B68" w:rsidP="00590B68">
      <w:pPr>
        <w:rPr>
          <w:rFonts w:ascii="Arial" w:hAnsi="Arial" w:cs="Arial"/>
          <w:bCs/>
        </w:rPr>
      </w:pPr>
      <w:proofErr w:type="spellStart"/>
      <w:r w:rsidRPr="00590B68">
        <w:rPr>
          <w:rFonts w:ascii="Arial" w:hAnsi="Arial" w:cs="Arial"/>
          <w:bCs/>
        </w:rPr>
        <w:t>ORCF</w:t>
      </w:r>
      <w:proofErr w:type="spellEnd"/>
      <w:r w:rsidRPr="00590B68">
        <w:rPr>
          <w:rFonts w:ascii="Arial" w:hAnsi="Arial" w:cs="Arial"/>
          <w:bCs/>
        </w:rPr>
        <w:t xml:space="preserve"> has long emphasized the importance of Lenders carefully assessing Borrower and Operator qualifications for participating in the Section 232 Program.  This matter is addressed in multiple locations in the Section 232 Handbook (See Section II, Production, Chapter 2, Section 2.5.FF (</w:t>
      </w:r>
      <w:hyperlink r:id="rId19" w:history="1">
        <w:r w:rsidRPr="00590B68">
          <w:rPr>
            <w:rStyle w:val="Hyperlink"/>
            <w:rFonts w:ascii="Arial" w:hAnsi="Arial" w:cs="Arial"/>
            <w:bCs/>
          </w:rPr>
          <w:t>here</w:t>
        </w:r>
      </w:hyperlink>
      <w:r w:rsidRPr="00590B68">
        <w:rPr>
          <w:rFonts w:ascii="Arial" w:hAnsi="Arial" w:cs="Arial"/>
          <w:bCs/>
        </w:rPr>
        <w:t>) and Chapter 8, Sections 8.1 and 8.4 (</w:t>
      </w:r>
      <w:hyperlink r:id="rId20" w:history="1">
        <w:r w:rsidRPr="00590B68">
          <w:rPr>
            <w:rStyle w:val="Hyperlink"/>
            <w:rFonts w:ascii="Arial" w:hAnsi="Arial" w:cs="Arial"/>
            <w:bCs/>
          </w:rPr>
          <w:t>here</w:t>
        </w:r>
      </w:hyperlink>
      <w:r w:rsidRPr="00590B68">
        <w:rPr>
          <w:rFonts w:ascii="Arial" w:hAnsi="Arial" w:cs="Arial"/>
          <w:bCs/>
        </w:rPr>
        <w:t>)</w:t>
      </w:r>
      <w:r w:rsidR="006B37F1">
        <w:rPr>
          <w:rFonts w:ascii="Arial" w:hAnsi="Arial" w:cs="Arial"/>
          <w:bCs/>
        </w:rPr>
        <w:t xml:space="preserve"> and</w:t>
      </w:r>
      <w:r w:rsidRPr="00590B68">
        <w:rPr>
          <w:rFonts w:ascii="Arial" w:hAnsi="Arial" w:cs="Arial"/>
          <w:bCs/>
        </w:rPr>
        <w:t xml:space="preserve"> is required in the applicable Lender Narrative.  An established successful track </w:t>
      </w:r>
      <w:r w:rsidRPr="00590B68">
        <w:rPr>
          <w:rFonts w:ascii="Arial" w:hAnsi="Arial" w:cs="Arial"/>
          <w:bCs/>
        </w:rPr>
        <w:lastRenderedPageBreak/>
        <w:t xml:space="preserve">record of and commitment to ownership and, as applicable, development, marketing, lease-up, and operations of the proposed facility type, continue to be critical for successful participation in the Section 232 program.  </w:t>
      </w:r>
    </w:p>
    <w:p w14:paraId="4BCB5F1D" w14:textId="77777777" w:rsidR="00590B68" w:rsidRPr="00590B68" w:rsidRDefault="00590B68" w:rsidP="00590B68">
      <w:pPr>
        <w:rPr>
          <w:rFonts w:ascii="Arial" w:hAnsi="Arial" w:cs="Arial"/>
          <w:bCs/>
        </w:rPr>
      </w:pPr>
    </w:p>
    <w:p w14:paraId="540CAD0D" w14:textId="77777777" w:rsidR="00590B68" w:rsidRPr="00590B68" w:rsidRDefault="00590B68" w:rsidP="00590B68">
      <w:pPr>
        <w:rPr>
          <w:rFonts w:ascii="Arial" w:hAnsi="Arial" w:cs="Arial"/>
          <w:bCs/>
        </w:rPr>
      </w:pPr>
      <w:r w:rsidRPr="00590B68">
        <w:rPr>
          <w:rFonts w:ascii="Arial" w:hAnsi="Arial" w:cs="Arial"/>
          <w:bCs/>
        </w:rPr>
        <w:t xml:space="preserve">Recently, </w:t>
      </w:r>
      <w:proofErr w:type="spellStart"/>
      <w:r w:rsidRPr="00590B68">
        <w:rPr>
          <w:rFonts w:ascii="Arial" w:hAnsi="Arial" w:cs="Arial"/>
          <w:bCs/>
        </w:rPr>
        <w:t>ORCF</w:t>
      </w:r>
      <w:proofErr w:type="spellEnd"/>
      <w:r w:rsidRPr="00590B68">
        <w:rPr>
          <w:rFonts w:ascii="Arial" w:hAnsi="Arial" w:cs="Arial"/>
          <w:bCs/>
        </w:rPr>
        <w:t xml:space="preserve"> has received numerous lender narratives that fail to establish the experience appropriate to the particular transaction.  Examples of concerning issues are below.  Lenders should consider these issues carefully before submission, as they can impact the acceptability of parties and of the transaction overall.</w:t>
      </w:r>
    </w:p>
    <w:p w14:paraId="0557B5E6" w14:textId="77777777" w:rsidR="00590B68" w:rsidRPr="00590B68" w:rsidRDefault="00590B68" w:rsidP="00590B68">
      <w:pPr>
        <w:rPr>
          <w:rFonts w:ascii="Arial" w:hAnsi="Arial" w:cs="Arial"/>
          <w:bCs/>
        </w:rPr>
      </w:pPr>
    </w:p>
    <w:p w14:paraId="10E9FACB" w14:textId="5EA460F2" w:rsidR="00590B68" w:rsidRPr="00590B68" w:rsidRDefault="00590B68" w:rsidP="00590B68">
      <w:pPr>
        <w:rPr>
          <w:rFonts w:ascii="Arial" w:hAnsi="Arial" w:cs="Arial"/>
          <w:bCs/>
        </w:rPr>
      </w:pPr>
      <w:r w:rsidRPr="00590B68">
        <w:rPr>
          <w:rFonts w:ascii="Arial" w:hAnsi="Arial" w:cs="Arial"/>
          <w:bCs/>
        </w:rPr>
        <w:t xml:space="preserve">One such area of concern regarding experience relates to </w:t>
      </w:r>
      <w:r w:rsidRPr="00590B68">
        <w:rPr>
          <w:rFonts w:ascii="Arial" w:hAnsi="Arial" w:cs="Arial"/>
          <w:bCs/>
          <w:i/>
          <w:iCs/>
        </w:rPr>
        <w:t>recent acquisitions</w:t>
      </w:r>
      <w:r w:rsidRPr="00590B68">
        <w:rPr>
          <w:rFonts w:ascii="Arial" w:hAnsi="Arial" w:cs="Arial"/>
          <w:bCs/>
        </w:rPr>
        <w:t xml:space="preserve">.  Given market, regulatory and funding variations, the facility </w:t>
      </w:r>
      <w:proofErr w:type="gramStart"/>
      <w:r w:rsidRPr="00590B68">
        <w:rPr>
          <w:rFonts w:ascii="Arial" w:hAnsi="Arial" w:cs="Arial"/>
          <w:bCs/>
          <w:i/>
          <w:iCs/>
        </w:rPr>
        <w:t>types</w:t>
      </w:r>
      <w:proofErr w:type="gramEnd"/>
      <w:r w:rsidRPr="00590B68">
        <w:rPr>
          <w:rFonts w:ascii="Arial" w:hAnsi="Arial" w:cs="Arial"/>
          <w:bCs/>
        </w:rPr>
        <w:t xml:space="preserve"> and facility </w:t>
      </w:r>
      <w:r w:rsidRPr="00590B68">
        <w:rPr>
          <w:rFonts w:ascii="Arial" w:hAnsi="Arial" w:cs="Arial"/>
          <w:bCs/>
          <w:i/>
          <w:iCs/>
        </w:rPr>
        <w:t>locations</w:t>
      </w:r>
      <w:r w:rsidRPr="00590B68">
        <w:rPr>
          <w:rFonts w:ascii="Arial" w:hAnsi="Arial" w:cs="Arial"/>
          <w:bCs/>
        </w:rPr>
        <w:t xml:space="preserve"> relied on for experience are key.  Thus, substantial experience with the subject facility itself is most directly relevant.  Where that experience is limited (as with an acquisition in the past three years), </w:t>
      </w:r>
      <w:proofErr w:type="spellStart"/>
      <w:r w:rsidRPr="00590B68">
        <w:rPr>
          <w:rFonts w:ascii="Arial" w:hAnsi="Arial" w:cs="Arial"/>
          <w:bCs/>
        </w:rPr>
        <w:t>ORCF</w:t>
      </w:r>
      <w:proofErr w:type="spellEnd"/>
      <w:r w:rsidRPr="00590B68">
        <w:rPr>
          <w:rFonts w:ascii="Arial" w:hAnsi="Arial" w:cs="Arial"/>
          <w:bCs/>
        </w:rPr>
        <w:t xml:space="preserve"> looks for borrower/operator recent experience operating the same type of facility in the same state or market as the subject application.  </w:t>
      </w:r>
    </w:p>
    <w:p w14:paraId="7B470719" w14:textId="77777777" w:rsidR="00590B68" w:rsidRPr="00590B68" w:rsidRDefault="00590B68" w:rsidP="00590B68">
      <w:pPr>
        <w:rPr>
          <w:rFonts w:ascii="Arial" w:hAnsi="Arial" w:cs="Arial"/>
          <w:bCs/>
        </w:rPr>
      </w:pPr>
    </w:p>
    <w:p w14:paraId="6EE8439D" w14:textId="510D7A1B" w:rsidR="00590B68" w:rsidRPr="00590B68" w:rsidRDefault="00590B68" w:rsidP="00590B68">
      <w:pPr>
        <w:rPr>
          <w:rFonts w:ascii="Arial" w:hAnsi="Arial" w:cs="Arial"/>
          <w:bCs/>
        </w:rPr>
      </w:pPr>
      <w:r w:rsidRPr="00590B68">
        <w:rPr>
          <w:rFonts w:ascii="Arial" w:hAnsi="Arial" w:cs="Arial"/>
          <w:bCs/>
        </w:rPr>
        <w:t xml:space="preserve">Additionally, if the application is underwritten on an improvement in operations </w:t>
      </w:r>
      <w:proofErr w:type="gramStart"/>
      <w:r w:rsidRPr="00590B68">
        <w:rPr>
          <w:rFonts w:ascii="Arial" w:hAnsi="Arial" w:cs="Arial"/>
          <w:bCs/>
        </w:rPr>
        <w:t>as a result of</w:t>
      </w:r>
      <w:proofErr w:type="gramEnd"/>
      <w:r w:rsidRPr="00590B68">
        <w:rPr>
          <w:rFonts w:ascii="Arial" w:hAnsi="Arial" w:cs="Arial"/>
          <w:bCs/>
        </w:rPr>
        <w:t xml:space="preserve"> the new Borrower or Operator taking over the property, </w:t>
      </w:r>
      <w:proofErr w:type="spellStart"/>
      <w:r w:rsidRPr="00590B68">
        <w:rPr>
          <w:rFonts w:ascii="Arial" w:hAnsi="Arial" w:cs="Arial"/>
          <w:bCs/>
        </w:rPr>
        <w:t>ORCF</w:t>
      </w:r>
      <w:proofErr w:type="spellEnd"/>
      <w:r w:rsidRPr="00590B68">
        <w:rPr>
          <w:rFonts w:ascii="Arial" w:hAnsi="Arial" w:cs="Arial"/>
          <w:bCs/>
        </w:rPr>
        <w:t xml:space="preserve"> considers the evidence presented of operational improvements in borrower/operator’s other similar properties in the same state.  The operator must have a proven track record of successfully improving and then maintaining operations.  </w:t>
      </w:r>
      <w:proofErr w:type="spellStart"/>
      <w:r w:rsidRPr="00590B68">
        <w:rPr>
          <w:rFonts w:ascii="Arial" w:hAnsi="Arial" w:cs="Arial"/>
          <w:bCs/>
        </w:rPr>
        <w:t>ORCF</w:t>
      </w:r>
      <w:proofErr w:type="spellEnd"/>
      <w:r w:rsidRPr="00590B68">
        <w:rPr>
          <w:rFonts w:ascii="Arial" w:hAnsi="Arial" w:cs="Arial"/>
          <w:bCs/>
        </w:rPr>
        <w:t xml:space="preserve"> considers not general assertions but specific evidence of such a track record.  For example, </w:t>
      </w:r>
      <w:proofErr w:type="spellStart"/>
      <w:r w:rsidRPr="00590B68">
        <w:rPr>
          <w:rFonts w:ascii="Arial" w:hAnsi="Arial" w:cs="Arial"/>
          <w:bCs/>
        </w:rPr>
        <w:t>ORCF</w:t>
      </w:r>
      <w:proofErr w:type="spellEnd"/>
      <w:r w:rsidRPr="00590B68">
        <w:rPr>
          <w:rFonts w:ascii="Arial" w:hAnsi="Arial" w:cs="Arial"/>
          <w:bCs/>
        </w:rPr>
        <w:t xml:space="preserve"> looks for evidence in the Lender Narrative of other similar specifically identified projects, evidence such as operating metrics over the </w:t>
      </w:r>
      <w:proofErr w:type="gramStart"/>
      <w:r w:rsidRPr="00590B68">
        <w:rPr>
          <w:rFonts w:ascii="Arial" w:hAnsi="Arial" w:cs="Arial"/>
          <w:bCs/>
        </w:rPr>
        <w:t>time period</w:t>
      </w:r>
      <w:proofErr w:type="gramEnd"/>
      <w:r w:rsidRPr="00590B68">
        <w:rPr>
          <w:rFonts w:ascii="Arial" w:hAnsi="Arial" w:cs="Arial"/>
          <w:bCs/>
        </w:rPr>
        <w:t xml:space="preserve"> (3 or more years) including before, during and after transition to the new operator.  Relevant metrics include, without limitation:</w:t>
      </w:r>
    </w:p>
    <w:p w14:paraId="0D1236AD" w14:textId="77777777" w:rsidR="00590B68" w:rsidRPr="00590B68" w:rsidRDefault="00590B68" w:rsidP="00590B68">
      <w:pPr>
        <w:rPr>
          <w:rFonts w:ascii="Arial" w:hAnsi="Arial" w:cs="Arial"/>
          <w:bCs/>
        </w:rPr>
      </w:pPr>
    </w:p>
    <w:p w14:paraId="5F76CFDA" w14:textId="77777777" w:rsidR="00590B68" w:rsidRPr="00590B68" w:rsidRDefault="00590B68" w:rsidP="00CE56F4">
      <w:pPr>
        <w:numPr>
          <w:ilvl w:val="0"/>
          <w:numId w:val="9"/>
        </w:numPr>
        <w:spacing w:before="120"/>
        <w:rPr>
          <w:rFonts w:ascii="Arial" w:hAnsi="Arial" w:cs="Arial"/>
          <w:bCs/>
        </w:rPr>
      </w:pPr>
      <w:r w:rsidRPr="00590B68">
        <w:rPr>
          <w:rFonts w:ascii="Arial" w:hAnsi="Arial" w:cs="Arial"/>
          <w:bCs/>
        </w:rPr>
        <w:t>Revenue</w:t>
      </w:r>
    </w:p>
    <w:p w14:paraId="6C10B4BC" w14:textId="77777777" w:rsidR="00590B68" w:rsidRPr="00590B68" w:rsidRDefault="00590B68" w:rsidP="00CE56F4">
      <w:pPr>
        <w:numPr>
          <w:ilvl w:val="0"/>
          <w:numId w:val="9"/>
        </w:numPr>
        <w:spacing w:before="120"/>
        <w:rPr>
          <w:rFonts w:ascii="Arial" w:hAnsi="Arial" w:cs="Arial"/>
          <w:bCs/>
        </w:rPr>
      </w:pPr>
      <w:r w:rsidRPr="00590B68">
        <w:rPr>
          <w:rFonts w:ascii="Arial" w:hAnsi="Arial" w:cs="Arial"/>
          <w:bCs/>
        </w:rPr>
        <w:t>Net Operating Income</w:t>
      </w:r>
    </w:p>
    <w:p w14:paraId="57F288A1" w14:textId="77777777" w:rsidR="00590B68" w:rsidRPr="00590B68" w:rsidRDefault="00590B68" w:rsidP="00CE56F4">
      <w:pPr>
        <w:numPr>
          <w:ilvl w:val="0"/>
          <w:numId w:val="9"/>
        </w:numPr>
        <w:spacing w:before="120"/>
        <w:rPr>
          <w:rFonts w:ascii="Arial" w:hAnsi="Arial" w:cs="Arial"/>
          <w:bCs/>
        </w:rPr>
      </w:pPr>
      <w:r w:rsidRPr="00590B68">
        <w:rPr>
          <w:rFonts w:ascii="Arial" w:hAnsi="Arial" w:cs="Arial"/>
          <w:bCs/>
        </w:rPr>
        <w:t>Number of beds, units, or residents</w:t>
      </w:r>
    </w:p>
    <w:p w14:paraId="0E707DE7" w14:textId="77777777" w:rsidR="00590B68" w:rsidRPr="00590B68" w:rsidRDefault="00590B68" w:rsidP="00CE56F4">
      <w:pPr>
        <w:numPr>
          <w:ilvl w:val="0"/>
          <w:numId w:val="9"/>
        </w:numPr>
        <w:spacing w:before="120"/>
        <w:rPr>
          <w:rFonts w:ascii="Arial" w:hAnsi="Arial" w:cs="Arial"/>
          <w:bCs/>
        </w:rPr>
      </w:pPr>
      <w:r w:rsidRPr="00590B68">
        <w:rPr>
          <w:rFonts w:ascii="Arial" w:hAnsi="Arial" w:cs="Arial"/>
          <w:bCs/>
        </w:rPr>
        <w:t>Occupancy</w:t>
      </w:r>
    </w:p>
    <w:p w14:paraId="0C9AD299" w14:textId="77777777" w:rsidR="00590B68" w:rsidRPr="00590B68" w:rsidRDefault="00590B68" w:rsidP="00CE56F4">
      <w:pPr>
        <w:numPr>
          <w:ilvl w:val="0"/>
          <w:numId w:val="9"/>
        </w:numPr>
        <w:spacing w:before="120"/>
        <w:rPr>
          <w:rFonts w:ascii="Arial" w:hAnsi="Arial" w:cs="Arial"/>
          <w:bCs/>
        </w:rPr>
      </w:pPr>
      <w:r w:rsidRPr="00590B68">
        <w:rPr>
          <w:rFonts w:ascii="Arial" w:hAnsi="Arial" w:cs="Arial"/>
          <w:bCs/>
        </w:rPr>
        <w:t>Star rating (as applicable)</w:t>
      </w:r>
    </w:p>
    <w:p w14:paraId="2A8DFC98" w14:textId="77777777" w:rsidR="00590B68" w:rsidRPr="00590B68" w:rsidRDefault="00590B68" w:rsidP="00590B68">
      <w:pPr>
        <w:rPr>
          <w:rFonts w:ascii="Arial" w:hAnsi="Arial" w:cs="Arial"/>
          <w:bCs/>
        </w:rPr>
      </w:pPr>
    </w:p>
    <w:p w14:paraId="242011DC" w14:textId="77F59B6B" w:rsidR="00590B68" w:rsidRPr="00590B68" w:rsidRDefault="00590B68" w:rsidP="00590B68">
      <w:pPr>
        <w:rPr>
          <w:rFonts w:ascii="Arial" w:hAnsi="Arial" w:cs="Arial"/>
          <w:bCs/>
        </w:rPr>
      </w:pPr>
      <w:r w:rsidRPr="00590B68">
        <w:rPr>
          <w:rFonts w:ascii="Arial" w:hAnsi="Arial" w:cs="Arial"/>
          <w:bCs/>
        </w:rPr>
        <w:t>Another area of concern regarding experience relates to construction projects</w:t>
      </w:r>
      <w:r w:rsidR="00325989">
        <w:rPr>
          <w:rFonts w:ascii="Arial" w:hAnsi="Arial" w:cs="Arial"/>
          <w:bCs/>
        </w:rPr>
        <w:t>, which</w:t>
      </w:r>
      <w:r w:rsidRPr="00590B68">
        <w:rPr>
          <w:rFonts w:ascii="Arial" w:hAnsi="Arial" w:cs="Arial"/>
          <w:bCs/>
        </w:rPr>
        <w:t xml:space="preserve"> present </w:t>
      </w:r>
      <w:r w:rsidR="00325989">
        <w:rPr>
          <w:rFonts w:ascii="Arial" w:hAnsi="Arial" w:cs="Arial"/>
          <w:bCs/>
        </w:rPr>
        <w:t>additional risk to the FHA-insurance fund as the project moves through the construction, lease-up and operations stabilization phases</w:t>
      </w:r>
      <w:r w:rsidRPr="00590B68">
        <w:rPr>
          <w:rFonts w:ascii="Arial" w:hAnsi="Arial" w:cs="Arial"/>
          <w:bCs/>
        </w:rPr>
        <w:t>.</w:t>
      </w:r>
      <w:r w:rsidR="00325989">
        <w:rPr>
          <w:rFonts w:ascii="Arial" w:hAnsi="Arial" w:cs="Arial"/>
          <w:bCs/>
        </w:rPr>
        <w:t xml:space="preserve">  As a result of these riskier project phases, the Lender Narrative should thoroughly address the Borrower’s depth of experience and ability to successfully complete the construction and lease up of the proposed project.  </w:t>
      </w:r>
      <w:r w:rsidR="009E1D78">
        <w:rPr>
          <w:rFonts w:ascii="Arial" w:hAnsi="Arial" w:cs="Arial"/>
          <w:bCs/>
        </w:rPr>
        <w:t xml:space="preserve">For example, </w:t>
      </w:r>
      <w:r w:rsidR="00824960">
        <w:rPr>
          <w:rFonts w:ascii="Arial" w:hAnsi="Arial" w:cs="Arial"/>
          <w:bCs/>
        </w:rPr>
        <w:t xml:space="preserve">discussing </w:t>
      </w:r>
      <w:r w:rsidR="009E1D78">
        <w:rPr>
          <w:rFonts w:ascii="Arial" w:hAnsi="Arial" w:cs="Arial"/>
          <w:bCs/>
        </w:rPr>
        <w:t xml:space="preserve">how the proposed borrower principals </w:t>
      </w:r>
      <w:r w:rsidR="00824960">
        <w:rPr>
          <w:rFonts w:ascii="Arial" w:hAnsi="Arial" w:cs="Arial"/>
          <w:bCs/>
        </w:rPr>
        <w:t>(</w:t>
      </w:r>
      <w:r w:rsidR="009E1D78">
        <w:rPr>
          <w:rFonts w:ascii="Arial" w:hAnsi="Arial" w:cs="Arial"/>
          <w:bCs/>
        </w:rPr>
        <w:t>or in the case of a joint venture, the borrower team</w:t>
      </w:r>
      <w:r w:rsidR="00824960">
        <w:rPr>
          <w:rFonts w:ascii="Arial" w:hAnsi="Arial" w:cs="Arial"/>
          <w:bCs/>
        </w:rPr>
        <w:t>)</w:t>
      </w:r>
      <w:r w:rsidR="009E1D78">
        <w:rPr>
          <w:rFonts w:ascii="Arial" w:hAnsi="Arial" w:cs="Arial"/>
          <w:bCs/>
        </w:rPr>
        <w:t xml:space="preserve"> </w:t>
      </w:r>
      <w:r w:rsidR="00824960">
        <w:rPr>
          <w:rFonts w:ascii="Arial" w:hAnsi="Arial" w:cs="Arial"/>
          <w:bCs/>
        </w:rPr>
        <w:t xml:space="preserve">will participate in the project, and providing evidence of </w:t>
      </w:r>
      <w:r w:rsidR="009E1D78">
        <w:rPr>
          <w:rFonts w:ascii="Arial" w:hAnsi="Arial" w:cs="Arial"/>
          <w:bCs/>
        </w:rPr>
        <w:t>ha</w:t>
      </w:r>
      <w:r w:rsidR="00824960">
        <w:rPr>
          <w:rFonts w:ascii="Arial" w:hAnsi="Arial" w:cs="Arial"/>
          <w:bCs/>
        </w:rPr>
        <w:t>ving</w:t>
      </w:r>
      <w:r w:rsidR="009E1D78">
        <w:rPr>
          <w:rFonts w:ascii="Arial" w:hAnsi="Arial" w:cs="Arial"/>
          <w:bCs/>
        </w:rPr>
        <w:t xml:space="preserve"> at least three years of experience successfully operating multiple projects of the same care type, in the same market.  </w:t>
      </w:r>
      <w:r w:rsidR="00824960">
        <w:rPr>
          <w:rFonts w:ascii="Arial" w:hAnsi="Arial" w:cs="Arial"/>
          <w:bCs/>
        </w:rPr>
        <w:t>As a reminder, t</w:t>
      </w:r>
      <w:r w:rsidR="009E1D78">
        <w:rPr>
          <w:rFonts w:ascii="Arial" w:hAnsi="Arial" w:cs="Arial"/>
          <w:bCs/>
        </w:rPr>
        <w:t>he experienced participants must have experience marketing, operating, developing, and leasing up the types of beds and units proposed</w:t>
      </w:r>
      <w:r w:rsidR="004C74BF">
        <w:rPr>
          <w:rFonts w:ascii="Arial" w:hAnsi="Arial" w:cs="Arial"/>
          <w:bCs/>
        </w:rPr>
        <w:t xml:space="preserve"> (Please see Handbook 4232.1, </w:t>
      </w:r>
      <w:r w:rsidR="004C74BF">
        <w:rPr>
          <w:rFonts w:ascii="Arial" w:hAnsi="Arial" w:cs="Arial"/>
          <w:bCs/>
        </w:rPr>
        <w:lastRenderedPageBreak/>
        <w:t>Section II, Chapter 2.</w:t>
      </w:r>
      <w:proofErr w:type="gramStart"/>
      <w:r w:rsidR="004C74BF">
        <w:rPr>
          <w:rFonts w:ascii="Arial" w:hAnsi="Arial" w:cs="Arial"/>
          <w:bCs/>
        </w:rPr>
        <w:t>5.FF</w:t>
      </w:r>
      <w:proofErr w:type="gramEnd"/>
      <w:r w:rsidR="004C74BF">
        <w:rPr>
          <w:rFonts w:ascii="Arial" w:hAnsi="Arial" w:cs="Arial"/>
          <w:bCs/>
        </w:rPr>
        <w:t>)</w:t>
      </w:r>
      <w:r w:rsidR="009E1D78">
        <w:rPr>
          <w:rFonts w:ascii="Arial" w:hAnsi="Arial" w:cs="Arial"/>
          <w:bCs/>
        </w:rPr>
        <w:t>.</w:t>
      </w:r>
      <w:r w:rsidRPr="00590B68">
        <w:rPr>
          <w:rFonts w:ascii="Arial" w:hAnsi="Arial" w:cs="Arial"/>
          <w:bCs/>
        </w:rPr>
        <w:t xml:space="preserve">  </w:t>
      </w:r>
      <w:r w:rsidR="00824960">
        <w:rPr>
          <w:rFonts w:ascii="Arial" w:hAnsi="Arial" w:cs="Arial"/>
          <w:bCs/>
        </w:rPr>
        <w:t>Experience</w:t>
      </w:r>
      <w:r w:rsidR="00824960" w:rsidRPr="00590B68">
        <w:rPr>
          <w:rFonts w:ascii="Arial" w:hAnsi="Arial" w:cs="Arial"/>
          <w:bCs/>
        </w:rPr>
        <w:t xml:space="preserve"> </w:t>
      </w:r>
      <w:r w:rsidRPr="00590B68">
        <w:rPr>
          <w:rFonts w:ascii="Arial" w:hAnsi="Arial" w:cs="Arial"/>
          <w:bCs/>
        </w:rPr>
        <w:t xml:space="preserve">of a Management Agent or Operator is not an acceptable mitigant to offset the Borrower’s lack of experience.    </w:t>
      </w:r>
    </w:p>
    <w:p w14:paraId="7D59F910" w14:textId="77777777" w:rsidR="00590B68" w:rsidRPr="00590B68" w:rsidRDefault="00590B68" w:rsidP="00590B68">
      <w:pPr>
        <w:rPr>
          <w:rFonts w:ascii="Arial" w:hAnsi="Arial" w:cs="Arial"/>
          <w:bCs/>
        </w:rPr>
      </w:pPr>
    </w:p>
    <w:p w14:paraId="58291B70" w14:textId="7FAE2F16" w:rsidR="00590B68" w:rsidRPr="00590B68" w:rsidRDefault="00590B68" w:rsidP="00590B68">
      <w:pPr>
        <w:rPr>
          <w:rFonts w:ascii="Arial" w:hAnsi="Arial" w:cs="Arial"/>
          <w:bCs/>
        </w:rPr>
      </w:pPr>
      <w:r w:rsidRPr="00590B68">
        <w:rPr>
          <w:rFonts w:ascii="Arial" w:hAnsi="Arial" w:cs="Arial"/>
          <w:bCs/>
        </w:rPr>
        <w:t>Finally, some lenders have seen their transactions delayed and the participation of a particular party denied based on</w:t>
      </w:r>
      <w:r w:rsidR="00C41AF2">
        <w:rPr>
          <w:rFonts w:ascii="Arial" w:hAnsi="Arial" w:cs="Arial"/>
          <w:bCs/>
        </w:rPr>
        <w:t xml:space="preserve"> (i)</w:t>
      </w:r>
      <w:r w:rsidRPr="00590B68">
        <w:rPr>
          <w:rFonts w:ascii="Arial" w:hAnsi="Arial" w:cs="Arial"/>
          <w:bCs/>
        </w:rPr>
        <w:t xml:space="preserve"> the party’s track record </w:t>
      </w:r>
      <w:r w:rsidR="00AF61E6">
        <w:rPr>
          <w:rFonts w:ascii="Arial" w:hAnsi="Arial" w:cs="Arial"/>
          <w:bCs/>
        </w:rPr>
        <w:t>and</w:t>
      </w:r>
      <w:r w:rsidR="00C41AF2">
        <w:rPr>
          <w:rFonts w:ascii="Arial" w:hAnsi="Arial" w:cs="Arial"/>
          <w:bCs/>
        </w:rPr>
        <w:t xml:space="preserve"> (ii)</w:t>
      </w:r>
      <w:r w:rsidR="00AF61E6">
        <w:rPr>
          <w:rFonts w:ascii="Arial" w:hAnsi="Arial" w:cs="Arial"/>
          <w:bCs/>
        </w:rPr>
        <w:t xml:space="preserve"> </w:t>
      </w:r>
      <w:r w:rsidR="00EA615F">
        <w:rPr>
          <w:rFonts w:ascii="Arial" w:hAnsi="Arial" w:cs="Arial"/>
          <w:bCs/>
        </w:rPr>
        <w:t xml:space="preserve">HUD </w:t>
      </w:r>
      <w:r w:rsidRPr="00590B68">
        <w:rPr>
          <w:rFonts w:ascii="Arial" w:hAnsi="Arial" w:cs="Arial"/>
          <w:bCs/>
        </w:rPr>
        <w:t xml:space="preserve">concerns related not </w:t>
      </w:r>
      <w:r w:rsidR="00AF61E6">
        <w:rPr>
          <w:rFonts w:ascii="Arial" w:hAnsi="Arial" w:cs="Arial"/>
          <w:bCs/>
        </w:rPr>
        <w:t>only</w:t>
      </w:r>
      <w:r w:rsidRPr="00590B68">
        <w:rPr>
          <w:rFonts w:ascii="Arial" w:hAnsi="Arial" w:cs="Arial"/>
          <w:bCs/>
        </w:rPr>
        <w:t xml:space="preserve"> to ability</w:t>
      </w:r>
      <w:r w:rsidR="00AF61E6">
        <w:rPr>
          <w:rFonts w:ascii="Arial" w:hAnsi="Arial" w:cs="Arial"/>
          <w:bCs/>
        </w:rPr>
        <w:t>,</w:t>
      </w:r>
      <w:r w:rsidRPr="00590B68">
        <w:rPr>
          <w:rFonts w:ascii="Arial" w:hAnsi="Arial" w:cs="Arial"/>
          <w:bCs/>
        </w:rPr>
        <w:t xml:space="preserve"> but to </w:t>
      </w:r>
      <w:r w:rsidRPr="00590B68">
        <w:rPr>
          <w:rFonts w:ascii="Arial" w:hAnsi="Arial" w:cs="Arial"/>
          <w:bCs/>
          <w:i/>
          <w:iCs/>
        </w:rPr>
        <w:t>reliability</w:t>
      </w:r>
      <w:r w:rsidR="00484413">
        <w:rPr>
          <w:rFonts w:ascii="Arial" w:hAnsi="Arial" w:cs="Arial"/>
          <w:bCs/>
          <w:i/>
          <w:iCs/>
        </w:rPr>
        <w:t xml:space="preserve"> </w:t>
      </w:r>
      <w:r w:rsidR="00484413">
        <w:rPr>
          <w:rFonts w:ascii="Arial" w:hAnsi="Arial" w:cs="Arial"/>
          <w:bCs/>
        </w:rPr>
        <w:t>of a particular party</w:t>
      </w:r>
      <w:r w:rsidRPr="00590B68">
        <w:rPr>
          <w:rFonts w:ascii="Arial" w:hAnsi="Arial" w:cs="Arial"/>
          <w:bCs/>
        </w:rPr>
        <w:t xml:space="preserve">.  A key concern in a participant’s experience track record is evidence of unreliability.  In that regard, proposed participants with prior convictions of fraud or other types of activities indicative of </w:t>
      </w:r>
      <w:r w:rsidR="00343816">
        <w:rPr>
          <w:rFonts w:ascii="Arial" w:hAnsi="Arial" w:cs="Arial"/>
          <w:bCs/>
        </w:rPr>
        <w:t>reputational risk</w:t>
      </w:r>
      <w:r w:rsidRPr="00590B68">
        <w:rPr>
          <w:rFonts w:ascii="Arial" w:hAnsi="Arial" w:cs="Arial"/>
          <w:bCs/>
        </w:rPr>
        <w:t>, particularly related to healthcare facilities, may not be permitted to participate in the Section 232 Program.  This is in addition to Previous Participation requirements in Housing Notice 16-15.</w:t>
      </w:r>
    </w:p>
    <w:p w14:paraId="272F06D7" w14:textId="77777777" w:rsidR="00590B68" w:rsidRPr="00590B68" w:rsidRDefault="00590B68" w:rsidP="00590B68">
      <w:pPr>
        <w:rPr>
          <w:rFonts w:ascii="Arial" w:hAnsi="Arial" w:cs="Arial"/>
          <w:b/>
        </w:rPr>
      </w:pPr>
    </w:p>
    <w:p w14:paraId="52262F4F" w14:textId="11BE9A0B" w:rsidR="00590B68" w:rsidRPr="00590B68" w:rsidRDefault="00590B68" w:rsidP="00590B68">
      <w:pPr>
        <w:rPr>
          <w:rFonts w:ascii="Arial" w:hAnsi="Arial" w:cs="Arial"/>
          <w:i/>
          <w:iCs/>
        </w:rPr>
      </w:pPr>
      <w:r w:rsidRPr="00590B68">
        <w:rPr>
          <w:rFonts w:ascii="Arial" w:hAnsi="Arial" w:cs="Arial"/>
          <w:b/>
          <w:bCs/>
          <w:i/>
          <w:iCs/>
        </w:rPr>
        <w:t>Keywords:</w:t>
      </w:r>
      <w:r w:rsidRPr="00590B68">
        <w:rPr>
          <w:rFonts w:ascii="Arial" w:hAnsi="Arial" w:cs="Arial"/>
          <w:i/>
          <w:iCs/>
        </w:rPr>
        <w:t xml:space="preserve"> Underwriting</w:t>
      </w:r>
    </w:p>
    <w:p w14:paraId="0329FE51" w14:textId="77777777" w:rsidR="00590B68" w:rsidRPr="00590B68" w:rsidRDefault="00590B68" w:rsidP="00590B68">
      <w:pPr>
        <w:rPr>
          <w:rFonts w:ascii="Arial" w:eastAsia="MS Mincho" w:hAnsi="Arial" w:cs="Arial"/>
          <w:b/>
          <w:szCs w:val="24"/>
        </w:rPr>
      </w:pPr>
    </w:p>
    <w:p w14:paraId="7D0E1D59" w14:textId="6E9ED86D" w:rsidR="00590B68" w:rsidRPr="00590B68" w:rsidRDefault="00115F9E" w:rsidP="00590B68">
      <w:pPr>
        <w:rPr>
          <w:rFonts w:ascii="Arial" w:hAnsi="Arial" w:cs="Arial"/>
          <w:color w:val="365F91" w:themeColor="accent1" w:themeShade="BF"/>
          <w:szCs w:val="24"/>
          <w:u w:val="single"/>
        </w:rPr>
      </w:pPr>
      <w:hyperlink w:anchor="_top" w:history="1">
        <w:r w:rsidR="00590B68" w:rsidRPr="00590B68">
          <w:rPr>
            <w:rFonts w:ascii="Arial" w:hAnsi="Arial" w:cs="Arial"/>
            <w:color w:val="365F91" w:themeColor="accent1" w:themeShade="BF"/>
            <w:szCs w:val="24"/>
            <w:u w:val="single"/>
          </w:rPr>
          <w:t>Back to top</w:t>
        </w:r>
      </w:hyperlink>
    </w:p>
    <w:p w14:paraId="5EE1D165" w14:textId="77777777" w:rsidR="00590B68" w:rsidRPr="00590B68" w:rsidRDefault="00590B68" w:rsidP="00590B68">
      <w:pPr>
        <w:rPr>
          <w:rFonts w:ascii="Arial" w:hAnsi="Arial" w:cs="Arial"/>
          <w:b/>
          <w:color w:val="365F91" w:themeColor="accent1" w:themeShade="BF"/>
          <w:szCs w:val="24"/>
        </w:rPr>
      </w:pPr>
    </w:p>
    <w:p w14:paraId="6721CC83" w14:textId="57FE0C57" w:rsidR="00590B68" w:rsidRPr="00590B68" w:rsidRDefault="00590B68" w:rsidP="00CE56F4">
      <w:pPr>
        <w:pStyle w:val="EmailBlast"/>
      </w:pPr>
      <w:bookmarkStart w:id="14" w:name="_Toc75955780"/>
      <w:r w:rsidRPr="00590B68">
        <w:t>Recent Purchases and Short-Term Turnaround Projects</w:t>
      </w:r>
      <w:bookmarkEnd w:id="14"/>
    </w:p>
    <w:p w14:paraId="6DF610C3" w14:textId="00321419" w:rsidR="00590B68" w:rsidRDefault="00590B68" w:rsidP="004E61D0">
      <w:pPr>
        <w:rPr>
          <w:rFonts w:ascii="Arial" w:hAnsi="Arial" w:cs="Arial"/>
        </w:rPr>
      </w:pPr>
      <w:r w:rsidRPr="5F253B67">
        <w:rPr>
          <w:rFonts w:ascii="Arial" w:hAnsi="Arial" w:cs="Arial"/>
        </w:rPr>
        <w:t>With increasing frequency</w:t>
      </w:r>
      <w:r w:rsidR="005F4ED4" w:rsidRPr="5F253B67">
        <w:rPr>
          <w:rFonts w:ascii="Arial" w:hAnsi="Arial" w:cs="Arial"/>
        </w:rPr>
        <w:t>,</w:t>
      </w:r>
      <w:r w:rsidRPr="5F253B67">
        <w:rPr>
          <w:rFonts w:ascii="Arial" w:hAnsi="Arial" w:cs="Arial"/>
        </w:rPr>
        <w:t xml:space="preserve"> </w:t>
      </w:r>
      <w:proofErr w:type="spellStart"/>
      <w:r w:rsidRPr="5F253B67">
        <w:rPr>
          <w:rFonts w:ascii="Arial" w:hAnsi="Arial" w:cs="Arial"/>
        </w:rPr>
        <w:t>ORCF</w:t>
      </w:r>
      <w:proofErr w:type="spellEnd"/>
      <w:r w:rsidRPr="5F253B67">
        <w:rPr>
          <w:rFonts w:ascii="Arial" w:hAnsi="Arial" w:cs="Arial"/>
        </w:rPr>
        <w:t xml:space="preserve"> is receiving applications for facilities that the borrower acquired recently (within the past three years) </w:t>
      </w:r>
      <w:r w:rsidR="7CF2C1F5" w:rsidRPr="5F253B67">
        <w:rPr>
          <w:rFonts w:ascii="Arial" w:hAnsi="Arial" w:cs="Arial"/>
        </w:rPr>
        <w:t xml:space="preserve">either </w:t>
      </w:r>
      <w:r w:rsidRPr="5F253B67">
        <w:rPr>
          <w:rFonts w:ascii="Arial" w:hAnsi="Arial" w:cs="Arial"/>
        </w:rPr>
        <w:t>as a distressed asset with poor financial performance</w:t>
      </w:r>
      <w:r w:rsidR="340A1A7B" w:rsidRPr="5F253B67">
        <w:rPr>
          <w:rFonts w:ascii="Arial" w:hAnsi="Arial" w:cs="Arial"/>
        </w:rPr>
        <w:t xml:space="preserve">, or where the new borrower projects significant increases over the facility’s historic </w:t>
      </w:r>
      <w:r w:rsidR="38EFAAA4" w:rsidRPr="5F253B67">
        <w:rPr>
          <w:rFonts w:ascii="Arial" w:hAnsi="Arial" w:cs="Arial"/>
        </w:rPr>
        <w:t>financial performance</w:t>
      </w:r>
      <w:r w:rsidRPr="5F253B67">
        <w:rPr>
          <w:rFonts w:ascii="Arial" w:hAnsi="Arial" w:cs="Arial"/>
        </w:rPr>
        <w:t xml:space="preserve">.  </w:t>
      </w:r>
    </w:p>
    <w:p w14:paraId="1C39A6AD" w14:textId="77777777" w:rsidR="004C74BF" w:rsidRDefault="004C74BF" w:rsidP="004E61D0">
      <w:pPr>
        <w:rPr>
          <w:rFonts w:ascii="Arial" w:hAnsi="Arial" w:cs="Arial"/>
          <w:bCs/>
        </w:rPr>
      </w:pPr>
    </w:p>
    <w:p w14:paraId="706987A2" w14:textId="6A67FA73" w:rsidR="004E61D0" w:rsidRPr="00590B68" w:rsidRDefault="004E61D0" w:rsidP="5F253B67">
      <w:pPr>
        <w:rPr>
          <w:rFonts w:ascii="Arial" w:hAnsi="Arial" w:cs="Arial"/>
        </w:rPr>
      </w:pPr>
      <w:r w:rsidRPr="5F253B67">
        <w:rPr>
          <w:rFonts w:ascii="Arial" w:hAnsi="Arial" w:cs="Arial"/>
        </w:rPr>
        <w:t xml:space="preserve">As a reminder, Lenders must review the annual and trailing </w:t>
      </w:r>
      <w:r w:rsidR="00E76962" w:rsidRPr="5F253B67">
        <w:rPr>
          <w:rFonts w:ascii="Arial" w:hAnsi="Arial" w:cs="Arial"/>
        </w:rPr>
        <w:t>12-month</w:t>
      </w:r>
      <w:r w:rsidRPr="5F253B67">
        <w:rPr>
          <w:rFonts w:ascii="Arial" w:hAnsi="Arial" w:cs="Arial"/>
        </w:rPr>
        <w:t xml:space="preserve"> financial statements to assess the project’s financial </w:t>
      </w:r>
      <w:proofErr w:type="gramStart"/>
      <w:r w:rsidRPr="5F253B67">
        <w:rPr>
          <w:rFonts w:ascii="Arial" w:hAnsi="Arial" w:cs="Arial"/>
        </w:rPr>
        <w:t>performance,</w:t>
      </w:r>
      <w:r w:rsidR="000D71CC">
        <w:rPr>
          <w:rFonts w:ascii="Arial" w:hAnsi="Arial" w:cs="Arial"/>
        </w:rPr>
        <w:t xml:space="preserve"> </w:t>
      </w:r>
      <w:r w:rsidRPr="5F253B67">
        <w:rPr>
          <w:rFonts w:ascii="Arial" w:hAnsi="Arial" w:cs="Arial"/>
        </w:rPr>
        <w:t>and</w:t>
      </w:r>
      <w:proofErr w:type="gramEnd"/>
      <w:r w:rsidRPr="5F253B67">
        <w:rPr>
          <w:rFonts w:ascii="Arial" w:hAnsi="Arial" w:cs="Arial"/>
        </w:rPr>
        <w:t xml:space="preserve"> must base underwritten income and expenses on a consideration of historic and trailing twelve-month performance.  Changes in recent performance relative to historic performance must be carefully reviewed to assure conservative underwriting</w:t>
      </w:r>
      <w:r w:rsidR="004C74BF">
        <w:rPr>
          <w:rFonts w:ascii="Arial" w:hAnsi="Arial" w:cs="Arial"/>
        </w:rPr>
        <w:t xml:space="preserve"> (Please see Handbook 423.21, Section II, Chapter 2.9.N)</w:t>
      </w:r>
      <w:r w:rsidRPr="5F253B67">
        <w:rPr>
          <w:rFonts w:ascii="Arial" w:hAnsi="Arial" w:cs="Arial"/>
        </w:rPr>
        <w:t>.  For example, a project that was</w:t>
      </w:r>
      <w:r w:rsidR="26C9359E" w:rsidRPr="5F253B67">
        <w:rPr>
          <w:rFonts w:ascii="Arial" w:hAnsi="Arial" w:cs="Arial"/>
        </w:rPr>
        <w:t xml:space="preserve"> recently purchased but</w:t>
      </w:r>
      <w:r w:rsidR="40A163F7" w:rsidRPr="5F253B67">
        <w:rPr>
          <w:rFonts w:ascii="Arial" w:hAnsi="Arial" w:cs="Arial"/>
        </w:rPr>
        <w:t xml:space="preserve"> has </w:t>
      </w:r>
      <w:r w:rsidR="2645037C" w:rsidRPr="5F253B67">
        <w:rPr>
          <w:rFonts w:ascii="Arial" w:hAnsi="Arial" w:cs="Arial"/>
        </w:rPr>
        <w:t xml:space="preserve">not yet </w:t>
      </w:r>
      <w:r w:rsidR="0AB6C3FF" w:rsidRPr="5F253B67">
        <w:rPr>
          <w:rFonts w:ascii="Arial" w:hAnsi="Arial" w:cs="Arial"/>
        </w:rPr>
        <w:t>achieved or</w:t>
      </w:r>
      <w:r w:rsidR="2645037C" w:rsidRPr="5F253B67">
        <w:rPr>
          <w:rFonts w:ascii="Arial" w:hAnsi="Arial" w:cs="Arial"/>
        </w:rPr>
        <w:t xml:space="preserve"> sustained operations at </w:t>
      </w:r>
      <w:r w:rsidR="40A163F7" w:rsidRPr="5F253B67">
        <w:rPr>
          <w:rFonts w:ascii="Arial" w:hAnsi="Arial" w:cs="Arial"/>
        </w:rPr>
        <w:t xml:space="preserve">the underwritten </w:t>
      </w:r>
      <w:proofErr w:type="spellStart"/>
      <w:r w:rsidR="40A163F7" w:rsidRPr="5F253B67">
        <w:rPr>
          <w:rFonts w:ascii="Arial" w:hAnsi="Arial" w:cs="Arial"/>
        </w:rPr>
        <w:t>NOI</w:t>
      </w:r>
      <w:proofErr w:type="spellEnd"/>
      <w:r w:rsidR="40A163F7" w:rsidRPr="5F253B67">
        <w:rPr>
          <w:rFonts w:ascii="Arial" w:hAnsi="Arial" w:cs="Arial"/>
        </w:rPr>
        <w:t xml:space="preserve"> for value loan sizin</w:t>
      </w:r>
      <w:r w:rsidR="058852DB" w:rsidRPr="5F253B67">
        <w:rPr>
          <w:rFonts w:ascii="Arial" w:hAnsi="Arial" w:cs="Arial"/>
        </w:rPr>
        <w:t>g may not represent conservative underwriting</w:t>
      </w:r>
      <w:r w:rsidR="3089739A" w:rsidRPr="5F253B67">
        <w:rPr>
          <w:rFonts w:ascii="Arial" w:hAnsi="Arial" w:cs="Arial"/>
        </w:rPr>
        <w:t>, and a reduced loan sizing may be appropriate to reflect the additional risk of the transaction.</w:t>
      </w:r>
    </w:p>
    <w:p w14:paraId="0BAC7D80" w14:textId="77777777" w:rsidR="00590B68" w:rsidRPr="00590B68" w:rsidRDefault="00590B68" w:rsidP="00590B68">
      <w:pPr>
        <w:rPr>
          <w:rFonts w:ascii="Arial" w:hAnsi="Arial" w:cs="Arial"/>
          <w:b/>
        </w:rPr>
      </w:pPr>
    </w:p>
    <w:p w14:paraId="73574AD3" w14:textId="5381CE93" w:rsidR="00590B68" w:rsidRPr="00590B68" w:rsidRDefault="00590B68" w:rsidP="00590B68">
      <w:pPr>
        <w:rPr>
          <w:rFonts w:ascii="Arial" w:hAnsi="Arial" w:cs="Arial"/>
          <w:i/>
          <w:iCs/>
        </w:rPr>
      </w:pPr>
      <w:r w:rsidRPr="00590B68">
        <w:rPr>
          <w:rFonts w:ascii="Arial" w:hAnsi="Arial" w:cs="Arial"/>
          <w:b/>
          <w:bCs/>
          <w:i/>
          <w:iCs/>
        </w:rPr>
        <w:t>Keywords:</w:t>
      </w:r>
      <w:r w:rsidRPr="00590B68">
        <w:rPr>
          <w:rFonts w:ascii="Arial" w:hAnsi="Arial" w:cs="Arial"/>
          <w:i/>
          <w:iCs/>
        </w:rPr>
        <w:t xml:space="preserve"> Underwriting, </w:t>
      </w:r>
      <w:bookmarkStart w:id="15" w:name="_Hlk75954770"/>
      <w:r w:rsidRPr="00590B68">
        <w:rPr>
          <w:rFonts w:ascii="Arial" w:hAnsi="Arial" w:cs="Arial"/>
          <w:i/>
          <w:iCs/>
        </w:rPr>
        <w:t>Recent Purchase</w:t>
      </w:r>
      <w:bookmarkEnd w:id="15"/>
    </w:p>
    <w:p w14:paraId="46EA6227" w14:textId="77777777" w:rsidR="00590B68" w:rsidRPr="00590B68" w:rsidRDefault="00590B68" w:rsidP="00590B68">
      <w:pPr>
        <w:rPr>
          <w:rFonts w:ascii="Arial" w:eastAsia="MS Mincho" w:hAnsi="Arial" w:cs="Arial"/>
          <w:b/>
          <w:szCs w:val="24"/>
        </w:rPr>
      </w:pPr>
    </w:p>
    <w:p w14:paraId="28C44BEF" w14:textId="77777777" w:rsidR="00590B68" w:rsidRPr="00590B68" w:rsidRDefault="00115F9E" w:rsidP="00590B68">
      <w:pPr>
        <w:rPr>
          <w:rFonts w:ascii="Arial" w:hAnsi="Arial" w:cs="Arial"/>
          <w:b/>
          <w:color w:val="365F91" w:themeColor="accent1" w:themeShade="BF"/>
          <w:szCs w:val="24"/>
        </w:rPr>
      </w:pPr>
      <w:hyperlink w:anchor="_top" w:history="1">
        <w:r w:rsidR="00590B68" w:rsidRPr="00590B68">
          <w:rPr>
            <w:rFonts w:ascii="Arial" w:hAnsi="Arial" w:cs="Arial"/>
            <w:color w:val="365F91" w:themeColor="accent1" w:themeShade="BF"/>
            <w:szCs w:val="24"/>
            <w:u w:val="single"/>
          </w:rPr>
          <w:t>Back to top</w:t>
        </w:r>
      </w:hyperlink>
    </w:p>
    <w:p w14:paraId="0AE715C8" w14:textId="3B9DA567" w:rsidR="00590B68" w:rsidRPr="00590B68" w:rsidRDefault="00590B68" w:rsidP="008930F5">
      <w:pPr>
        <w:rPr>
          <w:rFonts w:ascii="Arial" w:hAnsi="Arial" w:cs="Arial"/>
          <w:b/>
        </w:rPr>
      </w:pPr>
    </w:p>
    <w:p w14:paraId="03190464" w14:textId="0DF2DA92" w:rsidR="00590B68" w:rsidRPr="00590B68" w:rsidRDefault="00590B68" w:rsidP="00CE56F4">
      <w:pPr>
        <w:pStyle w:val="EmailBlast"/>
      </w:pPr>
      <w:bookmarkStart w:id="16" w:name="_Toc75955781"/>
      <w:r w:rsidRPr="00590B68">
        <w:t>Limited Debt Seasoning Exception Projects</w:t>
      </w:r>
      <w:bookmarkEnd w:id="16"/>
    </w:p>
    <w:p w14:paraId="71CA2DB1" w14:textId="141AAF36" w:rsidR="00590B68" w:rsidRPr="00590B68" w:rsidRDefault="00590B68" w:rsidP="00590B68">
      <w:pPr>
        <w:rPr>
          <w:rFonts w:ascii="Arial" w:hAnsi="Arial" w:cs="Arial"/>
          <w:bCs/>
        </w:rPr>
      </w:pPr>
      <w:r w:rsidRPr="00590B68">
        <w:rPr>
          <w:rFonts w:ascii="Arial" w:hAnsi="Arial" w:cs="Arial"/>
          <w:bCs/>
        </w:rPr>
        <w:t xml:space="preserve">HUD Handbook 4232.1, Section II, Chapter 3.13.D, states that “Consideration for less than two years seasoning requires value supported by a </w:t>
      </w:r>
      <w:r w:rsidR="00784558">
        <w:rPr>
          <w:rFonts w:ascii="Arial" w:hAnsi="Arial" w:cs="Arial"/>
          <w:bCs/>
        </w:rPr>
        <w:t>thir</w:t>
      </w:r>
      <w:r w:rsidRPr="00590B68">
        <w:rPr>
          <w:rFonts w:ascii="Arial" w:hAnsi="Arial" w:cs="Arial"/>
          <w:bCs/>
        </w:rPr>
        <w:t>d</w:t>
      </w:r>
      <w:r w:rsidR="000D71CC">
        <w:rPr>
          <w:rFonts w:ascii="Arial" w:hAnsi="Arial" w:cs="Arial"/>
          <w:bCs/>
        </w:rPr>
        <w:t>-</w:t>
      </w:r>
      <w:r w:rsidRPr="00590B68">
        <w:rPr>
          <w:rFonts w:ascii="Arial" w:hAnsi="Arial" w:cs="Arial"/>
          <w:bCs/>
        </w:rPr>
        <w:t>party appraisal and 3+ years of stabilized historical cash flow which supports the value.”  To clarify, stabilized cash flow refers to projects where there have been no ownership or operator changes and projects where there have been no changes in operation</w:t>
      </w:r>
      <w:r w:rsidR="00490ACD">
        <w:rPr>
          <w:rFonts w:ascii="Arial" w:hAnsi="Arial" w:cs="Arial"/>
          <w:bCs/>
        </w:rPr>
        <w:t>al model or bed capacity</w:t>
      </w:r>
      <w:r w:rsidRPr="00590B68">
        <w:rPr>
          <w:rFonts w:ascii="Arial" w:hAnsi="Arial" w:cs="Arial"/>
          <w:bCs/>
        </w:rPr>
        <w:t xml:space="preserve"> in the last three years.  </w:t>
      </w:r>
    </w:p>
    <w:p w14:paraId="3A28DA24" w14:textId="77777777" w:rsidR="00590B68" w:rsidRPr="00590B68" w:rsidRDefault="00590B68" w:rsidP="00590B68">
      <w:pPr>
        <w:rPr>
          <w:rFonts w:ascii="Arial" w:hAnsi="Arial" w:cs="Arial"/>
          <w:b/>
        </w:rPr>
      </w:pPr>
    </w:p>
    <w:p w14:paraId="4C4579E8" w14:textId="733BC244" w:rsidR="00590B68" w:rsidRPr="00590B68" w:rsidRDefault="00590B68" w:rsidP="00590B68">
      <w:pPr>
        <w:rPr>
          <w:rFonts w:ascii="Arial" w:hAnsi="Arial" w:cs="Arial"/>
          <w:i/>
          <w:iCs/>
        </w:rPr>
      </w:pPr>
      <w:r w:rsidRPr="00590B68">
        <w:rPr>
          <w:rFonts w:ascii="Arial" w:hAnsi="Arial" w:cs="Arial"/>
          <w:b/>
          <w:bCs/>
          <w:i/>
          <w:iCs/>
        </w:rPr>
        <w:t>Keywords:</w:t>
      </w:r>
      <w:r w:rsidRPr="00590B68">
        <w:rPr>
          <w:rFonts w:ascii="Arial" w:hAnsi="Arial" w:cs="Arial"/>
          <w:i/>
          <w:iCs/>
        </w:rPr>
        <w:t xml:space="preserve"> Underwriting, </w:t>
      </w:r>
      <w:bookmarkStart w:id="17" w:name="_Hlk75954819"/>
      <w:r w:rsidRPr="00590B68">
        <w:rPr>
          <w:rFonts w:ascii="Arial" w:hAnsi="Arial" w:cs="Arial"/>
          <w:i/>
          <w:iCs/>
        </w:rPr>
        <w:t>Debt Seasoning</w:t>
      </w:r>
      <w:bookmarkEnd w:id="17"/>
    </w:p>
    <w:p w14:paraId="3536A086" w14:textId="7751E873" w:rsidR="00590B68" w:rsidRDefault="00590B68" w:rsidP="00590B68">
      <w:pPr>
        <w:rPr>
          <w:rFonts w:ascii="Arial" w:eastAsia="MS Mincho" w:hAnsi="Arial" w:cs="Arial"/>
          <w:b/>
          <w:szCs w:val="24"/>
        </w:rPr>
      </w:pPr>
    </w:p>
    <w:p w14:paraId="13744AE8" w14:textId="77777777" w:rsidR="00FB268F" w:rsidRPr="00590B68" w:rsidRDefault="00115F9E" w:rsidP="00FB268F">
      <w:pPr>
        <w:rPr>
          <w:rFonts w:ascii="Arial" w:hAnsi="Arial" w:cs="Arial"/>
          <w:b/>
          <w:color w:val="365F91" w:themeColor="accent1" w:themeShade="BF"/>
          <w:szCs w:val="24"/>
        </w:rPr>
      </w:pPr>
      <w:hyperlink w:anchor="_top" w:history="1">
        <w:r w:rsidR="00FB268F" w:rsidRPr="00590B68">
          <w:rPr>
            <w:rFonts w:ascii="Arial" w:hAnsi="Arial" w:cs="Arial"/>
            <w:color w:val="365F91" w:themeColor="accent1" w:themeShade="BF"/>
            <w:szCs w:val="24"/>
            <w:u w:val="single"/>
          </w:rPr>
          <w:t>Back to top</w:t>
        </w:r>
      </w:hyperlink>
    </w:p>
    <w:p w14:paraId="1C4F8196" w14:textId="77777777" w:rsidR="00FB268F" w:rsidRDefault="00FB268F" w:rsidP="00590B68">
      <w:pPr>
        <w:rPr>
          <w:rFonts w:ascii="Arial" w:eastAsia="MS Mincho" w:hAnsi="Arial" w:cs="Arial"/>
          <w:b/>
          <w:szCs w:val="24"/>
        </w:rPr>
      </w:pPr>
    </w:p>
    <w:p w14:paraId="79FE80EC" w14:textId="2C4B9143" w:rsidR="00F243F4" w:rsidRPr="00F243F4" w:rsidRDefault="00F243F4" w:rsidP="00CE56F4">
      <w:pPr>
        <w:pStyle w:val="EmailBlast"/>
      </w:pPr>
      <w:bookmarkStart w:id="18" w:name="_Toc75955782"/>
      <w:r w:rsidRPr="00F243F4">
        <w:t>Guidance for L</w:t>
      </w:r>
      <w:r>
        <w:t>enders</w:t>
      </w:r>
      <w:r w:rsidRPr="00F243F4">
        <w:t xml:space="preserve"> Reporting </w:t>
      </w:r>
      <w:r>
        <w:t>Q</w:t>
      </w:r>
      <w:r w:rsidRPr="00F243F4">
        <w:t xml:space="preserve">uarterly </w:t>
      </w:r>
      <w:r>
        <w:t>O</w:t>
      </w:r>
      <w:r w:rsidRPr="00F243F4">
        <w:t xml:space="preserve">perator </w:t>
      </w:r>
      <w:r>
        <w:t>F</w:t>
      </w:r>
      <w:r w:rsidRPr="00F243F4">
        <w:t>inancials in the 232 Healthcare Portal I</w:t>
      </w:r>
      <w:r>
        <w:t>n</w:t>
      </w:r>
      <w:r w:rsidRPr="00F243F4">
        <w:t xml:space="preserve"> S</w:t>
      </w:r>
      <w:r>
        <w:t>pecial Situations</w:t>
      </w:r>
      <w:bookmarkEnd w:id="18"/>
    </w:p>
    <w:p w14:paraId="33A4C7C2" w14:textId="152F46EE" w:rsidR="00F243F4" w:rsidRDefault="00F243F4" w:rsidP="00F243F4">
      <w:pPr>
        <w:rPr>
          <w:rFonts w:ascii="Arial" w:hAnsi="Arial" w:cs="Arial"/>
          <w:bCs/>
        </w:rPr>
      </w:pPr>
      <w:r w:rsidRPr="00F243F4">
        <w:rPr>
          <w:rFonts w:ascii="Arial" w:hAnsi="Arial" w:cs="Arial"/>
          <w:bCs/>
        </w:rPr>
        <w:t>Certain triggering events impact how quarterly Operator financials should be reported by the Lender:</w:t>
      </w:r>
    </w:p>
    <w:p w14:paraId="51C0E3EA" w14:textId="77777777" w:rsidR="00622C81" w:rsidRPr="00F243F4" w:rsidRDefault="00622C81" w:rsidP="00F243F4">
      <w:pPr>
        <w:rPr>
          <w:rFonts w:ascii="Arial" w:hAnsi="Arial" w:cs="Arial"/>
          <w:bCs/>
        </w:rPr>
      </w:pPr>
    </w:p>
    <w:p w14:paraId="53903837" w14:textId="77777777" w:rsidR="00F243F4" w:rsidRPr="00F243F4" w:rsidRDefault="00F243F4" w:rsidP="00A00298">
      <w:pPr>
        <w:numPr>
          <w:ilvl w:val="0"/>
          <w:numId w:val="10"/>
        </w:numPr>
        <w:rPr>
          <w:rFonts w:ascii="Arial" w:hAnsi="Arial" w:cs="Arial"/>
          <w:bCs/>
        </w:rPr>
      </w:pPr>
      <w:r w:rsidRPr="00F243F4">
        <w:rPr>
          <w:rFonts w:ascii="Arial" w:hAnsi="Arial" w:cs="Arial"/>
          <w:b/>
          <w:bCs/>
        </w:rPr>
        <w:t>New Loans:</w:t>
      </w:r>
      <w:r w:rsidRPr="00F243F4">
        <w:rPr>
          <w:rFonts w:ascii="Arial" w:hAnsi="Arial" w:cs="Arial"/>
          <w:bCs/>
        </w:rPr>
        <w:t xml:space="preserve">  Beginning with the first complete quarter AFTER Final Endorsement, the Operator Regulatory Agreement, Paragraph 20 (c), requires Operator to submit financial reports on a quarterly and year-to-date basis.  </w:t>
      </w:r>
    </w:p>
    <w:p w14:paraId="5EC96E8B" w14:textId="77777777" w:rsidR="00F243F4" w:rsidRPr="00F243F4" w:rsidRDefault="00F243F4" w:rsidP="00F243F4">
      <w:pPr>
        <w:rPr>
          <w:rFonts w:ascii="Arial" w:hAnsi="Arial" w:cs="Arial"/>
          <w:bCs/>
        </w:rPr>
      </w:pPr>
    </w:p>
    <w:p w14:paraId="70A2BF28" w14:textId="77777777" w:rsidR="00F243F4" w:rsidRPr="00F243F4" w:rsidRDefault="00F243F4" w:rsidP="00A00298">
      <w:pPr>
        <w:numPr>
          <w:ilvl w:val="0"/>
          <w:numId w:val="10"/>
        </w:numPr>
        <w:rPr>
          <w:rFonts w:ascii="Arial" w:hAnsi="Arial" w:cs="Arial"/>
          <w:bCs/>
        </w:rPr>
      </w:pPr>
      <w:r w:rsidRPr="00F243F4">
        <w:rPr>
          <w:rFonts w:ascii="Arial" w:hAnsi="Arial" w:cs="Arial"/>
          <w:b/>
          <w:bCs/>
        </w:rPr>
        <w:t>Refinances:</w:t>
      </w:r>
      <w:r w:rsidRPr="00F243F4">
        <w:rPr>
          <w:rFonts w:ascii="Arial" w:hAnsi="Arial" w:cs="Arial"/>
          <w:bCs/>
        </w:rPr>
        <w:t xml:space="preserve">  Beginning with the first complete quarter AFTER Final Endorsement of the new FHA loan, the Operator Regulatory Agreement, Paragraph 20 (c), requires Operator to submit financial reports on a quarterly and year-to-date basis.  Due to the inability of the Portal to accept partial quarterly financial submissions, the last required quarter of financials for the old loan number is the previous full calendar year quarter.  See the table below to visualize quarterly Operator submissions required for a refinance based on a Q3 Final Endorsement, both for the prior FHA loan and the new one.</w:t>
      </w:r>
    </w:p>
    <w:p w14:paraId="2E8C5A9E" w14:textId="77777777" w:rsidR="00F243F4" w:rsidRPr="00F243F4" w:rsidRDefault="00F243F4" w:rsidP="00F243F4">
      <w:pPr>
        <w:rPr>
          <w:rFonts w:ascii="Arial" w:hAnsi="Arial" w:cs="Arial"/>
          <w:bCs/>
        </w:rPr>
      </w:pPr>
    </w:p>
    <w:p w14:paraId="597D2741" w14:textId="0DCD39AD" w:rsidR="00F243F4" w:rsidRDefault="00F243F4" w:rsidP="00F243F4">
      <w:pPr>
        <w:rPr>
          <w:rFonts w:ascii="Arial" w:hAnsi="Arial" w:cs="Arial"/>
          <w:b/>
          <w:bCs/>
        </w:rPr>
      </w:pPr>
      <w:r w:rsidRPr="00F243F4">
        <w:rPr>
          <w:rFonts w:ascii="Arial" w:hAnsi="Arial" w:cs="Arial"/>
          <w:b/>
          <w:bCs/>
        </w:rPr>
        <w:t>Quarterly Operator Submission Required for Refinance?</w:t>
      </w:r>
    </w:p>
    <w:p w14:paraId="152A56FA" w14:textId="77777777" w:rsidR="00622C81" w:rsidRPr="00F243F4" w:rsidRDefault="00622C81" w:rsidP="00F243F4">
      <w:pPr>
        <w:rPr>
          <w:rFonts w:ascii="Arial" w:hAnsi="Arial" w:cs="Arial"/>
          <w:b/>
          <w:bCs/>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1870"/>
        <w:gridCol w:w="1870"/>
        <w:gridCol w:w="2285"/>
        <w:gridCol w:w="2090"/>
      </w:tblGrid>
      <w:tr w:rsidR="00F243F4" w:rsidRPr="00F243F4" w14:paraId="30EA04EF" w14:textId="77777777" w:rsidTr="0004525B">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7C9DF" w14:textId="77777777" w:rsidR="00F243F4" w:rsidRPr="00F243F4" w:rsidRDefault="00F243F4" w:rsidP="00F243F4">
            <w:pPr>
              <w:rPr>
                <w:rFonts w:ascii="Arial" w:hAnsi="Arial" w:cs="Arial"/>
                <w:bCs/>
              </w:rPr>
            </w:pPr>
            <w:r w:rsidRPr="00F243F4">
              <w:rPr>
                <w:rFonts w:ascii="Arial" w:hAnsi="Arial" w:cs="Arial"/>
                <w:bCs/>
              </w:rPr>
              <w:t>Q1</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84103" w14:textId="77777777" w:rsidR="00F243F4" w:rsidRPr="00F243F4" w:rsidRDefault="00F243F4" w:rsidP="00F243F4">
            <w:pPr>
              <w:rPr>
                <w:rFonts w:ascii="Arial" w:hAnsi="Arial" w:cs="Arial"/>
                <w:bCs/>
              </w:rPr>
            </w:pPr>
            <w:r w:rsidRPr="00F243F4">
              <w:rPr>
                <w:rFonts w:ascii="Arial" w:hAnsi="Arial" w:cs="Arial"/>
                <w:bCs/>
              </w:rPr>
              <w:t>Q2</w:t>
            </w:r>
          </w:p>
        </w:tc>
        <w:tc>
          <w:tcPr>
            <w:tcW w:w="2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2D120" w14:textId="77777777" w:rsidR="00F243F4" w:rsidRPr="00F243F4" w:rsidRDefault="00F243F4" w:rsidP="00F243F4">
            <w:pPr>
              <w:rPr>
                <w:rFonts w:ascii="Arial" w:hAnsi="Arial" w:cs="Arial"/>
                <w:bCs/>
              </w:rPr>
            </w:pPr>
            <w:r w:rsidRPr="00F243F4">
              <w:rPr>
                <w:rFonts w:ascii="Arial" w:hAnsi="Arial" w:cs="Arial"/>
                <w:bCs/>
              </w:rPr>
              <w:t>Q3: Final Endorsement</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EDABF0" w14:textId="77777777" w:rsidR="00F243F4" w:rsidRPr="00F243F4" w:rsidRDefault="00F243F4" w:rsidP="00F243F4">
            <w:pPr>
              <w:rPr>
                <w:rFonts w:ascii="Arial" w:hAnsi="Arial" w:cs="Arial"/>
                <w:bCs/>
              </w:rPr>
            </w:pPr>
            <w:r w:rsidRPr="00F243F4">
              <w:rPr>
                <w:rFonts w:ascii="Arial" w:hAnsi="Arial" w:cs="Arial"/>
                <w:bCs/>
              </w:rPr>
              <w:t>Q4</w:t>
            </w:r>
          </w:p>
        </w:tc>
      </w:tr>
      <w:tr w:rsidR="00F243F4" w:rsidRPr="00F243F4" w14:paraId="45693A62" w14:textId="77777777" w:rsidTr="0004525B">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C0A23" w14:textId="77777777" w:rsidR="00F243F4" w:rsidRPr="00F243F4" w:rsidRDefault="00F243F4" w:rsidP="00F243F4">
            <w:pPr>
              <w:rPr>
                <w:rFonts w:ascii="Arial" w:hAnsi="Arial" w:cs="Arial"/>
                <w:bCs/>
              </w:rPr>
            </w:pPr>
            <w:r w:rsidRPr="00F243F4">
              <w:rPr>
                <w:rFonts w:ascii="Arial" w:hAnsi="Arial" w:cs="Arial"/>
                <w:bCs/>
              </w:rPr>
              <w:t>Yes - Previous Loan</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AAD94DD" w14:textId="77777777" w:rsidR="00F243F4" w:rsidRPr="00F243F4" w:rsidRDefault="00F243F4" w:rsidP="00F243F4">
            <w:pPr>
              <w:rPr>
                <w:rFonts w:ascii="Arial" w:hAnsi="Arial" w:cs="Arial"/>
                <w:bCs/>
              </w:rPr>
            </w:pPr>
            <w:r w:rsidRPr="00F243F4">
              <w:rPr>
                <w:rFonts w:ascii="Arial" w:hAnsi="Arial" w:cs="Arial"/>
                <w:bCs/>
              </w:rPr>
              <w:t>Yes - Previous Loan</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14:paraId="5034CC4F" w14:textId="77777777" w:rsidR="00F243F4" w:rsidRPr="00F243F4" w:rsidRDefault="00F243F4" w:rsidP="00F243F4">
            <w:pPr>
              <w:rPr>
                <w:rFonts w:ascii="Arial" w:hAnsi="Arial" w:cs="Arial"/>
                <w:bCs/>
              </w:rPr>
            </w:pPr>
            <w:r w:rsidRPr="00F243F4">
              <w:rPr>
                <w:rFonts w:ascii="Arial" w:hAnsi="Arial" w:cs="Arial"/>
                <w:bCs/>
              </w:rPr>
              <w:t>No Submission</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148ECD5E" w14:textId="77777777" w:rsidR="00F243F4" w:rsidRPr="00F243F4" w:rsidRDefault="00F243F4" w:rsidP="00F243F4">
            <w:pPr>
              <w:rPr>
                <w:rFonts w:ascii="Arial" w:hAnsi="Arial" w:cs="Arial"/>
                <w:bCs/>
              </w:rPr>
            </w:pPr>
            <w:r w:rsidRPr="00F243F4">
              <w:rPr>
                <w:rFonts w:ascii="Arial" w:hAnsi="Arial" w:cs="Arial"/>
                <w:bCs/>
              </w:rPr>
              <w:t>Yes – 1st Submission for New Loan</w:t>
            </w:r>
          </w:p>
        </w:tc>
      </w:tr>
    </w:tbl>
    <w:p w14:paraId="70F19405" w14:textId="77777777" w:rsidR="00F243F4" w:rsidRPr="00F243F4" w:rsidRDefault="00F243F4" w:rsidP="00F243F4">
      <w:pPr>
        <w:rPr>
          <w:rFonts w:ascii="Arial" w:hAnsi="Arial" w:cs="Arial"/>
          <w:bCs/>
        </w:rPr>
      </w:pPr>
    </w:p>
    <w:p w14:paraId="7EC87C86" w14:textId="77777777" w:rsidR="00F243F4" w:rsidRPr="00F243F4" w:rsidRDefault="00F243F4" w:rsidP="00F243F4">
      <w:pPr>
        <w:rPr>
          <w:rFonts w:ascii="Arial" w:hAnsi="Arial" w:cs="Arial"/>
          <w:bCs/>
        </w:rPr>
      </w:pPr>
    </w:p>
    <w:p w14:paraId="6C5E127E" w14:textId="77777777" w:rsidR="00F243F4" w:rsidRPr="00F243F4" w:rsidRDefault="00F243F4" w:rsidP="00F243F4">
      <w:pPr>
        <w:rPr>
          <w:rFonts w:ascii="Arial" w:hAnsi="Arial" w:cs="Arial"/>
          <w:bCs/>
        </w:rPr>
      </w:pPr>
    </w:p>
    <w:p w14:paraId="6FF868AD" w14:textId="77777777" w:rsidR="00F243F4" w:rsidRPr="00F243F4" w:rsidRDefault="00F243F4" w:rsidP="00F243F4">
      <w:pPr>
        <w:rPr>
          <w:rFonts w:ascii="Arial" w:hAnsi="Arial" w:cs="Arial"/>
          <w:bCs/>
        </w:rPr>
      </w:pPr>
    </w:p>
    <w:p w14:paraId="27D4AD42" w14:textId="77777777" w:rsidR="00F243F4" w:rsidRPr="00F243F4" w:rsidRDefault="00F243F4" w:rsidP="00F243F4">
      <w:pPr>
        <w:rPr>
          <w:rFonts w:ascii="Arial" w:hAnsi="Arial" w:cs="Arial"/>
          <w:bCs/>
        </w:rPr>
      </w:pPr>
    </w:p>
    <w:p w14:paraId="250792EC" w14:textId="77777777" w:rsidR="00F243F4" w:rsidRPr="00F243F4" w:rsidRDefault="00F243F4" w:rsidP="00F243F4">
      <w:pPr>
        <w:rPr>
          <w:rFonts w:ascii="Arial" w:hAnsi="Arial" w:cs="Arial"/>
          <w:bCs/>
        </w:rPr>
      </w:pPr>
    </w:p>
    <w:p w14:paraId="2E9C2853" w14:textId="77777777" w:rsidR="00F243F4" w:rsidRPr="00F243F4" w:rsidRDefault="00F243F4" w:rsidP="00A00298">
      <w:pPr>
        <w:numPr>
          <w:ilvl w:val="0"/>
          <w:numId w:val="10"/>
        </w:numPr>
        <w:rPr>
          <w:rFonts w:ascii="Arial" w:hAnsi="Arial" w:cs="Arial"/>
          <w:bCs/>
        </w:rPr>
      </w:pPr>
      <w:r w:rsidRPr="00F243F4">
        <w:rPr>
          <w:rFonts w:ascii="Arial" w:hAnsi="Arial" w:cs="Arial"/>
          <w:b/>
          <w:bCs/>
        </w:rPr>
        <w:t>Change of Participants (CHOP</w:t>
      </w:r>
      <w:r w:rsidRPr="00F243F4">
        <w:rPr>
          <w:rFonts w:ascii="Arial" w:hAnsi="Arial" w:cs="Arial"/>
          <w:bCs/>
        </w:rPr>
        <w:t xml:space="preserve">):  For changes in either the Borrower or Operator, there generally should be no gap in reporting quarterly Operator submissions.  In the case of a change of Operator, the Lender will need to combine financials of the old Operator and the new Operator for the quarter during which the change takes effect.  If a Change of Operator closed on 12/1/2020, the Q4 2020 Operator financial submissions should consist of the old Operator’s financials for 10/1/2020 through 11/30/2020 and the new Operator’s financials for the period 12/1/2020 through 12/31/2020.  </w:t>
      </w:r>
    </w:p>
    <w:p w14:paraId="37C3C1A8" w14:textId="77777777" w:rsidR="00F243F4" w:rsidRPr="00F243F4" w:rsidRDefault="00F243F4" w:rsidP="00F243F4">
      <w:pPr>
        <w:rPr>
          <w:rFonts w:ascii="Arial" w:hAnsi="Arial" w:cs="Arial"/>
          <w:bCs/>
        </w:rPr>
      </w:pPr>
    </w:p>
    <w:p w14:paraId="6BE92B23" w14:textId="1ECEB93C" w:rsidR="00F243F4" w:rsidRPr="00F243F4" w:rsidRDefault="00F243F4" w:rsidP="00A00298">
      <w:pPr>
        <w:numPr>
          <w:ilvl w:val="1"/>
          <w:numId w:val="10"/>
        </w:numPr>
        <w:rPr>
          <w:rFonts w:ascii="Arial" w:hAnsi="Arial" w:cs="Arial"/>
          <w:bCs/>
        </w:rPr>
      </w:pPr>
      <w:r w:rsidRPr="00F243F4">
        <w:rPr>
          <w:rFonts w:ascii="Arial" w:hAnsi="Arial" w:cs="Arial"/>
          <w:bCs/>
        </w:rPr>
        <w:t xml:space="preserve">One notable exception to this </w:t>
      </w:r>
      <w:r w:rsidR="008501CE">
        <w:rPr>
          <w:rFonts w:ascii="Arial" w:hAnsi="Arial" w:cs="Arial"/>
          <w:bCs/>
        </w:rPr>
        <w:t>procedure</w:t>
      </w:r>
      <w:r w:rsidRPr="00F243F4">
        <w:rPr>
          <w:rFonts w:ascii="Arial" w:hAnsi="Arial" w:cs="Arial"/>
          <w:bCs/>
        </w:rPr>
        <w:t xml:space="preserve"> is the instance where a change of Operator results in a change in the Fiscal Year End Date (FYE) of the Operator.  Lenders should communicate these changes to the assigned Account Executive.  </w:t>
      </w:r>
    </w:p>
    <w:p w14:paraId="6B28C723" w14:textId="77777777" w:rsidR="00F243F4" w:rsidRPr="00F243F4" w:rsidRDefault="00F243F4" w:rsidP="00F243F4">
      <w:pPr>
        <w:rPr>
          <w:rFonts w:ascii="Arial" w:hAnsi="Arial" w:cs="Arial"/>
          <w:bCs/>
        </w:rPr>
      </w:pPr>
    </w:p>
    <w:p w14:paraId="166C7970" w14:textId="77777777" w:rsidR="00F243F4" w:rsidRPr="00F243F4" w:rsidRDefault="00F243F4" w:rsidP="00F243F4">
      <w:pPr>
        <w:rPr>
          <w:rFonts w:ascii="Arial" w:hAnsi="Arial" w:cs="Arial"/>
          <w:bCs/>
        </w:rPr>
      </w:pPr>
      <w:r w:rsidRPr="00F243F4">
        <w:rPr>
          <w:rFonts w:ascii="Arial" w:hAnsi="Arial" w:cs="Arial"/>
          <w:bCs/>
        </w:rPr>
        <w:t xml:space="preserve">As outlined in the Lender Risk Surveillance Dashboard (RSD) Q&amp;As from November 2020, the Lender RSD will not report a T12 DSCR until 4 consecutive quarters of Operator financials are available in the Portal.  When there are anticipated periods of time where the Portal cannot accommodate consistent, accurate Operator financial </w:t>
      </w:r>
      <w:r w:rsidRPr="00F243F4">
        <w:rPr>
          <w:rFonts w:ascii="Arial" w:hAnsi="Arial" w:cs="Arial"/>
          <w:bCs/>
        </w:rPr>
        <w:lastRenderedPageBreak/>
        <w:t>reporting, it will be incumbent upon the Lender to communicate with their Account Executive and keep them apprised of any potential concerns with an Operator’s financial performance.</w:t>
      </w:r>
    </w:p>
    <w:p w14:paraId="5A7B6A91" w14:textId="77777777" w:rsidR="00F243F4" w:rsidRPr="00F243F4" w:rsidRDefault="00F243F4" w:rsidP="00F243F4">
      <w:pPr>
        <w:rPr>
          <w:rFonts w:ascii="Arial" w:hAnsi="Arial" w:cs="Arial"/>
          <w:bCs/>
        </w:rPr>
      </w:pPr>
    </w:p>
    <w:p w14:paraId="4BB4354F" w14:textId="7FC2230B" w:rsidR="00F243F4" w:rsidRPr="00F243F4" w:rsidRDefault="00F243F4" w:rsidP="00F243F4">
      <w:pPr>
        <w:rPr>
          <w:rFonts w:ascii="Arial" w:hAnsi="Arial" w:cs="Arial"/>
          <w:bCs/>
          <w:i/>
          <w:iCs/>
        </w:rPr>
      </w:pPr>
      <w:r w:rsidRPr="00F243F4">
        <w:rPr>
          <w:rFonts w:ascii="Arial" w:hAnsi="Arial" w:cs="Arial"/>
          <w:b/>
          <w:bCs/>
          <w:i/>
          <w:iCs/>
        </w:rPr>
        <w:t>Keywords:</w:t>
      </w:r>
      <w:r w:rsidRPr="00F243F4">
        <w:rPr>
          <w:rFonts w:ascii="Arial" w:hAnsi="Arial" w:cs="Arial"/>
          <w:bCs/>
          <w:i/>
          <w:iCs/>
        </w:rPr>
        <w:t xml:space="preserve"> </w:t>
      </w:r>
      <w:r w:rsidR="0035487F">
        <w:rPr>
          <w:rFonts w:ascii="Arial" w:hAnsi="Arial" w:cs="Arial"/>
          <w:bCs/>
          <w:i/>
          <w:iCs/>
        </w:rPr>
        <w:t xml:space="preserve">232 Healthcare </w:t>
      </w:r>
      <w:r w:rsidRPr="00F243F4">
        <w:rPr>
          <w:rFonts w:ascii="Arial" w:hAnsi="Arial" w:cs="Arial"/>
          <w:bCs/>
          <w:i/>
          <w:iCs/>
        </w:rPr>
        <w:t>Portal, Operator Financial</w:t>
      </w:r>
      <w:r w:rsidR="003A4FA0">
        <w:rPr>
          <w:rFonts w:ascii="Arial" w:hAnsi="Arial" w:cs="Arial"/>
          <w:bCs/>
          <w:i/>
          <w:iCs/>
        </w:rPr>
        <w:t xml:space="preserve"> Portal, Operator Financial Reports, Operator Financial Statements</w:t>
      </w:r>
      <w:r w:rsidRPr="00F243F4">
        <w:rPr>
          <w:rFonts w:ascii="Arial" w:hAnsi="Arial" w:cs="Arial"/>
          <w:bCs/>
          <w:i/>
          <w:iCs/>
        </w:rPr>
        <w:t>, Asset Management</w:t>
      </w:r>
    </w:p>
    <w:p w14:paraId="4F59A4E8" w14:textId="77777777" w:rsidR="00F243F4" w:rsidRPr="00590B68" w:rsidRDefault="00F243F4" w:rsidP="00590B68">
      <w:pPr>
        <w:rPr>
          <w:rFonts w:ascii="Arial" w:eastAsia="MS Mincho" w:hAnsi="Arial" w:cs="Arial"/>
          <w:b/>
          <w:szCs w:val="24"/>
        </w:rPr>
      </w:pPr>
    </w:p>
    <w:p w14:paraId="0BB8FFD6" w14:textId="77777777" w:rsidR="00590B68" w:rsidRPr="00590B68" w:rsidRDefault="00115F9E" w:rsidP="00590B68">
      <w:pPr>
        <w:rPr>
          <w:rFonts w:ascii="Arial" w:hAnsi="Arial" w:cs="Arial"/>
          <w:b/>
          <w:color w:val="365F91" w:themeColor="accent1" w:themeShade="BF"/>
          <w:szCs w:val="24"/>
        </w:rPr>
      </w:pPr>
      <w:hyperlink w:anchor="_top" w:history="1">
        <w:r w:rsidR="00590B68" w:rsidRPr="00590B68">
          <w:rPr>
            <w:rFonts w:ascii="Arial" w:hAnsi="Arial" w:cs="Arial"/>
            <w:color w:val="365F91" w:themeColor="accent1" w:themeShade="BF"/>
            <w:szCs w:val="24"/>
            <w:u w:val="single"/>
          </w:rPr>
          <w:t>Back to top</w:t>
        </w:r>
      </w:hyperlink>
    </w:p>
    <w:p w14:paraId="29DF3982" w14:textId="77E0923D" w:rsidR="00590B68" w:rsidRDefault="00590B68" w:rsidP="008930F5">
      <w:pPr>
        <w:rPr>
          <w:rFonts w:ascii="Arial" w:hAnsi="Arial" w:cs="Arial"/>
          <w:b/>
        </w:rPr>
      </w:pPr>
    </w:p>
    <w:p w14:paraId="79351693" w14:textId="231ED979" w:rsidR="008C5E45" w:rsidRPr="008C5E45" w:rsidRDefault="008C5E45" w:rsidP="00CE56F4">
      <w:pPr>
        <w:pStyle w:val="EmailBlast"/>
      </w:pPr>
      <w:bookmarkStart w:id="19" w:name="_Toc39074173"/>
      <w:bookmarkStart w:id="20" w:name="_Toc75955783"/>
      <w:r w:rsidRPr="008C5E45">
        <w:t>State Regulatory Changes</w:t>
      </w:r>
      <w:bookmarkEnd w:id="19"/>
      <w:bookmarkEnd w:id="20"/>
    </w:p>
    <w:p w14:paraId="713E0CC2" w14:textId="63280E76" w:rsidR="008C5E45" w:rsidRPr="008C5E45" w:rsidRDefault="008C5E45" w:rsidP="008C5E45">
      <w:pPr>
        <w:rPr>
          <w:rFonts w:ascii="Arial" w:hAnsi="Arial" w:cs="Arial"/>
          <w:bCs/>
        </w:rPr>
      </w:pPr>
      <w:r w:rsidRPr="008C5E45">
        <w:rPr>
          <w:rFonts w:ascii="Arial" w:hAnsi="Arial" w:cs="Arial"/>
          <w:bCs/>
        </w:rPr>
        <w:t xml:space="preserve">As an increasing number of states have enacted, or are considering </w:t>
      </w:r>
      <w:r w:rsidR="00D02534">
        <w:rPr>
          <w:rFonts w:ascii="Arial" w:hAnsi="Arial" w:cs="Arial"/>
          <w:bCs/>
        </w:rPr>
        <w:t>enactment</w:t>
      </w:r>
      <w:r w:rsidRPr="008C5E45">
        <w:rPr>
          <w:rFonts w:ascii="Arial" w:hAnsi="Arial" w:cs="Arial"/>
          <w:bCs/>
        </w:rPr>
        <w:t xml:space="preserve"> of, legislative changes to residential care facility licensing (e.g., Minnesota) and/or strengthening staffing or other facility requirements (e.g., New York), Lenders are advised to ensure that projects remain licensed or certified as necessary under HUD requirements.</w:t>
      </w:r>
    </w:p>
    <w:p w14:paraId="747C60AA" w14:textId="77777777" w:rsidR="008C5E45" w:rsidRPr="008C5E45" w:rsidRDefault="008C5E45" w:rsidP="008C5E45">
      <w:pPr>
        <w:rPr>
          <w:rFonts w:ascii="Arial" w:hAnsi="Arial" w:cs="Arial"/>
          <w:bCs/>
        </w:rPr>
      </w:pPr>
    </w:p>
    <w:p w14:paraId="62955311" w14:textId="548219B7" w:rsidR="008C5E45" w:rsidRPr="008C5E45" w:rsidRDefault="008C5E45" w:rsidP="008C5E45">
      <w:pPr>
        <w:rPr>
          <w:rFonts w:ascii="Arial" w:hAnsi="Arial" w:cs="Arial"/>
          <w:bCs/>
        </w:rPr>
      </w:pPr>
      <w:r w:rsidRPr="008C5E45">
        <w:rPr>
          <w:rFonts w:ascii="Arial" w:hAnsi="Arial" w:cs="Arial"/>
          <w:bCs/>
        </w:rPr>
        <w:t>As a reminder, the Borrower Regulatory Agreement, Form HUD 92466-ORCF, requires that the “Borrower shall at all times cause Operator, or any lessee or management agent, as applicable, to maintain in full force and effect, all appropriate certificates of need, bed authority, provider agreements, licenses, permits and approvals reasonably necessary to operate the Healthcare Facility or to fund the operation of the Project for the Approved Use (collectively, the “Permits and Approvals”).”  The Operator Regulatory Agreement, Form HUD-92466A</w:t>
      </w:r>
      <w:r w:rsidR="003F2B24">
        <w:rPr>
          <w:rFonts w:ascii="Arial" w:hAnsi="Arial" w:cs="Arial"/>
          <w:bCs/>
        </w:rPr>
        <w:t>-ORCF</w:t>
      </w:r>
      <w:r w:rsidRPr="008C5E45">
        <w:rPr>
          <w:rFonts w:ascii="Arial" w:hAnsi="Arial" w:cs="Arial"/>
          <w:bCs/>
        </w:rPr>
        <w:t>, states that the “Operator shall not alter or terminate, or suffer or permit the alteration, relinquishment or termination of any of the Permits and Approvals that are issued or held in the name of Operator without the prior written consent of HUD.”</w:t>
      </w:r>
    </w:p>
    <w:p w14:paraId="15A09004" w14:textId="77777777" w:rsidR="008C5E45" w:rsidRPr="008C5E45" w:rsidRDefault="008C5E45" w:rsidP="008C5E45">
      <w:pPr>
        <w:rPr>
          <w:rFonts w:ascii="Arial" w:hAnsi="Arial" w:cs="Arial"/>
          <w:bCs/>
        </w:rPr>
      </w:pPr>
    </w:p>
    <w:p w14:paraId="4BC19EF4" w14:textId="0001E0AA" w:rsidR="008C5E45" w:rsidRPr="008C5E45" w:rsidRDefault="004625E2" w:rsidP="008C5E45">
      <w:pPr>
        <w:rPr>
          <w:rFonts w:ascii="Arial" w:hAnsi="Arial" w:cs="Arial"/>
          <w:bCs/>
        </w:rPr>
      </w:pPr>
      <w:r>
        <w:rPr>
          <w:rFonts w:ascii="Arial" w:hAnsi="Arial" w:cs="Arial"/>
          <w:bCs/>
        </w:rPr>
        <w:t>If</w:t>
      </w:r>
      <w:r w:rsidR="008C5E45" w:rsidRPr="008C5E45">
        <w:rPr>
          <w:rFonts w:ascii="Arial" w:hAnsi="Arial" w:cs="Arial"/>
          <w:bCs/>
        </w:rPr>
        <w:t xml:space="preserve"> a Mortgagee/Servicer determine</w:t>
      </w:r>
      <w:r>
        <w:rPr>
          <w:rFonts w:ascii="Arial" w:hAnsi="Arial" w:cs="Arial"/>
          <w:bCs/>
        </w:rPr>
        <w:t>s</w:t>
      </w:r>
      <w:r w:rsidR="008C5E45" w:rsidRPr="008C5E45">
        <w:rPr>
          <w:rFonts w:ascii="Arial" w:hAnsi="Arial" w:cs="Arial"/>
          <w:bCs/>
        </w:rPr>
        <w:t xml:space="preserve"> that a project is, or will be, unable to maintain license approval in accordance with any State requirements, they are obligated to inform the </w:t>
      </w:r>
      <w:proofErr w:type="spellStart"/>
      <w:r w:rsidR="00784558">
        <w:rPr>
          <w:rFonts w:ascii="Arial" w:hAnsi="Arial" w:cs="Arial"/>
          <w:bCs/>
        </w:rPr>
        <w:t>ORCF</w:t>
      </w:r>
      <w:proofErr w:type="spellEnd"/>
      <w:r w:rsidR="00784558">
        <w:rPr>
          <w:rFonts w:ascii="Arial" w:hAnsi="Arial" w:cs="Arial"/>
          <w:bCs/>
        </w:rPr>
        <w:t xml:space="preserve"> </w:t>
      </w:r>
      <w:r w:rsidR="008C5E45" w:rsidRPr="008C5E45">
        <w:rPr>
          <w:rFonts w:ascii="Arial" w:hAnsi="Arial" w:cs="Arial"/>
          <w:bCs/>
        </w:rPr>
        <w:t>A</w:t>
      </w:r>
      <w:r w:rsidR="00784558">
        <w:rPr>
          <w:rFonts w:ascii="Arial" w:hAnsi="Arial" w:cs="Arial"/>
          <w:bCs/>
        </w:rPr>
        <w:t xml:space="preserve">ccount </w:t>
      </w:r>
      <w:r w:rsidR="008C5E45" w:rsidRPr="008C5E45">
        <w:rPr>
          <w:rFonts w:ascii="Arial" w:hAnsi="Arial" w:cs="Arial"/>
          <w:bCs/>
        </w:rPr>
        <w:t>E</w:t>
      </w:r>
      <w:r w:rsidR="00784558">
        <w:rPr>
          <w:rFonts w:ascii="Arial" w:hAnsi="Arial" w:cs="Arial"/>
          <w:bCs/>
        </w:rPr>
        <w:t>xecutive</w:t>
      </w:r>
      <w:r w:rsidR="008C5E45" w:rsidRPr="008C5E45">
        <w:rPr>
          <w:rFonts w:ascii="Arial" w:hAnsi="Arial" w:cs="Arial"/>
          <w:bCs/>
        </w:rPr>
        <w:t xml:space="preserve"> </w:t>
      </w:r>
      <w:r w:rsidR="003F2B24">
        <w:rPr>
          <w:rFonts w:ascii="Arial" w:hAnsi="Arial" w:cs="Arial"/>
          <w:bCs/>
        </w:rPr>
        <w:t xml:space="preserve">with </w:t>
      </w:r>
      <w:r w:rsidR="008C5E45" w:rsidRPr="008C5E45">
        <w:rPr>
          <w:rFonts w:ascii="Arial" w:hAnsi="Arial" w:cs="Arial"/>
          <w:bCs/>
        </w:rPr>
        <w:t xml:space="preserve">the Servicer’s Notification to HUD of Risks to Healthcare Project and Action Plan for Remedy, Form HUD-93334-ORCF </w:t>
      </w:r>
      <w:r w:rsidR="000D2500">
        <w:rPr>
          <w:rFonts w:ascii="Arial" w:hAnsi="Arial" w:cs="Arial"/>
          <w:bCs/>
        </w:rPr>
        <w:t>(</w:t>
      </w:r>
      <w:hyperlink r:id="rId21" w:history="1">
        <w:r w:rsidR="008C5E45" w:rsidRPr="008C5E45">
          <w:rPr>
            <w:rStyle w:val="Hyperlink"/>
            <w:rFonts w:ascii="Arial" w:hAnsi="Arial" w:cs="Arial"/>
            <w:bCs/>
          </w:rPr>
          <w:t>here</w:t>
        </w:r>
      </w:hyperlink>
      <w:r w:rsidR="000D2500">
        <w:rPr>
          <w:rStyle w:val="Hyperlink"/>
          <w:rFonts w:ascii="Arial" w:hAnsi="Arial" w:cs="Arial"/>
          <w:bCs/>
        </w:rPr>
        <w:t>)</w:t>
      </w:r>
      <w:r w:rsidR="008C5E45" w:rsidRPr="008C5E45">
        <w:rPr>
          <w:rFonts w:ascii="Arial" w:hAnsi="Arial" w:cs="Arial"/>
          <w:bCs/>
        </w:rPr>
        <w:t>.</w:t>
      </w:r>
    </w:p>
    <w:p w14:paraId="1EB3A4CB" w14:textId="77777777" w:rsidR="008C5E45" w:rsidRPr="008C5E45" w:rsidRDefault="008C5E45" w:rsidP="008C5E45">
      <w:pPr>
        <w:rPr>
          <w:rFonts w:ascii="Arial" w:hAnsi="Arial" w:cs="Arial"/>
          <w:bCs/>
        </w:rPr>
      </w:pPr>
    </w:p>
    <w:p w14:paraId="6CC5B1B9" w14:textId="77777777" w:rsidR="008C5E45" w:rsidRPr="008C5E45" w:rsidRDefault="008C5E45" w:rsidP="008C5E45">
      <w:pPr>
        <w:rPr>
          <w:rFonts w:ascii="Arial" w:hAnsi="Arial" w:cs="Arial"/>
          <w:bCs/>
          <w:i/>
          <w:iCs/>
        </w:rPr>
      </w:pPr>
      <w:r w:rsidRPr="008C5E45">
        <w:rPr>
          <w:rFonts w:ascii="Arial" w:hAnsi="Arial" w:cs="Arial"/>
          <w:b/>
          <w:bCs/>
          <w:i/>
          <w:iCs/>
        </w:rPr>
        <w:t>Keywords:</w:t>
      </w:r>
      <w:r w:rsidRPr="008C5E45">
        <w:rPr>
          <w:rFonts w:ascii="Arial" w:hAnsi="Arial" w:cs="Arial"/>
          <w:bCs/>
          <w:i/>
          <w:iCs/>
        </w:rPr>
        <w:t xml:space="preserve"> State Risk, Quality of Care, Asset Management</w:t>
      </w:r>
    </w:p>
    <w:p w14:paraId="0EB00493" w14:textId="451516E9" w:rsidR="00F243F4" w:rsidRDefault="00F243F4" w:rsidP="00F243F4">
      <w:pPr>
        <w:rPr>
          <w:rFonts w:ascii="Arial" w:hAnsi="Arial" w:cs="Arial"/>
          <w:bCs/>
          <w:i/>
          <w:iCs/>
        </w:rPr>
      </w:pPr>
    </w:p>
    <w:p w14:paraId="06106F4F" w14:textId="77777777" w:rsidR="007F746E" w:rsidRPr="00590B68" w:rsidRDefault="00115F9E" w:rsidP="007F746E">
      <w:pPr>
        <w:rPr>
          <w:rFonts w:ascii="Arial" w:hAnsi="Arial" w:cs="Arial"/>
          <w:b/>
          <w:color w:val="365F91" w:themeColor="accent1" w:themeShade="BF"/>
          <w:szCs w:val="24"/>
        </w:rPr>
      </w:pPr>
      <w:hyperlink w:anchor="_top" w:history="1">
        <w:r w:rsidR="007F746E" w:rsidRPr="00590B68">
          <w:rPr>
            <w:rFonts w:ascii="Arial" w:hAnsi="Arial" w:cs="Arial"/>
            <w:color w:val="365F91" w:themeColor="accent1" w:themeShade="BF"/>
            <w:szCs w:val="24"/>
            <w:u w:val="single"/>
          </w:rPr>
          <w:t>Back to top</w:t>
        </w:r>
      </w:hyperlink>
    </w:p>
    <w:p w14:paraId="551CBF43" w14:textId="77777777" w:rsidR="007F746E" w:rsidRDefault="007F746E" w:rsidP="00F243F4">
      <w:pPr>
        <w:rPr>
          <w:rFonts w:ascii="Arial" w:hAnsi="Arial" w:cs="Arial"/>
          <w:bCs/>
          <w:i/>
          <w:iCs/>
        </w:rPr>
      </w:pPr>
    </w:p>
    <w:p w14:paraId="15E9AE61" w14:textId="70343D63" w:rsidR="007F746E" w:rsidRPr="008C5E45" w:rsidRDefault="007F746E" w:rsidP="00CE56F4">
      <w:pPr>
        <w:pStyle w:val="EmailBlast"/>
      </w:pPr>
      <w:bookmarkStart w:id="21" w:name="_Toc75955784"/>
      <w:proofErr w:type="spellStart"/>
      <w:r>
        <w:t>ORCF-HMAC</w:t>
      </w:r>
      <w:proofErr w:type="spellEnd"/>
      <w:r>
        <w:t xml:space="preserve"> Asset Management Webinar Recordings Now Available</w:t>
      </w:r>
      <w:bookmarkEnd w:id="21"/>
    </w:p>
    <w:p w14:paraId="59B77392" w14:textId="0CE91F0F" w:rsidR="007F746E" w:rsidRPr="007F746E" w:rsidRDefault="007F746E" w:rsidP="007F746E">
      <w:pPr>
        <w:rPr>
          <w:rFonts w:ascii="Arial" w:hAnsi="Arial" w:cs="Arial"/>
          <w:bCs/>
        </w:rPr>
      </w:pPr>
      <w:proofErr w:type="spellStart"/>
      <w:r w:rsidRPr="007F746E">
        <w:rPr>
          <w:rFonts w:ascii="Arial" w:hAnsi="Arial" w:cs="Arial"/>
          <w:bCs/>
        </w:rPr>
        <w:t>ORCF’s</w:t>
      </w:r>
      <w:proofErr w:type="spellEnd"/>
      <w:r w:rsidRPr="007F746E">
        <w:rPr>
          <w:rFonts w:ascii="Arial" w:hAnsi="Arial" w:cs="Arial"/>
          <w:bCs/>
        </w:rPr>
        <w:t xml:space="preserve"> </w:t>
      </w:r>
      <w:r w:rsidRPr="007F746E">
        <w:rPr>
          <w:rFonts w:ascii="Arial" w:hAnsi="Arial" w:cs="Arial"/>
          <w:bCs/>
          <w:i/>
          <w:iCs/>
        </w:rPr>
        <w:t>Virtual Servicing &amp; Asset Management Dialogue &amp; Training Sessions</w:t>
      </w:r>
      <w:r w:rsidRPr="007F746E">
        <w:rPr>
          <w:rFonts w:ascii="Arial" w:hAnsi="Arial" w:cs="Arial"/>
          <w:bCs/>
        </w:rPr>
        <w:t xml:space="preserve"> which were sponsored by the Healthcare Mortgagee Advisory Council (</w:t>
      </w:r>
      <w:proofErr w:type="spellStart"/>
      <w:r w:rsidRPr="007F746E">
        <w:rPr>
          <w:rFonts w:ascii="Arial" w:hAnsi="Arial" w:cs="Arial"/>
          <w:bCs/>
        </w:rPr>
        <w:t>HMAC</w:t>
      </w:r>
      <w:proofErr w:type="spellEnd"/>
      <w:r w:rsidRPr="007F746E">
        <w:rPr>
          <w:rFonts w:ascii="Arial" w:hAnsi="Arial" w:cs="Arial"/>
          <w:bCs/>
        </w:rPr>
        <w:t>) in April and May</w:t>
      </w:r>
      <w:r>
        <w:rPr>
          <w:rFonts w:ascii="Arial" w:hAnsi="Arial" w:cs="Arial"/>
          <w:bCs/>
        </w:rPr>
        <w:t xml:space="preserve"> were recorded and are now available</w:t>
      </w:r>
      <w:r w:rsidRPr="007F746E">
        <w:rPr>
          <w:rFonts w:ascii="Arial" w:hAnsi="Arial" w:cs="Arial"/>
          <w:bCs/>
        </w:rPr>
        <w:t xml:space="preserve">. </w:t>
      </w:r>
      <w:proofErr w:type="spellStart"/>
      <w:r>
        <w:rPr>
          <w:rFonts w:ascii="Arial" w:hAnsi="Arial" w:cs="Arial"/>
          <w:bCs/>
        </w:rPr>
        <w:t>ORCF</w:t>
      </w:r>
      <w:proofErr w:type="spellEnd"/>
      <w:r>
        <w:rPr>
          <w:rFonts w:ascii="Arial" w:hAnsi="Arial" w:cs="Arial"/>
          <w:bCs/>
        </w:rPr>
        <w:t xml:space="preserve"> </w:t>
      </w:r>
      <w:r w:rsidRPr="007F746E">
        <w:rPr>
          <w:rFonts w:ascii="Arial" w:hAnsi="Arial" w:cs="Arial"/>
          <w:bCs/>
        </w:rPr>
        <w:t>provided a general update on Asset Management and more focused sessions on risk monitoring and regulatory obligations that we hope you found useful.  </w:t>
      </w:r>
      <w:proofErr w:type="spellStart"/>
      <w:r>
        <w:rPr>
          <w:rFonts w:ascii="Arial" w:hAnsi="Arial" w:cs="Arial"/>
          <w:bCs/>
        </w:rPr>
        <w:t>ORCF</w:t>
      </w:r>
      <w:proofErr w:type="spellEnd"/>
      <w:r w:rsidRPr="007F746E">
        <w:rPr>
          <w:rFonts w:ascii="Arial" w:hAnsi="Arial" w:cs="Arial"/>
          <w:bCs/>
        </w:rPr>
        <w:t xml:space="preserve"> truly appreciated the opportunity to discuss the Risk Surveillance Dashboard process and look</w:t>
      </w:r>
      <w:r w:rsidR="00784558">
        <w:rPr>
          <w:rFonts w:ascii="Arial" w:hAnsi="Arial" w:cs="Arial"/>
          <w:bCs/>
        </w:rPr>
        <w:t>s</w:t>
      </w:r>
      <w:r w:rsidRPr="007F746E">
        <w:rPr>
          <w:rFonts w:ascii="Arial" w:hAnsi="Arial" w:cs="Arial"/>
          <w:bCs/>
        </w:rPr>
        <w:t xml:space="preserve"> forward to continuing </w:t>
      </w:r>
      <w:r w:rsidR="00784558">
        <w:rPr>
          <w:rFonts w:ascii="Arial" w:hAnsi="Arial" w:cs="Arial"/>
          <w:bCs/>
        </w:rPr>
        <w:t>the dialogue</w:t>
      </w:r>
      <w:r w:rsidRPr="007F746E">
        <w:rPr>
          <w:rFonts w:ascii="Arial" w:hAnsi="Arial" w:cs="Arial"/>
          <w:bCs/>
        </w:rPr>
        <w:t xml:space="preserve"> with industry stakeholders going forward.  If you were unable to join the webinars or if you would like to view them again,</w:t>
      </w:r>
      <w:r w:rsidR="004C74BF">
        <w:rPr>
          <w:rFonts w:ascii="Arial" w:hAnsi="Arial" w:cs="Arial"/>
          <w:bCs/>
        </w:rPr>
        <w:t xml:space="preserve"> recordings of</w:t>
      </w:r>
      <w:r w:rsidRPr="007F746E">
        <w:rPr>
          <w:rFonts w:ascii="Arial" w:hAnsi="Arial" w:cs="Arial"/>
          <w:bCs/>
        </w:rPr>
        <w:t xml:space="preserve"> the full sessions</w:t>
      </w:r>
      <w:r w:rsidR="004C74BF">
        <w:rPr>
          <w:rFonts w:ascii="Arial" w:hAnsi="Arial" w:cs="Arial"/>
          <w:bCs/>
        </w:rPr>
        <w:t xml:space="preserve"> are available on the Section 232 Program Training Presentations website (</w:t>
      </w:r>
      <w:hyperlink r:id="rId22" w:history="1">
        <w:r w:rsidR="004C74BF" w:rsidRPr="007B1DA2">
          <w:rPr>
            <w:rStyle w:val="Hyperlink"/>
            <w:rFonts w:ascii="Arial" w:hAnsi="Arial" w:cs="Arial"/>
            <w:bCs/>
          </w:rPr>
          <w:t>here</w:t>
        </w:r>
      </w:hyperlink>
      <w:r w:rsidR="004C74BF">
        <w:rPr>
          <w:rFonts w:ascii="Arial" w:hAnsi="Arial" w:cs="Arial"/>
          <w:bCs/>
        </w:rPr>
        <w:t>). The sessions available are:</w:t>
      </w:r>
      <w:r w:rsidRPr="007F746E">
        <w:rPr>
          <w:rFonts w:ascii="Arial" w:hAnsi="Arial" w:cs="Arial"/>
          <w:bCs/>
        </w:rPr>
        <w:t xml:space="preserve"> </w:t>
      </w:r>
    </w:p>
    <w:p w14:paraId="6DD9931C" w14:textId="77777777" w:rsidR="007F746E" w:rsidRPr="007F746E" w:rsidRDefault="007F746E" w:rsidP="007F746E">
      <w:pPr>
        <w:rPr>
          <w:rFonts w:ascii="Arial" w:hAnsi="Arial" w:cs="Arial"/>
          <w:bCs/>
        </w:rPr>
      </w:pPr>
    </w:p>
    <w:p w14:paraId="4EED88AA" w14:textId="04025DAF" w:rsidR="007F746E" w:rsidRPr="007B1DA2" w:rsidRDefault="007F746E" w:rsidP="009C0A49">
      <w:pPr>
        <w:ind w:left="720"/>
        <w:rPr>
          <w:rFonts w:ascii="Arial" w:hAnsi="Arial" w:cs="Arial"/>
          <w:bCs/>
          <w:i/>
          <w:iCs/>
        </w:rPr>
      </w:pPr>
      <w:r w:rsidRPr="007F746E">
        <w:rPr>
          <w:rFonts w:ascii="Arial" w:hAnsi="Arial" w:cs="Arial"/>
          <w:bCs/>
        </w:rPr>
        <w:t xml:space="preserve">Session 1:  </w:t>
      </w:r>
      <w:r w:rsidRPr="007B1DA2">
        <w:rPr>
          <w:rFonts w:ascii="Arial" w:hAnsi="Arial" w:cs="Arial"/>
          <w:bCs/>
          <w:i/>
          <w:iCs/>
        </w:rPr>
        <w:t xml:space="preserve">General HUD </w:t>
      </w:r>
      <w:proofErr w:type="spellStart"/>
      <w:r w:rsidRPr="007B1DA2">
        <w:rPr>
          <w:rFonts w:ascii="Arial" w:hAnsi="Arial" w:cs="Arial"/>
          <w:bCs/>
          <w:i/>
          <w:iCs/>
        </w:rPr>
        <w:t>ORCF</w:t>
      </w:r>
      <w:proofErr w:type="spellEnd"/>
      <w:r w:rsidRPr="007B1DA2">
        <w:rPr>
          <w:rFonts w:ascii="Arial" w:hAnsi="Arial" w:cs="Arial"/>
          <w:bCs/>
          <w:i/>
          <w:iCs/>
        </w:rPr>
        <w:t xml:space="preserve"> Update with Question and Answers </w:t>
      </w:r>
    </w:p>
    <w:p w14:paraId="09A0C664" w14:textId="24EAAC44" w:rsidR="007F746E" w:rsidRPr="007B1DA2" w:rsidRDefault="007F746E" w:rsidP="00622C81">
      <w:pPr>
        <w:spacing w:before="120"/>
        <w:ind w:left="1980" w:hanging="1260"/>
        <w:rPr>
          <w:rFonts w:ascii="Arial" w:hAnsi="Arial" w:cs="Arial"/>
          <w:bCs/>
          <w:i/>
          <w:iCs/>
        </w:rPr>
      </w:pPr>
      <w:r w:rsidRPr="007F746E">
        <w:rPr>
          <w:rFonts w:ascii="Arial" w:hAnsi="Arial" w:cs="Arial"/>
          <w:bCs/>
        </w:rPr>
        <w:t>Session 2:  </w:t>
      </w:r>
      <w:bookmarkStart w:id="22" w:name="_Hlk74142786"/>
      <w:r w:rsidRPr="007B1DA2">
        <w:rPr>
          <w:rFonts w:ascii="Arial" w:hAnsi="Arial" w:cs="Arial"/>
          <w:bCs/>
          <w:i/>
          <w:iCs/>
        </w:rPr>
        <w:t xml:space="preserve">Asset Management Lender’s Only Dialogue with </w:t>
      </w:r>
      <w:proofErr w:type="spellStart"/>
      <w:r w:rsidRPr="007B1DA2">
        <w:rPr>
          <w:rFonts w:ascii="Arial" w:hAnsi="Arial" w:cs="Arial"/>
          <w:bCs/>
          <w:i/>
          <w:iCs/>
        </w:rPr>
        <w:t>ORCF</w:t>
      </w:r>
      <w:proofErr w:type="spellEnd"/>
      <w:r w:rsidRPr="007B1DA2">
        <w:rPr>
          <w:rFonts w:ascii="Arial" w:hAnsi="Arial" w:cs="Arial"/>
          <w:bCs/>
          <w:i/>
          <w:iCs/>
        </w:rPr>
        <w:t xml:space="preserve"> HUD </w:t>
      </w:r>
      <w:r w:rsidR="007B1DA2" w:rsidRPr="007B1DA2">
        <w:rPr>
          <w:rFonts w:ascii="Arial" w:hAnsi="Arial" w:cs="Arial"/>
          <w:bCs/>
          <w:i/>
          <w:iCs/>
        </w:rPr>
        <w:t>S</w:t>
      </w:r>
      <w:r w:rsidRPr="007B1DA2">
        <w:rPr>
          <w:rFonts w:ascii="Arial" w:hAnsi="Arial" w:cs="Arial"/>
          <w:bCs/>
          <w:i/>
          <w:iCs/>
        </w:rPr>
        <w:t xml:space="preserve">taff  </w:t>
      </w:r>
      <w:bookmarkEnd w:id="22"/>
    </w:p>
    <w:p w14:paraId="77E79BA1" w14:textId="7E8EA7A3" w:rsidR="007F746E" w:rsidRPr="007F746E" w:rsidRDefault="007F746E" w:rsidP="00622C81">
      <w:pPr>
        <w:spacing w:before="120"/>
        <w:ind w:left="720"/>
        <w:rPr>
          <w:rFonts w:ascii="Arial" w:hAnsi="Arial" w:cs="Arial"/>
          <w:bCs/>
        </w:rPr>
      </w:pPr>
      <w:r w:rsidRPr="007F746E">
        <w:rPr>
          <w:rFonts w:ascii="Arial" w:hAnsi="Arial" w:cs="Arial"/>
          <w:bCs/>
        </w:rPr>
        <w:t xml:space="preserve">Session 3:  </w:t>
      </w:r>
      <w:r w:rsidRPr="007B1DA2">
        <w:rPr>
          <w:rFonts w:ascii="Arial" w:hAnsi="Arial" w:cs="Arial"/>
          <w:bCs/>
          <w:i/>
          <w:iCs/>
        </w:rPr>
        <w:t>Regulatory Obligations &amp; Risk Monitoring Wrap Up</w:t>
      </w:r>
      <w:r w:rsidR="009C0A49">
        <w:rPr>
          <w:rFonts w:ascii="Arial" w:hAnsi="Arial" w:cs="Arial"/>
          <w:bCs/>
        </w:rPr>
        <w:t xml:space="preserve"> </w:t>
      </w:r>
    </w:p>
    <w:p w14:paraId="57EB7ADE" w14:textId="2BD36CCF" w:rsidR="007F746E" w:rsidRDefault="007F746E" w:rsidP="007F746E">
      <w:pPr>
        <w:rPr>
          <w:rFonts w:ascii="Arial" w:hAnsi="Arial" w:cs="Arial"/>
          <w:bCs/>
        </w:rPr>
      </w:pPr>
    </w:p>
    <w:p w14:paraId="2A7005E8" w14:textId="1822C1F8" w:rsidR="009C0A49" w:rsidRPr="009C0A49" w:rsidRDefault="009C0A49" w:rsidP="009C0A49">
      <w:pPr>
        <w:rPr>
          <w:rFonts w:ascii="Arial" w:hAnsi="Arial" w:cs="Arial"/>
          <w:bCs/>
        </w:rPr>
      </w:pPr>
      <w:r w:rsidRPr="009C0A49">
        <w:rPr>
          <w:rFonts w:ascii="Arial" w:hAnsi="Arial" w:cs="Arial"/>
          <w:bCs/>
        </w:rPr>
        <w:t>In addition, all Q&amp;As resulting from the trainings can be found here (</w:t>
      </w:r>
      <w:hyperlink r:id="rId23" w:history="1">
        <w:r w:rsidR="00785DE4" w:rsidRPr="00785DE4">
          <w:rPr>
            <w:rStyle w:val="Hyperlink"/>
            <w:rFonts w:ascii="Arial" w:hAnsi="Arial" w:cs="Arial"/>
            <w:bCs/>
          </w:rPr>
          <w:t>here</w:t>
        </w:r>
      </w:hyperlink>
      <w:r w:rsidRPr="009C0A49">
        <w:rPr>
          <w:rFonts w:ascii="Arial" w:hAnsi="Arial" w:cs="Arial"/>
          <w:bCs/>
        </w:rPr>
        <w:t>).</w:t>
      </w:r>
    </w:p>
    <w:p w14:paraId="690212B8" w14:textId="77777777" w:rsidR="009C0A49" w:rsidRPr="008C5E45" w:rsidRDefault="009C0A49" w:rsidP="007F746E">
      <w:pPr>
        <w:rPr>
          <w:rFonts w:ascii="Arial" w:hAnsi="Arial" w:cs="Arial"/>
          <w:bCs/>
        </w:rPr>
      </w:pPr>
    </w:p>
    <w:p w14:paraId="7FD571FC" w14:textId="1A2651FA" w:rsidR="007F746E" w:rsidRPr="008C5E45" w:rsidRDefault="007F746E" w:rsidP="007F746E">
      <w:pPr>
        <w:rPr>
          <w:rFonts w:ascii="Arial" w:hAnsi="Arial" w:cs="Arial"/>
          <w:bCs/>
          <w:i/>
          <w:iCs/>
        </w:rPr>
      </w:pPr>
      <w:r w:rsidRPr="008C5E45">
        <w:rPr>
          <w:rFonts w:ascii="Arial" w:hAnsi="Arial" w:cs="Arial"/>
          <w:b/>
          <w:bCs/>
          <w:i/>
          <w:iCs/>
        </w:rPr>
        <w:t>Keywords:</w:t>
      </w:r>
      <w:r w:rsidRPr="008C5E45">
        <w:rPr>
          <w:rFonts w:ascii="Arial" w:hAnsi="Arial" w:cs="Arial"/>
          <w:bCs/>
          <w:i/>
          <w:iCs/>
        </w:rPr>
        <w:t xml:space="preserve"> Asset Management</w:t>
      </w:r>
      <w:r>
        <w:rPr>
          <w:rFonts w:ascii="Arial" w:hAnsi="Arial" w:cs="Arial"/>
          <w:bCs/>
          <w:i/>
          <w:iCs/>
        </w:rPr>
        <w:t>, Webinar</w:t>
      </w:r>
    </w:p>
    <w:p w14:paraId="3A82BA7F" w14:textId="77777777" w:rsidR="007F746E" w:rsidRPr="00590B68" w:rsidRDefault="007F746E" w:rsidP="007F746E">
      <w:pPr>
        <w:rPr>
          <w:rFonts w:ascii="Arial" w:eastAsia="MS Mincho" w:hAnsi="Arial" w:cs="Arial"/>
          <w:b/>
          <w:szCs w:val="24"/>
        </w:rPr>
      </w:pPr>
    </w:p>
    <w:p w14:paraId="07967FB8" w14:textId="77777777" w:rsidR="007F746E" w:rsidRPr="00590B68" w:rsidRDefault="00115F9E" w:rsidP="007F746E">
      <w:pPr>
        <w:rPr>
          <w:rFonts w:ascii="Arial" w:hAnsi="Arial" w:cs="Arial"/>
          <w:b/>
          <w:color w:val="365F91" w:themeColor="accent1" w:themeShade="BF"/>
          <w:szCs w:val="24"/>
        </w:rPr>
      </w:pPr>
      <w:hyperlink w:anchor="_top" w:history="1">
        <w:r w:rsidR="007F746E" w:rsidRPr="00590B68">
          <w:rPr>
            <w:rFonts w:ascii="Arial" w:hAnsi="Arial" w:cs="Arial"/>
            <w:color w:val="365F91" w:themeColor="accent1" w:themeShade="BF"/>
            <w:szCs w:val="24"/>
            <w:u w:val="single"/>
          </w:rPr>
          <w:t>Back to top</w:t>
        </w:r>
      </w:hyperlink>
    </w:p>
    <w:p w14:paraId="4AE9D4D3" w14:textId="77777777" w:rsidR="007F746E" w:rsidRPr="00590B68" w:rsidRDefault="007F746E" w:rsidP="00F243F4">
      <w:pPr>
        <w:rPr>
          <w:rFonts w:ascii="Arial" w:hAnsi="Arial" w:cs="Arial"/>
          <w:bCs/>
          <w:i/>
          <w:iCs/>
        </w:rPr>
      </w:pPr>
    </w:p>
    <w:p w14:paraId="6EAC7DE2" w14:textId="0172E1D2" w:rsidR="00910E23" w:rsidRPr="00590B68" w:rsidRDefault="00910E23" w:rsidP="00CE56F4">
      <w:pPr>
        <w:pStyle w:val="EmailBlast"/>
      </w:pPr>
      <w:bookmarkStart w:id="23" w:name="_Toc396209070"/>
      <w:bookmarkStart w:id="24" w:name="_Toc75955785"/>
      <w:r w:rsidRPr="00590B68">
        <w:t>FROM THE CLOSING CORNER</w:t>
      </w:r>
      <w:bookmarkEnd w:id="23"/>
      <w:bookmarkEnd w:id="24"/>
    </w:p>
    <w:p w14:paraId="766E5217" w14:textId="251F8B97" w:rsidR="002C0FF4" w:rsidRPr="00590B68" w:rsidRDefault="002C0FF4" w:rsidP="00590B68">
      <w:pPr>
        <w:pStyle w:val="EmailBlast2"/>
        <w:rPr>
          <w:szCs w:val="28"/>
        </w:rPr>
      </w:pPr>
      <w:bookmarkStart w:id="25" w:name="_Toc75955786"/>
      <w:r w:rsidRPr="00590B68">
        <w:t xml:space="preserve">Please Use </w:t>
      </w:r>
      <w:proofErr w:type="spellStart"/>
      <w:r w:rsidRPr="00590B68">
        <w:t>ORCF</w:t>
      </w:r>
      <w:proofErr w:type="spellEnd"/>
      <w:r w:rsidRPr="00590B68">
        <w:t xml:space="preserve"> Posted Documents to Complete Closing and Cost Certification Packages</w:t>
      </w:r>
      <w:bookmarkEnd w:id="25"/>
    </w:p>
    <w:p w14:paraId="01502350" w14:textId="4B8BC653" w:rsidR="002C0FF4" w:rsidRPr="002C0FF4" w:rsidRDefault="002C0FF4" w:rsidP="002C0FF4">
      <w:pPr>
        <w:rPr>
          <w:rFonts w:ascii="Arial" w:hAnsi="Arial" w:cs="Arial"/>
          <w:szCs w:val="24"/>
        </w:rPr>
      </w:pPr>
      <w:r w:rsidRPr="00590B68">
        <w:rPr>
          <w:rFonts w:ascii="Arial" w:hAnsi="Arial" w:cs="Arial"/>
          <w:szCs w:val="24"/>
        </w:rPr>
        <w:t xml:space="preserve">Please use the </w:t>
      </w:r>
      <w:r w:rsidRPr="002C0FF4">
        <w:rPr>
          <w:rFonts w:ascii="Arial" w:hAnsi="Arial" w:cs="Arial"/>
          <w:szCs w:val="24"/>
        </w:rPr>
        <w:t xml:space="preserve">most current </w:t>
      </w:r>
      <w:proofErr w:type="spellStart"/>
      <w:r w:rsidRPr="002C0FF4">
        <w:rPr>
          <w:rFonts w:ascii="Arial" w:hAnsi="Arial" w:cs="Arial"/>
          <w:szCs w:val="24"/>
        </w:rPr>
        <w:t>ORCF</w:t>
      </w:r>
      <w:proofErr w:type="spellEnd"/>
      <w:r w:rsidRPr="002C0FF4">
        <w:rPr>
          <w:rFonts w:ascii="Arial" w:hAnsi="Arial" w:cs="Arial"/>
          <w:szCs w:val="24"/>
        </w:rPr>
        <w:t xml:space="preserve"> Closing Documents to complete your closing and cost certification package</w:t>
      </w:r>
      <w:r w:rsidRPr="00590B68">
        <w:rPr>
          <w:rFonts w:ascii="Arial" w:hAnsi="Arial" w:cs="Arial"/>
          <w:szCs w:val="24"/>
        </w:rPr>
        <w:t xml:space="preserve">s which includes </w:t>
      </w:r>
      <w:proofErr w:type="spellStart"/>
      <w:r w:rsidRPr="00590B68">
        <w:rPr>
          <w:rFonts w:ascii="Arial" w:hAnsi="Arial" w:cs="Arial"/>
          <w:szCs w:val="24"/>
        </w:rPr>
        <w:t>ORCF</w:t>
      </w:r>
      <w:proofErr w:type="spellEnd"/>
      <w:r w:rsidRPr="00590B68">
        <w:rPr>
          <w:rFonts w:ascii="Arial" w:hAnsi="Arial" w:cs="Arial"/>
          <w:szCs w:val="24"/>
        </w:rPr>
        <w:t xml:space="preserve"> Closing, Construction and Cost Certification documents. All </w:t>
      </w:r>
      <w:proofErr w:type="spellStart"/>
      <w:r w:rsidRPr="00590B68">
        <w:rPr>
          <w:rFonts w:ascii="Arial" w:hAnsi="Arial" w:cs="Arial"/>
          <w:szCs w:val="24"/>
        </w:rPr>
        <w:t>ORCF</w:t>
      </w:r>
      <w:proofErr w:type="spellEnd"/>
      <w:r w:rsidRPr="00590B68">
        <w:rPr>
          <w:rFonts w:ascii="Arial" w:hAnsi="Arial" w:cs="Arial"/>
          <w:szCs w:val="24"/>
        </w:rPr>
        <w:t xml:space="preserve"> Closing Documents are available on the </w:t>
      </w:r>
      <w:r w:rsidR="00F718CF" w:rsidRPr="00590B68">
        <w:rPr>
          <w:rFonts w:ascii="Arial" w:hAnsi="Arial" w:cs="Arial"/>
          <w:szCs w:val="24"/>
        </w:rPr>
        <w:t>Section 232 website (</w:t>
      </w:r>
      <w:hyperlink r:id="rId24" w:history="1">
        <w:r w:rsidR="00F718CF" w:rsidRPr="00590B68">
          <w:rPr>
            <w:rStyle w:val="Hyperlink"/>
            <w:rFonts w:ascii="Arial" w:hAnsi="Arial" w:cs="Arial"/>
            <w:szCs w:val="24"/>
          </w:rPr>
          <w:t>her</w:t>
        </w:r>
        <w:r w:rsidRPr="002C0FF4">
          <w:rPr>
            <w:rStyle w:val="Hyperlink"/>
            <w:rFonts w:ascii="Arial" w:hAnsi="Arial" w:cs="Arial"/>
            <w:szCs w:val="24"/>
          </w:rPr>
          <w:t>e</w:t>
        </w:r>
      </w:hyperlink>
      <w:r w:rsidR="00F718CF" w:rsidRPr="00590B68">
        <w:rPr>
          <w:rFonts w:ascii="Arial" w:hAnsi="Arial" w:cs="Arial"/>
          <w:szCs w:val="24"/>
        </w:rPr>
        <w:t>).</w:t>
      </w:r>
      <w:r w:rsidRPr="002C0FF4">
        <w:rPr>
          <w:rFonts w:ascii="Arial" w:hAnsi="Arial" w:cs="Arial"/>
          <w:szCs w:val="24"/>
        </w:rPr>
        <w:t xml:space="preserve"> You can find </w:t>
      </w:r>
      <w:r w:rsidR="00F718CF" w:rsidRPr="00590B68">
        <w:rPr>
          <w:rFonts w:ascii="Arial" w:hAnsi="Arial" w:cs="Arial"/>
          <w:szCs w:val="24"/>
        </w:rPr>
        <w:t>Documents by Loan Type (</w:t>
      </w:r>
      <w:hyperlink r:id="rId25" w:history="1">
        <w:r w:rsidR="00F718CF" w:rsidRPr="00590B68">
          <w:rPr>
            <w:rStyle w:val="Hyperlink"/>
            <w:rFonts w:ascii="Arial" w:hAnsi="Arial" w:cs="Arial"/>
            <w:szCs w:val="24"/>
          </w:rPr>
          <w:t>her</w:t>
        </w:r>
        <w:r w:rsidRPr="002C0FF4">
          <w:rPr>
            <w:rStyle w:val="Hyperlink"/>
            <w:rFonts w:ascii="Arial" w:hAnsi="Arial" w:cs="Arial"/>
            <w:szCs w:val="24"/>
          </w:rPr>
          <w:t>e</w:t>
        </w:r>
      </w:hyperlink>
      <w:r w:rsidR="00F718CF" w:rsidRPr="00590B68">
        <w:rPr>
          <w:rFonts w:ascii="Arial" w:hAnsi="Arial" w:cs="Arial"/>
          <w:szCs w:val="24"/>
        </w:rPr>
        <w:t>)</w:t>
      </w:r>
      <w:r w:rsidRPr="002C0FF4">
        <w:rPr>
          <w:rFonts w:ascii="Arial" w:hAnsi="Arial" w:cs="Arial"/>
          <w:szCs w:val="24"/>
        </w:rPr>
        <w:t xml:space="preserve"> or all </w:t>
      </w:r>
      <w:r w:rsidR="00F718CF" w:rsidRPr="00590B68">
        <w:rPr>
          <w:rFonts w:ascii="Arial" w:hAnsi="Arial" w:cs="Arial"/>
          <w:szCs w:val="24"/>
        </w:rPr>
        <w:t>Revised Section 232 Healthcare Documents (</w:t>
      </w:r>
      <w:hyperlink r:id="rId26" w:history="1">
        <w:r w:rsidR="00F718CF" w:rsidRPr="00590B68">
          <w:rPr>
            <w:rStyle w:val="Hyperlink"/>
            <w:rFonts w:ascii="Arial" w:hAnsi="Arial" w:cs="Arial"/>
            <w:szCs w:val="24"/>
          </w:rPr>
          <w:t>her</w:t>
        </w:r>
        <w:r w:rsidRPr="002C0FF4">
          <w:rPr>
            <w:rStyle w:val="Hyperlink"/>
            <w:rFonts w:ascii="Arial" w:hAnsi="Arial" w:cs="Arial"/>
            <w:szCs w:val="24"/>
          </w:rPr>
          <w:t>e</w:t>
        </w:r>
      </w:hyperlink>
      <w:r w:rsidR="00F718CF" w:rsidRPr="00590B68">
        <w:rPr>
          <w:rFonts w:ascii="Arial" w:hAnsi="Arial" w:cs="Arial"/>
          <w:szCs w:val="24"/>
        </w:rPr>
        <w:t>).</w:t>
      </w:r>
      <w:r w:rsidRPr="002C0FF4">
        <w:rPr>
          <w:rFonts w:ascii="Arial" w:hAnsi="Arial" w:cs="Arial"/>
          <w:szCs w:val="24"/>
        </w:rPr>
        <w:t xml:space="preserve"> Any updates to </w:t>
      </w:r>
      <w:proofErr w:type="spellStart"/>
      <w:r w:rsidRPr="002C0FF4">
        <w:rPr>
          <w:rFonts w:ascii="Arial" w:hAnsi="Arial" w:cs="Arial"/>
          <w:szCs w:val="24"/>
        </w:rPr>
        <w:t>ORCF</w:t>
      </w:r>
      <w:proofErr w:type="spellEnd"/>
      <w:r w:rsidRPr="002C0FF4">
        <w:rPr>
          <w:rFonts w:ascii="Arial" w:hAnsi="Arial" w:cs="Arial"/>
          <w:szCs w:val="24"/>
        </w:rPr>
        <w:t xml:space="preserve"> documents will be posted on this website. </w:t>
      </w:r>
    </w:p>
    <w:p w14:paraId="7A67575A" w14:textId="77777777" w:rsidR="002C0FF4" w:rsidRPr="002C0FF4" w:rsidRDefault="002C0FF4" w:rsidP="002C0FF4">
      <w:pPr>
        <w:rPr>
          <w:rFonts w:ascii="Arial" w:hAnsi="Arial" w:cs="Arial"/>
          <w:szCs w:val="24"/>
        </w:rPr>
      </w:pPr>
    </w:p>
    <w:p w14:paraId="698F06BD" w14:textId="77777777" w:rsidR="002C0FF4" w:rsidRPr="002C0FF4" w:rsidRDefault="002C0FF4" w:rsidP="002C0FF4">
      <w:pPr>
        <w:rPr>
          <w:rFonts w:ascii="Arial" w:hAnsi="Arial" w:cs="Arial"/>
          <w:b/>
          <w:bCs/>
          <w:i/>
          <w:iCs/>
          <w:szCs w:val="24"/>
        </w:rPr>
      </w:pPr>
      <w:r w:rsidRPr="002C0FF4">
        <w:rPr>
          <w:rFonts w:ascii="Arial" w:hAnsi="Arial" w:cs="Arial"/>
          <w:b/>
          <w:bCs/>
          <w:i/>
          <w:iCs/>
          <w:szCs w:val="24"/>
        </w:rPr>
        <w:t>Please use posted documents to complete your closing and cost certification packages</w:t>
      </w:r>
    </w:p>
    <w:p w14:paraId="2F026D62" w14:textId="77777777" w:rsidR="002C0FF4" w:rsidRPr="002C0FF4" w:rsidRDefault="002C0FF4" w:rsidP="002C0FF4">
      <w:pPr>
        <w:rPr>
          <w:rFonts w:ascii="Arial" w:hAnsi="Arial" w:cs="Arial"/>
          <w:szCs w:val="24"/>
        </w:rPr>
      </w:pPr>
    </w:p>
    <w:p w14:paraId="0B2B1196" w14:textId="77777777" w:rsidR="002C0FF4" w:rsidRPr="002C0FF4" w:rsidRDefault="002C0FF4" w:rsidP="002C0FF4">
      <w:pPr>
        <w:rPr>
          <w:rFonts w:ascii="Arial" w:hAnsi="Arial" w:cs="Arial"/>
          <w:szCs w:val="24"/>
        </w:rPr>
      </w:pPr>
      <w:r w:rsidRPr="002C0FF4">
        <w:rPr>
          <w:rFonts w:ascii="Arial" w:hAnsi="Arial" w:cs="Arial"/>
          <w:szCs w:val="24"/>
        </w:rPr>
        <w:t xml:space="preserve">If you have questions, please contact the assigned </w:t>
      </w:r>
      <w:proofErr w:type="spellStart"/>
      <w:r w:rsidRPr="002C0FF4">
        <w:rPr>
          <w:rFonts w:ascii="Arial" w:hAnsi="Arial" w:cs="Arial"/>
          <w:szCs w:val="24"/>
        </w:rPr>
        <w:t>ORCF</w:t>
      </w:r>
      <w:proofErr w:type="spellEnd"/>
      <w:r w:rsidRPr="002C0FF4">
        <w:rPr>
          <w:rFonts w:ascii="Arial" w:hAnsi="Arial" w:cs="Arial"/>
          <w:szCs w:val="24"/>
        </w:rPr>
        <w:t xml:space="preserve"> Closing Coordinator.</w:t>
      </w:r>
    </w:p>
    <w:p w14:paraId="07830C8A" w14:textId="77777777" w:rsidR="002403A0" w:rsidRPr="00590B68" w:rsidRDefault="002403A0" w:rsidP="002403A0">
      <w:pPr>
        <w:rPr>
          <w:rFonts w:ascii="Arial" w:hAnsi="Arial" w:cs="Arial"/>
          <w:szCs w:val="24"/>
        </w:rPr>
      </w:pPr>
    </w:p>
    <w:p w14:paraId="4984CC12" w14:textId="4DD0280C" w:rsidR="002403A0" w:rsidRPr="00590B68" w:rsidRDefault="002403A0" w:rsidP="002403A0">
      <w:pPr>
        <w:rPr>
          <w:rFonts w:ascii="Arial" w:hAnsi="Arial" w:cs="Arial"/>
          <w:i/>
          <w:iCs/>
          <w:szCs w:val="24"/>
        </w:rPr>
      </w:pPr>
      <w:r w:rsidRPr="00590B68">
        <w:rPr>
          <w:rFonts w:ascii="Arial" w:hAnsi="Arial" w:cs="Arial"/>
          <w:b/>
          <w:bCs/>
          <w:i/>
          <w:iCs/>
          <w:szCs w:val="24"/>
        </w:rPr>
        <w:t>Keywords:</w:t>
      </w:r>
      <w:r w:rsidRPr="00590B68">
        <w:rPr>
          <w:rFonts w:ascii="Arial" w:hAnsi="Arial" w:cs="Arial"/>
          <w:i/>
          <w:iCs/>
          <w:szCs w:val="24"/>
        </w:rPr>
        <w:t xml:space="preserve"> </w:t>
      </w:r>
      <w:bookmarkStart w:id="26" w:name="_Hlk75955424"/>
      <w:r w:rsidRPr="00590B68">
        <w:rPr>
          <w:rFonts w:ascii="Arial" w:hAnsi="Arial" w:cs="Arial"/>
          <w:i/>
          <w:iCs/>
          <w:szCs w:val="24"/>
        </w:rPr>
        <w:t>Closing Documents</w:t>
      </w:r>
      <w:bookmarkEnd w:id="26"/>
    </w:p>
    <w:p w14:paraId="18610072" w14:textId="1F11537B" w:rsidR="00E426DA" w:rsidRPr="00590B68" w:rsidRDefault="00E426DA" w:rsidP="004B1C9D">
      <w:pPr>
        <w:rPr>
          <w:rFonts w:ascii="Arial" w:hAnsi="Arial" w:cs="Arial"/>
          <w:szCs w:val="24"/>
        </w:rPr>
      </w:pPr>
    </w:p>
    <w:p w14:paraId="110FEF21" w14:textId="646BF8EE" w:rsidR="00E52379" w:rsidRPr="00CF2E8B" w:rsidRDefault="00115F9E" w:rsidP="00C835D5">
      <w:pPr>
        <w:rPr>
          <w:rFonts w:ascii="Arial" w:hAnsi="Arial" w:cs="Arial"/>
          <w:b/>
          <w:color w:val="365F91" w:themeColor="accent1" w:themeShade="BF"/>
          <w:szCs w:val="24"/>
        </w:rPr>
      </w:pPr>
      <w:hyperlink w:anchor="_top" w:history="1">
        <w:r w:rsidR="00740D11" w:rsidRPr="00590B68">
          <w:rPr>
            <w:rFonts w:ascii="Arial" w:hAnsi="Arial" w:cs="Arial"/>
            <w:color w:val="365F91" w:themeColor="accent1" w:themeShade="BF"/>
            <w:szCs w:val="24"/>
            <w:u w:val="single"/>
          </w:rPr>
          <w:t>Back to top</w:t>
        </w:r>
      </w:hyperlink>
    </w:p>
    <w:bookmarkEnd w:id="0"/>
    <w:p w14:paraId="7F5F0FD1" w14:textId="05EA995A" w:rsidR="00740D11" w:rsidRPr="00590B68" w:rsidRDefault="00FD32E6"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3CEB8159" wp14:editId="31CE10C5">
                <wp:simplePos x="0" y="0"/>
                <wp:positionH relativeFrom="column">
                  <wp:posOffset>0</wp:posOffset>
                </wp:positionH>
                <wp:positionV relativeFrom="paragraph">
                  <wp:posOffset>78740</wp:posOffset>
                </wp:positionV>
                <wp:extent cx="5740400" cy="3175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A4F0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2pt" to="45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D32E6" w14:paraId="156A3D9A" w14:textId="77777777" w:rsidTr="5F253B67">
        <w:trPr>
          <w:tblCellSpacing w:w="0" w:type="dxa"/>
          <w:jc w:val="center"/>
        </w:trPr>
        <w:tc>
          <w:tcPr>
            <w:tcW w:w="0" w:type="auto"/>
            <w:tcMar>
              <w:top w:w="300" w:type="dxa"/>
              <w:left w:w="0" w:type="dxa"/>
              <w:bottom w:w="150" w:type="dxa"/>
              <w:right w:w="0" w:type="dxa"/>
            </w:tcMar>
            <w:vAlign w:val="center"/>
            <w:hideMark/>
          </w:tcPr>
          <w:p w14:paraId="43EB49DF" w14:textId="77777777" w:rsidR="00FD32E6" w:rsidRDefault="00FD32E6"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27" w:tgtFrame="_blank" w:history="1">
              <w:r>
                <w:rPr>
                  <w:rStyle w:val="Hyperlink"/>
                  <w:rFonts w:ascii="Arial" w:hAnsi="Arial" w:cs="Arial"/>
                  <w:sz w:val="20"/>
                  <w:szCs w:val="20"/>
                </w:rPr>
                <w:t>available online</w:t>
              </w:r>
            </w:hyperlink>
            <w:r>
              <w:rPr>
                <w:rFonts w:ascii="Arial" w:hAnsi="Arial" w:cs="Arial"/>
                <w:sz w:val="20"/>
                <w:szCs w:val="20"/>
              </w:rPr>
              <w:t>.</w:t>
            </w:r>
          </w:p>
          <w:p w14:paraId="347DCDE6" w14:textId="77777777" w:rsidR="00FD32E6" w:rsidRDefault="00FD32E6"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28" w:history="1">
              <w:r>
                <w:rPr>
                  <w:rStyle w:val="Hyperlink"/>
                  <w:rFonts w:ascii="Arial" w:hAnsi="Arial" w:cs="Arial"/>
                  <w:sz w:val="20"/>
                  <w:szCs w:val="20"/>
                </w:rPr>
                <w:t>LeanThinking@hud.gov</w:t>
              </w:r>
            </w:hyperlink>
            <w:r>
              <w:rPr>
                <w:rFonts w:ascii="Arial" w:hAnsi="Arial" w:cs="Arial"/>
                <w:sz w:val="20"/>
                <w:szCs w:val="20"/>
              </w:rPr>
              <w:t>.</w:t>
            </w:r>
          </w:p>
          <w:p w14:paraId="5950BAE2" w14:textId="77777777" w:rsidR="00FD32E6" w:rsidRDefault="00FD32E6"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29" w:history="1">
              <w:r>
                <w:rPr>
                  <w:rStyle w:val="Hyperlink"/>
                  <w:rFonts w:ascii="Arial" w:hAnsi="Arial" w:cs="Arial"/>
                  <w:sz w:val="20"/>
                  <w:szCs w:val="20"/>
                </w:rPr>
                <w:t>http://www.hud.gov/healthcare</w:t>
              </w:r>
            </w:hyperlink>
            <w:r>
              <w:rPr>
                <w:rFonts w:ascii="Arial" w:hAnsi="Arial" w:cs="Arial"/>
                <w:sz w:val="20"/>
                <w:szCs w:val="20"/>
              </w:rPr>
              <w:t>.</w:t>
            </w:r>
          </w:p>
          <w:p w14:paraId="091E5123" w14:textId="77777777" w:rsidR="00FD32E6" w:rsidRDefault="00FD32E6" w:rsidP="00094BC8">
            <w:pPr>
              <w:pStyle w:val="NormalWeb"/>
              <w:jc w:val="center"/>
              <w:rPr>
                <w:sz w:val="20"/>
                <w:szCs w:val="20"/>
              </w:rPr>
            </w:pPr>
            <w:r>
              <w:rPr>
                <w:sz w:val="20"/>
                <w:szCs w:val="20"/>
              </w:rPr>
              <w:t> </w:t>
            </w:r>
          </w:p>
          <w:p w14:paraId="6B1B67CE" w14:textId="77777777" w:rsidR="00FD32E6" w:rsidRDefault="00FD32E6"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FD32E6" w14:paraId="0CC246C0" w14:textId="77777777" w:rsidTr="5F253B67">
        <w:trPr>
          <w:tblCellSpacing w:w="0" w:type="dxa"/>
          <w:jc w:val="center"/>
        </w:trPr>
        <w:tc>
          <w:tcPr>
            <w:tcW w:w="0" w:type="auto"/>
            <w:tcMar>
              <w:top w:w="150" w:type="dxa"/>
              <w:left w:w="150" w:type="dxa"/>
              <w:bottom w:w="150" w:type="dxa"/>
              <w:right w:w="150" w:type="dxa"/>
            </w:tcMar>
            <w:vAlign w:val="center"/>
            <w:hideMark/>
          </w:tcPr>
          <w:p w14:paraId="27CA08D9" w14:textId="77777777" w:rsidR="00FD32E6" w:rsidRDefault="00FD32E6" w:rsidP="00094BC8">
            <w:pPr>
              <w:jc w:val="center"/>
              <w:rPr>
                <w:rFonts w:eastAsia="Times New Roman"/>
                <w:sz w:val="22"/>
              </w:rPr>
            </w:pPr>
            <w:r>
              <w:rPr>
                <w:noProof/>
              </w:rPr>
              <w:drawing>
                <wp:inline distT="0" distB="0" distL="0" distR="0" wp14:anchorId="303F4D2A" wp14:editId="0FDF959E">
                  <wp:extent cx="304800" cy="304800"/>
                  <wp:effectExtent l="0" t="0" r="0" b="0"/>
                  <wp:docPr id="4" name="Picture 4" descr="Twitt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5F253B67">
              <w:rPr>
                <w:rFonts w:ascii="Arial" w:eastAsia="Times New Roman" w:hAnsi="Arial" w:cs="Arial"/>
              </w:rPr>
              <w:t>  </w:t>
            </w:r>
            <w:r>
              <w:rPr>
                <w:noProof/>
              </w:rPr>
              <w:drawing>
                <wp:inline distT="0" distB="0" distL="0" distR="0" wp14:anchorId="566BF525" wp14:editId="4A4D1E5D">
                  <wp:extent cx="304800" cy="304800"/>
                  <wp:effectExtent l="0" t="0" r="0" b="0"/>
                  <wp:docPr id="3" name="Picture 3" descr="LinkedI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5F253B67">
              <w:rPr>
                <w:rFonts w:ascii="Arial" w:eastAsia="Times New Roman" w:hAnsi="Arial" w:cs="Arial"/>
              </w:rPr>
              <w:t> </w:t>
            </w:r>
          </w:p>
        </w:tc>
      </w:tr>
      <w:tr w:rsidR="00FD32E6" w14:paraId="4D256FD0" w14:textId="77777777" w:rsidTr="5F253B67">
        <w:trPr>
          <w:trHeight w:val="20"/>
          <w:tblCellSpacing w:w="0" w:type="dxa"/>
          <w:jc w:val="center"/>
        </w:trPr>
        <w:tc>
          <w:tcPr>
            <w:tcW w:w="0" w:type="auto"/>
            <w:tcMar>
              <w:top w:w="150" w:type="dxa"/>
              <w:left w:w="0" w:type="dxa"/>
              <w:bottom w:w="300" w:type="dxa"/>
              <w:right w:w="0" w:type="dxa"/>
            </w:tcMar>
            <w:vAlign w:val="center"/>
            <w:hideMark/>
          </w:tcPr>
          <w:p w14:paraId="1420E608" w14:textId="77777777" w:rsidR="00FD32E6" w:rsidRDefault="00FD32E6"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4"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5"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590B68" w:rsidRDefault="00605E4A" w:rsidP="00CF2E8B">
      <w:pPr>
        <w:rPr>
          <w:rFonts w:ascii="Arial" w:hAnsi="Arial" w:cs="Arial"/>
          <w:szCs w:val="24"/>
        </w:rPr>
      </w:pPr>
    </w:p>
    <w:sectPr w:rsidR="00605E4A" w:rsidRPr="00590B68" w:rsidSect="00E217E8">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4DF3" w14:textId="77777777" w:rsidR="00115F9E" w:rsidRDefault="00115F9E" w:rsidP="00E724F7">
      <w:r>
        <w:separator/>
      </w:r>
    </w:p>
  </w:endnote>
  <w:endnote w:type="continuationSeparator" w:id="0">
    <w:p w14:paraId="630D9189" w14:textId="77777777" w:rsidR="00115F9E" w:rsidRDefault="00115F9E" w:rsidP="00E724F7">
      <w:r>
        <w:continuationSeparator/>
      </w:r>
    </w:p>
  </w:endnote>
  <w:endnote w:type="continuationNotice" w:id="1">
    <w:p w14:paraId="64415E20" w14:textId="77777777" w:rsidR="00115F9E" w:rsidRDefault="00115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FCCE" w14:textId="77777777" w:rsidR="00115F9E" w:rsidRDefault="00115F9E" w:rsidP="00E724F7">
      <w:r>
        <w:separator/>
      </w:r>
    </w:p>
  </w:footnote>
  <w:footnote w:type="continuationSeparator" w:id="0">
    <w:p w14:paraId="74CEE9E9" w14:textId="77777777" w:rsidR="00115F9E" w:rsidRDefault="00115F9E" w:rsidP="00E724F7">
      <w:r>
        <w:continuationSeparator/>
      </w:r>
    </w:p>
  </w:footnote>
  <w:footnote w:type="continuationNotice" w:id="1">
    <w:p w14:paraId="66A336D3" w14:textId="77777777" w:rsidR="00115F9E" w:rsidRDefault="00115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06F22B69"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63C2"/>
    <w:multiLevelType w:val="hybridMultilevel"/>
    <w:tmpl w:val="A152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42B52"/>
    <w:multiLevelType w:val="hybridMultilevel"/>
    <w:tmpl w:val="E7229CE2"/>
    <w:lvl w:ilvl="0" w:tplc="0409000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45CF1"/>
    <w:multiLevelType w:val="hybridMultilevel"/>
    <w:tmpl w:val="E998ED9A"/>
    <w:lvl w:ilvl="0" w:tplc="EC38C694">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04E4E"/>
    <w:multiLevelType w:val="hybridMultilevel"/>
    <w:tmpl w:val="A66AC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73798B"/>
    <w:multiLevelType w:val="hybridMultilevel"/>
    <w:tmpl w:val="9CF27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A32F1A"/>
    <w:multiLevelType w:val="hybridMultilevel"/>
    <w:tmpl w:val="4ED495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A094CA0"/>
    <w:multiLevelType w:val="hybridMultilevel"/>
    <w:tmpl w:val="9FD06E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C58FC"/>
    <w:multiLevelType w:val="hybridMultilevel"/>
    <w:tmpl w:val="2B3E3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E0274F"/>
    <w:multiLevelType w:val="hybridMultilevel"/>
    <w:tmpl w:val="52921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884257D"/>
    <w:multiLevelType w:val="hybridMultilevel"/>
    <w:tmpl w:val="BF9077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2F0180"/>
    <w:multiLevelType w:val="hybridMultilevel"/>
    <w:tmpl w:val="1584AB40"/>
    <w:lvl w:ilvl="0" w:tplc="40D20FAE">
      <w:start w:val="1"/>
      <w:numFmt w:val="bullet"/>
      <w:pStyle w:val="TOC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4"/>
  </w:num>
  <w:num w:numId="5">
    <w:abstractNumId w:val="1"/>
  </w:num>
  <w:num w:numId="6">
    <w:abstractNumId w:val="2"/>
  </w:num>
  <w:num w:numId="7">
    <w:abstractNumId w:val="9"/>
  </w:num>
  <w:num w:numId="8">
    <w:abstractNumId w:val="12"/>
  </w:num>
  <w:num w:numId="9">
    <w:abstractNumId w:val="3"/>
  </w:num>
  <w:num w:numId="10">
    <w:abstractNumId w:val="8"/>
  </w:num>
  <w:num w:numId="11">
    <w:abstractNumId w:val="14"/>
  </w:num>
  <w:num w:numId="12">
    <w:abstractNumId w:val="5"/>
  </w:num>
  <w:num w:numId="13">
    <w:abstractNumId w:val="11"/>
  </w:num>
  <w:num w:numId="14">
    <w:abstractNumId w:val="4"/>
  </w:num>
  <w:num w:numId="15">
    <w:abstractNumId w:val="10"/>
  </w:num>
  <w:num w:numId="16">
    <w:abstractNumId w:val="6"/>
  </w:num>
  <w:num w:numId="17">
    <w:abstractNumId w:val="0"/>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163F9"/>
    <w:rsid w:val="000220E1"/>
    <w:rsid w:val="0002519C"/>
    <w:rsid w:val="00026721"/>
    <w:rsid w:val="00027DF5"/>
    <w:rsid w:val="00031481"/>
    <w:rsid w:val="00036CEF"/>
    <w:rsid w:val="0003786A"/>
    <w:rsid w:val="00041F02"/>
    <w:rsid w:val="00042F9C"/>
    <w:rsid w:val="000431CA"/>
    <w:rsid w:val="00044C48"/>
    <w:rsid w:val="000452B8"/>
    <w:rsid w:val="000530A7"/>
    <w:rsid w:val="000553FE"/>
    <w:rsid w:val="000579E7"/>
    <w:rsid w:val="00064BEA"/>
    <w:rsid w:val="00065099"/>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2500"/>
    <w:rsid w:val="000D4CB0"/>
    <w:rsid w:val="000D590E"/>
    <w:rsid w:val="000D662C"/>
    <w:rsid w:val="000D71C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5A1C"/>
    <w:rsid w:val="00115F9E"/>
    <w:rsid w:val="001166D4"/>
    <w:rsid w:val="00117426"/>
    <w:rsid w:val="001234C0"/>
    <w:rsid w:val="00125568"/>
    <w:rsid w:val="00136D47"/>
    <w:rsid w:val="00136D4E"/>
    <w:rsid w:val="001372A5"/>
    <w:rsid w:val="00137306"/>
    <w:rsid w:val="00140FD8"/>
    <w:rsid w:val="00144543"/>
    <w:rsid w:val="00144F98"/>
    <w:rsid w:val="0015202C"/>
    <w:rsid w:val="00154C45"/>
    <w:rsid w:val="001551B9"/>
    <w:rsid w:val="001658FA"/>
    <w:rsid w:val="00167964"/>
    <w:rsid w:val="001703D1"/>
    <w:rsid w:val="001748B2"/>
    <w:rsid w:val="001748C6"/>
    <w:rsid w:val="00174F7A"/>
    <w:rsid w:val="00187D60"/>
    <w:rsid w:val="0019457B"/>
    <w:rsid w:val="00194655"/>
    <w:rsid w:val="00194B8C"/>
    <w:rsid w:val="001A06DA"/>
    <w:rsid w:val="001A286F"/>
    <w:rsid w:val="001A50AE"/>
    <w:rsid w:val="001A56FA"/>
    <w:rsid w:val="001A5994"/>
    <w:rsid w:val="001A64CB"/>
    <w:rsid w:val="001A658B"/>
    <w:rsid w:val="001B01E2"/>
    <w:rsid w:val="001B1502"/>
    <w:rsid w:val="001B4E70"/>
    <w:rsid w:val="001B72D4"/>
    <w:rsid w:val="001C3886"/>
    <w:rsid w:val="001D230E"/>
    <w:rsid w:val="001D2514"/>
    <w:rsid w:val="001D32E4"/>
    <w:rsid w:val="001E172A"/>
    <w:rsid w:val="001E2581"/>
    <w:rsid w:val="001E717C"/>
    <w:rsid w:val="001F0D91"/>
    <w:rsid w:val="001F280E"/>
    <w:rsid w:val="001F5102"/>
    <w:rsid w:val="001F5FE3"/>
    <w:rsid w:val="001F686F"/>
    <w:rsid w:val="001F7501"/>
    <w:rsid w:val="00205202"/>
    <w:rsid w:val="00205C0D"/>
    <w:rsid w:val="0020710A"/>
    <w:rsid w:val="00210CA6"/>
    <w:rsid w:val="002125F1"/>
    <w:rsid w:val="002152F3"/>
    <w:rsid w:val="0021567D"/>
    <w:rsid w:val="002169B7"/>
    <w:rsid w:val="00221EC6"/>
    <w:rsid w:val="0022231F"/>
    <w:rsid w:val="0022559E"/>
    <w:rsid w:val="00231312"/>
    <w:rsid w:val="002315E4"/>
    <w:rsid w:val="00233DA8"/>
    <w:rsid w:val="00234B3A"/>
    <w:rsid w:val="002403A0"/>
    <w:rsid w:val="002410EF"/>
    <w:rsid w:val="00241BAB"/>
    <w:rsid w:val="00245A9D"/>
    <w:rsid w:val="00250450"/>
    <w:rsid w:val="00252904"/>
    <w:rsid w:val="002533F5"/>
    <w:rsid w:val="00254E17"/>
    <w:rsid w:val="00266332"/>
    <w:rsid w:val="00275348"/>
    <w:rsid w:val="00276FA2"/>
    <w:rsid w:val="002811AB"/>
    <w:rsid w:val="00283571"/>
    <w:rsid w:val="002901D1"/>
    <w:rsid w:val="00291BF9"/>
    <w:rsid w:val="002944DD"/>
    <w:rsid w:val="002A43CF"/>
    <w:rsid w:val="002C0FF4"/>
    <w:rsid w:val="002C1693"/>
    <w:rsid w:val="002C1CC2"/>
    <w:rsid w:val="002E36C5"/>
    <w:rsid w:val="002F3617"/>
    <w:rsid w:val="0030081A"/>
    <w:rsid w:val="003016E1"/>
    <w:rsid w:val="00302486"/>
    <w:rsid w:val="00303BBC"/>
    <w:rsid w:val="00305369"/>
    <w:rsid w:val="00313008"/>
    <w:rsid w:val="00323263"/>
    <w:rsid w:val="00325989"/>
    <w:rsid w:val="003375F7"/>
    <w:rsid w:val="00342F09"/>
    <w:rsid w:val="0034362D"/>
    <w:rsid w:val="00343816"/>
    <w:rsid w:val="00345602"/>
    <w:rsid w:val="003514F7"/>
    <w:rsid w:val="00352F9A"/>
    <w:rsid w:val="0035487F"/>
    <w:rsid w:val="00361A15"/>
    <w:rsid w:val="00367065"/>
    <w:rsid w:val="00367AC1"/>
    <w:rsid w:val="00370139"/>
    <w:rsid w:val="00370EA2"/>
    <w:rsid w:val="00380A0E"/>
    <w:rsid w:val="00382AE7"/>
    <w:rsid w:val="00385613"/>
    <w:rsid w:val="00385E62"/>
    <w:rsid w:val="003902B6"/>
    <w:rsid w:val="00392115"/>
    <w:rsid w:val="00396DB3"/>
    <w:rsid w:val="003976E9"/>
    <w:rsid w:val="003A0DC8"/>
    <w:rsid w:val="003A14CD"/>
    <w:rsid w:val="003A4FA0"/>
    <w:rsid w:val="003A518E"/>
    <w:rsid w:val="003A7686"/>
    <w:rsid w:val="003B0B4E"/>
    <w:rsid w:val="003B243B"/>
    <w:rsid w:val="003B3640"/>
    <w:rsid w:val="003B4F29"/>
    <w:rsid w:val="003B609D"/>
    <w:rsid w:val="003C15BB"/>
    <w:rsid w:val="003C256D"/>
    <w:rsid w:val="003C28A2"/>
    <w:rsid w:val="003C74DF"/>
    <w:rsid w:val="003C796D"/>
    <w:rsid w:val="003D288C"/>
    <w:rsid w:val="003D50FE"/>
    <w:rsid w:val="003D5C49"/>
    <w:rsid w:val="003D6F20"/>
    <w:rsid w:val="003D759C"/>
    <w:rsid w:val="003E4D05"/>
    <w:rsid w:val="003F0729"/>
    <w:rsid w:val="003F2B24"/>
    <w:rsid w:val="003F42BE"/>
    <w:rsid w:val="003F5A47"/>
    <w:rsid w:val="004014E6"/>
    <w:rsid w:val="004029D3"/>
    <w:rsid w:val="00403500"/>
    <w:rsid w:val="004044EC"/>
    <w:rsid w:val="0040475F"/>
    <w:rsid w:val="004153A7"/>
    <w:rsid w:val="004165AD"/>
    <w:rsid w:val="00420C01"/>
    <w:rsid w:val="0042314C"/>
    <w:rsid w:val="00423F99"/>
    <w:rsid w:val="00427390"/>
    <w:rsid w:val="00435F2A"/>
    <w:rsid w:val="00436D14"/>
    <w:rsid w:val="0043705A"/>
    <w:rsid w:val="00437394"/>
    <w:rsid w:val="004501E7"/>
    <w:rsid w:val="00450705"/>
    <w:rsid w:val="00451A3D"/>
    <w:rsid w:val="00455415"/>
    <w:rsid w:val="004625E2"/>
    <w:rsid w:val="00463B25"/>
    <w:rsid w:val="00465878"/>
    <w:rsid w:val="0046634C"/>
    <w:rsid w:val="004678DD"/>
    <w:rsid w:val="00475909"/>
    <w:rsid w:val="0047642B"/>
    <w:rsid w:val="00484413"/>
    <w:rsid w:val="00486B21"/>
    <w:rsid w:val="00490ACD"/>
    <w:rsid w:val="00494D44"/>
    <w:rsid w:val="004975EA"/>
    <w:rsid w:val="004A0486"/>
    <w:rsid w:val="004A0E10"/>
    <w:rsid w:val="004A5D11"/>
    <w:rsid w:val="004B1439"/>
    <w:rsid w:val="004B1446"/>
    <w:rsid w:val="004B182F"/>
    <w:rsid w:val="004B1C9D"/>
    <w:rsid w:val="004B316D"/>
    <w:rsid w:val="004B62C4"/>
    <w:rsid w:val="004C74BF"/>
    <w:rsid w:val="004D68AA"/>
    <w:rsid w:val="004D6BFF"/>
    <w:rsid w:val="004E35EC"/>
    <w:rsid w:val="004E46F8"/>
    <w:rsid w:val="004E61D0"/>
    <w:rsid w:val="004E64BA"/>
    <w:rsid w:val="004E6BBE"/>
    <w:rsid w:val="00500157"/>
    <w:rsid w:val="00506220"/>
    <w:rsid w:val="0050749B"/>
    <w:rsid w:val="00507D4A"/>
    <w:rsid w:val="00512271"/>
    <w:rsid w:val="00512589"/>
    <w:rsid w:val="00514249"/>
    <w:rsid w:val="00520297"/>
    <w:rsid w:val="0052057F"/>
    <w:rsid w:val="0052394E"/>
    <w:rsid w:val="0052470D"/>
    <w:rsid w:val="00527CA3"/>
    <w:rsid w:val="00530DFD"/>
    <w:rsid w:val="00531EE1"/>
    <w:rsid w:val="00532341"/>
    <w:rsid w:val="00536EA6"/>
    <w:rsid w:val="00537E8B"/>
    <w:rsid w:val="00540251"/>
    <w:rsid w:val="005427C8"/>
    <w:rsid w:val="00543FEC"/>
    <w:rsid w:val="005456D4"/>
    <w:rsid w:val="00546640"/>
    <w:rsid w:val="005504CA"/>
    <w:rsid w:val="005511BE"/>
    <w:rsid w:val="00553043"/>
    <w:rsid w:val="0055355A"/>
    <w:rsid w:val="0055444D"/>
    <w:rsid w:val="0056265C"/>
    <w:rsid w:val="005626F6"/>
    <w:rsid w:val="0057025A"/>
    <w:rsid w:val="0057105F"/>
    <w:rsid w:val="0057310A"/>
    <w:rsid w:val="00590B68"/>
    <w:rsid w:val="00593E55"/>
    <w:rsid w:val="005973C0"/>
    <w:rsid w:val="005A0D50"/>
    <w:rsid w:val="005A208E"/>
    <w:rsid w:val="005A5C2E"/>
    <w:rsid w:val="005B39A1"/>
    <w:rsid w:val="005C0D72"/>
    <w:rsid w:val="005C1378"/>
    <w:rsid w:val="005C3423"/>
    <w:rsid w:val="005D223B"/>
    <w:rsid w:val="005D370A"/>
    <w:rsid w:val="005D39DB"/>
    <w:rsid w:val="005D5C09"/>
    <w:rsid w:val="005D6571"/>
    <w:rsid w:val="005E29A7"/>
    <w:rsid w:val="005E67FE"/>
    <w:rsid w:val="005F02F2"/>
    <w:rsid w:val="005F074F"/>
    <w:rsid w:val="005F08B9"/>
    <w:rsid w:val="005F213F"/>
    <w:rsid w:val="005F2CCA"/>
    <w:rsid w:val="005F4ED4"/>
    <w:rsid w:val="006039A3"/>
    <w:rsid w:val="006047B1"/>
    <w:rsid w:val="00605E4A"/>
    <w:rsid w:val="006100DD"/>
    <w:rsid w:val="00611B14"/>
    <w:rsid w:val="00611D57"/>
    <w:rsid w:val="00612D9D"/>
    <w:rsid w:val="0061300C"/>
    <w:rsid w:val="006217B3"/>
    <w:rsid w:val="00622C81"/>
    <w:rsid w:val="00623A5A"/>
    <w:rsid w:val="00623DB3"/>
    <w:rsid w:val="00625406"/>
    <w:rsid w:val="00626403"/>
    <w:rsid w:val="00626DAB"/>
    <w:rsid w:val="00630E90"/>
    <w:rsid w:val="00632205"/>
    <w:rsid w:val="00634D93"/>
    <w:rsid w:val="006373B1"/>
    <w:rsid w:val="006433CA"/>
    <w:rsid w:val="006460CC"/>
    <w:rsid w:val="00646286"/>
    <w:rsid w:val="00646656"/>
    <w:rsid w:val="006516EB"/>
    <w:rsid w:val="00653868"/>
    <w:rsid w:val="00653934"/>
    <w:rsid w:val="0065509A"/>
    <w:rsid w:val="00655831"/>
    <w:rsid w:val="006559A6"/>
    <w:rsid w:val="006601D1"/>
    <w:rsid w:val="00660780"/>
    <w:rsid w:val="00665BBC"/>
    <w:rsid w:val="006668CD"/>
    <w:rsid w:val="00666DB8"/>
    <w:rsid w:val="00670C8F"/>
    <w:rsid w:val="00676689"/>
    <w:rsid w:val="00681FAC"/>
    <w:rsid w:val="00687AF2"/>
    <w:rsid w:val="006909A3"/>
    <w:rsid w:val="00696BE5"/>
    <w:rsid w:val="00696CFA"/>
    <w:rsid w:val="0069739B"/>
    <w:rsid w:val="006A0972"/>
    <w:rsid w:val="006A2DCD"/>
    <w:rsid w:val="006A4F7E"/>
    <w:rsid w:val="006A5A1E"/>
    <w:rsid w:val="006B0D96"/>
    <w:rsid w:val="006B37F1"/>
    <w:rsid w:val="006B5DA3"/>
    <w:rsid w:val="006C3AD6"/>
    <w:rsid w:val="006C7F7B"/>
    <w:rsid w:val="006D0A86"/>
    <w:rsid w:val="006D2245"/>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355B"/>
    <w:rsid w:val="00735D4D"/>
    <w:rsid w:val="00740D11"/>
    <w:rsid w:val="00743451"/>
    <w:rsid w:val="00743DDB"/>
    <w:rsid w:val="00750ECD"/>
    <w:rsid w:val="00751AF4"/>
    <w:rsid w:val="0075254C"/>
    <w:rsid w:val="007629CB"/>
    <w:rsid w:val="00762B2A"/>
    <w:rsid w:val="007633CA"/>
    <w:rsid w:val="007670CF"/>
    <w:rsid w:val="00771538"/>
    <w:rsid w:val="0078003D"/>
    <w:rsid w:val="00784558"/>
    <w:rsid w:val="00785DE4"/>
    <w:rsid w:val="007865C2"/>
    <w:rsid w:val="0078774A"/>
    <w:rsid w:val="0079016E"/>
    <w:rsid w:val="007971B8"/>
    <w:rsid w:val="007A0A55"/>
    <w:rsid w:val="007A6AF1"/>
    <w:rsid w:val="007A7AD2"/>
    <w:rsid w:val="007B1CB9"/>
    <w:rsid w:val="007B1DA2"/>
    <w:rsid w:val="007B5246"/>
    <w:rsid w:val="007B680A"/>
    <w:rsid w:val="007C41B9"/>
    <w:rsid w:val="007C570C"/>
    <w:rsid w:val="007C78C0"/>
    <w:rsid w:val="007D0FA3"/>
    <w:rsid w:val="007D1CB6"/>
    <w:rsid w:val="007D22CD"/>
    <w:rsid w:val="007D55E6"/>
    <w:rsid w:val="007E02EB"/>
    <w:rsid w:val="007E348B"/>
    <w:rsid w:val="007E4EA9"/>
    <w:rsid w:val="007E7AE7"/>
    <w:rsid w:val="007F584C"/>
    <w:rsid w:val="007F746E"/>
    <w:rsid w:val="008020BB"/>
    <w:rsid w:val="0080356B"/>
    <w:rsid w:val="008036DA"/>
    <w:rsid w:val="00803C36"/>
    <w:rsid w:val="00804AF0"/>
    <w:rsid w:val="00804F6C"/>
    <w:rsid w:val="008052FE"/>
    <w:rsid w:val="008060EC"/>
    <w:rsid w:val="00806994"/>
    <w:rsid w:val="00807374"/>
    <w:rsid w:val="008129A3"/>
    <w:rsid w:val="008144D7"/>
    <w:rsid w:val="00820B0D"/>
    <w:rsid w:val="00823286"/>
    <w:rsid w:val="00824960"/>
    <w:rsid w:val="0082548B"/>
    <w:rsid w:val="008345F6"/>
    <w:rsid w:val="00834693"/>
    <w:rsid w:val="0084300D"/>
    <w:rsid w:val="008501CE"/>
    <w:rsid w:val="00850C00"/>
    <w:rsid w:val="00851100"/>
    <w:rsid w:val="008516E7"/>
    <w:rsid w:val="00856481"/>
    <w:rsid w:val="00862CE3"/>
    <w:rsid w:val="00863472"/>
    <w:rsid w:val="008636A0"/>
    <w:rsid w:val="00865B51"/>
    <w:rsid w:val="00866350"/>
    <w:rsid w:val="00866C75"/>
    <w:rsid w:val="008675F8"/>
    <w:rsid w:val="00877BC5"/>
    <w:rsid w:val="008806A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5E45"/>
    <w:rsid w:val="008C78BE"/>
    <w:rsid w:val="008C79AD"/>
    <w:rsid w:val="008D6545"/>
    <w:rsid w:val="008D7B74"/>
    <w:rsid w:val="008E29C9"/>
    <w:rsid w:val="008E6F7E"/>
    <w:rsid w:val="008E7CC5"/>
    <w:rsid w:val="008F2D90"/>
    <w:rsid w:val="008F4637"/>
    <w:rsid w:val="008F4A71"/>
    <w:rsid w:val="008F66AB"/>
    <w:rsid w:val="0090051D"/>
    <w:rsid w:val="00906505"/>
    <w:rsid w:val="00907060"/>
    <w:rsid w:val="00910E23"/>
    <w:rsid w:val="009117CA"/>
    <w:rsid w:val="00912D45"/>
    <w:rsid w:val="00921EAA"/>
    <w:rsid w:val="00931BD7"/>
    <w:rsid w:val="00932987"/>
    <w:rsid w:val="009334D7"/>
    <w:rsid w:val="00934100"/>
    <w:rsid w:val="0093564D"/>
    <w:rsid w:val="00935890"/>
    <w:rsid w:val="00943883"/>
    <w:rsid w:val="00951E70"/>
    <w:rsid w:val="00953CD6"/>
    <w:rsid w:val="00961669"/>
    <w:rsid w:val="00963204"/>
    <w:rsid w:val="00967EEB"/>
    <w:rsid w:val="00973B47"/>
    <w:rsid w:val="0097518E"/>
    <w:rsid w:val="00981AE8"/>
    <w:rsid w:val="00981E04"/>
    <w:rsid w:val="009825CE"/>
    <w:rsid w:val="00990150"/>
    <w:rsid w:val="009924BF"/>
    <w:rsid w:val="00995A44"/>
    <w:rsid w:val="009979FA"/>
    <w:rsid w:val="00997C33"/>
    <w:rsid w:val="009A4648"/>
    <w:rsid w:val="009A6D83"/>
    <w:rsid w:val="009B3394"/>
    <w:rsid w:val="009C0A49"/>
    <w:rsid w:val="009C10DF"/>
    <w:rsid w:val="009C3410"/>
    <w:rsid w:val="009C5760"/>
    <w:rsid w:val="009D0FB7"/>
    <w:rsid w:val="009D1AD1"/>
    <w:rsid w:val="009D6D5F"/>
    <w:rsid w:val="009E1D78"/>
    <w:rsid w:val="009E7AD6"/>
    <w:rsid w:val="009F4D59"/>
    <w:rsid w:val="00A00298"/>
    <w:rsid w:val="00A01E02"/>
    <w:rsid w:val="00A10FC0"/>
    <w:rsid w:val="00A22475"/>
    <w:rsid w:val="00A22AD1"/>
    <w:rsid w:val="00A25626"/>
    <w:rsid w:val="00A25B2E"/>
    <w:rsid w:val="00A30FDD"/>
    <w:rsid w:val="00A332DE"/>
    <w:rsid w:val="00A33C6C"/>
    <w:rsid w:val="00A36B64"/>
    <w:rsid w:val="00A37D94"/>
    <w:rsid w:val="00A461EB"/>
    <w:rsid w:val="00A537F4"/>
    <w:rsid w:val="00A56EDC"/>
    <w:rsid w:val="00A64AB0"/>
    <w:rsid w:val="00A66B15"/>
    <w:rsid w:val="00A713BC"/>
    <w:rsid w:val="00A738AF"/>
    <w:rsid w:val="00A76D42"/>
    <w:rsid w:val="00A77F96"/>
    <w:rsid w:val="00A90302"/>
    <w:rsid w:val="00AA0603"/>
    <w:rsid w:val="00AA2770"/>
    <w:rsid w:val="00AA2E09"/>
    <w:rsid w:val="00AA705E"/>
    <w:rsid w:val="00AC2FE1"/>
    <w:rsid w:val="00AD43A5"/>
    <w:rsid w:val="00AD48A4"/>
    <w:rsid w:val="00AD4BD9"/>
    <w:rsid w:val="00AD6B44"/>
    <w:rsid w:val="00AE26DB"/>
    <w:rsid w:val="00AE2C86"/>
    <w:rsid w:val="00AE43AF"/>
    <w:rsid w:val="00AE43FC"/>
    <w:rsid w:val="00AE491D"/>
    <w:rsid w:val="00AF12FC"/>
    <w:rsid w:val="00AF20E1"/>
    <w:rsid w:val="00AF2F30"/>
    <w:rsid w:val="00AF61E6"/>
    <w:rsid w:val="00B00372"/>
    <w:rsid w:val="00B0162E"/>
    <w:rsid w:val="00B017F1"/>
    <w:rsid w:val="00B142B1"/>
    <w:rsid w:val="00B2122A"/>
    <w:rsid w:val="00B22440"/>
    <w:rsid w:val="00B22BA0"/>
    <w:rsid w:val="00B22F0F"/>
    <w:rsid w:val="00B23EC5"/>
    <w:rsid w:val="00B243B2"/>
    <w:rsid w:val="00B30118"/>
    <w:rsid w:val="00B3077D"/>
    <w:rsid w:val="00B31B3A"/>
    <w:rsid w:val="00B34BA7"/>
    <w:rsid w:val="00B35DFB"/>
    <w:rsid w:val="00B42F9D"/>
    <w:rsid w:val="00B45ACE"/>
    <w:rsid w:val="00B51EAE"/>
    <w:rsid w:val="00B61253"/>
    <w:rsid w:val="00B65A31"/>
    <w:rsid w:val="00B66D4E"/>
    <w:rsid w:val="00B70F99"/>
    <w:rsid w:val="00B713C0"/>
    <w:rsid w:val="00B7164F"/>
    <w:rsid w:val="00B75A8D"/>
    <w:rsid w:val="00B82D2D"/>
    <w:rsid w:val="00B85220"/>
    <w:rsid w:val="00B95455"/>
    <w:rsid w:val="00B962A5"/>
    <w:rsid w:val="00BA0435"/>
    <w:rsid w:val="00BA13D1"/>
    <w:rsid w:val="00BA34C3"/>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1F"/>
    <w:rsid w:val="00BF0444"/>
    <w:rsid w:val="00BF16FF"/>
    <w:rsid w:val="00BF2CFC"/>
    <w:rsid w:val="00BF51C8"/>
    <w:rsid w:val="00C01E84"/>
    <w:rsid w:val="00C02DF1"/>
    <w:rsid w:val="00C03A55"/>
    <w:rsid w:val="00C115E0"/>
    <w:rsid w:val="00C12924"/>
    <w:rsid w:val="00C1601F"/>
    <w:rsid w:val="00C17185"/>
    <w:rsid w:val="00C21F3E"/>
    <w:rsid w:val="00C31F5A"/>
    <w:rsid w:val="00C32066"/>
    <w:rsid w:val="00C34DE9"/>
    <w:rsid w:val="00C34E86"/>
    <w:rsid w:val="00C35C95"/>
    <w:rsid w:val="00C41AF2"/>
    <w:rsid w:val="00C51267"/>
    <w:rsid w:val="00C55261"/>
    <w:rsid w:val="00C56C58"/>
    <w:rsid w:val="00C56E9D"/>
    <w:rsid w:val="00C602B9"/>
    <w:rsid w:val="00C62E34"/>
    <w:rsid w:val="00C6355A"/>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0AC2"/>
    <w:rsid w:val="00CB59F4"/>
    <w:rsid w:val="00CC1634"/>
    <w:rsid w:val="00CC1B05"/>
    <w:rsid w:val="00CC4B57"/>
    <w:rsid w:val="00CC6B53"/>
    <w:rsid w:val="00CD3061"/>
    <w:rsid w:val="00CD5E1F"/>
    <w:rsid w:val="00CD6874"/>
    <w:rsid w:val="00CE56F4"/>
    <w:rsid w:val="00CE5846"/>
    <w:rsid w:val="00CE75ED"/>
    <w:rsid w:val="00CF04B2"/>
    <w:rsid w:val="00CF070D"/>
    <w:rsid w:val="00CF2541"/>
    <w:rsid w:val="00CF2E8B"/>
    <w:rsid w:val="00CF3CA7"/>
    <w:rsid w:val="00D02534"/>
    <w:rsid w:val="00D027F2"/>
    <w:rsid w:val="00D0463E"/>
    <w:rsid w:val="00D15458"/>
    <w:rsid w:val="00D15893"/>
    <w:rsid w:val="00D15A5A"/>
    <w:rsid w:val="00D16B29"/>
    <w:rsid w:val="00D16BAE"/>
    <w:rsid w:val="00D16C52"/>
    <w:rsid w:val="00D218EA"/>
    <w:rsid w:val="00D22E0C"/>
    <w:rsid w:val="00D30230"/>
    <w:rsid w:val="00D36FAA"/>
    <w:rsid w:val="00D37106"/>
    <w:rsid w:val="00D37F4F"/>
    <w:rsid w:val="00D411ED"/>
    <w:rsid w:val="00D413C4"/>
    <w:rsid w:val="00D42FFF"/>
    <w:rsid w:val="00D431DA"/>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95B5F"/>
    <w:rsid w:val="00D96023"/>
    <w:rsid w:val="00DA0410"/>
    <w:rsid w:val="00DA1056"/>
    <w:rsid w:val="00DA2126"/>
    <w:rsid w:val="00DA2230"/>
    <w:rsid w:val="00DA31D4"/>
    <w:rsid w:val="00DA5A5A"/>
    <w:rsid w:val="00DA6F41"/>
    <w:rsid w:val="00DA72F3"/>
    <w:rsid w:val="00DB6212"/>
    <w:rsid w:val="00DC0C97"/>
    <w:rsid w:val="00DC6BD6"/>
    <w:rsid w:val="00DD138A"/>
    <w:rsid w:val="00DD42D7"/>
    <w:rsid w:val="00DD6A76"/>
    <w:rsid w:val="00DE5952"/>
    <w:rsid w:val="00DE5A21"/>
    <w:rsid w:val="00DF0114"/>
    <w:rsid w:val="00DF0DFA"/>
    <w:rsid w:val="00DF1260"/>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179F"/>
    <w:rsid w:val="00E426DA"/>
    <w:rsid w:val="00E43543"/>
    <w:rsid w:val="00E52379"/>
    <w:rsid w:val="00E55131"/>
    <w:rsid w:val="00E56473"/>
    <w:rsid w:val="00E66073"/>
    <w:rsid w:val="00E6769E"/>
    <w:rsid w:val="00E70DA9"/>
    <w:rsid w:val="00E724F7"/>
    <w:rsid w:val="00E7390B"/>
    <w:rsid w:val="00E75A3F"/>
    <w:rsid w:val="00E76962"/>
    <w:rsid w:val="00E77B9C"/>
    <w:rsid w:val="00E8206B"/>
    <w:rsid w:val="00E846A5"/>
    <w:rsid w:val="00E91ED5"/>
    <w:rsid w:val="00E933A0"/>
    <w:rsid w:val="00E95B28"/>
    <w:rsid w:val="00EA5DAC"/>
    <w:rsid w:val="00EA615F"/>
    <w:rsid w:val="00EA7708"/>
    <w:rsid w:val="00EB5431"/>
    <w:rsid w:val="00EB6A53"/>
    <w:rsid w:val="00EB6B2A"/>
    <w:rsid w:val="00EC2BF5"/>
    <w:rsid w:val="00EC3328"/>
    <w:rsid w:val="00EC3F20"/>
    <w:rsid w:val="00EC66B3"/>
    <w:rsid w:val="00EC7192"/>
    <w:rsid w:val="00ED496B"/>
    <w:rsid w:val="00ED73B3"/>
    <w:rsid w:val="00EE1ADD"/>
    <w:rsid w:val="00EE1E50"/>
    <w:rsid w:val="00EE201B"/>
    <w:rsid w:val="00EE2194"/>
    <w:rsid w:val="00EE5159"/>
    <w:rsid w:val="00EE6E3B"/>
    <w:rsid w:val="00EF0134"/>
    <w:rsid w:val="00F01A93"/>
    <w:rsid w:val="00F01E9B"/>
    <w:rsid w:val="00F03E9E"/>
    <w:rsid w:val="00F14266"/>
    <w:rsid w:val="00F1564F"/>
    <w:rsid w:val="00F21965"/>
    <w:rsid w:val="00F21C16"/>
    <w:rsid w:val="00F243F4"/>
    <w:rsid w:val="00F25F13"/>
    <w:rsid w:val="00F30127"/>
    <w:rsid w:val="00F43BCF"/>
    <w:rsid w:val="00F53875"/>
    <w:rsid w:val="00F603BF"/>
    <w:rsid w:val="00F64758"/>
    <w:rsid w:val="00F649F0"/>
    <w:rsid w:val="00F65977"/>
    <w:rsid w:val="00F66FF8"/>
    <w:rsid w:val="00F718CF"/>
    <w:rsid w:val="00F72754"/>
    <w:rsid w:val="00F72BF6"/>
    <w:rsid w:val="00F733E7"/>
    <w:rsid w:val="00F76151"/>
    <w:rsid w:val="00F83D4D"/>
    <w:rsid w:val="00FA014D"/>
    <w:rsid w:val="00FA59C6"/>
    <w:rsid w:val="00FB21E7"/>
    <w:rsid w:val="00FB268F"/>
    <w:rsid w:val="00FB5F9A"/>
    <w:rsid w:val="00FB62C6"/>
    <w:rsid w:val="00FC691D"/>
    <w:rsid w:val="00FD32E6"/>
    <w:rsid w:val="00FE28A5"/>
    <w:rsid w:val="00FE6973"/>
    <w:rsid w:val="00FF289E"/>
    <w:rsid w:val="00FF43EA"/>
    <w:rsid w:val="058852DB"/>
    <w:rsid w:val="0AB6C3FF"/>
    <w:rsid w:val="194903BA"/>
    <w:rsid w:val="1B4689D4"/>
    <w:rsid w:val="1E213A3A"/>
    <w:rsid w:val="20629F3A"/>
    <w:rsid w:val="24ED6C1A"/>
    <w:rsid w:val="25C0192A"/>
    <w:rsid w:val="2645037C"/>
    <w:rsid w:val="26C9359E"/>
    <w:rsid w:val="29A7B4E0"/>
    <w:rsid w:val="3089739A"/>
    <w:rsid w:val="340A1A7B"/>
    <w:rsid w:val="38EFAAA4"/>
    <w:rsid w:val="40A163F7"/>
    <w:rsid w:val="443F5586"/>
    <w:rsid w:val="55F93737"/>
    <w:rsid w:val="5880DD05"/>
    <w:rsid w:val="5F253B67"/>
    <w:rsid w:val="7251EB0B"/>
    <w:rsid w:val="7CF2C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DF1260"/>
    <w:pPr>
      <w:numPr>
        <w:numId w:val="18"/>
      </w:numPr>
      <w:tabs>
        <w:tab w:val="right" w:leader="dot" w:pos="9350"/>
      </w:tabs>
      <w:spacing w:before="12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CE56F4"/>
    <w:rPr>
      <w:rFonts w:ascii="Arial" w:hAnsi="Arial" w:cs="Calibri"/>
      <w:b w:val="0"/>
      <w:bCs w:val="0"/>
      <w:color w:val="000066"/>
      <w:sz w:val="24"/>
      <w:szCs w:val="28"/>
      <w:u w:val="none"/>
    </w:rPr>
  </w:style>
  <w:style w:type="paragraph" w:customStyle="1" w:styleId="EmailBlast2">
    <w:name w:val="Email Blast2"/>
    <w:basedOn w:val="Normal"/>
    <w:autoRedefine/>
    <w:qFormat/>
    <w:rsid w:val="00590B68"/>
    <w:pPr>
      <w:spacing w:after="120"/>
      <w:outlineLvl w:val="1"/>
    </w:pPr>
    <w:rPr>
      <w:rFonts w:ascii="Arial" w:hAnsi="Arial" w:cs="Arial"/>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08668706">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24628996">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592250026">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88545323">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1023766">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79473491">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064141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924317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2915149">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ocuments/42321S2C8HSGH.PDF" TargetMode="External"/><Relationship Id="rId18" Type="http://schemas.openxmlformats.org/officeDocument/2006/relationships/hyperlink" Target="https://www.hud.gov/sites/documents/HUDLeanBlastJun272012.doc" TargetMode="External"/><Relationship Id="rId26" Type="http://schemas.openxmlformats.org/officeDocument/2006/relationships/hyperlink" Target="https://www.hud.gov/federal_housing_administration/healthcare_facilities/residential_care/final_232_documents" TargetMode="External"/><Relationship Id="rId3" Type="http://schemas.openxmlformats.org/officeDocument/2006/relationships/customXml" Target="../customXml/item3.xml"/><Relationship Id="rId21" Type="http://schemas.openxmlformats.org/officeDocument/2006/relationships/hyperlink" Target="https://www.hud.gov/federal_housing_administration/healthcare_facilities/residential_care/final_232_documents" TargetMode="External"/><Relationship Id="rId34"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7" Type="http://schemas.openxmlformats.org/officeDocument/2006/relationships/settings" Target="settings.xml"/><Relationship Id="rId12" Type="http://schemas.openxmlformats.org/officeDocument/2006/relationships/hyperlink" Target="https://www.hud.gov/sites/dfiles/Housing/documents/Firm223d-COVID.docx" TargetMode="External"/><Relationship Id="rId17" Type="http://schemas.openxmlformats.org/officeDocument/2006/relationships/hyperlink" Target="https://www.hud.gov/sites/documents/JuneEmailBlast062415.doc" TargetMode="External"/><Relationship Id="rId25" Type="http://schemas.openxmlformats.org/officeDocument/2006/relationships/hyperlink" Target="https://www.hud.gov/federal_housing_administration/healthcare_facilities/residential_care/underwriting"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gov/sites/dfiles/Housing/documents/FebEmailBlast02242021.docx" TargetMode="External"/><Relationship Id="rId20" Type="http://schemas.openxmlformats.org/officeDocument/2006/relationships/hyperlink" Target="https://www.hud.gov/sites/documents/42321S2C8HSGH.PDF" TargetMode="External"/><Relationship Id="rId29"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ud.gov/federal_housing_administration/healthcare_facilities/residential_care" TargetMode="External"/><Relationship Id="rId32"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ud.gov/sites/dfiles/Housing/documents/DecEmailBlast12182019.docx" TargetMode="External"/><Relationship Id="rId23" Type="http://schemas.openxmlformats.org/officeDocument/2006/relationships/hyperlink" Target="https://mgmt.hud.gov/sites/dfiles/Housing/documents/HMAC_QA_06-21.pdf" TargetMode="External"/><Relationship Id="rId28" Type="http://schemas.openxmlformats.org/officeDocument/2006/relationships/hyperlink" Target="mailto:LeanThinking@hud.gov"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ud.gov/sites/documents/42321S2C2HSGH.PDF"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Housing/documents/FebEmailBlast02262020.docx" TargetMode="External"/><Relationship Id="rId22" Type="http://schemas.openxmlformats.org/officeDocument/2006/relationships/hyperlink" Target="https://www.hud.gov/federal_housing_administration/healthcare_facilities/residential_care/presentations" TargetMode="External"/><Relationship Id="rId27"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0"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35"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8</cp:revision>
  <cp:lastPrinted>2014-08-11T13:53:00Z</cp:lastPrinted>
  <dcterms:created xsi:type="dcterms:W3CDTF">2021-06-30T18:28:00Z</dcterms:created>
  <dcterms:modified xsi:type="dcterms:W3CDTF">2021-07-26T15:13:00Z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