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C5CB3" w14:textId="30E0B1F5" w:rsidR="00146CA1" w:rsidRDefault="00146CA1" w:rsidP="00146CA1">
      <w:pPr>
        <w:pStyle w:val="Heading1"/>
      </w:pPr>
      <w:r>
        <w:t>Housing Opportunity Through Modernization Act (HOTMA) V</w:t>
      </w:r>
      <w:r w:rsidR="36CAF6ED">
        <w:t>ideo</w:t>
      </w:r>
      <w:r>
        <w:t xml:space="preserve"> Series for Multifamily Housing </w:t>
      </w:r>
      <w:r w:rsidR="00422EC1">
        <w:t>Owners</w:t>
      </w:r>
      <w:r>
        <w:t xml:space="preserve"> and Property Managers</w:t>
      </w:r>
    </w:p>
    <w:p w14:paraId="269D138C" w14:textId="77777777" w:rsidR="00146CA1" w:rsidRDefault="00146CA1" w:rsidP="00146CA1">
      <w:pPr>
        <w:pStyle w:val="Cover-3ContractOrderProjectNo"/>
      </w:pPr>
      <w:r>
        <w:t>Determining Annual Income</w:t>
      </w:r>
    </w:p>
    <w:p w14:paraId="253C132C" w14:textId="6CE620D7" w:rsidR="00741E32" w:rsidRDefault="00741E32" w:rsidP="00146CA1">
      <w:pPr>
        <w:pStyle w:val="Cover-3ContractOrderProjectNo"/>
        <w:spacing w:after="240"/>
      </w:pPr>
    </w:p>
    <w:tbl>
      <w:tblPr>
        <w:tblStyle w:val="EconometricaTableStyle"/>
        <w:tblW w:w="0" w:type="auto"/>
        <w:tblLayout w:type="fixed"/>
        <w:tblCellMar>
          <w:top w:w="43" w:type="dxa"/>
          <w:bottom w:w="43" w:type="dxa"/>
        </w:tblCellMar>
        <w:tblLook w:val="0620" w:firstRow="1" w:lastRow="0" w:firstColumn="0" w:lastColumn="0" w:noHBand="1" w:noVBand="1"/>
      </w:tblPr>
      <w:tblGrid>
        <w:gridCol w:w="1080"/>
        <w:gridCol w:w="2520"/>
        <w:gridCol w:w="9360"/>
      </w:tblGrid>
      <w:tr w:rsidR="00146CA1" w14:paraId="57A1B594" w14:textId="77777777" w:rsidTr="13ACFC94">
        <w:trPr>
          <w:cnfStyle w:val="100000000000" w:firstRow="1" w:lastRow="0" w:firstColumn="0" w:lastColumn="0" w:oddVBand="0" w:evenVBand="0" w:oddHBand="0" w:evenHBand="0" w:firstRowFirstColumn="0" w:firstRowLastColumn="0" w:lastRowFirstColumn="0" w:lastRowLastColumn="0"/>
          <w:trHeight w:val="20"/>
        </w:trPr>
        <w:tc>
          <w:tcPr>
            <w:tcW w:w="1080" w:type="dxa"/>
          </w:tcPr>
          <w:p w14:paraId="7489B378" w14:textId="77777777" w:rsidR="00146CA1" w:rsidRPr="00146CA1" w:rsidRDefault="00146CA1" w:rsidP="00146CA1">
            <w:pPr>
              <w:pStyle w:val="TableColumnHeading"/>
            </w:pPr>
            <w:r w:rsidRPr="00146CA1">
              <w:t>Slide No.</w:t>
            </w:r>
          </w:p>
        </w:tc>
        <w:tc>
          <w:tcPr>
            <w:tcW w:w="2520" w:type="dxa"/>
          </w:tcPr>
          <w:p w14:paraId="61B6FA07" w14:textId="77777777" w:rsidR="00146CA1" w:rsidRPr="00146CA1" w:rsidRDefault="00146CA1" w:rsidP="00146CA1">
            <w:pPr>
              <w:pStyle w:val="TableColumnHeading"/>
            </w:pPr>
            <w:r w:rsidRPr="00146CA1">
              <w:t>Slide Title</w:t>
            </w:r>
          </w:p>
        </w:tc>
        <w:tc>
          <w:tcPr>
            <w:tcW w:w="9360" w:type="dxa"/>
          </w:tcPr>
          <w:p w14:paraId="43A2CD10" w14:textId="142AD786" w:rsidR="00146CA1" w:rsidRPr="00146CA1" w:rsidRDefault="00146CA1" w:rsidP="00615C0C">
            <w:pPr>
              <w:pStyle w:val="TableColumnHeading"/>
            </w:pPr>
            <w:r>
              <w:t>Script</w:t>
            </w:r>
          </w:p>
        </w:tc>
      </w:tr>
      <w:tr w:rsidR="00146CA1" w14:paraId="3D44C1E9" w14:textId="77777777" w:rsidTr="13ACFC94">
        <w:trPr>
          <w:trHeight w:val="20"/>
        </w:trPr>
        <w:tc>
          <w:tcPr>
            <w:tcW w:w="1080" w:type="dxa"/>
          </w:tcPr>
          <w:p w14:paraId="71BFD5A4" w14:textId="6EE810E3" w:rsidR="00146CA1" w:rsidRPr="00146CA1" w:rsidRDefault="00146CA1" w:rsidP="00146CA1">
            <w:pPr>
              <w:pStyle w:val="TableCellYear"/>
            </w:pPr>
            <w:r>
              <w:t>1</w:t>
            </w:r>
          </w:p>
        </w:tc>
        <w:tc>
          <w:tcPr>
            <w:tcW w:w="2520" w:type="dxa"/>
          </w:tcPr>
          <w:p w14:paraId="6773DD7A" w14:textId="77777777" w:rsidR="00146CA1" w:rsidRPr="00146CA1" w:rsidRDefault="00146CA1" w:rsidP="00146CA1">
            <w:pPr>
              <w:pStyle w:val="TableCellGeneralText"/>
            </w:pPr>
            <w:r w:rsidRPr="00146CA1">
              <w:t>Cover</w:t>
            </w:r>
          </w:p>
        </w:tc>
        <w:tc>
          <w:tcPr>
            <w:tcW w:w="9360" w:type="dxa"/>
          </w:tcPr>
          <w:p w14:paraId="6304768C" w14:textId="3717C006" w:rsidR="00146CA1" w:rsidRPr="00146CA1" w:rsidRDefault="00C6544C" w:rsidP="00615C0C">
            <w:pPr>
              <w:pStyle w:val="TableCellGeneralText"/>
              <w:jc w:val="both"/>
            </w:pPr>
            <w:r>
              <w:t xml:space="preserve">Welcome to HUD Multifamily Housing’s HOTMA video series for </w:t>
            </w:r>
            <w:r w:rsidR="00422EC1">
              <w:t>Owners</w:t>
            </w:r>
            <w:r>
              <w:t>. As you may know, HOTMA stands for the Housing Opportunity Through Modernization Act. Today’s session will cover</w:t>
            </w:r>
            <w:r w:rsidR="00146CA1" w:rsidRPr="13ACFC94">
              <w:rPr>
                <w:rFonts w:eastAsiaTheme="majorEastAsia"/>
              </w:rPr>
              <w:t xml:space="preserve"> “Determining Income.” </w:t>
            </w:r>
          </w:p>
        </w:tc>
      </w:tr>
      <w:tr w:rsidR="00146CA1" w14:paraId="5AF4C6AC" w14:textId="77777777" w:rsidTr="13ACFC94">
        <w:trPr>
          <w:trHeight w:val="20"/>
        </w:trPr>
        <w:tc>
          <w:tcPr>
            <w:tcW w:w="1080" w:type="dxa"/>
          </w:tcPr>
          <w:p w14:paraId="11CFD473" w14:textId="1D37C5F8" w:rsidR="00146CA1" w:rsidRPr="00146CA1" w:rsidRDefault="00146CA1" w:rsidP="00146CA1">
            <w:pPr>
              <w:pStyle w:val="TableCellYear"/>
            </w:pPr>
            <w:r>
              <w:t>2</w:t>
            </w:r>
          </w:p>
        </w:tc>
        <w:tc>
          <w:tcPr>
            <w:tcW w:w="2520" w:type="dxa"/>
          </w:tcPr>
          <w:p w14:paraId="6D15FA38" w14:textId="252E6C9D" w:rsidR="00146CA1" w:rsidRPr="00146CA1" w:rsidRDefault="00146CA1" w:rsidP="00146CA1">
            <w:pPr>
              <w:pStyle w:val="TableCellGeneralText"/>
            </w:pPr>
            <w:r w:rsidRPr="00146CA1">
              <w:t xml:space="preserve">MFH HOTMA Video Series for </w:t>
            </w:r>
            <w:r w:rsidR="00422EC1">
              <w:t>Owners</w:t>
            </w:r>
          </w:p>
        </w:tc>
        <w:tc>
          <w:tcPr>
            <w:tcW w:w="9360" w:type="dxa"/>
          </w:tcPr>
          <w:p w14:paraId="7F2D2A41" w14:textId="6758A01E" w:rsidR="00146CA1" w:rsidRPr="00146CA1" w:rsidRDefault="00146CA1" w:rsidP="00615C0C">
            <w:pPr>
              <w:pStyle w:val="TableCellText-Spaced"/>
              <w:jc w:val="both"/>
            </w:pPr>
            <w:r w:rsidRPr="00146CA1">
              <w:t xml:space="preserve">Determining Income is one of eight HOTMA training videos created specifically for </w:t>
            </w:r>
            <w:r w:rsidR="00F552EB">
              <w:t>M</w:t>
            </w:r>
            <w:r w:rsidRPr="00146CA1">
              <w:t xml:space="preserve">ultifamily </w:t>
            </w:r>
            <w:r w:rsidR="00F552EB">
              <w:t>H</w:t>
            </w:r>
            <w:r w:rsidRPr="00146CA1">
              <w:t xml:space="preserve">ousing </w:t>
            </w:r>
            <w:r w:rsidR="0073087E">
              <w:t>P</w:t>
            </w:r>
            <w:r w:rsidRPr="00146CA1">
              <w:t xml:space="preserve">roperty </w:t>
            </w:r>
            <w:r w:rsidR="00422EC1">
              <w:t>Owners</w:t>
            </w:r>
            <w:r w:rsidRPr="00146CA1">
              <w:t xml:space="preserve">. </w:t>
            </w:r>
          </w:p>
          <w:p w14:paraId="02BAFFD2" w14:textId="7C6B0E8A" w:rsidR="00146CA1" w:rsidRPr="00146CA1" w:rsidRDefault="00146CA1" w:rsidP="00615C0C">
            <w:pPr>
              <w:pStyle w:val="TableCellGeneralText"/>
              <w:jc w:val="both"/>
            </w:pPr>
            <w:r w:rsidRPr="00146CA1">
              <w:t xml:space="preserve">Video recordings and the accompanying slide decks for the other topics are currently or soon to be available on HUD’s </w:t>
            </w:r>
            <w:r w:rsidR="006B1E55">
              <w:t>Multifamily</w:t>
            </w:r>
            <w:r w:rsidR="00D338B4">
              <w:t xml:space="preserve"> Housing</w:t>
            </w:r>
            <w:r w:rsidR="006B1E55">
              <w:t xml:space="preserve"> (MFH)</w:t>
            </w:r>
            <w:r w:rsidRPr="00146CA1">
              <w:t xml:space="preserve"> HOTMA site</w:t>
            </w:r>
            <w:r w:rsidRPr="00146CA1">
              <w:rPr>
                <w:rFonts w:eastAsia="Calibri"/>
              </w:rPr>
              <w:t>.</w:t>
            </w:r>
          </w:p>
        </w:tc>
      </w:tr>
      <w:tr w:rsidR="00146CA1" w14:paraId="0F9214D6" w14:textId="77777777" w:rsidTr="13ACFC94">
        <w:trPr>
          <w:trHeight w:val="20"/>
        </w:trPr>
        <w:tc>
          <w:tcPr>
            <w:tcW w:w="1080" w:type="dxa"/>
          </w:tcPr>
          <w:p w14:paraId="7B7694D7" w14:textId="7AE039BD" w:rsidR="00146CA1" w:rsidRPr="00146CA1" w:rsidRDefault="00146CA1" w:rsidP="00146CA1">
            <w:pPr>
              <w:pStyle w:val="TableCellYear"/>
            </w:pPr>
            <w:r>
              <w:t>3</w:t>
            </w:r>
          </w:p>
        </w:tc>
        <w:tc>
          <w:tcPr>
            <w:tcW w:w="2520" w:type="dxa"/>
          </w:tcPr>
          <w:p w14:paraId="0F390394" w14:textId="77777777" w:rsidR="00146CA1" w:rsidRPr="00146CA1" w:rsidRDefault="00146CA1" w:rsidP="00146CA1">
            <w:pPr>
              <w:pStyle w:val="TableCellGeneralText"/>
            </w:pPr>
            <w:r w:rsidRPr="00146CA1">
              <w:t>Agenda</w:t>
            </w:r>
          </w:p>
        </w:tc>
        <w:tc>
          <w:tcPr>
            <w:tcW w:w="9360" w:type="dxa"/>
          </w:tcPr>
          <w:p w14:paraId="194B07D4" w14:textId="77777777" w:rsidR="00146CA1" w:rsidRPr="00146CA1" w:rsidRDefault="00146CA1" w:rsidP="00615C0C">
            <w:pPr>
              <w:pStyle w:val="TableCellGeneralText"/>
              <w:jc w:val="both"/>
            </w:pPr>
            <w:r w:rsidRPr="00146CA1">
              <w:t xml:space="preserve">Today we will discuss the following topics: </w:t>
            </w:r>
          </w:p>
          <w:p w14:paraId="106F44D1" w14:textId="77777777" w:rsidR="00146CA1" w:rsidRPr="00146CA1" w:rsidRDefault="00146CA1" w:rsidP="00615C0C">
            <w:pPr>
              <w:pStyle w:val="TableBullet1"/>
              <w:jc w:val="both"/>
            </w:pPr>
            <w:r w:rsidRPr="00146CA1">
              <w:t>HOTMA’s new definition of “annual income.”</w:t>
            </w:r>
          </w:p>
          <w:p w14:paraId="17AFAF10" w14:textId="77777777" w:rsidR="00146CA1" w:rsidRPr="00146CA1" w:rsidRDefault="00146CA1" w:rsidP="00615C0C">
            <w:pPr>
              <w:pStyle w:val="TableBullet1"/>
              <w:jc w:val="both"/>
            </w:pPr>
            <w:r w:rsidRPr="00146CA1">
              <w:t>Different types of income including earned income, unearned income, and income from assets.</w:t>
            </w:r>
          </w:p>
          <w:p w14:paraId="49DBC7F0" w14:textId="65368D28" w:rsidR="00146CA1" w:rsidRPr="00146CA1" w:rsidRDefault="0008149F" w:rsidP="00615C0C">
            <w:pPr>
              <w:pStyle w:val="TableBullet1"/>
              <w:spacing w:after="0"/>
              <w:jc w:val="both"/>
            </w:pPr>
            <w:r>
              <w:t xml:space="preserve">And </w:t>
            </w:r>
            <w:r w:rsidR="00146CA1" w:rsidRPr="00146CA1">
              <w:t>New and updated income exclusions.</w:t>
            </w:r>
          </w:p>
        </w:tc>
      </w:tr>
      <w:tr w:rsidR="00146CA1" w14:paraId="5A4F3E9C" w14:textId="77777777" w:rsidTr="13ACFC94">
        <w:trPr>
          <w:trHeight w:val="20"/>
        </w:trPr>
        <w:tc>
          <w:tcPr>
            <w:tcW w:w="1080" w:type="dxa"/>
          </w:tcPr>
          <w:p w14:paraId="723616A1" w14:textId="556BB855" w:rsidR="00146CA1" w:rsidRPr="00146CA1" w:rsidRDefault="00146CA1" w:rsidP="00146CA1">
            <w:pPr>
              <w:pStyle w:val="TableCellYear"/>
            </w:pPr>
            <w:r>
              <w:t>4</w:t>
            </w:r>
          </w:p>
        </w:tc>
        <w:tc>
          <w:tcPr>
            <w:tcW w:w="2520" w:type="dxa"/>
          </w:tcPr>
          <w:p w14:paraId="200F03DE" w14:textId="77777777" w:rsidR="00146CA1" w:rsidRPr="00146CA1" w:rsidRDefault="00146CA1" w:rsidP="00146CA1">
            <w:pPr>
              <w:pStyle w:val="TableCellGeneralText"/>
            </w:pPr>
            <w:r w:rsidRPr="00146CA1">
              <w:t>Training Objectives</w:t>
            </w:r>
          </w:p>
        </w:tc>
        <w:tc>
          <w:tcPr>
            <w:tcW w:w="9360" w:type="dxa"/>
          </w:tcPr>
          <w:p w14:paraId="7B142C58" w14:textId="7732FCAC" w:rsidR="00146CA1" w:rsidRPr="00146CA1" w:rsidRDefault="00146CA1" w:rsidP="00615C0C">
            <w:pPr>
              <w:pStyle w:val="TableCellGeneralText"/>
              <w:jc w:val="both"/>
            </w:pPr>
            <w:r w:rsidRPr="00146CA1">
              <w:t xml:space="preserve">This training will provide </w:t>
            </w:r>
            <w:r w:rsidR="00046AB2">
              <w:t>M</w:t>
            </w:r>
            <w:r w:rsidRPr="00146CA1">
              <w:t>ultifamily</w:t>
            </w:r>
            <w:r w:rsidR="00046AB2">
              <w:t xml:space="preserve"> Housing</w:t>
            </w:r>
            <w:r w:rsidRPr="00146CA1">
              <w:t xml:space="preserve"> </w:t>
            </w:r>
            <w:r w:rsidR="007F68C2">
              <w:t>P</w:t>
            </w:r>
            <w:r w:rsidRPr="00146CA1">
              <w:t xml:space="preserve">roperty </w:t>
            </w:r>
            <w:r w:rsidR="00422EC1">
              <w:t>Owners</w:t>
            </w:r>
            <w:r w:rsidRPr="00146CA1">
              <w:t xml:space="preserve"> and property managers with the knowledge and tools to:</w:t>
            </w:r>
          </w:p>
          <w:p w14:paraId="2FE45E5C" w14:textId="77777777" w:rsidR="00146CA1" w:rsidRPr="00146CA1" w:rsidRDefault="00146CA1" w:rsidP="00615C0C">
            <w:pPr>
              <w:pStyle w:val="TableBullet1"/>
              <w:jc w:val="both"/>
            </w:pPr>
            <w:r w:rsidRPr="00146CA1">
              <w:t>Understand the new definitions of annual income and related terms introduced in HOTMA.</w:t>
            </w:r>
          </w:p>
          <w:p w14:paraId="6704B64D" w14:textId="5DD9E73A" w:rsidR="00146CA1" w:rsidRPr="00146CA1" w:rsidRDefault="00146CA1" w:rsidP="00615C0C">
            <w:pPr>
              <w:pStyle w:val="TableBullet1"/>
              <w:jc w:val="both"/>
            </w:pPr>
            <w:r w:rsidRPr="00146CA1">
              <w:t>Determine which sources of income to include when calculating income.</w:t>
            </w:r>
          </w:p>
          <w:p w14:paraId="3D936324" w14:textId="5957821B" w:rsidR="00146CA1" w:rsidRPr="00146CA1" w:rsidRDefault="00363DC4" w:rsidP="00615C0C">
            <w:pPr>
              <w:pStyle w:val="TableBullet1"/>
              <w:spacing w:after="0"/>
              <w:jc w:val="both"/>
            </w:pPr>
            <w:r>
              <w:t>And u</w:t>
            </w:r>
            <w:r w:rsidR="00146CA1" w:rsidRPr="00146CA1">
              <w:t>nderstand the new and revised income exclusions.</w:t>
            </w:r>
          </w:p>
        </w:tc>
      </w:tr>
      <w:tr w:rsidR="00146CA1" w14:paraId="10A3EA72" w14:textId="77777777" w:rsidTr="13ACFC94">
        <w:trPr>
          <w:trHeight w:val="20"/>
        </w:trPr>
        <w:tc>
          <w:tcPr>
            <w:tcW w:w="1080" w:type="dxa"/>
          </w:tcPr>
          <w:p w14:paraId="2D21BB0B" w14:textId="1A55C448" w:rsidR="00146CA1" w:rsidRPr="00146CA1" w:rsidRDefault="00146CA1" w:rsidP="00146CA1">
            <w:pPr>
              <w:pStyle w:val="TableCellYear"/>
            </w:pPr>
            <w:r>
              <w:lastRenderedPageBreak/>
              <w:t>5</w:t>
            </w:r>
          </w:p>
        </w:tc>
        <w:tc>
          <w:tcPr>
            <w:tcW w:w="2520" w:type="dxa"/>
          </w:tcPr>
          <w:p w14:paraId="02115CB5" w14:textId="77777777" w:rsidR="00146CA1" w:rsidRPr="00146CA1" w:rsidRDefault="00146CA1" w:rsidP="00146CA1">
            <w:pPr>
              <w:pStyle w:val="TableCellGeneralText"/>
            </w:pPr>
            <w:r w:rsidRPr="00146CA1">
              <w:t>HOTMA Background</w:t>
            </w:r>
          </w:p>
        </w:tc>
        <w:tc>
          <w:tcPr>
            <w:tcW w:w="9360" w:type="dxa"/>
          </w:tcPr>
          <w:p w14:paraId="38708735" w14:textId="678698D5" w:rsidR="00146CA1" w:rsidRPr="00B93638" w:rsidRDefault="00146CA1" w:rsidP="00196101">
            <w:pPr>
              <w:spacing w:after="120"/>
            </w:pPr>
            <w:r w:rsidRPr="00146CA1">
              <w:t>On July 29</w:t>
            </w:r>
            <w:r w:rsidR="000D0DC5">
              <w:t>th</w:t>
            </w:r>
            <w:r w:rsidRPr="00146CA1">
              <w:t>, 2016, HOTMA was signed into law. It c</w:t>
            </w:r>
            <w:r w:rsidRPr="00B93638">
              <w:t>onsists of 14 sections that affect HUD’s rental assistance programs.</w:t>
            </w:r>
          </w:p>
          <w:p w14:paraId="4FFFCA67" w14:textId="1C9D8E96" w:rsidR="00196101" w:rsidRPr="00B93638" w:rsidRDefault="00196101" w:rsidP="00196101">
            <w:pPr>
              <w:spacing w:after="120"/>
              <w:rPr>
                <w:bCs/>
              </w:rPr>
            </w:pPr>
            <w:r w:rsidRPr="00B93638">
              <w:rPr>
                <w:bCs/>
              </w:rPr>
              <w:t>On February 14</w:t>
            </w:r>
            <w:r w:rsidR="000D0DC5">
              <w:rPr>
                <w:bCs/>
              </w:rPr>
              <w:t>th</w:t>
            </w:r>
            <w:r w:rsidRPr="00B93638">
              <w:rPr>
                <w:bCs/>
              </w:rPr>
              <w:t>, 2023, the Final Rule for implementing Sections 102, 103, and 104 of HOTMA was published.</w:t>
            </w:r>
          </w:p>
          <w:p w14:paraId="2304BC91" w14:textId="5E49A214" w:rsidR="00397AA9" w:rsidRPr="00481F9A" w:rsidRDefault="00397AA9" w:rsidP="00196101">
            <w:pPr>
              <w:spacing w:after="120"/>
            </w:pPr>
            <w:r w:rsidRPr="00481F9A">
              <w:t xml:space="preserve">Only Sections 102 and 104 apply to HUD’s </w:t>
            </w:r>
            <w:r w:rsidR="007F68C2">
              <w:t>M</w:t>
            </w:r>
            <w:r w:rsidRPr="00481F9A">
              <w:t xml:space="preserve">ultifamily </w:t>
            </w:r>
            <w:r w:rsidR="007F68C2">
              <w:t>H</w:t>
            </w:r>
            <w:r w:rsidRPr="00481F9A">
              <w:t>ousing programs.</w:t>
            </w:r>
          </w:p>
          <w:p w14:paraId="07C2D6C7" w14:textId="77777777" w:rsidR="00397AA9" w:rsidRPr="00481F9A" w:rsidRDefault="00397AA9" w:rsidP="00196101">
            <w:pPr>
              <w:pStyle w:val="ListParagraph"/>
              <w:numPr>
                <w:ilvl w:val="0"/>
                <w:numId w:val="16"/>
              </w:numPr>
              <w:spacing w:after="120"/>
            </w:pPr>
            <w:r w:rsidRPr="00481F9A">
              <w:t>Section 102 changes requirements related to income reviews</w:t>
            </w:r>
            <w:r>
              <w:t>.</w:t>
            </w:r>
          </w:p>
          <w:p w14:paraId="58B64A70" w14:textId="77777777" w:rsidR="00397AA9" w:rsidRPr="00481F9A" w:rsidRDefault="00397AA9" w:rsidP="00196101">
            <w:pPr>
              <w:pStyle w:val="ListParagraph"/>
              <w:numPr>
                <w:ilvl w:val="0"/>
                <w:numId w:val="16"/>
              </w:numPr>
              <w:spacing w:after="120"/>
            </w:pPr>
            <w:r w:rsidRPr="00481F9A">
              <w:t>Section 104 sets maximum asset limitations</w:t>
            </w:r>
            <w:r>
              <w:t>.</w:t>
            </w:r>
          </w:p>
          <w:p w14:paraId="645282BA" w14:textId="553ED1EF" w:rsidR="00146CA1" w:rsidRPr="00146CA1" w:rsidRDefault="00146CA1" w:rsidP="00196101">
            <w:pPr>
              <w:spacing w:after="120"/>
            </w:pPr>
            <w:r w:rsidRPr="00146CA1">
              <w:t>Then on September 29</w:t>
            </w:r>
            <w:r w:rsidR="00143E30">
              <w:t>th</w:t>
            </w:r>
            <w:r w:rsidRPr="00146CA1">
              <w:t>, 2023, Notice H 2023-10 was issued, which provided guidance on Section 102.</w:t>
            </w:r>
          </w:p>
          <w:p w14:paraId="4C6E03D1" w14:textId="41CAE1CE" w:rsidR="00146CA1" w:rsidRDefault="00146CA1" w:rsidP="00196101">
            <w:pPr>
              <w:spacing w:after="120"/>
            </w:pPr>
            <w:r w:rsidRPr="00146CA1">
              <w:t>Recently, on February 2</w:t>
            </w:r>
            <w:r w:rsidR="00F246A5">
              <w:t>nd</w:t>
            </w:r>
            <w:r w:rsidRPr="00146CA1">
              <w:t>, 2024, Revised Notice H 2023-10 was issued.</w:t>
            </w:r>
            <w:r w:rsidR="00196101" w:rsidRPr="00B93638">
              <w:rPr>
                <w:bCs/>
              </w:rPr>
              <w:t xml:space="preserve"> This provided guidance for Sections 104 and technical clarifications.</w:t>
            </w:r>
          </w:p>
          <w:p w14:paraId="345DE195" w14:textId="1FDC6FBF" w:rsidR="00146CA1" w:rsidRPr="00146CA1" w:rsidRDefault="00146CA1" w:rsidP="00615C0C">
            <w:pPr>
              <w:pStyle w:val="TableCellGeneralText"/>
              <w:jc w:val="both"/>
            </w:pPr>
            <w:r w:rsidRPr="00146CA1">
              <w:t xml:space="preserve">As a side note, HOTMA more closely aligns MFH and </w:t>
            </w:r>
            <w:r w:rsidR="00320E4E" w:rsidRPr="00320E4E">
              <w:t>Public and Indian Housing</w:t>
            </w:r>
            <w:r w:rsidR="00320E4E" w:rsidRPr="00320E4E" w:rsidDel="00320E4E">
              <w:t xml:space="preserve"> </w:t>
            </w:r>
            <w:r w:rsidRPr="00146CA1">
              <w:t>policies.</w:t>
            </w:r>
          </w:p>
        </w:tc>
      </w:tr>
      <w:tr w:rsidR="00146CA1" w14:paraId="27AC832C" w14:textId="77777777" w:rsidTr="13ACFC94">
        <w:trPr>
          <w:trHeight w:val="20"/>
        </w:trPr>
        <w:tc>
          <w:tcPr>
            <w:tcW w:w="1080" w:type="dxa"/>
          </w:tcPr>
          <w:p w14:paraId="7B65DEAB" w14:textId="3B695BD7" w:rsidR="00146CA1" w:rsidRPr="00146CA1" w:rsidRDefault="00146CA1" w:rsidP="00146CA1">
            <w:pPr>
              <w:pStyle w:val="TableCellYear"/>
            </w:pPr>
            <w:r>
              <w:t>6</w:t>
            </w:r>
          </w:p>
        </w:tc>
        <w:tc>
          <w:tcPr>
            <w:tcW w:w="2520" w:type="dxa"/>
          </w:tcPr>
          <w:p w14:paraId="0E1C3C5C" w14:textId="77777777" w:rsidR="00146CA1" w:rsidRPr="00146CA1" w:rsidRDefault="00146CA1" w:rsidP="00146CA1">
            <w:pPr>
              <w:pStyle w:val="TableCellGeneralText"/>
            </w:pPr>
            <w:r w:rsidRPr="00146CA1">
              <w:t xml:space="preserve">Program Applicability </w:t>
            </w:r>
          </w:p>
        </w:tc>
        <w:tc>
          <w:tcPr>
            <w:tcW w:w="9360" w:type="dxa"/>
          </w:tcPr>
          <w:p w14:paraId="6C44612C" w14:textId="77777777" w:rsidR="00146CA1" w:rsidRPr="00146CA1" w:rsidRDefault="00146CA1" w:rsidP="00615C0C">
            <w:pPr>
              <w:pStyle w:val="TableCellGeneralText"/>
              <w:jc w:val="both"/>
            </w:pPr>
            <w:r w:rsidRPr="00146CA1">
              <w:t>The information in this training is applicable to the following MFH programs:</w:t>
            </w:r>
          </w:p>
          <w:p w14:paraId="1A0C14FF" w14:textId="77777777" w:rsidR="00DD4335" w:rsidRPr="00DD4335" w:rsidRDefault="00DD4335" w:rsidP="00DD4335">
            <w:pPr>
              <w:pStyle w:val="TableBullet1"/>
            </w:pPr>
            <w:r w:rsidRPr="00DD4335">
              <w:t>Section 8 Project-Based Rental Assistance (PBRA)</w:t>
            </w:r>
          </w:p>
          <w:p w14:paraId="5C8E378D" w14:textId="77777777" w:rsidR="00DD4335" w:rsidRPr="00DD4335" w:rsidRDefault="00DD4335" w:rsidP="00DD4335">
            <w:pPr>
              <w:pStyle w:val="TableBullet1"/>
            </w:pPr>
            <w:r w:rsidRPr="00DD4335">
              <w:t>Section 202/8 Supportive Housing for the Elderly and Persons with Disabilities</w:t>
            </w:r>
          </w:p>
          <w:p w14:paraId="56F60FE9" w14:textId="77777777" w:rsidR="00DD4335" w:rsidRPr="00DD4335" w:rsidRDefault="00DD4335" w:rsidP="00DD4335">
            <w:pPr>
              <w:pStyle w:val="TableBullet1"/>
            </w:pPr>
            <w:r w:rsidRPr="00DD4335">
              <w:t>Section 202/162 Project Assistance Contract (202/162 PAC)</w:t>
            </w:r>
          </w:p>
          <w:p w14:paraId="38CD48DE" w14:textId="77777777" w:rsidR="00DD4335" w:rsidRPr="00DD4335" w:rsidRDefault="00DD4335" w:rsidP="00DD4335">
            <w:pPr>
              <w:pStyle w:val="TableBullet1"/>
            </w:pPr>
            <w:r w:rsidRPr="00DD4335">
              <w:t>Section 202/811 Capital Advance with Project Rental Assistance Contract (202/811 PRAC)</w:t>
            </w:r>
          </w:p>
          <w:p w14:paraId="367143B7" w14:textId="77777777" w:rsidR="00DD4335" w:rsidRPr="00DD4335" w:rsidRDefault="00DD4335" w:rsidP="00DD4335">
            <w:pPr>
              <w:pStyle w:val="TableBullet1"/>
            </w:pPr>
            <w:r w:rsidRPr="00DD4335">
              <w:t>Non-insured 236 projects with Interest Reduction Payments (236 IRP) </w:t>
            </w:r>
          </w:p>
          <w:p w14:paraId="323F9FDE" w14:textId="77777777" w:rsidR="00DD4335" w:rsidRPr="004F0010" w:rsidRDefault="00DD4335" w:rsidP="00DD4335">
            <w:pPr>
              <w:pStyle w:val="TableBullet1"/>
            </w:pPr>
            <w:r w:rsidRPr="004F0010">
              <w:t>Section 811 Project Rental Assistance Demonstration (811 PRA)</w:t>
            </w:r>
          </w:p>
          <w:p w14:paraId="0AE92E10" w14:textId="00436754" w:rsidR="00DD4335" w:rsidRPr="004F0010" w:rsidRDefault="00DD4335" w:rsidP="00DD4335">
            <w:pPr>
              <w:pStyle w:val="TableBullet1"/>
            </w:pPr>
            <w:r w:rsidRPr="004F0010">
              <w:rPr>
                <w:rFonts w:eastAsiaTheme="minorHAnsi" w:cstheme="minorBidi"/>
                <w:color w:val="auto"/>
                <w:sz w:val="24"/>
              </w:rPr>
              <w:t xml:space="preserve">Senior Preservation Rental Assistance Contract (SPRAC) </w:t>
            </w:r>
            <w:r w:rsidRPr="004F0010">
              <w:br/>
            </w:r>
          </w:p>
          <w:p w14:paraId="34BBE77D" w14:textId="26902CF1" w:rsidR="00146CA1" w:rsidRPr="00146CA1" w:rsidRDefault="00146CA1" w:rsidP="00DD4335">
            <w:pPr>
              <w:pStyle w:val="TableBullet1"/>
            </w:pPr>
            <w:r w:rsidRPr="00146CA1">
              <w:t xml:space="preserve">Note that HOTMA’s Asset Limitation provision, discussed in detail in the Asset Limitation Training included in this training series, applies only to Section 8 </w:t>
            </w:r>
            <w:r w:rsidR="006E5C40" w:rsidRPr="00DD4335">
              <w:t xml:space="preserve">Project-Based Rental Assistance </w:t>
            </w:r>
            <w:r w:rsidRPr="00146CA1">
              <w:t xml:space="preserve">and Section 202/8. </w:t>
            </w:r>
          </w:p>
        </w:tc>
      </w:tr>
      <w:tr w:rsidR="00146CA1" w14:paraId="62BB1A77" w14:textId="77777777" w:rsidTr="13ACFC94">
        <w:trPr>
          <w:trHeight w:val="20"/>
        </w:trPr>
        <w:tc>
          <w:tcPr>
            <w:tcW w:w="1080" w:type="dxa"/>
          </w:tcPr>
          <w:p w14:paraId="203103E1" w14:textId="121F012B" w:rsidR="00146CA1" w:rsidRPr="00146CA1" w:rsidRDefault="00146CA1" w:rsidP="00146CA1">
            <w:pPr>
              <w:pStyle w:val="TableCellYear"/>
            </w:pPr>
            <w:r>
              <w:t>7</w:t>
            </w:r>
          </w:p>
        </w:tc>
        <w:tc>
          <w:tcPr>
            <w:tcW w:w="2520" w:type="dxa"/>
          </w:tcPr>
          <w:p w14:paraId="136EA0DD" w14:textId="77777777" w:rsidR="00146CA1" w:rsidRPr="00146CA1" w:rsidRDefault="00146CA1" w:rsidP="00146CA1">
            <w:pPr>
              <w:pStyle w:val="TableCellGeneralText"/>
            </w:pPr>
            <w:r w:rsidRPr="00146CA1">
              <w:t>Notice H 2023-10 Compliance Dates</w:t>
            </w:r>
          </w:p>
        </w:tc>
        <w:tc>
          <w:tcPr>
            <w:tcW w:w="9360" w:type="dxa"/>
          </w:tcPr>
          <w:p w14:paraId="161DF4C3" w14:textId="77777777" w:rsidR="00146CA1" w:rsidRPr="00146CA1" w:rsidRDefault="00146CA1" w:rsidP="00615C0C">
            <w:pPr>
              <w:pStyle w:val="TableCellText-Spaced"/>
              <w:jc w:val="both"/>
            </w:pPr>
            <w:r w:rsidRPr="00146CA1">
              <w:t xml:space="preserve">The following are key HOTMA compliance dates: </w:t>
            </w:r>
          </w:p>
          <w:p w14:paraId="16439257" w14:textId="3D7FE51E" w:rsidR="00146CA1" w:rsidRPr="00146CA1" w:rsidRDefault="00146CA1" w:rsidP="00615C0C">
            <w:pPr>
              <w:pStyle w:val="TableCellText-Spaced"/>
              <w:jc w:val="both"/>
            </w:pPr>
            <w:r w:rsidRPr="00146CA1">
              <w:t>January 1</w:t>
            </w:r>
            <w:r w:rsidR="00CA6823">
              <w:t>st</w:t>
            </w:r>
            <w:r w:rsidRPr="00146CA1">
              <w:t xml:space="preserve">, </w:t>
            </w:r>
            <w:r w:rsidR="00725BCD" w:rsidRPr="00146CA1">
              <w:t>2024,</w:t>
            </w:r>
            <w:r w:rsidRPr="00146CA1">
              <w:t xml:space="preserve"> is the effective date of the Final Rule. </w:t>
            </w:r>
          </w:p>
          <w:p w14:paraId="3951E19B" w14:textId="49E3916F" w:rsidR="00146CA1" w:rsidRPr="00146CA1" w:rsidRDefault="00146CA1" w:rsidP="00615C0C">
            <w:pPr>
              <w:pStyle w:val="TableCellGeneralText"/>
              <w:jc w:val="both"/>
            </w:pPr>
            <w:r w:rsidRPr="00146CA1">
              <w:t>By May 31</w:t>
            </w:r>
            <w:r w:rsidR="00CA6823">
              <w:t>st</w:t>
            </w:r>
            <w:r w:rsidRPr="00146CA1">
              <w:t xml:space="preserve">, 2024, all </w:t>
            </w:r>
            <w:r w:rsidR="007F68C2">
              <w:t>M</w:t>
            </w:r>
            <w:r w:rsidRPr="00146CA1">
              <w:t xml:space="preserve">ultifamily </w:t>
            </w:r>
            <w:r w:rsidR="007F68C2">
              <w:t>H</w:t>
            </w:r>
            <w:r w:rsidRPr="00146CA1">
              <w:t xml:space="preserve">ousing </w:t>
            </w:r>
            <w:r w:rsidR="00422EC1">
              <w:t>Owners</w:t>
            </w:r>
            <w:r w:rsidRPr="00146CA1">
              <w:t xml:space="preserve"> must:</w:t>
            </w:r>
          </w:p>
          <w:p w14:paraId="1548D486" w14:textId="39F7482C" w:rsidR="00146CA1" w:rsidRPr="00146CA1" w:rsidRDefault="00146CA1" w:rsidP="00615C0C">
            <w:pPr>
              <w:pStyle w:val="TableBullet1"/>
              <w:jc w:val="both"/>
            </w:pPr>
            <w:r w:rsidRPr="00146CA1">
              <w:t xml:space="preserve">Update their Tenant Selection Plans and </w:t>
            </w:r>
            <w:r w:rsidR="00E34598" w:rsidRPr="00E34598">
              <w:t>Enterprise Income Verification</w:t>
            </w:r>
            <w:r w:rsidR="00E34598" w:rsidRPr="00E34598" w:rsidDel="00E34598">
              <w:t xml:space="preserve"> </w:t>
            </w:r>
            <w:r w:rsidRPr="00146CA1">
              <w:t>policies and procedures to reflect HOTMA’s rules and discretionary policies, and also</w:t>
            </w:r>
          </w:p>
          <w:p w14:paraId="260DCAA9" w14:textId="345F3229" w:rsidR="00146CA1" w:rsidRPr="00146CA1" w:rsidRDefault="00146CA1" w:rsidP="00615C0C">
            <w:pPr>
              <w:pStyle w:val="TableBullet1"/>
              <w:jc w:val="both"/>
            </w:pPr>
            <w:r w:rsidRPr="00146CA1">
              <w:t xml:space="preserve">Make the updated Tenant Selection Plan and </w:t>
            </w:r>
            <w:r w:rsidR="00BB442E" w:rsidRPr="00BB442E">
              <w:t>Enterprise Income Verification</w:t>
            </w:r>
            <w:r w:rsidR="00BB442E" w:rsidRPr="00BB442E" w:rsidDel="00BB442E">
              <w:t xml:space="preserve"> </w:t>
            </w:r>
            <w:r w:rsidRPr="00146CA1">
              <w:t xml:space="preserve">policies and procedures publicly available. </w:t>
            </w:r>
          </w:p>
          <w:p w14:paraId="7A246EC9" w14:textId="312806B9" w:rsidR="00146CA1" w:rsidRPr="00146CA1" w:rsidRDefault="00146CA1" w:rsidP="00615C0C">
            <w:pPr>
              <w:pStyle w:val="TableCellGeneralText"/>
              <w:jc w:val="both"/>
            </w:pPr>
            <w:r w:rsidRPr="00146CA1">
              <w:t>Then, by January 1</w:t>
            </w:r>
            <w:r w:rsidR="00AF300D">
              <w:t>st</w:t>
            </w:r>
            <w:r w:rsidRPr="00146CA1">
              <w:t xml:space="preserve">, 2025, all MFH </w:t>
            </w:r>
            <w:r w:rsidR="00422EC1">
              <w:t>Owners</w:t>
            </w:r>
            <w:r w:rsidRPr="00146CA1">
              <w:t xml:space="preserve"> must be fully compliant with the HOTMA Final Rule.</w:t>
            </w:r>
          </w:p>
        </w:tc>
      </w:tr>
      <w:tr w:rsidR="00146CA1" w14:paraId="37BF6818" w14:textId="77777777" w:rsidTr="13ACFC94">
        <w:trPr>
          <w:trHeight w:val="20"/>
        </w:trPr>
        <w:tc>
          <w:tcPr>
            <w:tcW w:w="1080" w:type="dxa"/>
          </w:tcPr>
          <w:p w14:paraId="3EF33467" w14:textId="420DD843" w:rsidR="00146CA1" w:rsidRPr="00146CA1" w:rsidRDefault="00146CA1" w:rsidP="00146CA1">
            <w:pPr>
              <w:pStyle w:val="TableCellYear"/>
            </w:pPr>
            <w:r>
              <w:lastRenderedPageBreak/>
              <w:t>8</w:t>
            </w:r>
          </w:p>
        </w:tc>
        <w:tc>
          <w:tcPr>
            <w:tcW w:w="2520" w:type="dxa"/>
          </w:tcPr>
          <w:p w14:paraId="132E1FD9" w14:textId="77777777" w:rsidR="00146CA1" w:rsidRPr="00146CA1" w:rsidRDefault="00146CA1" w:rsidP="00146CA1">
            <w:pPr>
              <w:pStyle w:val="TableCellGeneralText"/>
            </w:pPr>
            <w:r w:rsidRPr="00146CA1">
              <w:t>Key Changes in Income Determination</w:t>
            </w:r>
          </w:p>
        </w:tc>
        <w:tc>
          <w:tcPr>
            <w:tcW w:w="9360" w:type="dxa"/>
          </w:tcPr>
          <w:p w14:paraId="6B8885CC" w14:textId="77777777" w:rsidR="00146CA1" w:rsidRPr="00146CA1" w:rsidRDefault="00146CA1" w:rsidP="00615C0C">
            <w:pPr>
              <w:pStyle w:val="TableCellText-Spaced"/>
              <w:jc w:val="both"/>
            </w:pPr>
            <w:r w:rsidRPr="00146CA1">
              <w:t>Some of HOTMA’s key changes for income determination include:</w:t>
            </w:r>
          </w:p>
          <w:p w14:paraId="607999BE" w14:textId="607A14AE" w:rsidR="00146CA1" w:rsidRPr="00146CA1" w:rsidRDefault="00146CA1" w:rsidP="00615C0C">
            <w:pPr>
              <w:pStyle w:val="TableCellText-Spaced"/>
              <w:ind w:left="288" w:right="288"/>
              <w:jc w:val="both"/>
            </w:pPr>
            <w:r w:rsidRPr="00146CA1">
              <w:t>First, there are changes to the definition of “annual income,” which</w:t>
            </w:r>
            <w:r w:rsidR="00725BCD">
              <w:t xml:space="preserve"> </w:t>
            </w:r>
            <w:r w:rsidRPr="00146CA1">
              <w:t>now, under HOTMA, is defined broadly as all amounts received by each adult family member or head-of-household or spouse</w:t>
            </w:r>
            <w:r w:rsidR="00905DD2">
              <w:t>s</w:t>
            </w:r>
            <w:r w:rsidRPr="00146CA1">
              <w:t>, plus unearned income for minors, plus income from assets.</w:t>
            </w:r>
          </w:p>
          <w:p w14:paraId="340BF859" w14:textId="77777777" w:rsidR="00146CA1" w:rsidRPr="00146CA1" w:rsidRDefault="00146CA1" w:rsidP="00615C0C">
            <w:pPr>
              <w:pStyle w:val="TableCellText-Spaced"/>
              <w:ind w:left="288" w:right="288"/>
              <w:jc w:val="both"/>
            </w:pPr>
            <w:r w:rsidRPr="00146CA1">
              <w:t>Second, there are several new definitions, including “day laborer,” “independent contractors,” and “seasonal workers.” Incomes from persons in these categories are now, under HOTMA, specifically included in family income.</w:t>
            </w:r>
          </w:p>
          <w:p w14:paraId="4A433E81" w14:textId="77777777" w:rsidR="00146CA1" w:rsidRPr="00146CA1" w:rsidRDefault="00146CA1" w:rsidP="00615C0C">
            <w:pPr>
              <w:pStyle w:val="TableCellText-Spaced"/>
              <w:ind w:left="288" w:right="288"/>
              <w:jc w:val="both"/>
            </w:pPr>
            <w:r w:rsidRPr="00146CA1">
              <w:t>Third, HOTMA broadened and clarified list of income exclusions, which will be covered in detail later in this presentation.</w:t>
            </w:r>
          </w:p>
          <w:p w14:paraId="10C1C258" w14:textId="3259DBEC" w:rsidR="00146CA1" w:rsidRPr="00146CA1" w:rsidRDefault="00146CA1" w:rsidP="00615C0C">
            <w:pPr>
              <w:pStyle w:val="TableCellText-Spaced"/>
              <w:ind w:left="288" w:right="288"/>
              <w:jc w:val="both"/>
            </w:pPr>
            <w:r w:rsidRPr="00146CA1">
              <w:t>Fourth, there are also changes to asset income calculations, including new exclusions; an increased imputed assets threshold from $5,000 to $50,000 (adjusted for inflation); and the requirement to use the sum of all actual income from assets plus imputed income (when applicable).</w:t>
            </w:r>
          </w:p>
          <w:p w14:paraId="3CAF9A4E" w14:textId="2EA70987" w:rsidR="00146CA1" w:rsidRPr="00146CA1" w:rsidRDefault="00146CA1" w:rsidP="00615C0C">
            <w:pPr>
              <w:pStyle w:val="TableCellGeneralText"/>
              <w:jc w:val="both"/>
            </w:pPr>
            <w:r w:rsidRPr="00146CA1">
              <w:t xml:space="preserve">For detailed instructions on calculating a family’s assets, please see the companion MFH training video “HOTMA Net Family Assets.” </w:t>
            </w:r>
          </w:p>
        </w:tc>
      </w:tr>
      <w:tr w:rsidR="00146CA1" w14:paraId="0AED9F3E" w14:textId="77777777" w:rsidTr="13ACFC94">
        <w:trPr>
          <w:trHeight w:val="20"/>
        </w:trPr>
        <w:tc>
          <w:tcPr>
            <w:tcW w:w="1080" w:type="dxa"/>
          </w:tcPr>
          <w:p w14:paraId="45093EAE" w14:textId="26D9413C" w:rsidR="00146CA1" w:rsidRPr="00146CA1" w:rsidRDefault="00146CA1" w:rsidP="00146CA1">
            <w:pPr>
              <w:pStyle w:val="TableCellYear"/>
            </w:pPr>
            <w:r>
              <w:t>9</w:t>
            </w:r>
          </w:p>
        </w:tc>
        <w:tc>
          <w:tcPr>
            <w:tcW w:w="2520" w:type="dxa"/>
          </w:tcPr>
          <w:p w14:paraId="0EB66A83" w14:textId="77777777" w:rsidR="00146CA1" w:rsidRPr="00146CA1" w:rsidRDefault="00146CA1" w:rsidP="00146CA1">
            <w:pPr>
              <w:pStyle w:val="TableCellGeneralText"/>
            </w:pPr>
            <w:r w:rsidRPr="00146CA1">
              <w:t>Expanded Definition of Income</w:t>
            </w:r>
          </w:p>
        </w:tc>
        <w:tc>
          <w:tcPr>
            <w:tcW w:w="9360" w:type="dxa"/>
          </w:tcPr>
          <w:p w14:paraId="125D538C" w14:textId="0D082C24" w:rsidR="00146CA1" w:rsidRPr="00146CA1" w:rsidRDefault="00146CA1" w:rsidP="00615C0C">
            <w:pPr>
              <w:pStyle w:val="TableCellText-Spaced"/>
              <w:jc w:val="both"/>
            </w:pPr>
            <w:r w:rsidRPr="00146CA1">
              <w:t>Section 5.609(a) of the HOTMA Final Rule changes the definition of annual income, providing clarification and generally expanding the umbrella of what constitutes annual income. With respect to the family, annual income under HOTMA includes:</w:t>
            </w:r>
          </w:p>
          <w:p w14:paraId="215AEBBE" w14:textId="77777777" w:rsidR="00146CA1" w:rsidRPr="00615C0C" w:rsidRDefault="00146CA1" w:rsidP="00615C0C">
            <w:pPr>
              <w:pStyle w:val="TableCellText-Spaced"/>
              <w:ind w:left="288" w:right="288"/>
              <w:jc w:val="both"/>
              <w:rPr>
                <w:i/>
                <w:iCs/>
              </w:rPr>
            </w:pPr>
            <w:r w:rsidRPr="00615C0C">
              <w:rPr>
                <w:i/>
                <w:iCs/>
              </w:rPr>
              <w:t xml:space="preserve">All amounts, not specifically excluded under HOTMA, received from all sources by each member of the family who is 18 years of age or older or is the head of household or spouse of the head of household, </w:t>
            </w:r>
          </w:p>
          <w:p w14:paraId="38128F3F" w14:textId="77777777" w:rsidR="00146CA1" w:rsidRPr="00615C0C" w:rsidRDefault="00146CA1" w:rsidP="00615C0C">
            <w:pPr>
              <w:pStyle w:val="TableCellText-Spaced"/>
              <w:ind w:left="288" w:right="288"/>
              <w:jc w:val="both"/>
              <w:rPr>
                <w:i/>
                <w:iCs/>
              </w:rPr>
            </w:pPr>
            <w:r w:rsidRPr="00615C0C">
              <w:rPr>
                <w:i/>
                <w:iCs/>
              </w:rPr>
              <w:t>Unearned income by or on behalf of each dependent who is under 18 years of age, and</w:t>
            </w:r>
          </w:p>
          <w:p w14:paraId="2BA242E9" w14:textId="1430F67E" w:rsidR="00146CA1" w:rsidRPr="00146CA1" w:rsidRDefault="00146CA1" w:rsidP="00615C0C">
            <w:pPr>
              <w:pStyle w:val="TableCellGeneralText"/>
              <w:ind w:left="288" w:right="288"/>
              <w:jc w:val="both"/>
            </w:pPr>
            <w:r w:rsidRPr="00615C0C">
              <w:rPr>
                <w:i/>
                <w:iCs/>
              </w:rPr>
              <w:t>Actual or imputed income from assets when the net family assets exceed $50,000.</w:t>
            </w:r>
          </w:p>
        </w:tc>
      </w:tr>
      <w:tr w:rsidR="00146CA1" w14:paraId="1591E510" w14:textId="77777777" w:rsidTr="13ACFC94">
        <w:trPr>
          <w:trHeight w:val="20"/>
        </w:trPr>
        <w:tc>
          <w:tcPr>
            <w:tcW w:w="1080" w:type="dxa"/>
          </w:tcPr>
          <w:p w14:paraId="5902C2A5" w14:textId="1CD1DFBD" w:rsidR="00146CA1" w:rsidRPr="00146CA1" w:rsidRDefault="00146CA1" w:rsidP="00615C0C">
            <w:pPr>
              <w:pStyle w:val="TableCellYear"/>
              <w:keepNext/>
            </w:pPr>
            <w:r>
              <w:lastRenderedPageBreak/>
              <w:t>10</w:t>
            </w:r>
          </w:p>
        </w:tc>
        <w:tc>
          <w:tcPr>
            <w:tcW w:w="2520" w:type="dxa"/>
          </w:tcPr>
          <w:p w14:paraId="59F22BD3" w14:textId="77777777" w:rsidR="00146CA1" w:rsidRPr="00146CA1" w:rsidRDefault="00146CA1" w:rsidP="00615C0C">
            <w:pPr>
              <w:pStyle w:val="TableCellGeneralText"/>
              <w:keepNext/>
            </w:pPr>
            <w:r w:rsidRPr="00146CA1">
              <w:t>Income Inclusions</w:t>
            </w:r>
          </w:p>
        </w:tc>
        <w:tc>
          <w:tcPr>
            <w:tcW w:w="9360" w:type="dxa"/>
          </w:tcPr>
          <w:p w14:paraId="3A882F78" w14:textId="79319954" w:rsidR="00146CA1" w:rsidRPr="00146CA1" w:rsidDel="00F2226D" w:rsidRDefault="00146CA1" w:rsidP="00615C0C">
            <w:pPr>
              <w:pStyle w:val="TableCellGeneralText"/>
              <w:keepNext/>
              <w:jc w:val="both"/>
            </w:pPr>
            <w:r w:rsidRPr="00146CA1">
              <w:t xml:space="preserve">The following slides will detail the sources of income that MFH </w:t>
            </w:r>
            <w:r w:rsidR="00422EC1">
              <w:t>Owners</w:t>
            </w:r>
            <w:r w:rsidRPr="00146CA1">
              <w:t xml:space="preserve"> must include in determining annual income.</w:t>
            </w:r>
          </w:p>
        </w:tc>
      </w:tr>
      <w:tr w:rsidR="00146CA1" w14:paraId="1CB6C7B4" w14:textId="77777777" w:rsidTr="13ACFC94">
        <w:trPr>
          <w:trHeight w:val="20"/>
        </w:trPr>
        <w:tc>
          <w:tcPr>
            <w:tcW w:w="1080" w:type="dxa"/>
          </w:tcPr>
          <w:p w14:paraId="190D61D2" w14:textId="6E70B61F" w:rsidR="00146CA1" w:rsidRPr="00146CA1" w:rsidRDefault="00146CA1" w:rsidP="00146CA1">
            <w:pPr>
              <w:pStyle w:val="TableCellYear"/>
            </w:pPr>
            <w:r>
              <w:t>11</w:t>
            </w:r>
          </w:p>
        </w:tc>
        <w:tc>
          <w:tcPr>
            <w:tcW w:w="2520" w:type="dxa"/>
          </w:tcPr>
          <w:p w14:paraId="316E61F3" w14:textId="77777777" w:rsidR="00146CA1" w:rsidRPr="00146CA1" w:rsidRDefault="00146CA1" w:rsidP="00146CA1">
            <w:pPr>
              <w:pStyle w:val="TableCellGeneralText"/>
            </w:pPr>
            <w:r w:rsidRPr="00146CA1">
              <w:t>What’s Included: Earned Income</w:t>
            </w:r>
          </w:p>
        </w:tc>
        <w:tc>
          <w:tcPr>
            <w:tcW w:w="9360" w:type="dxa"/>
          </w:tcPr>
          <w:p w14:paraId="72B064A4" w14:textId="77777777" w:rsidR="00146CA1" w:rsidRPr="00146CA1" w:rsidRDefault="00146CA1" w:rsidP="00615C0C">
            <w:pPr>
              <w:pStyle w:val="TableCellGeneralText"/>
              <w:jc w:val="both"/>
            </w:pPr>
            <w:r w:rsidRPr="00146CA1">
              <w:t>First, let’s look at earned income. Earned income includes earnings and income from:</w:t>
            </w:r>
          </w:p>
          <w:p w14:paraId="7411DEB6" w14:textId="77777777" w:rsidR="00146CA1" w:rsidRPr="00146CA1" w:rsidRDefault="00146CA1" w:rsidP="00615C0C">
            <w:pPr>
              <w:pStyle w:val="TableBullet1"/>
              <w:jc w:val="both"/>
            </w:pPr>
            <w:r w:rsidRPr="00146CA1">
              <w:t xml:space="preserve">Wages </w:t>
            </w:r>
          </w:p>
          <w:p w14:paraId="6C99E520" w14:textId="77777777" w:rsidR="00146CA1" w:rsidRPr="00146CA1" w:rsidRDefault="00146CA1" w:rsidP="00615C0C">
            <w:pPr>
              <w:pStyle w:val="TableBullet1"/>
              <w:jc w:val="both"/>
            </w:pPr>
            <w:r w:rsidRPr="00146CA1">
              <w:t>Tips</w:t>
            </w:r>
          </w:p>
          <w:p w14:paraId="66F7E3F3" w14:textId="77777777" w:rsidR="00146CA1" w:rsidRPr="00146CA1" w:rsidRDefault="00146CA1" w:rsidP="00615C0C">
            <w:pPr>
              <w:pStyle w:val="TableBullet1"/>
              <w:jc w:val="both"/>
            </w:pPr>
            <w:r w:rsidRPr="00146CA1">
              <w:t xml:space="preserve">Salaries </w:t>
            </w:r>
          </w:p>
          <w:p w14:paraId="4EF0CDB3" w14:textId="77777777" w:rsidR="00146CA1" w:rsidRPr="00146CA1" w:rsidRDefault="00146CA1" w:rsidP="00615C0C">
            <w:pPr>
              <w:pStyle w:val="TableBullet1"/>
              <w:jc w:val="both"/>
            </w:pPr>
            <w:r w:rsidRPr="00146CA1">
              <w:t>Other employee compensation, such as commission from sales</w:t>
            </w:r>
          </w:p>
          <w:p w14:paraId="07101F80" w14:textId="7D35FD2D" w:rsidR="00146CA1" w:rsidRPr="00146CA1" w:rsidRDefault="002E34A8" w:rsidP="00615C0C">
            <w:pPr>
              <w:pStyle w:val="TableBullet1"/>
              <w:jc w:val="both"/>
            </w:pPr>
            <w:r>
              <w:t xml:space="preserve">And </w:t>
            </w:r>
            <w:r w:rsidR="00146CA1" w:rsidRPr="00146CA1">
              <w:t>Net income from self-employment.</w:t>
            </w:r>
          </w:p>
          <w:p w14:paraId="10953251" w14:textId="77777777" w:rsidR="00146CA1" w:rsidRPr="00146CA1" w:rsidRDefault="00146CA1" w:rsidP="00615C0C">
            <w:pPr>
              <w:pStyle w:val="TableCellText-Spaced"/>
              <w:jc w:val="both"/>
            </w:pPr>
            <w:r w:rsidRPr="00146CA1">
              <w:t xml:space="preserve">Earned income from family members aged 18 or older is counted toward annual income. If the head of household </w:t>
            </w:r>
            <w:r w:rsidRPr="00615C0C">
              <w:t>and</w:t>
            </w:r>
            <w:r w:rsidRPr="00146CA1">
              <w:t>/or their spouse is under 18 years of age, their income is also included.</w:t>
            </w:r>
          </w:p>
          <w:p w14:paraId="46B80579" w14:textId="77777777" w:rsidR="00146CA1" w:rsidRPr="00146CA1" w:rsidRDefault="00146CA1" w:rsidP="00615C0C">
            <w:pPr>
              <w:pStyle w:val="TableCellGeneralText"/>
              <w:jc w:val="both"/>
            </w:pPr>
            <w:r w:rsidRPr="00146CA1">
              <w:t xml:space="preserve">However, the earned income of dependent full-time students in excess of the dependent deduction is </w:t>
            </w:r>
            <w:r w:rsidRPr="00615C0C">
              <w:rPr>
                <w:i/>
                <w:iCs/>
              </w:rPr>
              <w:t>excluded</w:t>
            </w:r>
            <w:r w:rsidRPr="00146CA1">
              <w:t xml:space="preserve"> from annual income. </w:t>
            </w:r>
          </w:p>
        </w:tc>
      </w:tr>
      <w:tr w:rsidR="00146CA1" w14:paraId="7ABE6026" w14:textId="77777777" w:rsidTr="13ACFC94">
        <w:trPr>
          <w:trHeight w:val="20"/>
        </w:trPr>
        <w:tc>
          <w:tcPr>
            <w:tcW w:w="1080" w:type="dxa"/>
          </w:tcPr>
          <w:p w14:paraId="2B180894" w14:textId="175066F5" w:rsidR="00146CA1" w:rsidRPr="00146CA1" w:rsidRDefault="00146CA1" w:rsidP="00146CA1">
            <w:pPr>
              <w:pStyle w:val="TableCellYear"/>
            </w:pPr>
            <w:r>
              <w:t>12</w:t>
            </w:r>
          </w:p>
        </w:tc>
        <w:tc>
          <w:tcPr>
            <w:tcW w:w="2520" w:type="dxa"/>
          </w:tcPr>
          <w:p w14:paraId="540DD47B" w14:textId="77777777" w:rsidR="00146CA1" w:rsidRPr="00146CA1" w:rsidRDefault="00146CA1" w:rsidP="00146CA1">
            <w:pPr>
              <w:pStyle w:val="TableCellGeneralText"/>
            </w:pPr>
            <w:r w:rsidRPr="00146CA1">
              <w:t>Garnished, Levied &amp; Withheld Wages</w:t>
            </w:r>
          </w:p>
        </w:tc>
        <w:tc>
          <w:tcPr>
            <w:tcW w:w="9360" w:type="dxa"/>
          </w:tcPr>
          <w:p w14:paraId="319D4DCC" w14:textId="239ACE29" w:rsidR="00146CA1" w:rsidRPr="00146CA1" w:rsidRDefault="00146CA1" w:rsidP="00615C0C">
            <w:pPr>
              <w:pStyle w:val="TableCellGeneralText"/>
              <w:jc w:val="both"/>
            </w:pPr>
            <w:r w:rsidRPr="00146CA1">
              <w:t xml:space="preserve">In cases where a family member’s wages are garnished, levied, or withheld to pay restitution, child support, tax debt, student loan debt, or other </w:t>
            </w:r>
            <w:r w:rsidR="00E1419C">
              <w:rPr>
                <w:rStyle w:val="ui-provider"/>
                <w:rFonts w:eastAsiaTheme="minorEastAsia"/>
              </w:rPr>
              <w:t>applicable</w:t>
            </w:r>
            <w:r w:rsidR="00E1419C" w:rsidRPr="00146CA1" w:rsidDel="00E1419C">
              <w:t xml:space="preserve"> </w:t>
            </w:r>
            <w:r w:rsidRPr="00146CA1">
              <w:t>debt, the family member’s gross wages—prior to the deduction from the wages—are included as part of annual income. In other words, garnished, levied, and withheld wages are considered part of annual income.</w:t>
            </w:r>
          </w:p>
        </w:tc>
      </w:tr>
      <w:tr w:rsidR="00146CA1" w14:paraId="15D2D93A" w14:textId="77777777" w:rsidTr="13ACFC94">
        <w:trPr>
          <w:trHeight w:val="20"/>
        </w:trPr>
        <w:tc>
          <w:tcPr>
            <w:tcW w:w="1080" w:type="dxa"/>
          </w:tcPr>
          <w:p w14:paraId="747B9839" w14:textId="6723CFA6" w:rsidR="00146CA1" w:rsidRPr="00146CA1" w:rsidRDefault="00146CA1" w:rsidP="00146CA1">
            <w:pPr>
              <w:pStyle w:val="TableCellYear"/>
            </w:pPr>
            <w:r>
              <w:t>13</w:t>
            </w:r>
          </w:p>
        </w:tc>
        <w:tc>
          <w:tcPr>
            <w:tcW w:w="2520" w:type="dxa"/>
          </w:tcPr>
          <w:p w14:paraId="448BBDD0" w14:textId="77777777" w:rsidR="00146CA1" w:rsidRPr="00146CA1" w:rsidRDefault="00146CA1" w:rsidP="00146CA1">
            <w:pPr>
              <w:pStyle w:val="TableCellGeneralText"/>
            </w:pPr>
            <w:r w:rsidRPr="00146CA1">
              <w:t>What’s Included: Unearned Income</w:t>
            </w:r>
          </w:p>
        </w:tc>
        <w:tc>
          <w:tcPr>
            <w:tcW w:w="9360" w:type="dxa"/>
          </w:tcPr>
          <w:p w14:paraId="3FFDBF30" w14:textId="37E0B5A3" w:rsidR="00146CA1" w:rsidRPr="00146CA1" w:rsidRDefault="00146CA1" w:rsidP="00615C0C">
            <w:pPr>
              <w:pStyle w:val="TableCellGeneralText"/>
            </w:pPr>
            <w:r w:rsidRPr="00146CA1">
              <w:t>Unearned income includes amounts received by or on behalf of any adult or minor. The following forms of unearned income are included in</w:t>
            </w:r>
            <w:r w:rsidR="00AB3405">
              <w:t xml:space="preserve"> the</w:t>
            </w:r>
            <w:r w:rsidRPr="00146CA1">
              <w:t xml:space="preserve"> family’s annual income:</w:t>
            </w:r>
          </w:p>
          <w:p w14:paraId="049C5A20" w14:textId="62FFBC18" w:rsidR="00146CA1" w:rsidRPr="00146CA1" w:rsidRDefault="00146CA1" w:rsidP="00615C0C">
            <w:pPr>
              <w:pStyle w:val="TableBullet1"/>
            </w:pPr>
            <w:r w:rsidRPr="00146CA1">
              <w:t>Any amount received on behalf of dependents under 18, including child support payments.</w:t>
            </w:r>
          </w:p>
          <w:p w14:paraId="7D3A2E40" w14:textId="77777777" w:rsidR="00146CA1" w:rsidRPr="00146CA1" w:rsidRDefault="00146CA1" w:rsidP="00615C0C">
            <w:pPr>
              <w:pStyle w:val="TableBullet1"/>
            </w:pPr>
            <w:r w:rsidRPr="00146CA1">
              <w:t>Alimony payments.</w:t>
            </w:r>
          </w:p>
          <w:p w14:paraId="3C0D4908" w14:textId="77777777" w:rsidR="00146CA1" w:rsidRPr="00146CA1" w:rsidRDefault="00146CA1" w:rsidP="00615C0C">
            <w:pPr>
              <w:pStyle w:val="TableBullet1"/>
            </w:pPr>
            <w:r w:rsidRPr="00146CA1">
              <w:t>Pension and annuity payments.</w:t>
            </w:r>
          </w:p>
          <w:p w14:paraId="64B79471" w14:textId="77777777" w:rsidR="00146CA1" w:rsidRPr="00146CA1" w:rsidRDefault="00146CA1" w:rsidP="00615C0C">
            <w:pPr>
              <w:pStyle w:val="TableBullet1"/>
              <w:spacing w:after="0"/>
            </w:pPr>
            <w:r w:rsidRPr="00146CA1">
              <w:t>Transfer payments including:</w:t>
            </w:r>
          </w:p>
          <w:p w14:paraId="71C69966" w14:textId="77777777" w:rsidR="00146CA1" w:rsidRPr="00146CA1" w:rsidRDefault="00146CA1" w:rsidP="00615C0C">
            <w:pPr>
              <w:pStyle w:val="TableBullet2"/>
            </w:pPr>
            <w:r w:rsidRPr="00146CA1">
              <w:t>Welfare assistance</w:t>
            </w:r>
          </w:p>
          <w:p w14:paraId="6AF7E2E6" w14:textId="77777777" w:rsidR="00146CA1" w:rsidRPr="00146CA1" w:rsidRDefault="00146CA1" w:rsidP="00615C0C">
            <w:pPr>
              <w:pStyle w:val="TableBullet2"/>
            </w:pPr>
            <w:r w:rsidRPr="00146CA1">
              <w:t>Social Security</w:t>
            </w:r>
          </w:p>
          <w:p w14:paraId="74D01C55" w14:textId="181D9136" w:rsidR="00146CA1" w:rsidRPr="00146CA1" w:rsidRDefault="00146CA1" w:rsidP="00615C0C">
            <w:pPr>
              <w:pStyle w:val="TableBullet2"/>
            </w:pPr>
            <w:r w:rsidRPr="00146CA1">
              <w:t>Government subsidies for certain benefits.</w:t>
            </w:r>
          </w:p>
          <w:p w14:paraId="23D74DDD" w14:textId="157EDA17" w:rsidR="00146CA1" w:rsidRPr="00146CA1" w:rsidRDefault="00146CA1" w:rsidP="00B92C02">
            <w:pPr>
              <w:pStyle w:val="TableBullet2"/>
              <w:numPr>
                <w:ilvl w:val="0"/>
                <w:numId w:val="0"/>
              </w:numPr>
            </w:pPr>
            <w:r w:rsidRPr="00146CA1">
              <w:t xml:space="preserve">Any cash or other monetary in-kind benefits </w:t>
            </w:r>
            <w:r w:rsidR="3796D39D">
              <w:t xml:space="preserve">that </w:t>
            </w:r>
            <w:r w:rsidRPr="00146CA1">
              <w:t>are not specifically excluded</w:t>
            </w:r>
            <w:r w:rsidR="253BB599">
              <w:t xml:space="preserve"> under HOTMA are included as income</w:t>
            </w:r>
            <w:r w:rsidRPr="00146CA1">
              <w:t>.</w:t>
            </w:r>
          </w:p>
        </w:tc>
      </w:tr>
      <w:tr w:rsidR="00146CA1" w14:paraId="4FF5D8A3" w14:textId="77777777" w:rsidTr="13ACFC94">
        <w:trPr>
          <w:trHeight w:val="20"/>
        </w:trPr>
        <w:tc>
          <w:tcPr>
            <w:tcW w:w="1080" w:type="dxa"/>
          </w:tcPr>
          <w:p w14:paraId="54E4338D" w14:textId="73670AFF" w:rsidR="00146CA1" w:rsidRPr="00146CA1" w:rsidRDefault="00146CA1" w:rsidP="00146CA1">
            <w:pPr>
              <w:pStyle w:val="TableCellYear"/>
            </w:pPr>
            <w:r>
              <w:lastRenderedPageBreak/>
              <w:t>14</w:t>
            </w:r>
          </w:p>
        </w:tc>
        <w:tc>
          <w:tcPr>
            <w:tcW w:w="2520" w:type="dxa"/>
          </w:tcPr>
          <w:p w14:paraId="519A8BE0" w14:textId="77777777" w:rsidR="00146CA1" w:rsidRPr="00146CA1" w:rsidRDefault="00146CA1" w:rsidP="00146CA1">
            <w:pPr>
              <w:pStyle w:val="TableCellGeneralText"/>
            </w:pPr>
            <w:r w:rsidRPr="00146CA1">
              <w:t>What’s Included: Income from Assets</w:t>
            </w:r>
          </w:p>
        </w:tc>
        <w:tc>
          <w:tcPr>
            <w:tcW w:w="9360" w:type="dxa"/>
          </w:tcPr>
          <w:p w14:paraId="30F5008B" w14:textId="77777777" w:rsidR="00146CA1" w:rsidRPr="00146CA1" w:rsidRDefault="00146CA1" w:rsidP="00615C0C">
            <w:pPr>
              <w:pStyle w:val="TableCellText-Spaced"/>
              <w:jc w:val="both"/>
            </w:pPr>
            <w:r w:rsidRPr="00146CA1">
              <w:t xml:space="preserve">Families that own net assets valued in excess of $50,000, adjusted for inflation, must include income derived from those assets in their annual income. </w:t>
            </w:r>
          </w:p>
          <w:p w14:paraId="4222AB1D" w14:textId="77777777" w:rsidR="00146CA1" w:rsidRPr="00146CA1" w:rsidRDefault="00146CA1" w:rsidP="00615C0C">
            <w:pPr>
              <w:pStyle w:val="TableCellText-Spaced"/>
              <w:jc w:val="both"/>
            </w:pPr>
            <w:r w:rsidRPr="00146CA1">
              <w:t>Net family assets include the net cash value of all real property and the net cash value of all non-necessary items of personal property.</w:t>
            </w:r>
          </w:p>
          <w:p w14:paraId="470B507A" w14:textId="096B299B" w:rsidR="00146CA1" w:rsidRPr="00146CA1" w:rsidRDefault="00146CA1" w:rsidP="00615C0C">
            <w:pPr>
              <w:pStyle w:val="TableCellText-Spaced"/>
              <w:jc w:val="both"/>
            </w:pPr>
            <w:r>
              <w:t xml:space="preserve">Starting in 2025, the $50,000 threshold will be annually adjusted </w:t>
            </w:r>
            <w:r w:rsidR="00D1125E">
              <w:t>for</w:t>
            </w:r>
            <w:r>
              <w:t xml:space="preserve"> inflation using the Consumer Price Index for Urban Wage Earners and Clerical Workers (CPI-W).</w:t>
            </w:r>
          </w:p>
          <w:p w14:paraId="181B231A" w14:textId="77777777" w:rsidR="00146CA1" w:rsidRPr="00146CA1" w:rsidRDefault="00146CA1" w:rsidP="00615C0C">
            <w:pPr>
              <w:pStyle w:val="TableCellText-Spaced"/>
              <w:jc w:val="both"/>
            </w:pPr>
            <w:r w:rsidRPr="00146CA1">
              <w:t>If it is possible to calculate actual returns from an asset, such as rental income or equity from investments, this amount is added to income.</w:t>
            </w:r>
          </w:p>
          <w:p w14:paraId="641E5A8F" w14:textId="407926C6" w:rsidR="00146CA1" w:rsidRPr="00146CA1" w:rsidRDefault="00146CA1" w:rsidP="00615C0C">
            <w:pPr>
              <w:pStyle w:val="TableCellText-Spaced"/>
              <w:jc w:val="both"/>
            </w:pPr>
            <w:r w:rsidRPr="00146CA1">
              <w:t xml:space="preserve">It is possible for actual income from assets to be $0. If the income from </w:t>
            </w:r>
            <w:r w:rsidR="004A1FC2">
              <w:t>an</w:t>
            </w:r>
            <w:r w:rsidR="004A1FC2" w:rsidRPr="00146CA1">
              <w:t xml:space="preserve"> </w:t>
            </w:r>
            <w:r w:rsidRPr="00146CA1">
              <w:t>asset is $0, the imputed income does not need to be calculated.</w:t>
            </w:r>
          </w:p>
          <w:p w14:paraId="7B85100A" w14:textId="7ED4366E" w:rsidR="00146CA1" w:rsidRPr="00146CA1" w:rsidRDefault="00146CA1" w:rsidP="00615C0C">
            <w:pPr>
              <w:pStyle w:val="TableCellText-Spaced"/>
              <w:jc w:val="both"/>
            </w:pPr>
            <w:r w:rsidRPr="00146CA1">
              <w:t xml:space="preserve">If the value of the actual returns from a given asset cannot be calculated, the </w:t>
            </w:r>
            <w:r w:rsidR="00422EC1">
              <w:t>Owner</w:t>
            </w:r>
            <w:r w:rsidRPr="00146CA1">
              <w:t xml:space="preserve"> must calculate the imputed returns on the net family assets.</w:t>
            </w:r>
          </w:p>
          <w:p w14:paraId="3AC545A5" w14:textId="77777777" w:rsidR="00146CA1" w:rsidRPr="00146CA1" w:rsidRDefault="00146CA1" w:rsidP="00615C0C">
            <w:pPr>
              <w:pStyle w:val="TableCellText-Spaced"/>
              <w:jc w:val="both"/>
            </w:pPr>
            <w:r w:rsidRPr="00146CA1">
              <w:t>The imputed value returns can be calculated by multiplying the net asset value by HUD’s current passbook savings rate, and then adding this amount to the income.</w:t>
            </w:r>
          </w:p>
          <w:p w14:paraId="3D0DA814" w14:textId="08ACF243" w:rsidR="00146CA1" w:rsidRPr="00146CA1" w:rsidRDefault="00146CA1" w:rsidP="00615C0C">
            <w:pPr>
              <w:pStyle w:val="TableCellGeneralText"/>
              <w:jc w:val="both"/>
            </w:pPr>
            <w:r w:rsidRPr="00146CA1">
              <w:t>Additional information on calculating net family assets can be found in the Multifamily</w:t>
            </w:r>
            <w:r w:rsidR="00082EAD">
              <w:t xml:space="preserve"> Housing </w:t>
            </w:r>
            <w:r w:rsidRPr="00146CA1">
              <w:t xml:space="preserve"> HOTMA training webinar “Net Family Assets.”</w:t>
            </w:r>
          </w:p>
        </w:tc>
      </w:tr>
      <w:tr w:rsidR="00146CA1" w14:paraId="2E9F480C" w14:textId="77777777" w:rsidTr="13ACFC94">
        <w:trPr>
          <w:trHeight w:val="20"/>
        </w:trPr>
        <w:tc>
          <w:tcPr>
            <w:tcW w:w="1080" w:type="dxa"/>
          </w:tcPr>
          <w:p w14:paraId="2584C919" w14:textId="43ED3708" w:rsidR="00146CA1" w:rsidRPr="00146CA1" w:rsidRDefault="00146CA1" w:rsidP="00146CA1">
            <w:pPr>
              <w:pStyle w:val="TableCellYear"/>
            </w:pPr>
            <w:r>
              <w:t>15</w:t>
            </w:r>
          </w:p>
        </w:tc>
        <w:tc>
          <w:tcPr>
            <w:tcW w:w="2520" w:type="dxa"/>
          </w:tcPr>
          <w:p w14:paraId="72237C6D" w14:textId="77777777" w:rsidR="00146CA1" w:rsidRPr="00146CA1" w:rsidRDefault="00146CA1" w:rsidP="00146CA1">
            <w:pPr>
              <w:pStyle w:val="TableCellGeneralText"/>
            </w:pPr>
            <w:r w:rsidRPr="00146CA1">
              <w:t>Self-Employment Income</w:t>
            </w:r>
          </w:p>
        </w:tc>
        <w:tc>
          <w:tcPr>
            <w:tcW w:w="9360" w:type="dxa"/>
          </w:tcPr>
          <w:p w14:paraId="56695237" w14:textId="77777777" w:rsidR="00146CA1" w:rsidRPr="00146CA1" w:rsidRDefault="00146CA1" w:rsidP="00615C0C">
            <w:pPr>
              <w:pStyle w:val="TableCellText-Spaced"/>
              <w:jc w:val="both"/>
            </w:pPr>
            <w:r w:rsidRPr="00146CA1">
              <w:t xml:space="preserve">A family’s </w:t>
            </w:r>
            <w:r w:rsidRPr="00615C0C">
              <w:rPr>
                <w:i/>
                <w:iCs/>
              </w:rPr>
              <w:t>net income</w:t>
            </w:r>
            <w:r w:rsidRPr="00146CA1">
              <w:t xml:space="preserve"> from the operation of a business or profession is considered earned income and must be included in annual income calculation.</w:t>
            </w:r>
          </w:p>
          <w:p w14:paraId="2183E21F" w14:textId="77777777" w:rsidR="00146CA1" w:rsidRPr="00146CA1" w:rsidRDefault="00146CA1" w:rsidP="00615C0C">
            <w:pPr>
              <w:pStyle w:val="TableCellText-Spaced"/>
              <w:jc w:val="both"/>
            </w:pPr>
            <w:r w:rsidRPr="00146CA1">
              <w:t xml:space="preserve">An allowance for depreciation of assets, based on straight-line depreciation, </w:t>
            </w:r>
            <w:r w:rsidRPr="00615C0C">
              <w:rPr>
                <w:b/>
                <w:bCs w:val="0"/>
                <w:i/>
                <w:iCs/>
              </w:rPr>
              <w:t>can</w:t>
            </w:r>
            <w:r w:rsidRPr="00146CA1">
              <w:t xml:space="preserve"> be used as a deduction for determining income.</w:t>
            </w:r>
          </w:p>
          <w:p w14:paraId="5F95C186" w14:textId="77777777" w:rsidR="02D597EE" w:rsidRDefault="02D597EE" w:rsidP="3E1C8854">
            <w:pPr>
              <w:pStyle w:val="TableCellGeneralText"/>
              <w:jc w:val="both"/>
            </w:pPr>
            <w:r>
              <w:t>Any cash withdrawal from the business operation will be considered income unless the cash is used for reimbursement or reinvestment in the business.</w:t>
            </w:r>
          </w:p>
          <w:p w14:paraId="40C9DDF8" w14:textId="01189178" w:rsidR="3E1C8854" w:rsidRDefault="3E1C8854" w:rsidP="3E1C8854">
            <w:pPr>
              <w:pStyle w:val="TableCellText-Spaced"/>
              <w:jc w:val="both"/>
            </w:pPr>
          </w:p>
          <w:p w14:paraId="5B868671" w14:textId="77777777" w:rsidR="00146CA1" w:rsidRPr="00146CA1" w:rsidRDefault="00146CA1" w:rsidP="00615C0C">
            <w:pPr>
              <w:pStyle w:val="TableCellGeneralText"/>
              <w:jc w:val="both"/>
            </w:pPr>
            <w:r w:rsidRPr="00146CA1">
              <w:t xml:space="preserve">The following expenditures </w:t>
            </w:r>
            <w:r w:rsidRPr="00615C0C">
              <w:rPr>
                <w:b/>
                <w:bCs w:val="0"/>
                <w:i/>
                <w:iCs/>
              </w:rPr>
              <w:t>cannot</w:t>
            </w:r>
            <w:r w:rsidRPr="00146CA1">
              <w:t xml:space="preserve"> be used as deductions:</w:t>
            </w:r>
          </w:p>
          <w:p w14:paraId="52E08C52" w14:textId="77777777" w:rsidR="00146CA1" w:rsidRPr="00146CA1" w:rsidRDefault="00146CA1" w:rsidP="00615C0C">
            <w:pPr>
              <w:pStyle w:val="TableBullet1"/>
              <w:jc w:val="both"/>
            </w:pPr>
            <w:r w:rsidRPr="00146CA1">
              <w:t>Expenditures for business expansion</w:t>
            </w:r>
          </w:p>
          <w:p w14:paraId="0B73F584" w14:textId="77777777" w:rsidR="00146CA1" w:rsidRPr="00146CA1" w:rsidRDefault="00146CA1" w:rsidP="00615C0C">
            <w:pPr>
              <w:pStyle w:val="TableBullet1"/>
              <w:jc w:val="both"/>
            </w:pPr>
            <w:r w:rsidRPr="00146CA1">
              <w:t>Amortization of capital indebtedness.</w:t>
            </w:r>
          </w:p>
          <w:p w14:paraId="7A9E869E" w14:textId="0CB2BA51" w:rsidR="00146CA1" w:rsidRPr="00146CA1" w:rsidRDefault="00146CA1" w:rsidP="00615C0C">
            <w:pPr>
              <w:pStyle w:val="TableCellGeneralText"/>
              <w:jc w:val="both"/>
            </w:pPr>
          </w:p>
        </w:tc>
      </w:tr>
      <w:tr w:rsidR="00146CA1" w14:paraId="738060E3" w14:textId="77777777" w:rsidTr="13ACFC94">
        <w:trPr>
          <w:trHeight w:val="20"/>
        </w:trPr>
        <w:tc>
          <w:tcPr>
            <w:tcW w:w="1080" w:type="dxa"/>
          </w:tcPr>
          <w:p w14:paraId="2F9BB686" w14:textId="0F291FBC" w:rsidR="00146CA1" w:rsidRPr="00146CA1" w:rsidRDefault="00146CA1" w:rsidP="00146CA1">
            <w:pPr>
              <w:pStyle w:val="TableCellYear"/>
            </w:pPr>
            <w:r>
              <w:lastRenderedPageBreak/>
              <w:t>16</w:t>
            </w:r>
          </w:p>
        </w:tc>
        <w:tc>
          <w:tcPr>
            <w:tcW w:w="2520" w:type="dxa"/>
          </w:tcPr>
          <w:p w14:paraId="03B5F512" w14:textId="77777777" w:rsidR="00146CA1" w:rsidRPr="00146CA1" w:rsidRDefault="00146CA1" w:rsidP="00146CA1">
            <w:pPr>
              <w:pStyle w:val="TableCellGeneralText"/>
            </w:pPr>
            <w:r w:rsidRPr="00146CA1">
              <w:t>New Definitions</w:t>
            </w:r>
          </w:p>
        </w:tc>
        <w:tc>
          <w:tcPr>
            <w:tcW w:w="9360" w:type="dxa"/>
          </w:tcPr>
          <w:p w14:paraId="76876477" w14:textId="37AD5338" w:rsidR="00146CA1" w:rsidRPr="00146CA1" w:rsidRDefault="00146CA1" w:rsidP="00615C0C">
            <w:pPr>
              <w:pStyle w:val="TableCellGeneralText"/>
              <w:jc w:val="both"/>
            </w:pPr>
            <w:r w:rsidRPr="00146CA1">
              <w:t xml:space="preserve">HOTMA </w:t>
            </w:r>
            <w:r w:rsidR="0E93EEBD">
              <w:t>introduces</w:t>
            </w:r>
            <w:r w:rsidRPr="00146CA1">
              <w:t xml:space="preserve"> definitions of the following sources of income that must be included in annual income, even though the source, date, and amount of income vary:</w:t>
            </w:r>
          </w:p>
          <w:p w14:paraId="43261A86" w14:textId="77777777" w:rsidR="00146CA1" w:rsidRPr="00615C0C" w:rsidRDefault="00146CA1" w:rsidP="00615C0C">
            <w:pPr>
              <w:pStyle w:val="TableBullet1"/>
              <w:jc w:val="both"/>
              <w:rPr>
                <w:i/>
                <w:iCs/>
              </w:rPr>
            </w:pPr>
            <w:r w:rsidRPr="00146CA1">
              <w:t xml:space="preserve">Day laborer: </w:t>
            </w:r>
            <w:r w:rsidRPr="00615C0C">
              <w:rPr>
                <w:i/>
                <w:iCs/>
              </w:rPr>
              <w:t>An individual hired and paid one day at a time without an agreement that the individual will be hired or work again in the future.</w:t>
            </w:r>
          </w:p>
          <w:p w14:paraId="27D452BC" w14:textId="77777777" w:rsidR="00146CA1" w:rsidRPr="00615C0C" w:rsidRDefault="00146CA1" w:rsidP="00615C0C">
            <w:pPr>
              <w:pStyle w:val="TableBullet1"/>
              <w:jc w:val="both"/>
              <w:rPr>
                <w:i/>
                <w:iCs/>
              </w:rPr>
            </w:pPr>
            <w:r w:rsidRPr="00146CA1">
              <w:t xml:space="preserve">Independent contractor: </w:t>
            </w:r>
            <w:r w:rsidRPr="00615C0C">
              <w:rPr>
                <w:i/>
                <w:iCs/>
              </w:rPr>
              <w:t>An individual who qualifies as an independent contractor instead of an employee under IRS federal tax requirements, whose earnings are subject to the self-employment tax.</w:t>
            </w:r>
          </w:p>
          <w:p w14:paraId="1776B7C9" w14:textId="77777777" w:rsidR="00146CA1" w:rsidRPr="00615C0C" w:rsidRDefault="00146CA1" w:rsidP="00615C0C">
            <w:pPr>
              <w:pStyle w:val="TableBullet1"/>
              <w:jc w:val="both"/>
              <w:rPr>
                <w:i/>
                <w:iCs/>
              </w:rPr>
            </w:pPr>
            <w:r w:rsidRPr="00146CA1">
              <w:t xml:space="preserve">Seasonal worker: </w:t>
            </w:r>
            <w:r w:rsidRPr="00615C0C">
              <w:rPr>
                <w:i/>
                <w:iCs/>
              </w:rPr>
              <w:t>An individual who is hired into a short-term position and the employment begins about the same time each year (such as summer or winter). Typically, the individual is hired to address seasonal demands.</w:t>
            </w:r>
          </w:p>
          <w:p w14:paraId="40756A6B" w14:textId="77777777" w:rsidR="00146CA1" w:rsidRPr="00146CA1" w:rsidRDefault="00146CA1" w:rsidP="00615C0C">
            <w:pPr>
              <w:pStyle w:val="TableCellGeneralText"/>
              <w:spacing w:before="120"/>
              <w:jc w:val="both"/>
            </w:pPr>
            <w:r w:rsidRPr="00146CA1">
              <w:t>Incomes from persons in these categories are specifically included in annual income.</w:t>
            </w:r>
          </w:p>
        </w:tc>
      </w:tr>
      <w:tr w:rsidR="00146CA1" w14:paraId="607B5CF3" w14:textId="77777777" w:rsidTr="13ACFC94">
        <w:trPr>
          <w:trHeight w:val="20"/>
        </w:trPr>
        <w:tc>
          <w:tcPr>
            <w:tcW w:w="1080" w:type="dxa"/>
          </w:tcPr>
          <w:p w14:paraId="1F11D263" w14:textId="1D34AAA0" w:rsidR="00146CA1" w:rsidRPr="00146CA1" w:rsidRDefault="00146CA1" w:rsidP="00146CA1">
            <w:pPr>
              <w:pStyle w:val="TableCellYear"/>
            </w:pPr>
            <w:r>
              <w:t>17</w:t>
            </w:r>
          </w:p>
        </w:tc>
        <w:tc>
          <w:tcPr>
            <w:tcW w:w="2520" w:type="dxa"/>
          </w:tcPr>
          <w:p w14:paraId="09C0E56D" w14:textId="77777777" w:rsidR="00146CA1" w:rsidRPr="00146CA1" w:rsidRDefault="00146CA1" w:rsidP="00146CA1">
            <w:pPr>
              <w:pStyle w:val="TableCellGeneralText"/>
            </w:pPr>
            <w:r w:rsidRPr="00146CA1">
              <w:t>Knowledge Check 1</w:t>
            </w:r>
          </w:p>
        </w:tc>
        <w:tc>
          <w:tcPr>
            <w:tcW w:w="9360" w:type="dxa"/>
          </w:tcPr>
          <w:p w14:paraId="482E48AF" w14:textId="77777777" w:rsidR="00146CA1" w:rsidRPr="00146CA1" w:rsidRDefault="00146CA1" w:rsidP="00615C0C">
            <w:pPr>
              <w:pStyle w:val="TableCellText-Spaced"/>
              <w:jc w:val="both"/>
            </w:pPr>
            <w:r w:rsidRPr="00146CA1">
              <w:t>Now let’s take a moment to check what we have learned.</w:t>
            </w:r>
          </w:p>
          <w:p w14:paraId="55CFD578" w14:textId="4F3E8E7F" w:rsidR="00146CA1" w:rsidRPr="00615C0C" w:rsidRDefault="00146CA1" w:rsidP="00615C0C">
            <w:pPr>
              <w:pStyle w:val="TableCellGeneralText"/>
              <w:jc w:val="both"/>
              <w:rPr>
                <w:b/>
                <w:bCs w:val="0"/>
              </w:rPr>
            </w:pPr>
            <w:r w:rsidRPr="00146CA1">
              <w:t xml:space="preserve">A family consists of two working adults and three minors (children under the age of 18). The two adults earn a combined annual income of $47,000, plus $520 per month in child support payments. </w:t>
            </w:r>
            <w:r w:rsidRPr="00615C0C">
              <w:rPr>
                <w:b/>
                <w:bCs w:val="0"/>
              </w:rPr>
              <w:t xml:space="preserve">What is the gross annual (pre-deduction) income for this family? </w:t>
            </w:r>
          </w:p>
          <w:p w14:paraId="213D4D83" w14:textId="77777777" w:rsidR="00146CA1" w:rsidRPr="00146CA1" w:rsidRDefault="00146CA1" w:rsidP="00615C0C">
            <w:pPr>
              <w:pStyle w:val="TableCellGeneralText"/>
              <w:ind w:left="288"/>
              <w:jc w:val="both"/>
            </w:pPr>
            <w:r w:rsidRPr="00146CA1">
              <w:t>A: $47,520</w:t>
            </w:r>
          </w:p>
          <w:p w14:paraId="47D36A2A" w14:textId="77777777" w:rsidR="00146CA1" w:rsidRPr="00146CA1" w:rsidRDefault="00146CA1" w:rsidP="00615C0C">
            <w:pPr>
              <w:pStyle w:val="TableCellGeneralText"/>
              <w:ind w:left="288"/>
              <w:jc w:val="both"/>
            </w:pPr>
            <w:r w:rsidRPr="00146CA1">
              <w:t>B: $47,000</w:t>
            </w:r>
          </w:p>
          <w:p w14:paraId="149CA35A" w14:textId="77777777" w:rsidR="00146CA1" w:rsidRPr="00146CA1" w:rsidRDefault="00146CA1" w:rsidP="00615C0C">
            <w:pPr>
              <w:pStyle w:val="TableCellGeneralText"/>
              <w:ind w:left="288"/>
              <w:jc w:val="both"/>
            </w:pPr>
            <w:r w:rsidRPr="00146CA1">
              <w:t>C: $53,240</w:t>
            </w:r>
          </w:p>
          <w:p w14:paraId="4B1785F8" w14:textId="3CC368DA" w:rsidR="00146CA1" w:rsidRPr="00146CA1" w:rsidRDefault="00146CA1" w:rsidP="00615C0C">
            <w:pPr>
              <w:pStyle w:val="TableCellGeneralText"/>
              <w:ind w:left="288"/>
              <w:jc w:val="both"/>
            </w:pPr>
            <w:r w:rsidRPr="00146CA1">
              <w:t>D: $40,720</w:t>
            </w:r>
          </w:p>
        </w:tc>
      </w:tr>
      <w:tr w:rsidR="00146CA1" w14:paraId="12282C66" w14:textId="77777777" w:rsidTr="13ACFC94">
        <w:trPr>
          <w:trHeight w:val="20"/>
        </w:trPr>
        <w:tc>
          <w:tcPr>
            <w:tcW w:w="1080" w:type="dxa"/>
          </w:tcPr>
          <w:p w14:paraId="77A9B8A8" w14:textId="328C7D18" w:rsidR="00146CA1" w:rsidRPr="00146CA1" w:rsidRDefault="00146CA1" w:rsidP="00146CA1">
            <w:pPr>
              <w:pStyle w:val="TableCellYear"/>
            </w:pPr>
            <w:r>
              <w:t>18</w:t>
            </w:r>
          </w:p>
        </w:tc>
        <w:tc>
          <w:tcPr>
            <w:tcW w:w="2520" w:type="dxa"/>
          </w:tcPr>
          <w:p w14:paraId="451DF1D4" w14:textId="77777777" w:rsidR="00146CA1" w:rsidRPr="00146CA1" w:rsidRDefault="00146CA1" w:rsidP="00146CA1">
            <w:pPr>
              <w:pStyle w:val="TableCellGeneralText"/>
            </w:pPr>
            <w:r w:rsidRPr="00146CA1">
              <w:t>Knowledge Check 1 – Answer</w:t>
            </w:r>
          </w:p>
        </w:tc>
        <w:tc>
          <w:tcPr>
            <w:tcW w:w="9360" w:type="dxa"/>
          </w:tcPr>
          <w:p w14:paraId="28D321F7" w14:textId="77777777" w:rsidR="00146CA1" w:rsidRPr="00146CA1" w:rsidRDefault="00146CA1" w:rsidP="00615C0C">
            <w:pPr>
              <w:pStyle w:val="TableCellGeneralText"/>
              <w:jc w:val="both"/>
            </w:pPr>
            <w:r w:rsidRPr="00146CA1">
              <w:t xml:space="preserve">The correct answer is C, $53,240. </w:t>
            </w:r>
          </w:p>
          <w:p w14:paraId="46CAD34D" w14:textId="77777777" w:rsidR="00146CA1" w:rsidRPr="00146CA1" w:rsidRDefault="00146CA1" w:rsidP="00615C0C">
            <w:pPr>
              <w:pStyle w:val="TableCellGeneralText"/>
              <w:ind w:left="288"/>
              <w:jc w:val="both"/>
            </w:pPr>
            <w:r w:rsidRPr="00146CA1">
              <w:t>A: $47,520</w:t>
            </w:r>
          </w:p>
          <w:p w14:paraId="6E191141" w14:textId="77777777" w:rsidR="00146CA1" w:rsidRPr="00146CA1" w:rsidRDefault="00146CA1" w:rsidP="00615C0C">
            <w:pPr>
              <w:pStyle w:val="TableCellGeneralText"/>
              <w:ind w:left="288"/>
              <w:jc w:val="both"/>
            </w:pPr>
            <w:r w:rsidRPr="00146CA1">
              <w:t>B: $47,000</w:t>
            </w:r>
          </w:p>
          <w:p w14:paraId="52B7D41D" w14:textId="77777777" w:rsidR="00146CA1" w:rsidRPr="00615C0C" w:rsidRDefault="00146CA1" w:rsidP="00615C0C">
            <w:pPr>
              <w:pStyle w:val="TableCellGeneralText"/>
              <w:ind w:left="288"/>
              <w:jc w:val="both"/>
              <w:rPr>
                <w:b/>
                <w:bCs w:val="0"/>
              </w:rPr>
            </w:pPr>
            <w:r w:rsidRPr="00615C0C">
              <w:rPr>
                <w:b/>
                <w:bCs w:val="0"/>
              </w:rPr>
              <w:t>C: $53,240</w:t>
            </w:r>
          </w:p>
          <w:p w14:paraId="71512CC8" w14:textId="77777777" w:rsidR="00146CA1" w:rsidRPr="00146CA1" w:rsidRDefault="00146CA1" w:rsidP="00615C0C">
            <w:pPr>
              <w:pStyle w:val="TableCellGeneralText"/>
              <w:ind w:left="288"/>
              <w:jc w:val="both"/>
            </w:pPr>
            <w:r w:rsidRPr="00146CA1">
              <w:t>D: $40,720</w:t>
            </w:r>
          </w:p>
          <w:p w14:paraId="522FE31A" w14:textId="6C6F8461" w:rsidR="00146CA1" w:rsidRPr="00146CA1" w:rsidRDefault="00146CA1" w:rsidP="00615C0C">
            <w:pPr>
              <w:pStyle w:val="TableCellGeneralText"/>
              <w:spacing w:before="120"/>
              <w:jc w:val="both"/>
            </w:pPr>
            <w:r>
              <w:t>The earned income from wages is $47,000, and the unearned income received in child support on behalf of the children is $520 per month multiplied by</w:t>
            </w:r>
            <w:r w:rsidR="4C88C848">
              <w:t xml:space="preserve"> </w:t>
            </w:r>
            <w:r>
              <w:t>12 months, or $6,240. Adding these two amounts creates a total pre-deduction income of $53,240.</w:t>
            </w:r>
          </w:p>
        </w:tc>
      </w:tr>
      <w:tr w:rsidR="00146CA1" w14:paraId="7BB0F296" w14:textId="77777777" w:rsidTr="13ACFC94">
        <w:trPr>
          <w:trHeight w:val="20"/>
        </w:trPr>
        <w:tc>
          <w:tcPr>
            <w:tcW w:w="1080" w:type="dxa"/>
          </w:tcPr>
          <w:p w14:paraId="2A3BF144" w14:textId="7758555A" w:rsidR="00146CA1" w:rsidRPr="00146CA1" w:rsidRDefault="00146CA1" w:rsidP="00146CA1">
            <w:pPr>
              <w:pStyle w:val="TableCellYear"/>
            </w:pPr>
            <w:r>
              <w:t>19</w:t>
            </w:r>
          </w:p>
        </w:tc>
        <w:tc>
          <w:tcPr>
            <w:tcW w:w="2520" w:type="dxa"/>
          </w:tcPr>
          <w:p w14:paraId="58A3779F" w14:textId="77777777" w:rsidR="00146CA1" w:rsidRPr="00146CA1" w:rsidRDefault="00146CA1" w:rsidP="00146CA1">
            <w:pPr>
              <w:pStyle w:val="TableCellGeneralText"/>
            </w:pPr>
            <w:r w:rsidRPr="00146CA1">
              <w:t>Income Exclusions</w:t>
            </w:r>
          </w:p>
        </w:tc>
        <w:tc>
          <w:tcPr>
            <w:tcW w:w="9360" w:type="dxa"/>
          </w:tcPr>
          <w:p w14:paraId="1230F844" w14:textId="3D9643F6" w:rsidR="00146CA1" w:rsidRPr="00146CA1" w:rsidRDefault="00146CA1" w:rsidP="00615C0C">
            <w:pPr>
              <w:pStyle w:val="TableCellGeneralText"/>
              <w:jc w:val="both"/>
            </w:pPr>
            <w:r w:rsidRPr="00146CA1">
              <w:t xml:space="preserve">We will now move on to income exclusions. HOTMA has modified and clarified the list of annual income exclusions for </w:t>
            </w:r>
            <w:r>
              <w:t>MF</w:t>
            </w:r>
            <w:r w:rsidR="0DCD1DD6">
              <w:t>H</w:t>
            </w:r>
            <w:r w:rsidRPr="00146CA1">
              <w:t xml:space="preserve"> families. </w:t>
            </w:r>
          </w:p>
        </w:tc>
      </w:tr>
      <w:tr w:rsidR="00146CA1" w14:paraId="4A29D6CD" w14:textId="77777777" w:rsidTr="13ACFC94">
        <w:trPr>
          <w:trHeight w:val="20"/>
        </w:trPr>
        <w:tc>
          <w:tcPr>
            <w:tcW w:w="1080" w:type="dxa"/>
          </w:tcPr>
          <w:p w14:paraId="4E5752F0" w14:textId="6879E576" w:rsidR="00146CA1" w:rsidRPr="00146CA1" w:rsidRDefault="00146CA1" w:rsidP="00615C0C">
            <w:pPr>
              <w:pStyle w:val="TableCellYear"/>
              <w:keepNext/>
            </w:pPr>
            <w:r>
              <w:lastRenderedPageBreak/>
              <w:t>20</w:t>
            </w:r>
          </w:p>
        </w:tc>
        <w:tc>
          <w:tcPr>
            <w:tcW w:w="2520" w:type="dxa"/>
          </w:tcPr>
          <w:p w14:paraId="07159124" w14:textId="77777777" w:rsidR="00146CA1" w:rsidRPr="00146CA1" w:rsidRDefault="00146CA1" w:rsidP="00615C0C">
            <w:pPr>
              <w:pStyle w:val="TableCellGeneralText"/>
              <w:keepNext/>
            </w:pPr>
            <w:r w:rsidRPr="00146CA1">
              <w:t>Income Exclusions Summary</w:t>
            </w:r>
          </w:p>
        </w:tc>
        <w:tc>
          <w:tcPr>
            <w:tcW w:w="9360" w:type="dxa"/>
          </w:tcPr>
          <w:p w14:paraId="616DBE49" w14:textId="0E60F2BA" w:rsidR="00146CA1" w:rsidRPr="00146CA1" w:rsidRDefault="00146CA1" w:rsidP="00615C0C">
            <w:pPr>
              <w:pStyle w:val="TableCellGeneralText"/>
              <w:keepNext/>
              <w:jc w:val="both"/>
            </w:pPr>
            <w:r w:rsidRPr="00146CA1">
              <w:t>This slide contain</w:t>
            </w:r>
            <w:r w:rsidR="00615C0C">
              <w:t>s</w:t>
            </w:r>
            <w:r w:rsidRPr="00146CA1">
              <w:t xml:space="preserve"> a comprehensive list of sources of income that should be </w:t>
            </w:r>
            <w:r w:rsidRPr="00615C0C">
              <w:rPr>
                <w:b/>
                <w:bCs w:val="0"/>
                <w:i/>
                <w:iCs/>
              </w:rPr>
              <w:t>excluded</w:t>
            </w:r>
            <w:r w:rsidRPr="00146CA1">
              <w:t xml:space="preserve"> from an MFH family’s income when determining annual income. Each source will be described in the following slides.</w:t>
            </w:r>
          </w:p>
        </w:tc>
      </w:tr>
      <w:tr w:rsidR="00146CA1" w14:paraId="0131526E" w14:textId="77777777" w:rsidTr="13ACFC94">
        <w:trPr>
          <w:trHeight w:val="20"/>
        </w:trPr>
        <w:tc>
          <w:tcPr>
            <w:tcW w:w="1080" w:type="dxa"/>
          </w:tcPr>
          <w:p w14:paraId="42225FF9" w14:textId="2195E022" w:rsidR="00146CA1" w:rsidRPr="00146CA1" w:rsidRDefault="00146CA1" w:rsidP="00146CA1">
            <w:pPr>
              <w:pStyle w:val="TableCellYear"/>
            </w:pPr>
            <w:r>
              <w:t>21</w:t>
            </w:r>
          </w:p>
        </w:tc>
        <w:tc>
          <w:tcPr>
            <w:tcW w:w="2520" w:type="dxa"/>
          </w:tcPr>
          <w:p w14:paraId="3BC8A3B5" w14:textId="77777777" w:rsidR="00146CA1" w:rsidRPr="00146CA1" w:rsidRDefault="00146CA1" w:rsidP="00146CA1">
            <w:pPr>
              <w:pStyle w:val="TableCellGeneralText"/>
            </w:pPr>
            <w:r w:rsidRPr="00146CA1">
              <w:t>Income Exclusions: Nonrecurring Income</w:t>
            </w:r>
          </w:p>
        </w:tc>
        <w:tc>
          <w:tcPr>
            <w:tcW w:w="9360" w:type="dxa"/>
          </w:tcPr>
          <w:p w14:paraId="1B3D1ED6" w14:textId="77777777" w:rsidR="00146CA1" w:rsidRPr="00146CA1" w:rsidRDefault="00146CA1" w:rsidP="00615C0C">
            <w:pPr>
              <w:pStyle w:val="TableCellGeneralText"/>
              <w:jc w:val="both"/>
            </w:pPr>
            <w:r w:rsidRPr="00146CA1">
              <w:t>Nonrecurring Income.</w:t>
            </w:r>
          </w:p>
          <w:p w14:paraId="12D4C78B" w14:textId="77777777" w:rsidR="00146CA1" w:rsidRPr="00146CA1" w:rsidRDefault="00146CA1" w:rsidP="00615C0C">
            <w:pPr>
              <w:pStyle w:val="TableBullet1"/>
              <w:jc w:val="both"/>
            </w:pPr>
            <w:r w:rsidRPr="00146CA1">
              <w:t>Income that will not be repeated beyond the coming year based on information provided by the family.</w:t>
            </w:r>
          </w:p>
          <w:p w14:paraId="07F7E422" w14:textId="77777777" w:rsidR="00146CA1" w:rsidRPr="00146CA1" w:rsidRDefault="00146CA1" w:rsidP="00615C0C">
            <w:pPr>
              <w:pStyle w:val="TableBullet1"/>
              <w:jc w:val="both"/>
            </w:pPr>
            <w:r w:rsidRPr="00146CA1">
              <w:t>This exclusion replaces the previous “temporary, nonrecurring, or sporadic income (including gifts)” at 24 CFR Part 5.609(c)(9).</w:t>
            </w:r>
          </w:p>
          <w:p w14:paraId="4BF7AE83" w14:textId="77777777" w:rsidR="00146CA1" w:rsidRPr="00146CA1" w:rsidRDefault="00146CA1" w:rsidP="00615C0C">
            <w:pPr>
              <w:pStyle w:val="TableCellGeneralText"/>
              <w:jc w:val="both"/>
            </w:pPr>
            <w:r w:rsidRPr="00146CA1">
              <w:t xml:space="preserve">Examples of </w:t>
            </w:r>
            <w:r w:rsidRPr="00615C0C">
              <w:t>nonrecurring</w:t>
            </w:r>
            <w:r w:rsidRPr="00146CA1">
              <w:t xml:space="preserve"> income to be excluded under HOTMA include:</w:t>
            </w:r>
          </w:p>
          <w:p w14:paraId="77EEC056" w14:textId="77777777" w:rsidR="00146CA1" w:rsidRPr="00146CA1" w:rsidRDefault="00146CA1" w:rsidP="00615C0C">
            <w:pPr>
              <w:pStyle w:val="TableBullet1"/>
              <w:jc w:val="both"/>
            </w:pPr>
            <w:r w:rsidRPr="00146CA1">
              <w:t>Payments from the U.S. Census Bureau for decennial census employment.</w:t>
            </w:r>
          </w:p>
          <w:p w14:paraId="1D55A0E6" w14:textId="77777777" w:rsidR="00146CA1" w:rsidRPr="00146CA1" w:rsidRDefault="00146CA1" w:rsidP="00615C0C">
            <w:pPr>
              <w:pStyle w:val="TableBullet1"/>
              <w:jc w:val="both"/>
            </w:pPr>
            <w:r w:rsidRPr="00146CA1">
              <w:t>Direct Federal or state economic stimulus payments.</w:t>
            </w:r>
          </w:p>
          <w:p w14:paraId="790A628E" w14:textId="77777777" w:rsidR="00146CA1" w:rsidRPr="00146CA1" w:rsidRDefault="00146CA1" w:rsidP="00615C0C">
            <w:pPr>
              <w:pStyle w:val="TableBullet1"/>
              <w:jc w:val="both"/>
            </w:pPr>
            <w:r w:rsidRPr="00146CA1">
              <w:t>Direct payments received as a result of Federal/state tax returns or Federal/state refundable tax credits.</w:t>
            </w:r>
          </w:p>
          <w:p w14:paraId="1E73DAF9" w14:textId="77777777" w:rsidR="00146CA1" w:rsidRPr="00146CA1" w:rsidRDefault="00146CA1" w:rsidP="00615C0C">
            <w:pPr>
              <w:pStyle w:val="TableBullet1"/>
              <w:jc w:val="both"/>
            </w:pPr>
            <w:r w:rsidRPr="00146CA1">
              <w:t>Gifts for holidays, birthdays, or other life milestones.</w:t>
            </w:r>
          </w:p>
          <w:p w14:paraId="5DA43FD2" w14:textId="77777777" w:rsidR="00146CA1" w:rsidRPr="00146CA1" w:rsidRDefault="00146CA1" w:rsidP="00615C0C">
            <w:pPr>
              <w:pStyle w:val="TableBullet1"/>
              <w:spacing w:after="0"/>
              <w:jc w:val="both"/>
            </w:pPr>
            <w:r w:rsidRPr="00146CA1">
              <w:t>In-kind donations, such as food or clothing from friends and family.</w:t>
            </w:r>
          </w:p>
        </w:tc>
      </w:tr>
      <w:tr w:rsidR="00146CA1" w14:paraId="16F08C81" w14:textId="77777777" w:rsidTr="13ACFC94">
        <w:trPr>
          <w:trHeight w:val="20"/>
        </w:trPr>
        <w:tc>
          <w:tcPr>
            <w:tcW w:w="1080" w:type="dxa"/>
          </w:tcPr>
          <w:p w14:paraId="5C33F218" w14:textId="1CD07E35" w:rsidR="00146CA1" w:rsidRPr="00146CA1" w:rsidRDefault="00146CA1" w:rsidP="00146CA1">
            <w:pPr>
              <w:pStyle w:val="TableCellYear"/>
            </w:pPr>
            <w:r>
              <w:t>22</w:t>
            </w:r>
          </w:p>
        </w:tc>
        <w:tc>
          <w:tcPr>
            <w:tcW w:w="2520" w:type="dxa"/>
          </w:tcPr>
          <w:p w14:paraId="4FDB5C09" w14:textId="77777777" w:rsidR="00146CA1" w:rsidRPr="00146CA1" w:rsidRDefault="00146CA1" w:rsidP="00146CA1">
            <w:pPr>
              <w:pStyle w:val="TableCellGeneralText"/>
            </w:pPr>
            <w:r w:rsidRPr="00146CA1">
              <w:t>Income Exclusions: Lump-Sum and Trust Distributions</w:t>
            </w:r>
          </w:p>
        </w:tc>
        <w:tc>
          <w:tcPr>
            <w:tcW w:w="9360" w:type="dxa"/>
          </w:tcPr>
          <w:p w14:paraId="2D6697FE" w14:textId="77777777" w:rsidR="00146CA1" w:rsidRPr="00146CA1" w:rsidRDefault="00146CA1" w:rsidP="00615C0C">
            <w:pPr>
              <w:pStyle w:val="TableCellText-Spaced"/>
              <w:jc w:val="both"/>
            </w:pPr>
            <w:r w:rsidRPr="00146CA1">
              <w:t>Lump-sum additions to family assets, such as lottery and other contest winnings are excluded.</w:t>
            </w:r>
          </w:p>
          <w:p w14:paraId="53E1B321" w14:textId="77777777" w:rsidR="00146CA1" w:rsidRPr="00146CA1" w:rsidRDefault="00146CA1" w:rsidP="00615C0C">
            <w:pPr>
              <w:pStyle w:val="TableCellGeneralText"/>
              <w:jc w:val="both"/>
            </w:pPr>
            <w:r w:rsidRPr="00146CA1">
              <w:t>Trust Distributions</w:t>
            </w:r>
          </w:p>
          <w:p w14:paraId="14A1DA40" w14:textId="77777777" w:rsidR="00146CA1" w:rsidRPr="00146CA1" w:rsidRDefault="00146CA1" w:rsidP="00615C0C">
            <w:pPr>
              <w:pStyle w:val="TableBullet1"/>
              <w:jc w:val="both"/>
            </w:pPr>
            <w:r w:rsidRPr="00146CA1">
              <w:t xml:space="preserve">Payments or distributions from the </w:t>
            </w:r>
            <w:r w:rsidRPr="00615C0C">
              <w:rPr>
                <w:i/>
                <w:iCs/>
              </w:rPr>
              <w:t>principal</w:t>
            </w:r>
            <w:r w:rsidRPr="00146CA1">
              <w:t xml:space="preserve"> of a trust that is an irrevocable or revocable trust outside of the assets of a family, or a revocable trust in control of the family, including Special Needs Trusts.</w:t>
            </w:r>
          </w:p>
          <w:p w14:paraId="203E73E3" w14:textId="2E39112C" w:rsidR="00146CA1" w:rsidRPr="00146CA1" w:rsidRDefault="00146CA1" w:rsidP="00615C0C">
            <w:pPr>
              <w:pStyle w:val="TableCellGeneralText"/>
              <w:jc w:val="both"/>
            </w:pPr>
            <w:r w:rsidRPr="00146CA1">
              <w:t xml:space="preserve">Importantly, MFH </w:t>
            </w:r>
            <w:r w:rsidR="00422EC1">
              <w:t>Owners</w:t>
            </w:r>
            <w:r w:rsidRPr="00146CA1">
              <w:t xml:space="preserve"> must count distributions of any income from a trust (e.g., interest earned) as actual income, with </w:t>
            </w:r>
            <w:r w:rsidRPr="00615C0C">
              <w:t>the</w:t>
            </w:r>
            <w:r w:rsidRPr="00146CA1">
              <w:t xml:space="preserve"> exception of distributions used to pay for the health or education of a minor.</w:t>
            </w:r>
          </w:p>
        </w:tc>
      </w:tr>
      <w:tr w:rsidR="00146CA1" w14:paraId="08BDD8E0" w14:textId="77777777" w:rsidTr="13ACFC94">
        <w:trPr>
          <w:trHeight w:val="20"/>
        </w:trPr>
        <w:tc>
          <w:tcPr>
            <w:tcW w:w="1080" w:type="dxa"/>
          </w:tcPr>
          <w:p w14:paraId="254AFDD1" w14:textId="60929392" w:rsidR="00146CA1" w:rsidRPr="00146CA1" w:rsidRDefault="00146CA1" w:rsidP="00146CA1">
            <w:pPr>
              <w:pStyle w:val="TableCellYear"/>
            </w:pPr>
            <w:r>
              <w:t>23</w:t>
            </w:r>
          </w:p>
        </w:tc>
        <w:tc>
          <w:tcPr>
            <w:tcW w:w="2520" w:type="dxa"/>
          </w:tcPr>
          <w:p w14:paraId="48F8034E" w14:textId="77777777" w:rsidR="00146CA1" w:rsidRPr="00146CA1" w:rsidRDefault="00146CA1" w:rsidP="00146CA1">
            <w:pPr>
              <w:pStyle w:val="TableCellGeneralText"/>
            </w:pPr>
            <w:r w:rsidRPr="00146CA1">
              <w:t>Income Exclusions Continued</w:t>
            </w:r>
          </w:p>
        </w:tc>
        <w:tc>
          <w:tcPr>
            <w:tcW w:w="9360" w:type="dxa"/>
          </w:tcPr>
          <w:p w14:paraId="6DA3B301" w14:textId="77777777" w:rsidR="00146CA1" w:rsidRPr="00146CA1" w:rsidRDefault="00146CA1" w:rsidP="00615C0C">
            <w:pPr>
              <w:pStyle w:val="TableCellGeneralText"/>
              <w:jc w:val="both"/>
            </w:pPr>
            <w:r w:rsidRPr="00146CA1">
              <w:t>Family Self Sufficiency Accounts (FSS)</w:t>
            </w:r>
          </w:p>
          <w:p w14:paraId="3C172E3E" w14:textId="77777777" w:rsidR="00146CA1" w:rsidRPr="00146CA1" w:rsidRDefault="00146CA1" w:rsidP="00615C0C">
            <w:pPr>
              <w:pStyle w:val="TableBullet1"/>
              <w:jc w:val="both"/>
            </w:pPr>
            <w:r w:rsidRPr="00146CA1">
              <w:t>Income earned on amounts placed in a family’s Family Self Sufficiency (FSS) account is excluded.</w:t>
            </w:r>
          </w:p>
          <w:p w14:paraId="6055C42F" w14:textId="77777777" w:rsidR="00146CA1" w:rsidRPr="00146CA1" w:rsidRDefault="00146CA1" w:rsidP="00615C0C">
            <w:pPr>
              <w:pStyle w:val="TableCellGeneralText"/>
              <w:spacing w:before="120"/>
              <w:jc w:val="both"/>
            </w:pPr>
            <w:r w:rsidRPr="00146CA1">
              <w:t>Live-in Aide, Foster Child, and Foster Adult Income</w:t>
            </w:r>
          </w:p>
          <w:p w14:paraId="555419BD" w14:textId="77777777" w:rsidR="00146CA1" w:rsidRPr="00146CA1" w:rsidRDefault="00146CA1" w:rsidP="00615C0C">
            <w:pPr>
              <w:pStyle w:val="TableBullet1"/>
              <w:spacing w:after="0"/>
              <w:jc w:val="both"/>
            </w:pPr>
            <w:r w:rsidRPr="00146CA1">
              <w:t>Funds earned by, or received on behalf of, foster children and adults are no longer to be considered income, including:</w:t>
            </w:r>
          </w:p>
          <w:p w14:paraId="166C3943" w14:textId="77777777" w:rsidR="00146CA1" w:rsidRPr="00146CA1" w:rsidRDefault="00146CA1" w:rsidP="00615C0C">
            <w:pPr>
              <w:pStyle w:val="TableBullet2"/>
              <w:jc w:val="both"/>
            </w:pPr>
            <w:r w:rsidRPr="00146CA1">
              <w:t>Income earned by foster children or adults</w:t>
            </w:r>
          </w:p>
          <w:p w14:paraId="50DD6B66" w14:textId="77777777" w:rsidR="00146CA1" w:rsidRPr="00146CA1" w:rsidRDefault="00146CA1" w:rsidP="00615C0C">
            <w:pPr>
              <w:pStyle w:val="TableBullet2"/>
              <w:jc w:val="both"/>
            </w:pPr>
            <w:r w:rsidRPr="00146CA1">
              <w:t xml:space="preserve">Guardianship or state/tribal kinship </w:t>
            </w:r>
            <w:r w:rsidRPr="00A4054A">
              <w:t>payments or kinship</w:t>
            </w:r>
            <w:r w:rsidRPr="00146CA1">
              <w:t xml:space="preserve"> guardian assistance payments (Kin-GAP).</w:t>
            </w:r>
          </w:p>
          <w:p w14:paraId="596DFA66" w14:textId="77777777" w:rsidR="00146CA1" w:rsidRPr="00146CA1" w:rsidRDefault="00146CA1" w:rsidP="00615C0C">
            <w:pPr>
              <w:pStyle w:val="TableBullet1"/>
              <w:jc w:val="both"/>
            </w:pPr>
            <w:r w:rsidRPr="00146CA1">
              <w:t>Income earned by a live-in aide is also excluded.</w:t>
            </w:r>
          </w:p>
          <w:p w14:paraId="13F3BD9C" w14:textId="5740BE99" w:rsidR="00146CA1" w:rsidRPr="00146CA1" w:rsidRDefault="00146CA1" w:rsidP="00615C0C">
            <w:pPr>
              <w:pStyle w:val="TableCellGeneralText"/>
              <w:jc w:val="both"/>
            </w:pPr>
            <w:r w:rsidRPr="00146CA1">
              <w:t xml:space="preserve">Foster children and adults are considered members of the household and are accounted for when determining </w:t>
            </w:r>
            <w:r w:rsidRPr="00615C0C">
              <w:t>unit</w:t>
            </w:r>
            <w:r w:rsidRPr="00146CA1">
              <w:t xml:space="preserve"> size. However, their income and assets are not taken into consideration when calculating income.</w:t>
            </w:r>
          </w:p>
        </w:tc>
      </w:tr>
      <w:tr w:rsidR="00146CA1" w14:paraId="7F7819FC" w14:textId="77777777" w:rsidTr="13ACFC94">
        <w:trPr>
          <w:trHeight w:val="20"/>
        </w:trPr>
        <w:tc>
          <w:tcPr>
            <w:tcW w:w="1080" w:type="dxa"/>
          </w:tcPr>
          <w:p w14:paraId="7635BC9F" w14:textId="59DC56B2" w:rsidR="00146CA1" w:rsidRPr="00146CA1" w:rsidRDefault="00146CA1" w:rsidP="00146CA1">
            <w:pPr>
              <w:pStyle w:val="TableCellYear"/>
            </w:pPr>
            <w:r>
              <w:lastRenderedPageBreak/>
              <w:t>24</w:t>
            </w:r>
          </w:p>
        </w:tc>
        <w:tc>
          <w:tcPr>
            <w:tcW w:w="2520" w:type="dxa"/>
          </w:tcPr>
          <w:p w14:paraId="06922942" w14:textId="77777777" w:rsidR="00146CA1" w:rsidRPr="00146CA1" w:rsidRDefault="00146CA1" w:rsidP="00146CA1">
            <w:pPr>
              <w:pStyle w:val="TableCellGeneralText"/>
            </w:pPr>
            <w:r w:rsidRPr="00146CA1">
              <w:t>Income Exclusions Continued</w:t>
            </w:r>
          </w:p>
        </w:tc>
        <w:tc>
          <w:tcPr>
            <w:tcW w:w="9360" w:type="dxa"/>
          </w:tcPr>
          <w:p w14:paraId="30458871" w14:textId="77777777" w:rsidR="00146CA1" w:rsidRPr="00146CA1" w:rsidRDefault="00146CA1" w:rsidP="00615C0C">
            <w:pPr>
              <w:pStyle w:val="TableCellGeneralText"/>
              <w:jc w:val="both"/>
            </w:pPr>
            <w:r w:rsidRPr="00146CA1">
              <w:t>Insurance Payments or Settlements</w:t>
            </w:r>
          </w:p>
          <w:p w14:paraId="76902B1E" w14:textId="77777777" w:rsidR="00146CA1" w:rsidRPr="00146CA1" w:rsidRDefault="00146CA1" w:rsidP="00615C0C">
            <w:pPr>
              <w:pStyle w:val="TableBullet1"/>
              <w:jc w:val="both"/>
            </w:pPr>
            <w:r w:rsidRPr="00146CA1">
              <w:t>Insurance payments from judgments or settlements such as health insurance, motor vehicle insurance, and workers compensation insurance are excluded.</w:t>
            </w:r>
          </w:p>
          <w:p w14:paraId="13D31676" w14:textId="77777777" w:rsidR="00146CA1" w:rsidRPr="00146CA1" w:rsidRDefault="00146CA1" w:rsidP="00615C0C">
            <w:pPr>
              <w:pStyle w:val="TableBullet1"/>
              <w:jc w:val="both"/>
            </w:pPr>
            <w:r w:rsidRPr="00146CA1">
              <w:t xml:space="preserve">Periodic insurance payments received at weekly, biweekly, or monthly intervals and lasting longer than one consecutive year </w:t>
            </w:r>
            <w:r w:rsidRPr="00615C0C">
              <w:rPr>
                <w:b/>
                <w:bCs w:val="0"/>
              </w:rPr>
              <w:t>are not excluded</w:t>
            </w:r>
            <w:r w:rsidRPr="00615C0C">
              <w:rPr>
                <w:b/>
                <w:bCs w:val="0"/>
                <w:i/>
                <w:iCs/>
              </w:rPr>
              <w:t xml:space="preserve"> </w:t>
            </w:r>
            <w:r w:rsidRPr="00146CA1">
              <w:t>and must be considered part of a family’s annual income.</w:t>
            </w:r>
          </w:p>
          <w:p w14:paraId="24116A63" w14:textId="77777777" w:rsidR="00146CA1" w:rsidRPr="00146CA1" w:rsidRDefault="00146CA1" w:rsidP="00615C0C">
            <w:pPr>
              <w:pStyle w:val="TableCellGeneralText"/>
              <w:jc w:val="both"/>
            </w:pPr>
            <w:r w:rsidRPr="00146CA1">
              <w:t>Civil Rights Settlements and Judgments</w:t>
            </w:r>
          </w:p>
          <w:p w14:paraId="4B2B1050" w14:textId="77777777" w:rsidR="00146CA1" w:rsidRPr="00146CA1" w:rsidRDefault="00146CA1" w:rsidP="00615C0C">
            <w:pPr>
              <w:pStyle w:val="TableBullet1"/>
              <w:jc w:val="both"/>
            </w:pPr>
            <w:r w:rsidRPr="00146CA1">
              <w:t>Civil rights settlements or judgments, including settlements or judgments for back pay, are excluded.</w:t>
            </w:r>
          </w:p>
          <w:p w14:paraId="4E1D9751" w14:textId="77777777" w:rsidR="00146CA1" w:rsidRPr="00146CA1" w:rsidRDefault="00146CA1" w:rsidP="00615C0C">
            <w:pPr>
              <w:pStyle w:val="TableCellGeneralText"/>
              <w:jc w:val="both"/>
            </w:pPr>
            <w:r w:rsidRPr="00146CA1">
              <w:t xml:space="preserve">Civil Action </w:t>
            </w:r>
            <w:r w:rsidRPr="00615C0C">
              <w:t>Recoveries</w:t>
            </w:r>
            <w:r w:rsidRPr="00146CA1">
              <w:t xml:space="preserve"> or Judgments</w:t>
            </w:r>
          </w:p>
          <w:p w14:paraId="6042D87D" w14:textId="77777777" w:rsidR="00146CA1" w:rsidRPr="00146CA1" w:rsidRDefault="00146CA1" w:rsidP="00615C0C">
            <w:pPr>
              <w:pStyle w:val="TableBullet1"/>
              <w:spacing w:after="0"/>
              <w:jc w:val="both"/>
            </w:pPr>
            <w:r w:rsidRPr="00146CA1">
              <w:t>All a</w:t>
            </w:r>
            <w:r w:rsidRPr="00146CA1">
              <w:rPr>
                <w:rFonts w:eastAsiaTheme="minorHAnsi"/>
              </w:rPr>
              <w:t>mounts recovered in a civil action or settlement from a claim that resulted in a family member becoming disabled are excluded, including lump sum and periodic payments.</w:t>
            </w:r>
          </w:p>
        </w:tc>
      </w:tr>
      <w:tr w:rsidR="00146CA1" w14:paraId="3F8D9522" w14:textId="77777777" w:rsidTr="13ACFC94">
        <w:trPr>
          <w:trHeight w:val="20"/>
        </w:trPr>
        <w:tc>
          <w:tcPr>
            <w:tcW w:w="1080" w:type="dxa"/>
          </w:tcPr>
          <w:p w14:paraId="3D89CBF0" w14:textId="33B4378A" w:rsidR="00146CA1" w:rsidRPr="00146CA1" w:rsidRDefault="00146CA1" w:rsidP="00146CA1">
            <w:pPr>
              <w:pStyle w:val="TableCellYear"/>
            </w:pPr>
            <w:r>
              <w:t>25</w:t>
            </w:r>
          </w:p>
        </w:tc>
        <w:tc>
          <w:tcPr>
            <w:tcW w:w="2520" w:type="dxa"/>
          </w:tcPr>
          <w:p w14:paraId="6A618589" w14:textId="77777777" w:rsidR="00146CA1" w:rsidRPr="00146CA1" w:rsidRDefault="00146CA1" w:rsidP="00146CA1">
            <w:pPr>
              <w:pStyle w:val="TableCellGeneralText"/>
            </w:pPr>
            <w:r w:rsidRPr="00146CA1">
              <w:t xml:space="preserve">Income Exclusions: Student Earned Income </w:t>
            </w:r>
          </w:p>
        </w:tc>
        <w:tc>
          <w:tcPr>
            <w:tcW w:w="9360" w:type="dxa"/>
          </w:tcPr>
          <w:p w14:paraId="3A4CC052" w14:textId="77777777" w:rsidR="00146CA1" w:rsidRPr="00146CA1" w:rsidRDefault="00146CA1" w:rsidP="00615C0C">
            <w:pPr>
              <w:pStyle w:val="TableCellText-Spaced"/>
              <w:jc w:val="both"/>
            </w:pPr>
            <w:r w:rsidRPr="00146CA1">
              <w:t xml:space="preserve">The earned income of dependent full-time students in excess of the amount of the deduction for a dependent is excluded from annual income. </w:t>
            </w:r>
          </w:p>
          <w:p w14:paraId="2D7AE4AE" w14:textId="77777777" w:rsidR="00146CA1" w:rsidRPr="00146CA1" w:rsidRDefault="00146CA1" w:rsidP="00615C0C">
            <w:pPr>
              <w:pStyle w:val="TableCellGeneralText"/>
              <w:jc w:val="both"/>
            </w:pPr>
            <w:r w:rsidRPr="00146CA1">
              <w:t>For this income exclusion:</w:t>
            </w:r>
          </w:p>
          <w:p w14:paraId="5EA3A759" w14:textId="77777777" w:rsidR="00146CA1" w:rsidRPr="00146CA1" w:rsidRDefault="00146CA1" w:rsidP="00615C0C">
            <w:pPr>
              <w:pStyle w:val="TableBullet1"/>
              <w:jc w:val="both"/>
            </w:pPr>
            <w:r w:rsidRPr="00146CA1">
              <w:t xml:space="preserve">Full-time students must be dependent family members for this exclusion to apply. </w:t>
            </w:r>
          </w:p>
          <w:p w14:paraId="4757EDC1" w14:textId="77777777" w:rsidR="00146CA1" w:rsidRPr="00146CA1" w:rsidRDefault="00146CA1" w:rsidP="00615C0C">
            <w:pPr>
              <w:pStyle w:val="TableBullet1"/>
              <w:jc w:val="both"/>
            </w:pPr>
            <w:r w:rsidRPr="00146CA1">
              <w:t xml:space="preserve">This exclusion does not apply to the head of household, spouse, or co-head. </w:t>
            </w:r>
          </w:p>
          <w:p w14:paraId="1348D896" w14:textId="77777777" w:rsidR="00146CA1" w:rsidRPr="00146CA1" w:rsidRDefault="00146CA1" w:rsidP="00615C0C">
            <w:pPr>
              <w:pStyle w:val="TableCellText-Spaced"/>
              <w:jc w:val="both"/>
            </w:pPr>
            <w:r w:rsidRPr="00146CA1">
              <w:t xml:space="preserve">This means that the first $480 of the income earned by a dependent full-time student will be included in the family’s </w:t>
            </w:r>
            <w:r w:rsidRPr="00615C0C">
              <w:t>calculation</w:t>
            </w:r>
            <w:r w:rsidRPr="00146CA1">
              <w:t xml:space="preserve"> of annual income. The dependent deduction will be adjusted annually in accordance with the Consumer Price Index, the CPI-W. </w:t>
            </w:r>
          </w:p>
          <w:p w14:paraId="455095BF" w14:textId="385D7BD5" w:rsidR="00146CA1" w:rsidRPr="00146CA1" w:rsidRDefault="00146CA1" w:rsidP="00615C0C">
            <w:pPr>
              <w:pStyle w:val="TableCellGeneralText"/>
              <w:jc w:val="both"/>
            </w:pPr>
            <w:r w:rsidRPr="00146CA1">
              <w:t>Full-time dependent students are eligible to receive both the $480 dependent deduction (adjusted for inflation) and the exclusion described on this slide.</w:t>
            </w:r>
          </w:p>
        </w:tc>
      </w:tr>
      <w:tr w:rsidR="00146CA1" w14:paraId="3459F2A5" w14:textId="77777777" w:rsidTr="13ACFC94">
        <w:trPr>
          <w:trHeight w:val="20"/>
        </w:trPr>
        <w:tc>
          <w:tcPr>
            <w:tcW w:w="1080" w:type="dxa"/>
          </w:tcPr>
          <w:p w14:paraId="359EFD8A" w14:textId="7F8EBAE5" w:rsidR="00146CA1" w:rsidRPr="00146CA1" w:rsidRDefault="00146CA1" w:rsidP="00146CA1">
            <w:pPr>
              <w:pStyle w:val="TableCellYear"/>
            </w:pPr>
            <w:r>
              <w:lastRenderedPageBreak/>
              <w:t>26</w:t>
            </w:r>
          </w:p>
        </w:tc>
        <w:tc>
          <w:tcPr>
            <w:tcW w:w="2520" w:type="dxa"/>
          </w:tcPr>
          <w:p w14:paraId="2F7155D9" w14:textId="77777777" w:rsidR="00146CA1" w:rsidRPr="00146CA1" w:rsidRDefault="00146CA1" w:rsidP="00146CA1">
            <w:pPr>
              <w:pStyle w:val="TableCellGeneralText"/>
            </w:pPr>
            <w:r w:rsidRPr="00146CA1">
              <w:t>Income Exclusions Continued</w:t>
            </w:r>
          </w:p>
        </w:tc>
        <w:tc>
          <w:tcPr>
            <w:tcW w:w="9360" w:type="dxa"/>
          </w:tcPr>
          <w:p w14:paraId="29F740F2" w14:textId="77777777" w:rsidR="00146CA1" w:rsidRPr="00146CA1" w:rsidRDefault="00146CA1" w:rsidP="00615C0C">
            <w:pPr>
              <w:pStyle w:val="TableCellGeneralText"/>
              <w:jc w:val="both"/>
            </w:pPr>
            <w:r w:rsidRPr="00146CA1">
              <w:t>Adoption Assistance Payments</w:t>
            </w:r>
          </w:p>
          <w:p w14:paraId="0D8358F6" w14:textId="77777777" w:rsidR="00146CA1" w:rsidRPr="00146CA1" w:rsidRDefault="00146CA1" w:rsidP="00615C0C">
            <w:pPr>
              <w:pStyle w:val="TableBullet1"/>
              <w:jc w:val="both"/>
            </w:pPr>
            <w:r w:rsidRPr="00146CA1">
              <w:t xml:space="preserve">All adoption assistance payments on behalf of any adopted dependent (including adults) in excess of $480 per </w:t>
            </w:r>
            <w:r w:rsidRPr="001B3E8F">
              <w:t>dependent are excluded</w:t>
            </w:r>
            <w:r w:rsidRPr="00146CA1">
              <w:t>. Beginning in 2025, the $480 will be adjusted annually in accordance with the CPI-W.</w:t>
            </w:r>
          </w:p>
          <w:p w14:paraId="02F88F11" w14:textId="77777777" w:rsidR="00146CA1" w:rsidRPr="00146CA1" w:rsidRDefault="00146CA1" w:rsidP="00615C0C">
            <w:pPr>
              <w:pStyle w:val="TableCellGeneralText"/>
              <w:jc w:val="both"/>
            </w:pPr>
            <w:r w:rsidRPr="00146CA1">
              <w:t xml:space="preserve">Veterans Regular Aid </w:t>
            </w:r>
            <w:r w:rsidRPr="00615C0C">
              <w:t>and</w:t>
            </w:r>
            <w:r w:rsidRPr="00146CA1">
              <w:t xml:space="preserve"> Attendance </w:t>
            </w:r>
          </w:p>
          <w:p w14:paraId="14952D69" w14:textId="77777777" w:rsidR="00146CA1" w:rsidRPr="00146CA1" w:rsidRDefault="00146CA1" w:rsidP="00615C0C">
            <w:pPr>
              <w:pStyle w:val="TableBullet1"/>
              <w:jc w:val="both"/>
            </w:pPr>
            <w:r w:rsidRPr="00146CA1">
              <w:t>Payments related to aid and attendance for veterans who served during periods of war.</w:t>
            </w:r>
          </w:p>
          <w:p w14:paraId="39FBCB65" w14:textId="77777777" w:rsidR="00146CA1" w:rsidRPr="00146CA1" w:rsidRDefault="00146CA1" w:rsidP="00615C0C">
            <w:pPr>
              <w:pStyle w:val="TableBullet1"/>
              <w:jc w:val="both"/>
            </w:pPr>
            <w:r w:rsidRPr="00146CA1">
              <w:t>Please note that although Aid and Attendance payments to veterans from the Veterans Administration are excluded, payments from other VA programs, including Veterans Pension and Survivors Pension, must be included in a family’s annual income determination.</w:t>
            </w:r>
          </w:p>
          <w:p w14:paraId="0BB6BFA8" w14:textId="77777777" w:rsidR="00146CA1" w:rsidRPr="00146CA1" w:rsidRDefault="00146CA1" w:rsidP="00615C0C">
            <w:pPr>
              <w:pStyle w:val="TableCellGeneralText"/>
              <w:jc w:val="both"/>
            </w:pPr>
            <w:r w:rsidRPr="00146CA1">
              <w:t>Home-Based Care Payments</w:t>
            </w:r>
          </w:p>
          <w:p w14:paraId="7CE33AF6" w14:textId="77777777" w:rsidR="00146CA1" w:rsidRPr="00146CA1" w:rsidRDefault="00146CA1" w:rsidP="00615C0C">
            <w:pPr>
              <w:pStyle w:val="TableBullet1"/>
              <w:spacing w:after="0"/>
              <w:jc w:val="both"/>
            </w:pPr>
            <w:r w:rsidRPr="00146CA1">
              <w:t>Payments authorized by a Federal or state agency to a family member with a disability to enable the family member to reside in the assisted unit and to receive appropriate services are excluded.</w:t>
            </w:r>
          </w:p>
        </w:tc>
      </w:tr>
      <w:tr w:rsidR="00146CA1" w14:paraId="3EC35022" w14:textId="77777777" w:rsidTr="13ACFC94">
        <w:trPr>
          <w:trHeight w:val="20"/>
        </w:trPr>
        <w:tc>
          <w:tcPr>
            <w:tcW w:w="1080" w:type="dxa"/>
          </w:tcPr>
          <w:p w14:paraId="79BE6068" w14:textId="31572621" w:rsidR="00146CA1" w:rsidRPr="00146CA1" w:rsidRDefault="00146CA1" w:rsidP="00146CA1">
            <w:pPr>
              <w:pStyle w:val="TableCellYear"/>
            </w:pPr>
            <w:r>
              <w:t>27</w:t>
            </w:r>
          </w:p>
        </w:tc>
        <w:tc>
          <w:tcPr>
            <w:tcW w:w="2520" w:type="dxa"/>
          </w:tcPr>
          <w:p w14:paraId="17856607" w14:textId="77777777" w:rsidR="00146CA1" w:rsidRPr="00146CA1" w:rsidRDefault="00146CA1" w:rsidP="00146CA1">
            <w:pPr>
              <w:pStyle w:val="TableCellGeneralText"/>
            </w:pPr>
            <w:r w:rsidRPr="00146CA1">
              <w:t>Income Exclusions Continued</w:t>
            </w:r>
          </w:p>
        </w:tc>
        <w:tc>
          <w:tcPr>
            <w:tcW w:w="9360" w:type="dxa"/>
          </w:tcPr>
          <w:p w14:paraId="73A7D1EA" w14:textId="77777777" w:rsidR="00146CA1" w:rsidRPr="00146CA1" w:rsidRDefault="00146CA1" w:rsidP="00615C0C">
            <w:pPr>
              <w:pStyle w:val="TableCellGeneralText"/>
              <w:jc w:val="both"/>
            </w:pPr>
            <w:r w:rsidRPr="00146CA1">
              <w:t>Loan Proceeds</w:t>
            </w:r>
          </w:p>
          <w:p w14:paraId="082CE0C4" w14:textId="77777777" w:rsidR="00146CA1" w:rsidRPr="00146CA1" w:rsidRDefault="00146CA1" w:rsidP="00615C0C">
            <w:pPr>
              <w:pStyle w:val="TableBullet1"/>
              <w:jc w:val="both"/>
            </w:pPr>
            <w:r w:rsidRPr="00146CA1">
              <w:t>Loan funds, including personal or student loans, that are disbursed to a borrower who is a member of the assisted family are excluded from annual income.</w:t>
            </w:r>
          </w:p>
          <w:p w14:paraId="3CB78244" w14:textId="77777777" w:rsidR="00146CA1" w:rsidRPr="00146CA1" w:rsidRDefault="00146CA1" w:rsidP="00615C0C">
            <w:pPr>
              <w:pStyle w:val="TableCellGeneralText"/>
              <w:jc w:val="both"/>
            </w:pPr>
            <w:r w:rsidRPr="00146CA1">
              <w:t>Certain Payments Received by Tribal Members</w:t>
            </w:r>
          </w:p>
          <w:p w14:paraId="670D33FB" w14:textId="77777777" w:rsidR="00146CA1" w:rsidRPr="00146CA1" w:rsidRDefault="00146CA1" w:rsidP="00615C0C">
            <w:pPr>
              <w:pStyle w:val="TableBullet1"/>
              <w:jc w:val="both"/>
            </w:pPr>
            <w:r w:rsidRPr="00146CA1">
              <w:t>Payments received by Tribal Members from claims of mismanagement of assets held in trust by the United States are excluded.</w:t>
            </w:r>
          </w:p>
          <w:p w14:paraId="009016C1" w14:textId="77777777" w:rsidR="00146CA1" w:rsidRPr="00146CA1" w:rsidRDefault="00146CA1" w:rsidP="00615C0C">
            <w:pPr>
              <w:pStyle w:val="TableBullet1"/>
              <w:spacing w:after="0"/>
              <w:jc w:val="both"/>
            </w:pPr>
            <w:r w:rsidRPr="00146CA1">
              <w:t>This exclusion applies only if the payments are also excluded from a family’s gross income under the Internal Revenue Code (IRC), as in the following circumstance:</w:t>
            </w:r>
          </w:p>
          <w:p w14:paraId="32C5932D" w14:textId="77777777" w:rsidR="00146CA1" w:rsidRPr="00146CA1" w:rsidRDefault="00146CA1" w:rsidP="00615C0C">
            <w:pPr>
              <w:pStyle w:val="TableBullet2"/>
              <w:jc w:val="both"/>
            </w:pPr>
            <w:r w:rsidRPr="00146CA1">
              <w:t>Cobell Settlements – Payments to individual Tribe members as a result of a class action lawsuit brought by a group of individual Indians against the United States.</w:t>
            </w:r>
          </w:p>
          <w:p w14:paraId="60ABED81" w14:textId="77777777" w:rsidR="00146CA1" w:rsidRPr="00146CA1" w:rsidRDefault="00146CA1" w:rsidP="00615C0C">
            <w:pPr>
              <w:pStyle w:val="TableBullet2"/>
              <w:spacing w:after="0"/>
              <w:jc w:val="both"/>
            </w:pPr>
            <w:r w:rsidRPr="00146CA1">
              <w:t xml:space="preserve">Tribal Trust Settlements – Certain settlements between the United States and Tribes that result in per capita payments to Tribe members. </w:t>
            </w:r>
          </w:p>
        </w:tc>
      </w:tr>
      <w:tr w:rsidR="00146CA1" w14:paraId="2BB0203A" w14:textId="77777777" w:rsidTr="13ACFC94">
        <w:trPr>
          <w:trHeight w:val="20"/>
        </w:trPr>
        <w:tc>
          <w:tcPr>
            <w:tcW w:w="1080" w:type="dxa"/>
          </w:tcPr>
          <w:p w14:paraId="65E5F779" w14:textId="7235AEB1" w:rsidR="00146CA1" w:rsidRPr="00146CA1" w:rsidRDefault="00146CA1" w:rsidP="00146CA1">
            <w:pPr>
              <w:pStyle w:val="TableCellYear"/>
            </w:pPr>
            <w:r>
              <w:t>28</w:t>
            </w:r>
          </w:p>
        </w:tc>
        <w:tc>
          <w:tcPr>
            <w:tcW w:w="2520" w:type="dxa"/>
          </w:tcPr>
          <w:p w14:paraId="4253D5F7" w14:textId="77777777" w:rsidR="00146CA1" w:rsidRPr="00146CA1" w:rsidRDefault="00146CA1" w:rsidP="00146CA1">
            <w:pPr>
              <w:pStyle w:val="TableCellGeneralText"/>
            </w:pPr>
            <w:r w:rsidRPr="00146CA1">
              <w:t>Income Exclusions Continued</w:t>
            </w:r>
          </w:p>
        </w:tc>
        <w:tc>
          <w:tcPr>
            <w:tcW w:w="9360" w:type="dxa"/>
          </w:tcPr>
          <w:p w14:paraId="25444BFC" w14:textId="77777777" w:rsidR="00146CA1" w:rsidRPr="00146CA1" w:rsidRDefault="00146CA1" w:rsidP="00615C0C">
            <w:pPr>
              <w:pStyle w:val="TableCellGeneralText"/>
              <w:jc w:val="both"/>
            </w:pPr>
            <w:r w:rsidRPr="00146CA1">
              <w:t>Exclusions from Other Federal Statutes</w:t>
            </w:r>
          </w:p>
          <w:p w14:paraId="4823C190" w14:textId="77777777" w:rsidR="00146CA1" w:rsidRPr="00146CA1" w:rsidRDefault="00146CA1" w:rsidP="00615C0C">
            <w:pPr>
              <w:pStyle w:val="TableBullet1"/>
              <w:jc w:val="both"/>
            </w:pPr>
            <w:r w:rsidRPr="00146CA1">
              <w:t>This category covers all amounts that HUD is required to exclude by statute. HUD will publish such exclusions in the Federal Register.</w:t>
            </w:r>
          </w:p>
          <w:p w14:paraId="1EC581F0" w14:textId="77777777" w:rsidR="00146CA1" w:rsidRPr="00146CA1" w:rsidRDefault="00146CA1" w:rsidP="00615C0C">
            <w:pPr>
              <w:pStyle w:val="TableCellGeneralText"/>
              <w:jc w:val="both"/>
            </w:pPr>
            <w:r w:rsidRPr="00146CA1">
              <w:t>Housing “Gap” Payments</w:t>
            </w:r>
          </w:p>
          <w:p w14:paraId="1A1698C0" w14:textId="55928F88" w:rsidR="00146CA1" w:rsidRPr="00146CA1" w:rsidRDefault="00146CA1" w:rsidP="00615C0C">
            <w:pPr>
              <w:pStyle w:val="TableBullet1"/>
              <w:jc w:val="both"/>
            </w:pPr>
            <w:r w:rsidRPr="00146CA1">
              <w:t xml:space="preserve">Payments to families displaced from federally subsidized housing to offset rent and utility costs are </w:t>
            </w:r>
            <w:r w:rsidR="00725BCD" w:rsidRPr="00146CA1">
              <w:t>excluded.</w:t>
            </w:r>
          </w:p>
          <w:p w14:paraId="3439E26C" w14:textId="5E549E86" w:rsidR="00146CA1" w:rsidRPr="00146CA1" w:rsidRDefault="00146CA1" w:rsidP="00615C0C">
            <w:pPr>
              <w:pStyle w:val="TableCellGeneralText"/>
              <w:jc w:val="both"/>
            </w:pPr>
            <w:r w:rsidRPr="00615C0C">
              <w:t>[Side box/note</w:t>
            </w:r>
            <w:r w:rsidR="00615C0C" w:rsidRPr="00615C0C">
              <w:t>:</w:t>
            </w:r>
            <w:r w:rsidRPr="00615C0C">
              <w:t>]</w:t>
            </w:r>
            <w:r w:rsidRPr="00146CA1">
              <w:t xml:space="preserve"> If the family continues to receive payments after it finds housing, the </w:t>
            </w:r>
            <w:r w:rsidR="00422EC1">
              <w:t>Owner</w:t>
            </w:r>
            <w:r w:rsidRPr="00146CA1">
              <w:t xml:space="preserve"> must count the gap payments as income.</w:t>
            </w:r>
          </w:p>
        </w:tc>
      </w:tr>
      <w:tr w:rsidR="00146CA1" w14:paraId="24505F3C" w14:textId="77777777" w:rsidTr="13ACFC94">
        <w:trPr>
          <w:trHeight w:val="20"/>
        </w:trPr>
        <w:tc>
          <w:tcPr>
            <w:tcW w:w="1080" w:type="dxa"/>
          </w:tcPr>
          <w:p w14:paraId="1ED1267E" w14:textId="30AE831C" w:rsidR="00146CA1" w:rsidRPr="00146CA1" w:rsidRDefault="00146CA1" w:rsidP="00146CA1">
            <w:pPr>
              <w:pStyle w:val="TableCellYear"/>
            </w:pPr>
            <w:r>
              <w:lastRenderedPageBreak/>
              <w:t>29</w:t>
            </w:r>
          </w:p>
        </w:tc>
        <w:tc>
          <w:tcPr>
            <w:tcW w:w="2520" w:type="dxa"/>
          </w:tcPr>
          <w:p w14:paraId="58BE65F2" w14:textId="77777777" w:rsidR="00146CA1" w:rsidRPr="00146CA1" w:rsidRDefault="00146CA1" w:rsidP="00146CA1">
            <w:pPr>
              <w:pStyle w:val="TableCellGeneralText"/>
            </w:pPr>
            <w:r w:rsidRPr="00146CA1">
              <w:t>Income Exclusions: Student Financial Assistance</w:t>
            </w:r>
          </w:p>
        </w:tc>
        <w:tc>
          <w:tcPr>
            <w:tcW w:w="9360" w:type="dxa"/>
          </w:tcPr>
          <w:p w14:paraId="1B59DB45" w14:textId="77777777" w:rsidR="00146CA1" w:rsidRPr="00146CA1" w:rsidRDefault="00146CA1" w:rsidP="00615C0C">
            <w:pPr>
              <w:pStyle w:val="TableCellGeneralText"/>
              <w:jc w:val="both"/>
            </w:pPr>
            <w:r w:rsidRPr="00146CA1">
              <w:t>Student Financial Assistance</w:t>
            </w:r>
          </w:p>
          <w:p w14:paraId="613D9E30" w14:textId="77777777" w:rsidR="00146CA1" w:rsidRPr="00146CA1" w:rsidRDefault="00146CA1" w:rsidP="00615C0C">
            <w:pPr>
              <w:pStyle w:val="TableBullet1"/>
              <w:spacing w:after="0"/>
              <w:jc w:val="both"/>
            </w:pPr>
            <w:r w:rsidRPr="00146CA1">
              <w:t>Financial assistance amounts paid to full- or part-time students or to an educational institution on the students’ behalf. The amounts are excluded only up to the amount that covers tuition and required fees.</w:t>
            </w:r>
          </w:p>
          <w:p w14:paraId="13EA7327" w14:textId="77777777" w:rsidR="00146CA1" w:rsidRPr="00146CA1" w:rsidRDefault="00146CA1" w:rsidP="00615C0C">
            <w:pPr>
              <w:pStyle w:val="TableBullet1"/>
              <w:spacing w:after="0"/>
              <w:jc w:val="both"/>
            </w:pPr>
            <w:r w:rsidRPr="00146CA1">
              <w:t xml:space="preserve">Any difference between the assistance received and the eligible costs covered is included in a family’s income. </w:t>
            </w:r>
          </w:p>
        </w:tc>
      </w:tr>
      <w:tr w:rsidR="00146CA1" w14:paraId="1FD15B06" w14:textId="77777777" w:rsidTr="13ACFC94">
        <w:trPr>
          <w:trHeight w:val="20"/>
        </w:trPr>
        <w:tc>
          <w:tcPr>
            <w:tcW w:w="1080" w:type="dxa"/>
          </w:tcPr>
          <w:p w14:paraId="3A623FE3" w14:textId="45A5189E" w:rsidR="00146CA1" w:rsidRPr="00146CA1" w:rsidRDefault="00146CA1" w:rsidP="00146CA1">
            <w:pPr>
              <w:pStyle w:val="TableCellYear"/>
            </w:pPr>
            <w:r>
              <w:t>30</w:t>
            </w:r>
          </w:p>
        </w:tc>
        <w:tc>
          <w:tcPr>
            <w:tcW w:w="2520" w:type="dxa"/>
          </w:tcPr>
          <w:p w14:paraId="6639BF0E" w14:textId="77777777" w:rsidR="00146CA1" w:rsidRPr="00146CA1" w:rsidRDefault="00146CA1" w:rsidP="00146CA1">
            <w:pPr>
              <w:pStyle w:val="TableCellGeneralText"/>
            </w:pPr>
            <w:r w:rsidRPr="00146CA1">
              <w:t>Income Exclusions: Student Financial Assistance</w:t>
            </w:r>
          </w:p>
        </w:tc>
        <w:tc>
          <w:tcPr>
            <w:tcW w:w="9360" w:type="dxa"/>
          </w:tcPr>
          <w:p w14:paraId="506362E3" w14:textId="77777777" w:rsidR="00146CA1" w:rsidRPr="00146CA1" w:rsidRDefault="00146CA1" w:rsidP="00615C0C">
            <w:pPr>
              <w:pStyle w:val="TableCellGeneralText"/>
              <w:jc w:val="both"/>
            </w:pPr>
            <w:r w:rsidRPr="00146CA1">
              <w:t>In 2023, HUD’s appropriation included a limitation to Section 8-assisted students receiving Federal aid under Section 479B of the Higher Education Act (HEA). Under this limitation:</w:t>
            </w:r>
          </w:p>
          <w:p w14:paraId="0FD58066" w14:textId="77777777" w:rsidR="00146CA1" w:rsidRPr="00146CA1" w:rsidRDefault="00146CA1" w:rsidP="00615C0C">
            <w:pPr>
              <w:pStyle w:val="TableBullet1"/>
              <w:jc w:val="both"/>
            </w:pPr>
            <w:r w:rsidRPr="00146CA1">
              <w:t xml:space="preserve">For assisted students who are head of household or spouse, under age 23, or without dependent children, only </w:t>
            </w:r>
            <w:r w:rsidRPr="00615C0C">
              <w:rPr>
                <w:b/>
                <w:bCs w:val="0"/>
              </w:rPr>
              <w:t>amounts in excess of tuition and associated fees</w:t>
            </w:r>
            <w:r w:rsidRPr="00146CA1">
              <w:t xml:space="preserve"> will count as income.</w:t>
            </w:r>
          </w:p>
          <w:p w14:paraId="0CAB8C0B" w14:textId="77777777" w:rsidR="00146CA1" w:rsidRPr="00146CA1" w:rsidRDefault="00146CA1" w:rsidP="00615C0C">
            <w:pPr>
              <w:pStyle w:val="TableBullet1"/>
              <w:jc w:val="both"/>
            </w:pPr>
            <w:r w:rsidRPr="00146CA1">
              <w:t xml:space="preserve">For assisted students who are head of household or spouse, age 23 or older, AND have dependent children, assistance received to cover other </w:t>
            </w:r>
            <w:r w:rsidRPr="00615C0C">
              <w:rPr>
                <w:b/>
                <w:bCs w:val="0"/>
              </w:rPr>
              <w:t>actual costs in addition to tuition,</w:t>
            </w:r>
            <w:r w:rsidRPr="00146CA1">
              <w:t xml:space="preserve"> including books, equipment, and Section 8-assisted housing are excluded.</w:t>
            </w:r>
          </w:p>
          <w:p w14:paraId="2C28444F" w14:textId="77777777" w:rsidR="00146CA1" w:rsidRPr="00146CA1" w:rsidRDefault="00146CA1" w:rsidP="00615C0C">
            <w:pPr>
              <w:pStyle w:val="TableBullet1"/>
              <w:spacing w:after="0"/>
              <w:jc w:val="both"/>
            </w:pPr>
            <w:r w:rsidRPr="00146CA1">
              <w:t>If this Section 8 limit is not included in future appropriations, these actual covered costs will be excluded for all students.</w:t>
            </w:r>
          </w:p>
        </w:tc>
      </w:tr>
      <w:tr w:rsidR="00146CA1" w14:paraId="5EF4E200" w14:textId="77777777" w:rsidTr="13ACFC94">
        <w:trPr>
          <w:trHeight w:val="20"/>
        </w:trPr>
        <w:tc>
          <w:tcPr>
            <w:tcW w:w="1080" w:type="dxa"/>
          </w:tcPr>
          <w:p w14:paraId="3D9DC43B" w14:textId="55526B53" w:rsidR="00146CA1" w:rsidRPr="00146CA1" w:rsidRDefault="00146CA1" w:rsidP="00146CA1">
            <w:pPr>
              <w:pStyle w:val="TableCellYear"/>
            </w:pPr>
            <w:r>
              <w:t>31</w:t>
            </w:r>
          </w:p>
        </w:tc>
        <w:tc>
          <w:tcPr>
            <w:tcW w:w="2520" w:type="dxa"/>
          </w:tcPr>
          <w:p w14:paraId="687DD71C" w14:textId="77777777" w:rsidR="00146CA1" w:rsidRPr="00146CA1" w:rsidRDefault="00146CA1" w:rsidP="00146CA1">
            <w:pPr>
              <w:pStyle w:val="TableCellGeneralText"/>
            </w:pPr>
            <w:r w:rsidRPr="00146CA1">
              <w:t>Income Exclusions Continued</w:t>
            </w:r>
          </w:p>
        </w:tc>
        <w:tc>
          <w:tcPr>
            <w:tcW w:w="9360" w:type="dxa"/>
          </w:tcPr>
          <w:p w14:paraId="3EB2388B" w14:textId="77777777" w:rsidR="00146CA1" w:rsidRPr="00146CA1" w:rsidRDefault="00146CA1" w:rsidP="00615C0C">
            <w:pPr>
              <w:pStyle w:val="TableCellGeneralText"/>
              <w:jc w:val="both"/>
            </w:pPr>
            <w:r w:rsidRPr="00146CA1">
              <w:t>ABLE Accounts</w:t>
            </w:r>
          </w:p>
          <w:p w14:paraId="56301180" w14:textId="77777777" w:rsidR="00146CA1" w:rsidRPr="00146CA1" w:rsidRDefault="00146CA1" w:rsidP="00615C0C">
            <w:pPr>
              <w:pStyle w:val="TableBullet1"/>
              <w:jc w:val="both"/>
            </w:pPr>
            <w:r w:rsidRPr="00146CA1">
              <w:t>Achieving a Better Life Experience (ABLE) accounts are excluded from net family assets, and distributions from these accounts are excluded from annual income.</w:t>
            </w:r>
          </w:p>
          <w:p w14:paraId="0D1C2FA6" w14:textId="77777777" w:rsidR="00146CA1" w:rsidRPr="00146CA1" w:rsidRDefault="00146CA1" w:rsidP="00615C0C">
            <w:pPr>
              <w:pStyle w:val="TableCellGeneralText"/>
              <w:jc w:val="both"/>
            </w:pPr>
            <w:r w:rsidRPr="00146CA1">
              <w:t>Educational Savings Accounts</w:t>
            </w:r>
          </w:p>
          <w:p w14:paraId="0D5CA61C" w14:textId="77777777" w:rsidR="00146CA1" w:rsidRPr="00146CA1" w:rsidRDefault="00146CA1" w:rsidP="00615C0C">
            <w:pPr>
              <w:pStyle w:val="TableBullet1"/>
              <w:jc w:val="both"/>
            </w:pPr>
            <w:r w:rsidRPr="00146CA1">
              <w:t>Income and distributions from any Coverdell educational savings account or “baby bond” accounts under IRS sections 529 or 530.</w:t>
            </w:r>
          </w:p>
          <w:p w14:paraId="365D397E" w14:textId="77777777" w:rsidR="00146CA1" w:rsidRPr="00146CA1" w:rsidRDefault="00146CA1" w:rsidP="00615C0C">
            <w:pPr>
              <w:pStyle w:val="TableCellGeneralText"/>
              <w:jc w:val="both"/>
            </w:pPr>
            <w:r w:rsidRPr="00146CA1">
              <w:t>Gross Income from Self-Employment or Operation of a Business</w:t>
            </w:r>
          </w:p>
          <w:p w14:paraId="31736EE4" w14:textId="77777777" w:rsidR="00146CA1" w:rsidRPr="00146CA1" w:rsidRDefault="00146CA1" w:rsidP="00615C0C">
            <w:pPr>
              <w:pStyle w:val="TableBullet1"/>
              <w:jc w:val="both"/>
            </w:pPr>
            <w:r w:rsidRPr="00146CA1">
              <w:t xml:space="preserve">The gross income received by a family prior to the deduction of business expenses. The </w:t>
            </w:r>
            <w:r w:rsidRPr="00615C0C">
              <w:rPr>
                <w:b/>
                <w:bCs w:val="0"/>
                <w:i/>
                <w:iCs/>
              </w:rPr>
              <w:t>net income</w:t>
            </w:r>
            <w:r w:rsidRPr="00146CA1">
              <w:t xml:space="preserve"> received by the family, however, is counted as annual income.</w:t>
            </w:r>
          </w:p>
          <w:p w14:paraId="3471EBAF" w14:textId="77777777" w:rsidR="00146CA1" w:rsidRPr="00146CA1" w:rsidRDefault="00146CA1" w:rsidP="00615C0C">
            <w:pPr>
              <w:pStyle w:val="TableCellGeneralText"/>
              <w:jc w:val="both"/>
            </w:pPr>
            <w:r w:rsidRPr="00146CA1">
              <w:t>Elimination of the Earned Income Disregard (EID)</w:t>
            </w:r>
          </w:p>
          <w:p w14:paraId="116B5DA9" w14:textId="5AE76887" w:rsidR="00146CA1" w:rsidRPr="00146CA1" w:rsidRDefault="00146CA1" w:rsidP="00615C0C">
            <w:pPr>
              <w:pStyle w:val="TableBullet1"/>
              <w:spacing w:after="0"/>
              <w:jc w:val="both"/>
            </w:pPr>
            <w:r>
              <w:t>HUD is phasing out the EID program. The EID will no longer apply to any family not already participating in the program as of December 31,</w:t>
            </w:r>
            <w:r w:rsidR="332F2FAC">
              <w:t xml:space="preserve"> </w:t>
            </w:r>
            <w:r>
              <w:t>2023.</w:t>
            </w:r>
          </w:p>
        </w:tc>
      </w:tr>
      <w:tr w:rsidR="00146CA1" w14:paraId="6A657A9A" w14:textId="77777777" w:rsidTr="13ACFC94">
        <w:trPr>
          <w:trHeight w:val="20"/>
        </w:trPr>
        <w:tc>
          <w:tcPr>
            <w:tcW w:w="1080" w:type="dxa"/>
          </w:tcPr>
          <w:p w14:paraId="738F1062" w14:textId="0369BA5F" w:rsidR="00146CA1" w:rsidRPr="00146CA1" w:rsidRDefault="00146CA1" w:rsidP="00146CA1">
            <w:pPr>
              <w:pStyle w:val="TableCellYear"/>
            </w:pPr>
            <w:r>
              <w:t>32</w:t>
            </w:r>
          </w:p>
        </w:tc>
        <w:tc>
          <w:tcPr>
            <w:tcW w:w="2520" w:type="dxa"/>
          </w:tcPr>
          <w:p w14:paraId="52747F81" w14:textId="77777777" w:rsidR="00146CA1" w:rsidRPr="00146CA1" w:rsidRDefault="00146CA1" w:rsidP="00146CA1">
            <w:pPr>
              <w:pStyle w:val="TableCellGeneralText"/>
            </w:pPr>
            <w:r w:rsidRPr="00146CA1">
              <w:t>Income Exclusions: Retirement Plans</w:t>
            </w:r>
          </w:p>
        </w:tc>
        <w:tc>
          <w:tcPr>
            <w:tcW w:w="9360" w:type="dxa"/>
          </w:tcPr>
          <w:p w14:paraId="5A4C5419" w14:textId="77777777" w:rsidR="00146CA1" w:rsidRPr="00146CA1" w:rsidRDefault="00146CA1" w:rsidP="00615C0C">
            <w:pPr>
              <w:pStyle w:val="TableCellGeneralText"/>
              <w:jc w:val="both"/>
            </w:pPr>
            <w:r w:rsidRPr="00146CA1">
              <w:t>Retirement Plans</w:t>
            </w:r>
          </w:p>
          <w:p w14:paraId="3D4333ED" w14:textId="77777777" w:rsidR="00146CA1" w:rsidRPr="00146CA1" w:rsidRDefault="00146CA1" w:rsidP="00615C0C">
            <w:pPr>
              <w:pStyle w:val="TableBullet1"/>
              <w:jc w:val="both"/>
            </w:pPr>
            <w:r w:rsidRPr="00146CA1">
              <w:t>Income or equity earned by any IRS-recognized retirement plan is excluded.</w:t>
            </w:r>
          </w:p>
          <w:p w14:paraId="562BD3B4" w14:textId="77777777" w:rsidR="00146CA1" w:rsidRPr="00146CA1" w:rsidRDefault="00146CA1" w:rsidP="00615C0C">
            <w:pPr>
              <w:pStyle w:val="TableCellGeneralText"/>
              <w:jc w:val="both"/>
            </w:pPr>
            <w:r w:rsidRPr="00146CA1">
              <w:t>Please note: Any distribution of or periodic payment from retirement accounts received by the family is considered income.</w:t>
            </w:r>
          </w:p>
        </w:tc>
      </w:tr>
      <w:tr w:rsidR="00146CA1" w14:paraId="5F5F0AB6" w14:textId="77777777" w:rsidTr="13ACFC94">
        <w:trPr>
          <w:trHeight w:val="20"/>
        </w:trPr>
        <w:tc>
          <w:tcPr>
            <w:tcW w:w="1080" w:type="dxa"/>
          </w:tcPr>
          <w:p w14:paraId="521D5A75" w14:textId="263F1954" w:rsidR="00146CA1" w:rsidRPr="00146CA1" w:rsidRDefault="00146CA1" w:rsidP="00146CA1">
            <w:pPr>
              <w:pStyle w:val="TableCellYear"/>
            </w:pPr>
            <w:r>
              <w:lastRenderedPageBreak/>
              <w:t>33</w:t>
            </w:r>
          </w:p>
        </w:tc>
        <w:tc>
          <w:tcPr>
            <w:tcW w:w="2520" w:type="dxa"/>
          </w:tcPr>
          <w:p w14:paraId="4B2425A7" w14:textId="77777777" w:rsidR="00146CA1" w:rsidRPr="00146CA1" w:rsidRDefault="00146CA1" w:rsidP="00146CA1">
            <w:pPr>
              <w:pStyle w:val="TableCellGeneralText"/>
            </w:pPr>
            <w:r w:rsidRPr="00146CA1">
              <w:t>Exclusions: References</w:t>
            </w:r>
          </w:p>
        </w:tc>
        <w:tc>
          <w:tcPr>
            <w:tcW w:w="9360" w:type="dxa"/>
          </w:tcPr>
          <w:p w14:paraId="44C547C4" w14:textId="77777777" w:rsidR="00146CA1" w:rsidRPr="00146CA1" w:rsidRDefault="00146CA1" w:rsidP="00615C0C">
            <w:pPr>
              <w:pStyle w:val="TableCellGeneralText"/>
              <w:jc w:val="both"/>
            </w:pPr>
            <w:r w:rsidRPr="00146CA1">
              <w:t xml:space="preserve">For full details regarding exclusions please refer to Section 5.609(b)(3) of </w:t>
            </w:r>
            <w:r w:rsidRPr="0051505A">
              <w:rPr>
                <w:color w:val="auto"/>
              </w:rPr>
              <w:t xml:space="preserve">the </w:t>
            </w:r>
            <w:r w:rsidRPr="0051505A">
              <w:rPr>
                <w:rStyle w:val="Hyperlink"/>
                <w:color w:val="auto"/>
                <w:u w:val="none"/>
              </w:rPr>
              <w:t>HOTMA Final Rule</w:t>
            </w:r>
            <w:r w:rsidRPr="0051505A">
              <w:rPr>
                <w:color w:val="auto"/>
              </w:rPr>
              <w:t xml:space="preserve">, or the Notice H 10-23 Implementation Guidance: Sections 102 and 104 of the Housing Opportunity Through Modernization Act of 2016 (HOTMA) </w:t>
            </w:r>
            <w:r w:rsidRPr="0051505A">
              <w:rPr>
                <w:rStyle w:val="Hyperlink"/>
                <w:color w:val="auto"/>
              </w:rPr>
              <w:t>from September 29, 2023</w:t>
            </w:r>
            <w:r w:rsidRPr="0051505A">
              <w:rPr>
                <w:color w:val="auto"/>
              </w:rPr>
              <w:t>.</w:t>
            </w:r>
          </w:p>
        </w:tc>
      </w:tr>
      <w:tr w:rsidR="00146CA1" w14:paraId="2554E9CF" w14:textId="77777777" w:rsidTr="13ACFC94">
        <w:trPr>
          <w:trHeight w:val="20"/>
        </w:trPr>
        <w:tc>
          <w:tcPr>
            <w:tcW w:w="1080" w:type="dxa"/>
          </w:tcPr>
          <w:p w14:paraId="5C2AC028" w14:textId="0C619E01" w:rsidR="00146CA1" w:rsidRPr="00146CA1" w:rsidRDefault="00146CA1" w:rsidP="00146CA1">
            <w:pPr>
              <w:pStyle w:val="TableCellYear"/>
            </w:pPr>
            <w:r>
              <w:t>34</w:t>
            </w:r>
          </w:p>
        </w:tc>
        <w:tc>
          <w:tcPr>
            <w:tcW w:w="2520" w:type="dxa"/>
          </w:tcPr>
          <w:p w14:paraId="6F1AA8C7" w14:textId="77777777" w:rsidR="00146CA1" w:rsidRPr="00146CA1" w:rsidRDefault="00146CA1" w:rsidP="00146CA1">
            <w:pPr>
              <w:pStyle w:val="TableCellGeneralText"/>
            </w:pPr>
            <w:r w:rsidRPr="00146CA1">
              <w:t>Knowledge Check 2</w:t>
            </w:r>
          </w:p>
        </w:tc>
        <w:tc>
          <w:tcPr>
            <w:tcW w:w="9360" w:type="dxa"/>
          </w:tcPr>
          <w:p w14:paraId="21C645B9" w14:textId="0A89A4BC" w:rsidR="00146CA1" w:rsidRDefault="00146CA1" w:rsidP="00615C0C">
            <w:pPr>
              <w:pStyle w:val="TableCellGeneralText"/>
              <w:jc w:val="both"/>
              <w:rPr>
                <w:b/>
                <w:bCs w:val="0"/>
              </w:rPr>
            </w:pPr>
            <w:r w:rsidRPr="00146CA1">
              <w:t xml:space="preserve">Now let’s do another Knowledge Check: </w:t>
            </w:r>
            <w:r w:rsidRPr="00615C0C">
              <w:rPr>
                <w:b/>
                <w:bCs w:val="0"/>
              </w:rPr>
              <w:t xml:space="preserve">Select all the following forms of income that count towards a </w:t>
            </w:r>
            <w:r w:rsidR="0033161B" w:rsidRPr="0033161B">
              <w:rPr>
                <w:b/>
                <w:bCs w:val="0"/>
              </w:rPr>
              <w:t>Multifamily Housing</w:t>
            </w:r>
            <w:r w:rsidR="0033161B">
              <w:rPr>
                <w:b/>
                <w:bCs w:val="0"/>
              </w:rPr>
              <w:t xml:space="preserve"> </w:t>
            </w:r>
            <w:r w:rsidRPr="00615C0C">
              <w:rPr>
                <w:b/>
                <w:bCs w:val="0"/>
              </w:rPr>
              <w:t>family’s annual income:</w:t>
            </w:r>
          </w:p>
          <w:p w14:paraId="4A621C52" w14:textId="77777777" w:rsidR="0051505A" w:rsidRPr="0051505A" w:rsidRDefault="0051505A" w:rsidP="0051505A">
            <w:pPr>
              <w:pStyle w:val="TableCellGeneralText"/>
              <w:ind w:left="288"/>
              <w:jc w:val="both"/>
            </w:pPr>
            <w:r w:rsidRPr="0051505A">
              <w:t>A. A $5,000 wedding present</w:t>
            </w:r>
          </w:p>
          <w:p w14:paraId="30E553C0" w14:textId="77777777" w:rsidR="0051505A" w:rsidRPr="0051505A" w:rsidRDefault="0051505A" w:rsidP="0051505A">
            <w:pPr>
              <w:pStyle w:val="TableCellGeneralText"/>
              <w:ind w:left="288"/>
              <w:jc w:val="both"/>
            </w:pPr>
            <w:r w:rsidRPr="0051505A">
              <w:t>B. Tips earned from working as a bartender</w:t>
            </w:r>
          </w:p>
          <w:p w14:paraId="68CABE0C" w14:textId="77777777" w:rsidR="0051505A" w:rsidRPr="0051505A" w:rsidRDefault="0051505A" w:rsidP="0051505A">
            <w:pPr>
              <w:pStyle w:val="TableCellGeneralText"/>
              <w:ind w:left="288"/>
              <w:jc w:val="both"/>
            </w:pPr>
            <w:r w:rsidRPr="0051505A">
              <w:t>C. An $800 winning scratch-off lottery ticket</w:t>
            </w:r>
          </w:p>
          <w:p w14:paraId="44E9AF45" w14:textId="77777777" w:rsidR="0051505A" w:rsidRPr="0051505A" w:rsidRDefault="0051505A" w:rsidP="0051505A">
            <w:pPr>
              <w:pStyle w:val="TableCellGeneralText"/>
              <w:ind w:left="288"/>
              <w:jc w:val="both"/>
            </w:pPr>
            <w:r w:rsidRPr="0051505A">
              <w:t>D. Income earned driving for a ridesharing app</w:t>
            </w:r>
          </w:p>
          <w:p w14:paraId="53F5CCE5" w14:textId="77777777" w:rsidR="0051505A" w:rsidRPr="0051505A" w:rsidRDefault="0051505A" w:rsidP="0051505A">
            <w:pPr>
              <w:pStyle w:val="TableCellGeneralText"/>
              <w:ind w:left="288"/>
              <w:jc w:val="both"/>
            </w:pPr>
            <w:r w:rsidRPr="0051505A">
              <w:t>E. $1,000 in equity in a stock investment</w:t>
            </w:r>
          </w:p>
          <w:p w14:paraId="17C25D70" w14:textId="77777777" w:rsidR="0051505A" w:rsidRPr="0051505A" w:rsidRDefault="0051505A" w:rsidP="0051505A">
            <w:pPr>
              <w:pStyle w:val="TableCellGeneralText"/>
              <w:ind w:left="288"/>
              <w:jc w:val="both"/>
            </w:pPr>
            <w:r w:rsidRPr="0051505A">
              <w:t>F. $1,000 in equity in a ROTH IRA account</w:t>
            </w:r>
          </w:p>
          <w:p w14:paraId="168748EA" w14:textId="77777777" w:rsidR="0051505A" w:rsidRPr="0051505A" w:rsidRDefault="0051505A" w:rsidP="0051505A">
            <w:pPr>
              <w:pStyle w:val="TableCellGeneralText"/>
              <w:ind w:left="288"/>
              <w:jc w:val="both"/>
            </w:pPr>
            <w:r w:rsidRPr="0051505A">
              <w:t>G. Regular payments distributed from a 401k</w:t>
            </w:r>
          </w:p>
          <w:p w14:paraId="5F04E776" w14:textId="4346592A" w:rsidR="0051505A" w:rsidRPr="0051505A" w:rsidRDefault="0051505A" w:rsidP="0051505A">
            <w:pPr>
              <w:pStyle w:val="TableCellGeneralText"/>
              <w:ind w:left="288"/>
              <w:jc w:val="both"/>
            </w:pPr>
            <w:r w:rsidRPr="0051505A">
              <w:t xml:space="preserve">H. Earned income from a foster adult’s wages working at </w:t>
            </w:r>
            <w:r w:rsidR="004331F0">
              <w:t>the local supermarket</w:t>
            </w:r>
          </w:p>
          <w:p w14:paraId="2595DABA" w14:textId="77777777" w:rsidR="0051505A" w:rsidRDefault="0051505A" w:rsidP="0051505A">
            <w:pPr>
              <w:pStyle w:val="TableCellGeneralText"/>
              <w:ind w:left="288"/>
              <w:jc w:val="both"/>
            </w:pPr>
            <w:r w:rsidRPr="0051505A">
              <w:t>I. Social security disability payments</w:t>
            </w:r>
          </w:p>
          <w:p w14:paraId="3F18042D" w14:textId="61B987A6" w:rsidR="0051505A" w:rsidRPr="0051505A" w:rsidRDefault="0051505A" w:rsidP="0051505A">
            <w:pPr>
              <w:pStyle w:val="TableCellGeneralText"/>
              <w:ind w:left="288"/>
              <w:jc w:val="both"/>
            </w:pPr>
            <w:r w:rsidRPr="0051505A">
              <w:t>J. Monthly alimony payments</w:t>
            </w:r>
          </w:p>
          <w:p w14:paraId="1451E899" w14:textId="2D30FD1B" w:rsidR="0051505A" w:rsidRPr="00146CA1" w:rsidRDefault="0051505A" w:rsidP="00615C0C">
            <w:pPr>
              <w:pStyle w:val="TableCellGeneralText"/>
              <w:jc w:val="both"/>
            </w:pPr>
          </w:p>
        </w:tc>
      </w:tr>
      <w:tr w:rsidR="00146CA1" w14:paraId="392A57BA" w14:textId="77777777" w:rsidTr="13ACFC94">
        <w:trPr>
          <w:trHeight w:val="20"/>
        </w:trPr>
        <w:tc>
          <w:tcPr>
            <w:tcW w:w="1080" w:type="dxa"/>
          </w:tcPr>
          <w:p w14:paraId="459A74D4" w14:textId="5E67EB03" w:rsidR="00146CA1" w:rsidRPr="00146CA1" w:rsidRDefault="00146CA1" w:rsidP="00146CA1">
            <w:pPr>
              <w:pStyle w:val="TableCellYear"/>
            </w:pPr>
            <w:r>
              <w:t>35</w:t>
            </w:r>
          </w:p>
        </w:tc>
        <w:tc>
          <w:tcPr>
            <w:tcW w:w="2520" w:type="dxa"/>
          </w:tcPr>
          <w:p w14:paraId="5180BF8F" w14:textId="77777777" w:rsidR="00146CA1" w:rsidRPr="00146CA1" w:rsidRDefault="00146CA1" w:rsidP="00146CA1">
            <w:pPr>
              <w:pStyle w:val="TableCellGeneralText"/>
            </w:pPr>
            <w:r w:rsidRPr="00146CA1">
              <w:t>Knowledge Check 2</w:t>
            </w:r>
          </w:p>
          <w:p w14:paraId="5341A2EB" w14:textId="77777777" w:rsidR="00146CA1" w:rsidRPr="00146CA1" w:rsidRDefault="00146CA1" w:rsidP="00146CA1">
            <w:pPr>
              <w:pStyle w:val="TableCellGeneralText"/>
            </w:pPr>
            <w:r w:rsidRPr="00146CA1">
              <w:t>Answer</w:t>
            </w:r>
          </w:p>
        </w:tc>
        <w:tc>
          <w:tcPr>
            <w:tcW w:w="9360" w:type="dxa"/>
          </w:tcPr>
          <w:p w14:paraId="181406A3" w14:textId="77777777" w:rsidR="00146CA1" w:rsidRPr="00146CA1" w:rsidRDefault="00146CA1" w:rsidP="00615C0C">
            <w:pPr>
              <w:pStyle w:val="TableCellGeneralText"/>
              <w:jc w:val="both"/>
            </w:pPr>
            <w:r w:rsidRPr="00146CA1">
              <w:t xml:space="preserve">The correct choices are: </w:t>
            </w:r>
          </w:p>
          <w:p w14:paraId="534F58F4" w14:textId="179B87A8" w:rsidR="00146CA1" w:rsidRPr="0051505A" w:rsidRDefault="00615C0C" w:rsidP="00615C0C">
            <w:pPr>
              <w:pStyle w:val="TableCellGeneralText"/>
              <w:ind w:left="288"/>
              <w:jc w:val="both"/>
            </w:pPr>
            <w:r w:rsidRPr="0051505A">
              <w:t xml:space="preserve">A. </w:t>
            </w:r>
            <w:r w:rsidR="00146CA1" w:rsidRPr="0051505A">
              <w:t>A $5,000 wedding present</w:t>
            </w:r>
          </w:p>
          <w:p w14:paraId="26147C42" w14:textId="13F6FDED" w:rsidR="00146CA1" w:rsidRPr="0051505A" w:rsidRDefault="00615C0C" w:rsidP="00615C0C">
            <w:pPr>
              <w:pStyle w:val="TableCellGeneralText"/>
              <w:ind w:left="288"/>
              <w:jc w:val="both"/>
              <w:rPr>
                <w:b/>
                <w:bCs w:val="0"/>
              </w:rPr>
            </w:pPr>
            <w:r w:rsidRPr="0051505A">
              <w:rPr>
                <w:b/>
                <w:bCs w:val="0"/>
              </w:rPr>
              <w:t xml:space="preserve">B. </w:t>
            </w:r>
            <w:r w:rsidR="00146CA1" w:rsidRPr="0051505A">
              <w:rPr>
                <w:b/>
                <w:bCs w:val="0"/>
              </w:rPr>
              <w:t>Tips earned from working as a bartender</w:t>
            </w:r>
          </w:p>
          <w:p w14:paraId="7AEFADDD" w14:textId="5D1242E3" w:rsidR="00146CA1" w:rsidRPr="0051505A" w:rsidRDefault="00615C0C" w:rsidP="00615C0C">
            <w:pPr>
              <w:pStyle w:val="TableCellGeneralText"/>
              <w:ind w:left="288"/>
              <w:jc w:val="both"/>
            </w:pPr>
            <w:r w:rsidRPr="0051505A">
              <w:t xml:space="preserve">C. </w:t>
            </w:r>
            <w:r w:rsidR="00146CA1" w:rsidRPr="0051505A">
              <w:t>An $800 winning scratch-off lottery ticket</w:t>
            </w:r>
          </w:p>
          <w:p w14:paraId="57EDF8D6" w14:textId="2D7E44ED" w:rsidR="00146CA1" w:rsidRPr="0051505A" w:rsidRDefault="00615C0C" w:rsidP="00615C0C">
            <w:pPr>
              <w:pStyle w:val="TableCellGeneralText"/>
              <w:ind w:left="288"/>
              <w:jc w:val="both"/>
              <w:rPr>
                <w:b/>
                <w:bCs w:val="0"/>
              </w:rPr>
            </w:pPr>
            <w:r w:rsidRPr="0051505A">
              <w:rPr>
                <w:b/>
                <w:bCs w:val="0"/>
              </w:rPr>
              <w:t xml:space="preserve">D. </w:t>
            </w:r>
            <w:r w:rsidR="00146CA1" w:rsidRPr="0051505A">
              <w:rPr>
                <w:b/>
                <w:bCs w:val="0"/>
              </w:rPr>
              <w:t>Income earned driving for a ridesharing app</w:t>
            </w:r>
          </w:p>
          <w:p w14:paraId="5F7005D4" w14:textId="4D69A858" w:rsidR="00146CA1" w:rsidRPr="0051505A" w:rsidRDefault="00615C0C" w:rsidP="00615C0C">
            <w:pPr>
              <w:pStyle w:val="TableCellGeneralText"/>
              <w:ind w:left="288"/>
              <w:jc w:val="both"/>
              <w:rPr>
                <w:b/>
                <w:bCs w:val="0"/>
              </w:rPr>
            </w:pPr>
            <w:r w:rsidRPr="0051505A">
              <w:rPr>
                <w:b/>
                <w:bCs w:val="0"/>
              </w:rPr>
              <w:t xml:space="preserve">E. </w:t>
            </w:r>
            <w:r w:rsidR="00146CA1" w:rsidRPr="0051505A">
              <w:rPr>
                <w:b/>
                <w:bCs w:val="0"/>
              </w:rPr>
              <w:t>$1,000 in equity in a stock investment</w:t>
            </w:r>
          </w:p>
          <w:p w14:paraId="679C78EB" w14:textId="7E559A47" w:rsidR="00146CA1" w:rsidRPr="0051505A" w:rsidRDefault="00615C0C" w:rsidP="00615C0C">
            <w:pPr>
              <w:pStyle w:val="TableCellGeneralText"/>
              <w:ind w:left="288"/>
              <w:jc w:val="both"/>
            </w:pPr>
            <w:r w:rsidRPr="0051505A">
              <w:t xml:space="preserve">F. </w:t>
            </w:r>
            <w:r w:rsidR="00146CA1" w:rsidRPr="0051505A">
              <w:t>$1,000 in equity in a ROTH IRA account</w:t>
            </w:r>
          </w:p>
          <w:p w14:paraId="78D7C694" w14:textId="200C71E1" w:rsidR="00146CA1" w:rsidRPr="0051505A" w:rsidRDefault="00615C0C" w:rsidP="00615C0C">
            <w:pPr>
              <w:pStyle w:val="TableCellGeneralText"/>
              <w:ind w:left="288"/>
              <w:jc w:val="both"/>
              <w:rPr>
                <w:b/>
                <w:bCs w:val="0"/>
              </w:rPr>
            </w:pPr>
            <w:r w:rsidRPr="0051505A">
              <w:rPr>
                <w:b/>
                <w:bCs w:val="0"/>
              </w:rPr>
              <w:t xml:space="preserve">G. </w:t>
            </w:r>
            <w:r w:rsidR="00146CA1" w:rsidRPr="0051505A">
              <w:rPr>
                <w:b/>
                <w:bCs w:val="0"/>
              </w:rPr>
              <w:t>Regular payments distributed from a 401k</w:t>
            </w:r>
          </w:p>
          <w:p w14:paraId="08EA1B99" w14:textId="47BE31BC" w:rsidR="00146CA1" w:rsidRPr="0051505A" w:rsidRDefault="00615C0C" w:rsidP="00615C0C">
            <w:pPr>
              <w:pStyle w:val="TableCellGeneralText"/>
              <w:ind w:left="288"/>
              <w:jc w:val="both"/>
            </w:pPr>
            <w:r w:rsidRPr="0051505A">
              <w:t xml:space="preserve">H. </w:t>
            </w:r>
            <w:r w:rsidR="00146CA1" w:rsidRPr="0051505A">
              <w:t xml:space="preserve">Earned income from a foster adult’s wages working at </w:t>
            </w:r>
            <w:r w:rsidR="004331F0">
              <w:t>the local supermarket</w:t>
            </w:r>
          </w:p>
          <w:p w14:paraId="18316B91" w14:textId="2A059823" w:rsidR="00146CA1" w:rsidRPr="0051505A" w:rsidRDefault="00615C0C" w:rsidP="00615C0C">
            <w:pPr>
              <w:pStyle w:val="TableCellGeneralText"/>
              <w:ind w:left="288"/>
              <w:jc w:val="both"/>
              <w:rPr>
                <w:b/>
                <w:bCs w:val="0"/>
              </w:rPr>
            </w:pPr>
            <w:r w:rsidRPr="0051505A">
              <w:rPr>
                <w:b/>
                <w:bCs w:val="0"/>
              </w:rPr>
              <w:t xml:space="preserve">I. </w:t>
            </w:r>
            <w:r w:rsidR="00146CA1" w:rsidRPr="0051505A">
              <w:rPr>
                <w:b/>
                <w:bCs w:val="0"/>
              </w:rPr>
              <w:t>Social security disability payments</w:t>
            </w:r>
          </w:p>
          <w:p w14:paraId="6210CA36" w14:textId="3B63CAA0" w:rsidR="00146CA1" w:rsidRPr="00146CA1" w:rsidRDefault="00615C0C" w:rsidP="00615C0C">
            <w:pPr>
              <w:pStyle w:val="TableCellGeneralText"/>
              <w:ind w:left="288"/>
              <w:jc w:val="both"/>
            </w:pPr>
            <w:r w:rsidRPr="0051505A">
              <w:rPr>
                <w:b/>
                <w:bCs w:val="0"/>
              </w:rPr>
              <w:t xml:space="preserve">J. </w:t>
            </w:r>
            <w:r w:rsidR="00146CA1" w:rsidRPr="0051505A">
              <w:rPr>
                <w:b/>
                <w:bCs w:val="0"/>
              </w:rPr>
              <w:t>Monthly alimony payments</w:t>
            </w:r>
          </w:p>
        </w:tc>
      </w:tr>
      <w:tr w:rsidR="00146CA1" w14:paraId="6E66783F" w14:textId="77777777" w:rsidTr="13ACFC94">
        <w:trPr>
          <w:trHeight w:val="20"/>
        </w:trPr>
        <w:tc>
          <w:tcPr>
            <w:tcW w:w="1080" w:type="dxa"/>
          </w:tcPr>
          <w:p w14:paraId="287459CE" w14:textId="59FC6E39" w:rsidR="00146CA1" w:rsidRPr="00146CA1" w:rsidRDefault="00146CA1" w:rsidP="00146CA1">
            <w:pPr>
              <w:pStyle w:val="TableCellYear"/>
            </w:pPr>
            <w:r>
              <w:lastRenderedPageBreak/>
              <w:t>36</w:t>
            </w:r>
          </w:p>
        </w:tc>
        <w:tc>
          <w:tcPr>
            <w:tcW w:w="2520" w:type="dxa"/>
          </w:tcPr>
          <w:p w14:paraId="12A60882" w14:textId="77777777" w:rsidR="00146CA1" w:rsidRPr="00146CA1" w:rsidRDefault="00146CA1" w:rsidP="00146CA1">
            <w:pPr>
              <w:pStyle w:val="TableCellGeneralText"/>
            </w:pPr>
            <w:r w:rsidRPr="00146CA1">
              <w:t>Resources</w:t>
            </w:r>
          </w:p>
        </w:tc>
        <w:tc>
          <w:tcPr>
            <w:tcW w:w="9360" w:type="dxa"/>
          </w:tcPr>
          <w:p w14:paraId="72C691E9" w14:textId="77777777" w:rsidR="00585A9C" w:rsidRPr="001770EC" w:rsidRDefault="00585A9C" w:rsidP="00585A9C">
            <w:pPr>
              <w:pStyle w:val="TableCellGeneralText"/>
              <w:spacing w:after="120"/>
            </w:pPr>
            <w:r w:rsidRPr="001770EC">
              <w:t xml:space="preserve">For additional </w:t>
            </w:r>
            <w:r w:rsidRPr="00BC7BE0">
              <w:t>information</w:t>
            </w:r>
            <w:r>
              <w:t>, the following</w:t>
            </w:r>
            <w:r w:rsidRPr="001770EC">
              <w:t xml:space="preserve"> resources</w:t>
            </w:r>
            <w:r>
              <w:t xml:space="preserve"> can be found on HUDs website </w:t>
            </w:r>
            <w:r w:rsidRPr="001770EC">
              <w:t>:</w:t>
            </w:r>
          </w:p>
          <w:p w14:paraId="46D882CB" w14:textId="77777777" w:rsidR="00585A9C" w:rsidRPr="001770EC" w:rsidRDefault="00585A9C" w:rsidP="00585A9C">
            <w:pPr>
              <w:pStyle w:val="TableBullet1"/>
              <w:ind w:hanging="360"/>
              <w:contextualSpacing w:val="0"/>
            </w:pPr>
            <w:r w:rsidRPr="001770EC">
              <w:t xml:space="preserve"> HOTMA Final Rule, </w:t>
            </w:r>
            <w:r w:rsidRPr="003975DA">
              <w:t xml:space="preserve">which can be found at </w:t>
            </w:r>
            <w:hyperlink r:id="rId12" w:history="1">
              <w:r w:rsidRPr="003975DA">
                <w:rPr>
                  <w:rStyle w:val="Hyperlink"/>
                </w:rPr>
                <w:t>https://www.hud.gov/sites/dfiles/OCHCO/documents/2023-10hsgn.pdf</w:t>
              </w:r>
            </w:hyperlink>
            <w:r w:rsidRPr="003975DA">
              <w:t>.</w:t>
            </w:r>
          </w:p>
          <w:p w14:paraId="7B1E75FE" w14:textId="77777777" w:rsidR="00585A9C" w:rsidRPr="001770EC" w:rsidRDefault="00585A9C" w:rsidP="00585A9C">
            <w:pPr>
              <w:pStyle w:val="TableBullet1"/>
              <w:ind w:hanging="360"/>
              <w:contextualSpacing w:val="0"/>
            </w:pPr>
            <w:r w:rsidRPr="00345990">
              <w:rPr>
                <w:bCs w:val="0"/>
              </w:rPr>
              <w:t>Notice H 2023-10</w:t>
            </w:r>
            <w:r w:rsidRPr="003975DA">
              <w:t xml:space="preserve">, which you can locate at </w:t>
            </w:r>
            <w:hyperlink r:id="rId13" w:history="1">
              <w:r w:rsidRPr="003975DA">
                <w:rPr>
                  <w:rStyle w:val="Hyperlink"/>
                </w:rPr>
                <w:t>https://www.hud.gov/sites/dfiles/OCHCO/documents/2023-10hsgn.pdf</w:t>
              </w:r>
            </w:hyperlink>
            <w:r w:rsidRPr="003975DA">
              <w:t>.</w:t>
            </w:r>
          </w:p>
          <w:p w14:paraId="5AA17FB7" w14:textId="27E8281E" w:rsidR="00585A9C" w:rsidRPr="001770EC" w:rsidRDefault="00585A9C" w:rsidP="00585A9C">
            <w:pPr>
              <w:pStyle w:val="TableBullet1"/>
              <w:ind w:hanging="360"/>
              <w:contextualSpacing w:val="0"/>
            </w:pPr>
            <w:r w:rsidRPr="001770EC">
              <w:t xml:space="preserve">HUD Multifamily </w:t>
            </w:r>
            <w:r w:rsidR="003D6543">
              <w:t xml:space="preserve">Housing </w:t>
            </w:r>
            <w:r w:rsidRPr="001770EC">
              <w:t>HOTMA Page</w:t>
            </w:r>
            <w:r w:rsidRPr="003975DA">
              <w:t xml:space="preserve">, which you will find at </w:t>
            </w:r>
            <w:hyperlink r:id="rId14" w:history="1">
              <w:r w:rsidRPr="003975DA">
                <w:rPr>
                  <w:rStyle w:val="Hyperlink"/>
                </w:rPr>
                <w:t>https://www.hud.gov/program_offices/‌housing/‌mfh/‌hotma</w:t>
              </w:r>
            </w:hyperlink>
            <w:r w:rsidRPr="003975DA">
              <w:t>.</w:t>
            </w:r>
          </w:p>
          <w:p w14:paraId="00AD85CC" w14:textId="77777777" w:rsidR="00585A9C" w:rsidRPr="001770EC" w:rsidRDefault="00585A9C" w:rsidP="00585A9C">
            <w:pPr>
              <w:pStyle w:val="TableBullet1"/>
              <w:ind w:hanging="360"/>
              <w:contextualSpacing w:val="0"/>
            </w:pPr>
            <w:r w:rsidRPr="001770EC">
              <w:t>Summary of Key HOTMA Changes</w:t>
            </w:r>
            <w:r w:rsidRPr="003975DA">
              <w:t xml:space="preserve">, available at </w:t>
            </w:r>
            <w:hyperlink r:id="rId15" w:history="1">
              <w:r w:rsidRPr="003975DA">
                <w:rPr>
                  <w:rStyle w:val="Hyperlink"/>
                </w:rPr>
                <w:t>https://www.hud.gov/sites/dfiles/Housing/documents/‌HOTMA_‌One_‌pager.pdf</w:t>
              </w:r>
            </w:hyperlink>
            <w:r>
              <w:t>.</w:t>
            </w:r>
          </w:p>
          <w:p w14:paraId="74C0F8CA" w14:textId="77777777" w:rsidR="00A80257" w:rsidRPr="00A80257" w:rsidRDefault="00585A9C" w:rsidP="00A80257">
            <w:pPr>
              <w:pStyle w:val="TableBullet1"/>
              <w:ind w:hanging="360"/>
              <w:contextualSpacing w:val="0"/>
            </w:pPr>
            <w:r w:rsidRPr="001770EC">
              <w:t xml:space="preserve">List of Discretionary Policies to Implement HOTMA: </w:t>
            </w:r>
            <w:hyperlink r:id="rId16" w:history="1">
              <w:r w:rsidRPr="003975DA">
                <w:rPr>
                  <w:rStyle w:val="Hyperlink"/>
                </w:rPr>
                <w:t>https://www.hud.gov/sites/dfiles/Housing/‌documents/‌MFH_‌List_Discretionary_Policies_Implement_HOTMA.pdf</w:t>
              </w:r>
            </w:hyperlink>
            <w:r w:rsidRPr="003975DA">
              <w:t>.</w:t>
            </w:r>
          </w:p>
          <w:p w14:paraId="06A12072" w14:textId="113039A4" w:rsidR="00146CA1" w:rsidRPr="00146CA1" w:rsidRDefault="00A80257" w:rsidP="00A80257">
            <w:pPr>
              <w:pStyle w:val="TableBullet1"/>
              <w:ind w:hanging="360"/>
              <w:contextualSpacing w:val="0"/>
            </w:pPr>
            <w:r>
              <w:t xml:space="preserve">And </w:t>
            </w:r>
            <w:r w:rsidR="00585A9C" w:rsidRPr="001770EC">
              <w:t xml:space="preserve">HUD User Inflationary Adjustment Page, located at </w:t>
            </w:r>
            <w:hyperlink r:id="rId17" w:history="1">
              <w:r w:rsidR="00585A9C" w:rsidRPr="003975DA">
                <w:rPr>
                  <w:rStyle w:val="Hyperlink"/>
                </w:rPr>
                <w:t>https://www.huduser.gov/portal/datasets/inflationary-adjustments-notifications.html</w:t>
              </w:r>
            </w:hyperlink>
            <w:r w:rsidR="00585A9C" w:rsidRPr="003975DA">
              <w:t>.</w:t>
            </w:r>
          </w:p>
        </w:tc>
      </w:tr>
      <w:tr w:rsidR="00146CA1" w14:paraId="61A0CDFF" w14:textId="77777777" w:rsidTr="13ACFC94">
        <w:trPr>
          <w:trHeight w:val="20"/>
        </w:trPr>
        <w:tc>
          <w:tcPr>
            <w:tcW w:w="1080" w:type="dxa"/>
          </w:tcPr>
          <w:p w14:paraId="6C2009FC" w14:textId="161E6EDA" w:rsidR="00146CA1" w:rsidRPr="00146CA1" w:rsidRDefault="00146CA1" w:rsidP="00146CA1">
            <w:pPr>
              <w:pStyle w:val="TableCellYear"/>
            </w:pPr>
            <w:r>
              <w:t>37</w:t>
            </w:r>
          </w:p>
        </w:tc>
        <w:tc>
          <w:tcPr>
            <w:tcW w:w="2520" w:type="dxa"/>
          </w:tcPr>
          <w:p w14:paraId="242C078D" w14:textId="77777777" w:rsidR="00146CA1" w:rsidRPr="00615C0C" w:rsidRDefault="00146CA1" w:rsidP="00146CA1">
            <w:pPr>
              <w:pStyle w:val="TableCellGeneralText"/>
              <w:rPr>
                <w:b/>
                <w:bCs w:val="0"/>
              </w:rPr>
            </w:pPr>
            <w:r w:rsidRPr="00615C0C">
              <w:rPr>
                <w:b/>
                <w:bCs w:val="0"/>
              </w:rPr>
              <w:t>Thank you!</w:t>
            </w:r>
          </w:p>
        </w:tc>
        <w:tc>
          <w:tcPr>
            <w:tcW w:w="9360" w:type="dxa"/>
          </w:tcPr>
          <w:p w14:paraId="6B89677A" w14:textId="4A969811" w:rsidR="008C269D" w:rsidRPr="0088258D" w:rsidRDefault="008C269D" w:rsidP="008C269D">
            <w:pPr>
              <w:pStyle w:val="TableCellText-Spaced"/>
              <w:rPr>
                <w:rFonts w:cs="Times New Roman"/>
                <w:szCs w:val="22"/>
              </w:rPr>
            </w:pPr>
            <w:r w:rsidRPr="0088258D">
              <w:rPr>
                <w:rFonts w:cs="Times New Roman"/>
                <w:szCs w:val="22"/>
              </w:rPr>
              <w:t>Thank you for attending this session.</w:t>
            </w:r>
            <w:r>
              <w:rPr>
                <w:rFonts w:cs="Times New Roman"/>
                <w:szCs w:val="22"/>
              </w:rPr>
              <w:t xml:space="preserve"> </w:t>
            </w:r>
            <w:r w:rsidRPr="0088258D">
              <w:rPr>
                <w:rFonts w:cs="Times New Roman"/>
                <w:szCs w:val="22"/>
              </w:rPr>
              <w:t>For technical assistance or</w:t>
            </w:r>
            <w:r>
              <w:rPr>
                <w:rFonts w:cs="Times New Roman"/>
                <w:szCs w:val="22"/>
              </w:rPr>
              <w:t xml:space="preserve"> for</w:t>
            </w:r>
            <w:r w:rsidRPr="0088258D">
              <w:rPr>
                <w:rFonts w:cs="Times New Roman"/>
                <w:szCs w:val="22"/>
              </w:rPr>
              <w:t xml:space="preserve"> additional </w:t>
            </w:r>
            <w:r>
              <w:rPr>
                <w:rFonts w:cs="Times New Roman"/>
                <w:szCs w:val="22"/>
              </w:rPr>
              <w:t>information</w:t>
            </w:r>
            <w:r w:rsidRPr="0088258D">
              <w:rPr>
                <w:rFonts w:cs="Times New Roman"/>
                <w:szCs w:val="22"/>
              </w:rPr>
              <w:t xml:space="preserve">, please contact the </w:t>
            </w:r>
            <w:r w:rsidR="0092614F" w:rsidRPr="0088258D">
              <w:rPr>
                <w:rFonts w:cs="Times New Roman"/>
                <w:szCs w:val="22"/>
              </w:rPr>
              <w:t xml:space="preserve">Multifamily Housing </w:t>
            </w:r>
            <w:r w:rsidRPr="0088258D">
              <w:rPr>
                <w:rFonts w:cs="Times New Roman"/>
                <w:szCs w:val="22"/>
              </w:rPr>
              <w:t>HOTMA Help Desk at:</w:t>
            </w:r>
          </w:p>
          <w:p w14:paraId="21B96D3F" w14:textId="45537257" w:rsidR="00146CA1" w:rsidRPr="00146CA1" w:rsidRDefault="009708AC" w:rsidP="008C269D">
            <w:pPr>
              <w:pStyle w:val="TableCellGeneralText"/>
              <w:jc w:val="both"/>
            </w:pPr>
            <w:hyperlink r:id="rId18" w:history="1">
              <w:r w:rsidR="008C269D" w:rsidRPr="0005109C">
                <w:rPr>
                  <w:rStyle w:val="Hyperlink"/>
                  <w:rFonts w:cs="Times New Roman"/>
                  <w:szCs w:val="22"/>
                </w:rPr>
                <w:t>MFH_HOTMA@hud.gov</w:t>
              </w:r>
            </w:hyperlink>
          </w:p>
        </w:tc>
      </w:tr>
    </w:tbl>
    <w:p w14:paraId="443CDF61" w14:textId="77777777" w:rsidR="008976B8" w:rsidRPr="00F5171D" w:rsidRDefault="008976B8" w:rsidP="00F5171D">
      <w:bookmarkStart w:id="0" w:name="Lastpage"/>
      <w:bookmarkEnd w:id="0"/>
    </w:p>
    <w:sectPr w:rsidR="008976B8" w:rsidRPr="00F5171D" w:rsidSect="005F4432">
      <w:headerReference w:type="default" r:id="rId19"/>
      <w:footerReference w:type="default" r:id="rId20"/>
      <w:pgSz w:w="15840" w:h="12240" w:orient="landscape"/>
      <w:pgMar w:top="1440" w:right="1440" w:bottom="1440" w:left="1440" w:header="432" w:footer="53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2ED93" w14:textId="77777777" w:rsidR="005F4432" w:rsidRPr="008C41C5" w:rsidRDefault="005F4432" w:rsidP="006D441F">
      <w:pPr>
        <w:spacing w:after="0"/>
      </w:pPr>
      <w:r w:rsidRPr="008C41C5">
        <w:separator/>
      </w:r>
    </w:p>
    <w:p w14:paraId="2E00E689" w14:textId="77777777" w:rsidR="005F4432" w:rsidRDefault="005F4432"/>
  </w:endnote>
  <w:endnote w:type="continuationSeparator" w:id="0">
    <w:p w14:paraId="4D44044F" w14:textId="77777777" w:rsidR="005F4432" w:rsidRPr="008C41C5" w:rsidRDefault="005F4432" w:rsidP="006D441F">
      <w:pPr>
        <w:spacing w:after="0"/>
      </w:pPr>
      <w:r w:rsidRPr="008C41C5">
        <w:continuationSeparator/>
      </w:r>
    </w:p>
    <w:p w14:paraId="456629A2" w14:textId="77777777" w:rsidR="005F4432" w:rsidRDefault="005F4432"/>
  </w:endnote>
  <w:endnote w:type="continuationNotice" w:id="1">
    <w:p w14:paraId="7BAB3FCA" w14:textId="77777777" w:rsidR="005F4432" w:rsidRDefault="005F4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iryo UI">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cadia Code SemiBold">
    <w:altName w:val="Segoe UI Symbol"/>
    <w:charset w:val="00"/>
    <w:family w:val="modern"/>
    <w:pitch w:val="fixed"/>
    <w:sig w:usb0="A1002AFF" w:usb1="C0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Cascadia Code">
    <w:charset w:val="00"/>
    <w:family w:val="modern"/>
    <w:pitch w:val="fixed"/>
    <w:sig w:usb0="A1002AFF" w:usb1="C000F9FB" w:usb2="00040020"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96FC" w14:textId="69688BC0" w:rsidR="00F5171D" w:rsidRPr="00A54827" w:rsidRDefault="00146CA1" w:rsidP="00146CA1">
    <w:pPr>
      <w:pStyle w:val="Footer-PageNumber"/>
      <w:tabs>
        <w:tab w:val="clear" w:pos="4680"/>
        <w:tab w:val="clear" w:pos="10080"/>
        <w:tab w:val="center" w:pos="6480"/>
        <w:tab w:val="right" w:pos="13680"/>
      </w:tabs>
    </w:pPr>
    <w:r>
      <w:drawing>
        <wp:anchor distT="0" distB="0" distL="114300" distR="114300" simplePos="0" relativeHeight="251658240" behindDoc="1" locked="0" layoutInCell="1" allowOverlap="1" wp14:anchorId="00730EFC" wp14:editId="745B817A">
          <wp:simplePos x="0" y="0"/>
          <wp:positionH relativeFrom="page">
            <wp:align>center</wp:align>
          </wp:positionH>
          <wp:positionV relativeFrom="page">
            <wp:align>bottom</wp:align>
          </wp:positionV>
          <wp:extent cx="9601200" cy="914400"/>
          <wp:effectExtent l="0" t="0" r="0" b="0"/>
          <wp:wrapNone/>
          <wp:docPr id="125011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71D">
      <w:tab/>
    </w:r>
    <w:sdt>
      <w:sdtPr>
        <w:id w:val="-2143331295"/>
        <w:docPartObj>
          <w:docPartGallery w:val="Page Numbers (Bottom of Page)"/>
          <w:docPartUnique/>
        </w:docPartObj>
      </w:sdtPr>
      <w:sdtEndPr/>
      <w:sdtContent>
        <w:r w:rsidR="00F5171D">
          <w:t xml:space="preserve">Page </w:t>
        </w:r>
        <w:r w:rsidR="00F5171D" w:rsidRPr="00A54827">
          <w:fldChar w:fldCharType="begin"/>
        </w:r>
        <w:r w:rsidR="00F5171D" w:rsidRPr="00A54827">
          <w:instrText xml:space="preserve"> PAGE   \* MERGEFORMAT </w:instrText>
        </w:r>
        <w:r w:rsidR="00F5171D" w:rsidRPr="00A54827">
          <w:fldChar w:fldCharType="separate"/>
        </w:r>
        <w:r w:rsidR="00F5171D" w:rsidRPr="00A54827">
          <w:t>iv</w:t>
        </w:r>
        <w:r w:rsidR="00F5171D" w:rsidRPr="00A54827">
          <w:fldChar w:fldCharType="end"/>
        </w:r>
        <w:r w:rsidR="00F5171D">
          <w:t xml:space="preserve"> of </w:t>
        </w:r>
        <w:r w:rsidR="00F5171D">
          <w:fldChar w:fldCharType="begin"/>
        </w:r>
        <w:r w:rsidR="00F5171D">
          <w:instrText xml:space="preserve"> PAGEREF Lastpage \h </w:instrText>
        </w:r>
        <w:r w:rsidR="00F5171D">
          <w:fldChar w:fldCharType="separate"/>
        </w:r>
        <w:r w:rsidR="009708AC">
          <w:t>12</w:t>
        </w:r>
        <w:r w:rsidR="00F5171D">
          <w:fldChar w:fldCharType="end"/>
        </w:r>
        <w:r w:rsidR="00F5171D">
          <w:t xml:space="preserve"> Pages</w:t>
        </w:r>
        <w:r w:rsidR="00F5171D">
          <w:tab/>
        </w:r>
      </w:sdtContent>
    </w:sdt>
  </w:p>
  <w:p w14:paraId="2E251086" w14:textId="7C2545CF" w:rsidR="00F5171D" w:rsidRPr="00A54827" w:rsidRDefault="00F5171D" w:rsidP="00146CA1">
    <w:pPr>
      <w:pStyle w:val="Footer"/>
      <w:tabs>
        <w:tab w:val="clear" w:pos="4680"/>
        <w:tab w:val="clear" w:pos="10080"/>
        <w:tab w:val="center" w:pos="6480"/>
        <w:tab w:val="right" w:pos="13680"/>
      </w:tabs>
      <w:ind w:left="0"/>
    </w:pPr>
    <w:r w:rsidRPr="00A54827">
      <w:tab/>
      <w:t>Proprietary and Confidential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FD241" w14:textId="77777777" w:rsidR="005F4432" w:rsidRDefault="005F4432" w:rsidP="00127E90">
      <w:pPr>
        <w:pStyle w:val="FootnoteText"/>
      </w:pPr>
      <w:r w:rsidRPr="008C41C5">
        <w:separator/>
      </w:r>
    </w:p>
  </w:footnote>
  <w:footnote w:type="continuationSeparator" w:id="0">
    <w:p w14:paraId="70F5E5A3" w14:textId="77777777" w:rsidR="005F4432" w:rsidRDefault="005F4432" w:rsidP="001C5163">
      <w:pPr>
        <w:pStyle w:val="FootnoteText"/>
      </w:pPr>
      <w:r w:rsidRPr="008C41C5">
        <w:continuationSeparator/>
      </w:r>
    </w:p>
  </w:footnote>
  <w:footnote w:type="continuationNotice" w:id="1">
    <w:p w14:paraId="185F0ABA" w14:textId="77777777" w:rsidR="005F4432" w:rsidRPr="001C5163" w:rsidRDefault="005F4432" w:rsidP="001C5163">
      <w:pPr>
        <w:pStyle w:val="Footer"/>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832" w14:textId="6A4C3143" w:rsidR="00F5171D" w:rsidRPr="00AA64C8" w:rsidRDefault="00146CA1" w:rsidP="00146CA1">
    <w:pPr>
      <w:pStyle w:val="Header"/>
      <w:tabs>
        <w:tab w:val="clear" w:pos="10080"/>
        <w:tab w:val="right" w:pos="13680"/>
      </w:tabs>
      <w:rPr>
        <w:rFonts w:eastAsiaTheme="minorEastAsia"/>
      </w:rPr>
    </w:pPr>
    <w:r w:rsidRPr="00146CA1">
      <w:rPr>
        <w:rFonts w:eastAsiaTheme="minorEastAsia"/>
      </w:rPr>
      <w:t>HUD Office of Multifamily Housing</w:t>
    </w:r>
    <w:r w:rsidR="00F5171D" w:rsidRPr="00AA64C8">
      <w:rPr>
        <w:rFonts w:eastAsiaTheme="minorEastAsia"/>
      </w:rPr>
      <w:tab/>
    </w:r>
    <w:sdt>
      <w:sdtPr>
        <w:rPr>
          <w:rFonts w:eastAsiaTheme="minorEastAsia"/>
        </w:rPr>
        <w:alias w:val="Subject"/>
        <w:tag w:val=""/>
        <w:id w:val="9027564"/>
        <w:placeholder>
          <w:docPart w:val="FFA4944809764E3DAF378BC62805A4D4"/>
        </w:placeholder>
        <w:dataBinding w:prefixMappings="xmlns:ns0='http://purl.org/dc/elements/1.1/' xmlns:ns1='http://schemas.openxmlformats.org/package/2006/metadata/core-properties' " w:xpath="/ns1:coreProperties[1]/ns0:subject[1]" w:storeItemID="{6C3C8BC8-F283-45AE-878A-BAB7291924A1}"/>
        <w:text/>
      </w:sdtPr>
      <w:sdtEndPr/>
      <w:sdtContent>
        <w:r w:rsidRPr="00146CA1">
          <w:rPr>
            <w:rFonts w:eastAsiaTheme="minorEastAsia"/>
          </w:rPr>
          <w:t>HOTMA Training and Technical Assistance</w:t>
        </w:r>
      </w:sdtContent>
    </w:sdt>
  </w:p>
  <w:p w14:paraId="6588859F" w14:textId="71794E56" w:rsidR="00F5171D" w:rsidRPr="006B0226" w:rsidRDefault="00F5171D" w:rsidP="00146CA1">
    <w:pPr>
      <w:pStyle w:val="Header-BottomRow"/>
      <w:tabs>
        <w:tab w:val="clear" w:pos="10080"/>
        <w:tab w:val="right" w:pos="13680"/>
      </w:tabs>
    </w:pPr>
    <w:r w:rsidRPr="003920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C60BAA"/>
    <w:multiLevelType w:val="hybridMultilevel"/>
    <w:tmpl w:val="3F3A0FFE"/>
    <w:lvl w:ilvl="0" w:tplc="F202DF68">
      <w:start w:val="1"/>
      <w:numFmt w:val="bullet"/>
      <w:pStyle w:val="Resume-4CoreCapabilitiesBoxCheckmarks"/>
      <w:lvlText w:val="✔"/>
      <w:lvlJc w:val="left"/>
      <w:pPr>
        <w:ind w:left="562" w:hanging="360"/>
      </w:pPr>
      <w:rPr>
        <w:rFonts w:ascii="Segoe UI Symbol" w:eastAsia="Meiryo UI" w:hAnsi="Segoe UI Symbol" w:hint="default"/>
        <w:color w:val="00AEEF" w:themeColor="text2"/>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 w15:restartNumberingAfterBreak="0">
    <w:nsid w:val="223E61B4"/>
    <w:multiLevelType w:val="hybridMultilevel"/>
    <w:tmpl w:val="7C6E2BCE"/>
    <w:lvl w:ilvl="0" w:tplc="FAFE91D4">
      <w:start w:val="1"/>
      <w:numFmt w:val="bullet"/>
      <w:pStyle w:val="TableBullet1"/>
      <w:lvlText w:val="●"/>
      <w:lvlJc w:val="left"/>
      <w:pPr>
        <w:ind w:left="360" w:hanging="360"/>
      </w:pPr>
      <w:rPr>
        <w:rFonts w:ascii="Cascadia Code SemiBold" w:hAnsi="Cascadia Code SemiBold" w:hint="default"/>
        <w:b w:val="0"/>
        <w:bCs w:val="0"/>
        <w:color w:val="00AEEF" w:themeColor="text2"/>
        <w:sz w:val="14"/>
        <w:szCs w:val="14"/>
      </w:rPr>
    </w:lvl>
    <w:lvl w:ilvl="1" w:tplc="4F54B40E">
      <w:start w:val="1"/>
      <w:numFmt w:val="bullet"/>
      <w:lvlText w:val="o"/>
      <w:lvlJc w:val="left"/>
      <w:pPr>
        <w:ind w:left="1440" w:hanging="360"/>
      </w:pPr>
      <w:rPr>
        <w:rFonts w:ascii="Courier New" w:hAnsi="Courier New" w:cs="Courier New" w:hint="default"/>
        <w:color w:val="002D73" w:themeColor="accent1"/>
      </w:rPr>
    </w:lvl>
    <w:lvl w:ilvl="2" w:tplc="B6D456B4">
      <w:start w:val="1"/>
      <w:numFmt w:val="bullet"/>
      <w:lvlText w:val=""/>
      <w:lvlJc w:val="left"/>
      <w:pPr>
        <w:ind w:left="2160" w:hanging="360"/>
      </w:pPr>
      <w:rPr>
        <w:rFonts w:ascii="Wingdings" w:hAnsi="Wingdings" w:hint="default"/>
        <w:color w:val="002D73"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44FE8"/>
    <w:multiLevelType w:val="multilevel"/>
    <w:tmpl w:val="FDF06D06"/>
    <w:lvl w:ilvl="0">
      <w:start w:val="1"/>
      <w:numFmt w:val="decimal"/>
      <w:pStyle w:val="ListNumber"/>
      <w:lvlText w:val="%1."/>
      <w:lvlJc w:val="left"/>
      <w:pPr>
        <w:ind w:left="720" w:hanging="360"/>
      </w:pPr>
      <w:rPr>
        <w:rFonts w:ascii="Arial" w:hAnsi="Arial" w:cs="Arial" w:hint="default"/>
        <w:b w:val="0"/>
        <w:bCs w:val="0"/>
        <w:color w:val="002D73" w:themeColor="accent1"/>
        <w:sz w:val="22"/>
        <w:szCs w:val="22"/>
      </w:rPr>
    </w:lvl>
    <w:lvl w:ilvl="1">
      <w:start w:val="1"/>
      <w:numFmt w:val="lowerLetter"/>
      <w:pStyle w:val="ListNumber2"/>
      <w:lvlText w:val="%2."/>
      <w:lvlJc w:val="left"/>
      <w:pPr>
        <w:ind w:left="1080" w:hanging="360"/>
      </w:pPr>
      <w:rPr>
        <w:rFonts w:ascii="Arial" w:hAnsi="Arial" w:cs="Arial" w:hint="default"/>
        <w:b w:val="0"/>
        <w:bCs w:val="0"/>
        <w:color w:val="002D73" w:themeColor="accent1"/>
        <w:sz w:val="22"/>
        <w:szCs w:val="22"/>
      </w:rPr>
    </w:lvl>
    <w:lvl w:ilvl="2">
      <w:start w:val="1"/>
      <w:numFmt w:val="lowerRoman"/>
      <w:pStyle w:val="ListNumber3"/>
      <w:lvlText w:val="%3."/>
      <w:lvlJc w:val="left"/>
      <w:pPr>
        <w:ind w:left="1440" w:hanging="360"/>
      </w:pPr>
      <w:rPr>
        <w:rFonts w:ascii="Arial" w:hAnsi="Arial" w:cs="Arial" w:hint="default"/>
        <w:b w:val="0"/>
        <w:bCs w:val="0"/>
        <w:color w:val="002D73" w:themeColor="accent1"/>
        <w:sz w:val="22"/>
        <w:szCs w:val="22"/>
      </w:rPr>
    </w:lvl>
    <w:lvl w:ilvl="3">
      <w:start w:val="1"/>
      <w:numFmt w:val="decimal"/>
      <w:pStyle w:val="ListNumber4"/>
      <w:lvlText w:val="%4."/>
      <w:lvlJc w:val="left"/>
      <w:pPr>
        <w:ind w:left="1800" w:hanging="360"/>
      </w:pPr>
      <w:rPr>
        <w:rFonts w:ascii="Arial" w:hAnsi="Arial" w:cs="Arial" w:hint="default"/>
        <w:b w:val="0"/>
        <w:bCs w:val="0"/>
        <w:color w:val="002D73" w:themeColor="accent1"/>
        <w:sz w:val="22"/>
        <w:szCs w:val="22"/>
      </w:rPr>
    </w:lvl>
    <w:lvl w:ilvl="4">
      <w:start w:val="1"/>
      <w:numFmt w:val="lowerLetter"/>
      <w:pStyle w:val="ListNumber5"/>
      <w:lvlText w:val="%5."/>
      <w:lvlJc w:val="left"/>
      <w:pPr>
        <w:ind w:left="2160" w:hanging="360"/>
      </w:pPr>
      <w:rPr>
        <w:rFonts w:ascii="Arial" w:hAnsi="Arial" w:cs="Arial" w:hint="default"/>
        <w:b w:val="0"/>
        <w:bCs w:val="0"/>
        <w:color w:val="002D73" w:themeColor="accent1"/>
        <w:sz w:val="22"/>
        <w:szCs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22240E"/>
    <w:multiLevelType w:val="multilevel"/>
    <w:tmpl w:val="C1243886"/>
    <w:styleLink w:val="ResumeBullets"/>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457B2A"/>
    <w:multiLevelType w:val="multilevel"/>
    <w:tmpl w:val="B53AE4F0"/>
    <w:lvl w:ilvl="0">
      <w:start w:val="1"/>
      <w:numFmt w:val="bullet"/>
      <w:pStyle w:val="ListBullet"/>
      <w:lvlText w:val="●"/>
      <w:lvlJc w:val="left"/>
      <w:pPr>
        <w:ind w:left="720" w:hanging="360"/>
      </w:pPr>
      <w:rPr>
        <w:rFonts w:ascii="Cascadia Code" w:hAnsi="Cascadia Code" w:hint="default"/>
        <w:b w:val="0"/>
        <w:bCs w:val="0"/>
        <w:color w:val="002D73" w:themeColor="accent1"/>
        <w:position w:val="2"/>
        <w:sz w:val="16"/>
        <w:szCs w:val="16"/>
      </w:rPr>
    </w:lvl>
    <w:lvl w:ilvl="1">
      <w:start w:val="1"/>
      <w:numFmt w:val="bullet"/>
      <w:pStyle w:val="ListBullet2"/>
      <w:lvlText w:val="○"/>
      <w:lvlJc w:val="left"/>
      <w:pPr>
        <w:ind w:left="1080" w:hanging="360"/>
      </w:pPr>
      <w:rPr>
        <w:rFonts w:ascii="Cascadia Code" w:hAnsi="Cascadia Code" w:hint="default"/>
        <w:color w:val="002D73" w:themeColor="accent1"/>
        <w:position w:val="2"/>
        <w:sz w:val="16"/>
        <w:szCs w:val="16"/>
      </w:rPr>
    </w:lvl>
    <w:lvl w:ilvl="2">
      <w:start w:val="1"/>
      <w:numFmt w:val="bullet"/>
      <w:pStyle w:val="ListBullet3"/>
      <w:lvlText w:val="◼"/>
      <w:lvlJc w:val="left"/>
      <w:pPr>
        <w:ind w:left="1440" w:hanging="360"/>
      </w:pPr>
      <w:rPr>
        <w:rFonts w:ascii="Cascadia Code" w:hAnsi="Cascadia Code" w:hint="default"/>
        <w:color w:val="002D73" w:themeColor="accent1"/>
        <w:position w:val="2"/>
        <w:sz w:val="16"/>
        <w:szCs w:val="16"/>
      </w:rPr>
    </w:lvl>
    <w:lvl w:ilvl="3">
      <w:start w:val="1"/>
      <w:numFmt w:val="bullet"/>
      <w:pStyle w:val="ListBullet4"/>
      <w:lvlText w:val="◻"/>
      <w:lvlJc w:val="left"/>
      <w:pPr>
        <w:ind w:left="1800" w:hanging="360"/>
      </w:pPr>
      <w:rPr>
        <w:rFonts w:ascii="Cascadia Code" w:hAnsi="Cascadia Code" w:hint="default"/>
        <w:color w:val="002D73" w:themeColor="accent1"/>
        <w:sz w:val="16"/>
      </w:rPr>
    </w:lvl>
    <w:lvl w:ilvl="4">
      <w:start w:val="1"/>
      <w:numFmt w:val="bullet"/>
      <w:pStyle w:val="ListBullet5"/>
      <w:lvlText w:val="◈"/>
      <w:lvlJc w:val="left"/>
      <w:pPr>
        <w:ind w:left="2160" w:hanging="360"/>
      </w:pPr>
      <w:rPr>
        <w:rFonts w:ascii="Cascadia Code" w:hAnsi="Cascadia Code" w:hint="default"/>
        <w:color w:val="002D73" w:themeColor="accent1"/>
        <w:position w:val="2"/>
        <w:sz w:val="18"/>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7" w15:restartNumberingAfterBreak="0">
    <w:nsid w:val="39E83756"/>
    <w:multiLevelType w:val="multilevel"/>
    <w:tmpl w:val="4E96385E"/>
    <w:styleLink w:val="NumberedList"/>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1409D0"/>
    <w:multiLevelType w:val="hybridMultilevel"/>
    <w:tmpl w:val="842E799E"/>
    <w:lvl w:ilvl="0" w:tplc="0C7E8F96">
      <w:start w:val="1"/>
      <w:numFmt w:val="bullet"/>
      <w:pStyle w:val="TableBullet2"/>
      <w:lvlText w:val="○"/>
      <w:lvlJc w:val="left"/>
      <w:pPr>
        <w:ind w:left="1152" w:hanging="360"/>
      </w:pPr>
      <w:rPr>
        <w:rFonts w:ascii="Cascadia Code SemiBold" w:hAnsi="Cascadia Code SemiBold" w:hint="default"/>
        <w:b w:val="0"/>
        <w:bCs w:val="0"/>
        <w:color w:val="00AEEF" w:themeColor="text2"/>
        <w:sz w:val="16"/>
        <w:szCs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0" w15:restartNumberingAfterBreak="0">
    <w:nsid w:val="43F253D2"/>
    <w:multiLevelType w:val="multilevel"/>
    <w:tmpl w:val="B0CE407C"/>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11" w15:restartNumberingAfterBreak="0">
    <w:nsid w:val="5C172441"/>
    <w:multiLevelType w:val="hybridMultilevel"/>
    <w:tmpl w:val="07ACA538"/>
    <w:lvl w:ilvl="0" w:tplc="D2467F80">
      <w:start w:val="1"/>
      <w:numFmt w:val="bullet"/>
      <w:pStyle w:val="PPTable-HighlightsCheckmarks"/>
      <w:lvlText w:val="✔"/>
      <w:lvlJc w:val="left"/>
      <w:pPr>
        <w:ind w:left="360" w:hanging="360"/>
      </w:pPr>
      <w:rPr>
        <w:rFonts w:ascii="Segoe UI Symbol" w:eastAsia="Meiryo UI" w:hAnsi="Segoe UI Symbol" w:hint="default"/>
        <w:color w:val="00AEEF" w:themeColor="text2"/>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C5576"/>
    <w:multiLevelType w:val="hybridMultilevel"/>
    <w:tmpl w:val="91865C40"/>
    <w:lvl w:ilvl="0" w:tplc="7A127C66">
      <w:start w:val="1"/>
      <w:numFmt w:val="bullet"/>
      <w:pStyle w:val="TableBullet3"/>
      <w:lvlText w:val="◼"/>
      <w:lvlJc w:val="left"/>
      <w:pPr>
        <w:ind w:left="1584" w:hanging="360"/>
      </w:pPr>
      <w:rPr>
        <w:rFonts w:ascii="Cascadia Code" w:hAnsi="Cascadia Code" w:hint="default"/>
        <w:color w:val="00AEEF" w:themeColor="text2"/>
        <w:sz w:val="14"/>
        <w:szCs w:val="1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14" w15:restartNumberingAfterBreak="0">
    <w:nsid w:val="65EA20B0"/>
    <w:multiLevelType w:val="hybridMultilevel"/>
    <w:tmpl w:val="61FC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474AC"/>
    <w:multiLevelType w:val="multilevel"/>
    <w:tmpl w:val="DE2E2CF6"/>
    <w:lvl w:ilvl="0">
      <w:start w:val="1"/>
      <w:numFmt w:val="none"/>
      <w:pStyle w:val="ESHeading1"/>
      <w:suff w:val="nothing"/>
      <w:lvlText w:val=""/>
      <w:lvlJc w:val="left"/>
      <w:pPr>
        <w:ind w:left="0" w:firstLine="0"/>
      </w:pPr>
      <w:rPr>
        <w:rFonts w:hint="default"/>
      </w:rPr>
    </w:lvl>
    <w:lvl w:ilvl="1">
      <w:start w:val="1"/>
      <w:numFmt w:val="decimal"/>
      <w:pStyle w:val="ESHeading2"/>
      <w:lvlText w:val="ES.%2."/>
      <w:lvlJc w:val="left"/>
      <w:pPr>
        <w:tabs>
          <w:tab w:val="num" w:pos="0"/>
        </w:tabs>
        <w:ind w:left="0" w:firstLine="0"/>
      </w:pPr>
      <w:rPr>
        <w:rFonts w:hint="default"/>
      </w:rPr>
    </w:lvl>
    <w:lvl w:ilvl="2">
      <w:start w:val="1"/>
      <w:numFmt w:val="decimal"/>
      <w:pStyle w:val="ESHeading3"/>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8382843">
    <w:abstractNumId w:val="9"/>
  </w:num>
  <w:num w:numId="2" w16cid:durableId="159201452">
    <w:abstractNumId w:val="6"/>
  </w:num>
  <w:num w:numId="3" w16cid:durableId="1042369282">
    <w:abstractNumId w:val="13"/>
  </w:num>
  <w:num w:numId="4" w16cid:durableId="2038895636">
    <w:abstractNumId w:val="4"/>
  </w:num>
  <w:num w:numId="5" w16cid:durableId="597104295">
    <w:abstractNumId w:val="11"/>
  </w:num>
  <w:num w:numId="6" w16cid:durableId="903443976">
    <w:abstractNumId w:val="1"/>
  </w:num>
  <w:num w:numId="7" w16cid:durableId="1231043223">
    <w:abstractNumId w:val="0"/>
  </w:num>
  <w:num w:numId="8" w16cid:durableId="878006228">
    <w:abstractNumId w:val="5"/>
  </w:num>
  <w:num w:numId="9" w16cid:durableId="2090760705">
    <w:abstractNumId w:val="7"/>
  </w:num>
  <w:num w:numId="10" w16cid:durableId="907419062">
    <w:abstractNumId w:val="2"/>
  </w:num>
  <w:num w:numId="11" w16cid:durableId="1741782369">
    <w:abstractNumId w:val="8"/>
  </w:num>
  <w:num w:numId="12" w16cid:durableId="1941450030">
    <w:abstractNumId w:val="12"/>
  </w:num>
  <w:num w:numId="13" w16cid:durableId="181433582">
    <w:abstractNumId w:val="10"/>
  </w:num>
  <w:num w:numId="14" w16cid:durableId="42337903">
    <w:abstractNumId w:val="15"/>
  </w:num>
  <w:num w:numId="15" w16cid:durableId="1598176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488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doNotTrackFormatting/>
  <w:defaultTabStop w:val="720"/>
  <w:defaultTableStyle w:val="Econometrica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6B"/>
    <w:rsid w:val="00001443"/>
    <w:rsid w:val="000031FA"/>
    <w:rsid w:val="00004240"/>
    <w:rsid w:val="00006D2E"/>
    <w:rsid w:val="00013F21"/>
    <w:rsid w:val="00014A52"/>
    <w:rsid w:val="000155BC"/>
    <w:rsid w:val="00016353"/>
    <w:rsid w:val="000207B8"/>
    <w:rsid w:val="0002268E"/>
    <w:rsid w:val="00024AD7"/>
    <w:rsid w:val="000254A5"/>
    <w:rsid w:val="00025522"/>
    <w:rsid w:val="00032095"/>
    <w:rsid w:val="000328F4"/>
    <w:rsid w:val="0003420C"/>
    <w:rsid w:val="00034770"/>
    <w:rsid w:val="00035B35"/>
    <w:rsid w:val="00036074"/>
    <w:rsid w:val="000376B0"/>
    <w:rsid w:val="000402C7"/>
    <w:rsid w:val="00040593"/>
    <w:rsid w:val="00041207"/>
    <w:rsid w:val="00043971"/>
    <w:rsid w:val="00046AB2"/>
    <w:rsid w:val="00047047"/>
    <w:rsid w:val="0004750C"/>
    <w:rsid w:val="00050013"/>
    <w:rsid w:val="0005749A"/>
    <w:rsid w:val="00057AB1"/>
    <w:rsid w:val="00061264"/>
    <w:rsid w:val="0006275A"/>
    <w:rsid w:val="00062986"/>
    <w:rsid w:val="0006570A"/>
    <w:rsid w:val="000707C7"/>
    <w:rsid w:val="00075046"/>
    <w:rsid w:val="00075406"/>
    <w:rsid w:val="000803A5"/>
    <w:rsid w:val="0008149F"/>
    <w:rsid w:val="00082EAD"/>
    <w:rsid w:val="00084A67"/>
    <w:rsid w:val="00085B8B"/>
    <w:rsid w:val="000917CF"/>
    <w:rsid w:val="0009199D"/>
    <w:rsid w:val="00092447"/>
    <w:rsid w:val="00094432"/>
    <w:rsid w:val="00094721"/>
    <w:rsid w:val="00097E1B"/>
    <w:rsid w:val="000A0970"/>
    <w:rsid w:val="000A1E31"/>
    <w:rsid w:val="000A4584"/>
    <w:rsid w:val="000A591F"/>
    <w:rsid w:val="000A6270"/>
    <w:rsid w:val="000A6A1C"/>
    <w:rsid w:val="000A79B6"/>
    <w:rsid w:val="000B0782"/>
    <w:rsid w:val="000B43A0"/>
    <w:rsid w:val="000B4693"/>
    <w:rsid w:val="000B46E6"/>
    <w:rsid w:val="000B7A56"/>
    <w:rsid w:val="000C0202"/>
    <w:rsid w:val="000C12E4"/>
    <w:rsid w:val="000C4C3C"/>
    <w:rsid w:val="000D0DC5"/>
    <w:rsid w:val="000D1FD3"/>
    <w:rsid w:val="000D2DA0"/>
    <w:rsid w:val="000D31A0"/>
    <w:rsid w:val="000D3763"/>
    <w:rsid w:val="000D50F9"/>
    <w:rsid w:val="000D6AD1"/>
    <w:rsid w:val="000D729A"/>
    <w:rsid w:val="000E01B8"/>
    <w:rsid w:val="000E1D0B"/>
    <w:rsid w:val="000E1FB6"/>
    <w:rsid w:val="000E2010"/>
    <w:rsid w:val="000E24B7"/>
    <w:rsid w:val="000E313D"/>
    <w:rsid w:val="000E3B51"/>
    <w:rsid w:val="000E46A1"/>
    <w:rsid w:val="000E573C"/>
    <w:rsid w:val="000E61A9"/>
    <w:rsid w:val="000E65AA"/>
    <w:rsid w:val="000E6982"/>
    <w:rsid w:val="000E698E"/>
    <w:rsid w:val="000E6C7A"/>
    <w:rsid w:val="000E6DAC"/>
    <w:rsid w:val="000E72B8"/>
    <w:rsid w:val="000F1CE4"/>
    <w:rsid w:val="000F2850"/>
    <w:rsid w:val="000F4A5A"/>
    <w:rsid w:val="000F4D39"/>
    <w:rsid w:val="0010278A"/>
    <w:rsid w:val="00104A57"/>
    <w:rsid w:val="00104BD1"/>
    <w:rsid w:val="001053DF"/>
    <w:rsid w:val="001056AA"/>
    <w:rsid w:val="001057EF"/>
    <w:rsid w:val="001065E6"/>
    <w:rsid w:val="00111FA5"/>
    <w:rsid w:val="00112657"/>
    <w:rsid w:val="001132D3"/>
    <w:rsid w:val="00113934"/>
    <w:rsid w:val="00113F8E"/>
    <w:rsid w:val="00114C06"/>
    <w:rsid w:val="00115301"/>
    <w:rsid w:val="00120707"/>
    <w:rsid w:val="0012147E"/>
    <w:rsid w:val="00123420"/>
    <w:rsid w:val="0012466F"/>
    <w:rsid w:val="001258C3"/>
    <w:rsid w:val="001264DB"/>
    <w:rsid w:val="00127E90"/>
    <w:rsid w:val="00133210"/>
    <w:rsid w:val="0013340A"/>
    <w:rsid w:val="001348A9"/>
    <w:rsid w:val="001351D5"/>
    <w:rsid w:val="0013527F"/>
    <w:rsid w:val="00137C33"/>
    <w:rsid w:val="0014219C"/>
    <w:rsid w:val="00143AE1"/>
    <w:rsid w:val="00143E30"/>
    <w:rsid w:val="00144C87"/>
    <w:rsid w:val="001468E8"/>
    <w:rsid w:val="00146CA1"/>
    <w:rsid w:val="00146DB7"/>
    <w:rsid w:val="001501C3"/>
    <w:rsid w:val="00151938"/>
    <w:rsid w:val="00153766"/>
    <w:rsid w:val="0015394B"/>
    <w:rsid w:val="00156269"/>
    <w:rsid w:val="001573F8"/>
    <w:rsid w:val="001610D5"/>
    <w:rsid w:val="0016230E"/>
    <w:rsid w:val="00162561"/>
    <w:rsid w:val="00163E46"/>
    <w:rsid w:val="001706F5"/>
    <w:rsid w:val="00173389"/>
    <w:rsid w:val="001747E0"/>
    <w:rsid w:val="00174DF4"/>
    <w:rsid w:val="00174E87"/>
    <w:rsid w:val="001774F0"/>
    <w:rsid w:val="00177525"/>
    <w:rsid w:val="00180E75"/>
    <w:rsid w:val="0018148A"/>
    <w:rsid w:val="0018196D"/>
    <w:rsid w:val="00182C95"/>
    <w:rsid w:val="00184100"/>
    <w:rsid w:val="001842FB"/>
    <w:rsid w:val="001844C2"/>
    <w:rsid w:val="00186AA2"/>
    <w:rsid w:val="001904BA"/>
    <w:rsid w:val="0019136C"/>
    <w:rsid w:val="00191468"/>
    <w:rsid w:val="00192C3B"/>
    <w:rsid w:val="00194189"/>
    <w:rsid w:val="00194532"/>
    <w:rsid w:val="00195AE4"/>
    <w:rsid w:val="00196101"/>
    <w:rsid w:val="00197D40"/>
    <w:rsid w:val="001A2958"/>
    <w:rsid w:val="001A4A13"/>
    <w:rsid w:val="001A531A"/>
    <w:rsid w:val="001A6581"/>
    <w:rsid w:val="001A692F"/>
    <w:rsid w:val="001A69E2"/>
    <w:rsid w:val="001A78A6"/>
    <w:rsid w:val="001B3E8F"/>
    <w:rsid w:val="001B40A8"/>
    <w:rsid w:val="001B4E6F"/>
    <w:rsid w:val="001B508C"/>
    <w:rsid w:val="001B53AD"/>
    <w:rsid w:val="001B682F"/>
    <w:rsid w:val="001B7C03"/>
    <w:rsid w:val="001C2319"/>
    <w:rsid w:val="001C374E"/>
    <w:rsid w:val="001C39A8"/>
    <w:rsid w:val="001C5163"/>
    <w:rsid w:val="001C5621"/>
    <w:rsid w:val="001D11D2"/>
    <w:rsid w:val="001D2063"/>
    <w:rsid w:val="001D23FF"/>
    <w:rsid w:val="001D28AA"/>
    <w:rsid w:val="001D3936"/>
    <w:rsid w:val="001D6331"/>
    <w:rsid w:val="001D74A8"/>
    <w:rsid w:val="001E0436"/>
    <w:rsid w:val="001E0FA1"/>
    <w:rsid w:val="001E112A"/>
    <w:rsid w:val="001E1868"/>
    <w:rsid w:val="001E1C13"/>
    <w:rsid w:val="001E2808"/>
    <w:rsid w:val="001E798C"/>
    <w:rsid w:val="001F5A81"/>
    <w:rsid w:val="0020084D"/>
    <w:rsid w:val="00201BFE"/>
    <w:rsid w:val="00205DEB"/>
    <w:rsid w:val="00206C0C"/>
    <w:rsid w:val="00207B56"/>
    <w:rsid w:val="00207F89"/>
    <w:rsid w:val="00214C4B"/>
    <w:rsid w:val="00216D22"/>
    <w:rsid w:val="00221095"/>
    <w:rsid w:val="002234C7"/>
    <w:rsid w:val="00230CE4"/>
    <w:rsid w:val="002314DE"/>
    <w:rsid w:val="002326EF"/>
    <w:rsid w:val="00240789"/>
    <w:rsid w:val="002407C1"/>
    <w:rsid w:val="002439B3"/>
    <w:rsid w:val="00243E10"/>
    <w:rsid w:val="002449CD"/>
    <w:rsid w:val="00244A39"/>
    <w:rsid w:val="00246296"/>
    <w:rsid w:val="00246F44"/>
    <w:rsid w:val="00247836"/>
    <w:rsid w:val="002507EE"/>
    <w:rsid w:val="00252236"/>
    <w:rsid w:val="0025292F"/>
    <w:rsid w:val="00252C36"/>
    <w:rsid w:val="00253269"/>
    <w:rsid w:val="00253EFD"/>
    <w:rsid w:val="002567EA"/>
    <w:rsid w:val="00257BF6"/>
    <w:rsid w:val="00262848"/>
    <w:rsid w:val="00266E31"/>
    <w:rsid w:val="00270030"/>
    <w:rsid w:val="0027129B"/>
    <w:rsid w:val="00271741"/>
    <w:rsid w:val="00272AD9"/>
    <w:rsid w:val="00275647"/>
    <w:rsid w:val="002837A5"/>
    <w:rsid w:val="002847F6"/>
    <w:rsid w:val="002863AC"/>
    <w:rsid w:val="00286945"/>
    <w:rsid w:val="0028756B"/>
    <w:rsid w:val="00291719"/>
    <w:rsid w:val="00293509"/>
    <w:rsid w:val="002938AE"/>
    <w:rsid w:val="002940EE"/>
    <w:rsid w:val="00295E98"/>
    <w:rsid w:val="00296695"/>
    <w:rsid w:val="002A0C34"/>
    <w:rsid w:val="002A1326"/>
    <w:rsid w:val="002A21FE"/>
    <w:rsid w:val="002A577A"/>
    <w:rsid w:val="002A597A"/>
    <w:rsid w:val="002A6AB6"/>
    <w:rsid w:val="002A6C49"/>
    <w:rsid w:val="002B1A37"/>
    <w:rsid w:val="002B3812"/>
    <w:rsid w:val="002C20F9"/>
    <w:rsid w:val="002C78DE"/>
    <w:rsid w:val="002D2D0D"/>
    <w:rsid w:val="002D40AD"/>
    <w:rsid w:val="002D50F6"/>
    <w:rsid w:val="002D7E35"/>
    <w:rsid w:val="002E01BC"/>
    <w:rsid w:val="002E0C1E"/>
    <w:rsid w:val="002E25EA"/>
    <w:rsid w:val="002E2B57"/>
    <w:rsid w:val="002E34A8"/>
    <w:rsid w:val="002F0662"/>
    <w:rsid w:val="002F0D90"/>
    <w:rsid w:val="002F1FE4"/>
    <w:rsid w:val="002F27B8"/>
    <w:rsid w:val="002F495D"/>
    <w:rsid w:val="002F4E0E"/>
    <w:rsid w:val="002F52AD"/>
    <w:rsid w:val="002F7ABF"/>
    <w:rsid w:val="00300546"/>
    <w:rsid w:val="003007F2"/>
    <w:rsid w:val="00304089"/>
    <w:rsid w:val="003047EE"/>
    <w:rsid w:val="00314D08"/>
    <w:rsid w:val="00314FA9"/>
    <w:rsid w:val="00316A2A"/>
    <w:rsid w:val="003170BA"/>
    <w:rsid w:val="00320E4E"/>
    <w:rsid w:val="00321705"/>
    <w:rsid w:val="00325753"/>
    <w:rsid w:val="00326BB2"/>
    <w:rsid w:val="00330820"/>
    <w:rsid w:val="0033161B"/>
    <w:rsid w:val="00331FA7"/>
    <w:rsid w:val="00332D14"/>
    <w:rsid w:val="0033429D"/>
    <w:rsid w:val="00334433"/>
    <w:rsid w:val="0033518A"/>
    <w:rsid w:val="00335DD6"/>
    <w:rsid w:val="00336783"/>
    <w:rsid w:val="003369AB"/>
    <w:rsid w:val="00336B17"/>
    <w:rsid w:val="00337E13"/>
    <w:rsid w:val="00341426"/>
    <w:rsid w:val="00345182"/>
    <w:rsid w:val="00346FC9"/>
    <w:rsid w:val="00347509"/>
    <w:rsid w:val="003500E1"/>
    <w:rsid w:val="00351E34"/>
    <w:rsid w:val="00355971"/>
    <w:rsid w:val="00356C3A"/>
    <w:rsid w:val="003603D1"/>
    <w:rsid w:val="00363DC4"/>
    <w:rsid w:val="0036416D"/>
    <w:rsid w:val="00365297"/>
    <w:rsid w:val="0037300F"/>
    <w:rsid w:val="00374319"/>
    <w:rsid w:val="003772C6"/>
    <w:rsid w:val="00381A14"/>
    <w:rsid w:val="00386130"/>
    <w:rsid w:val="0039056D"/>
    <w:rsid w:val="00390615"/>
    <w:rsid w:val="0039160A"/>
    <w:rsid w:val="003917E5"/>
    <w:rsid w:val="003920C0"/>
    <w:rsid w:val="0039231E"/>
    <w:rsid w:val="00392E90"/>
    <w:rsid w:val="0039517D"/>
    <w:rsid w:val="00395740"/>
    <w:rsid w:val="003975DA"/>
    <w:rsid w:val="00397AA9"/>
    <w:rsid w:val="003A2727"/>
    <w:rsid w:val="003A2836"/>
    <w:rsid w:val="003A5F22"/>
    <w:rsid w:val="003B28BF"/>
    <w:rsid w:val="003B297B"/>
    <w:rsid w:val="003B3EF1"/>
    <w:rsid w:val="003B6E03"/>
    <w:rsid w:val="003C121A"/>
    <w:rsid w:val="003C40FD"/>
    <w:rsid w:val="003D2A8D"/>
    <w:rsid w:val="003D6543"/>
    <w:rsid w:val="003D65A8"/>
    <w:rsid w:val="003D6B2E"/>
    <w:rsid w:val="003E3768"/>
    <w:rsid w:val="003E5097"/>
    <w:rsid w:val="003E6611"/>
    <w:rsid w:val="003F2FA5"/>
    <w:rsid w:val="003F4298"/>
    <w:rsid w:val="003F5DF3"/>
    <w:rsid w:val="00402D5B"/>
    <w:rsid w:val="00404740"/>
    <w:rsid w:val="00404810"/>
    <w:rsid w:val="004068CC"/>
    <w:rsid w:val="00406911"/>
    <w:rsid w:val="004070EA"/>
    <w:rsid w:val="004075B0"/>
    <w:rsid w:val="00407C9E"/>
    <w:rsid w:val="00410EE8"/>
    <w:rsid w:val="00413565"/>
    <w:rsid w:val="004154F1"/>
    <w:rsid w:val="004159BB"/>
    <w:rsid w:val="004163E9"/>
    <w:rsid w:val="00422EC1"/>
    <w:rsid w:val="00423649"/>
    <w:rsid w:val="004264D2"/>
    <w:rsid w:val="004331F0"/>
    <w:rsid w:val="00434431"/>
    <w:rsid w:val="004348BD"/>
    <w:rsid w:val="00440E9C"/>
    <w:rsid w:val="004416DF"/>
    <w:rsid w:val="0044285C"/>
    <w:rsid w:val="00445FC3"/>
    <w:rsid w:val="004511C4"/>
    <w:rsid w:val="00452409"/>
    <w:rsid w:val="00452D03"/>
    <w:rsid w:val="00455027"/>
    <w:rsid w:val="0045507C"/>
    <w:rsid w:val="00456097"/>
    <w:rsid w:val="004566B0"/>
    <w:rsid w:val="00456E27"/>
    <w:rsid w:val="004617D7"/>
    <w:rsid w:val="00463599"/>
    <w:rsid w:val="00463A52"/>
    <w:rsid w:val="00463E08"/>
    <w:rsid w:val="004654DF"/>
    <w:rsid w:val="004668F2"/>
    <w:rsid w:val="00467647"/>
    <w:rsid w:val="004714BE"/>
    <w:rsid w:val="00472269"/>
    <w:rsid w:val="00474816"/>
    <w:rsid w:val="00474DEE"/>
    <w:rsid w:val="00476531"/>
    <w:rsid w:val="0047674D"/>
    <w:rsid w:val="00477066"/>
    <w:rsid w:val="004807A9"/>
    <w:rsid w:val="0048086A"/>
    <w:rsid w:val="00481287"/>
    <w:rsid w:val="004837A9"/>
    <w:rsid w:val="00485501"/>
    <w:rsid w:val="00486521"/>
    <w:rsid w:val="00490320"/>
    <w:rsid w:val="0049135D"/>
    <w:rsid w:val="0049331B"/>
    <w:rsid w:val="004945FE"/>
    <w:rsid w:val="0049528E"/>
    <w:rsid w:val="00497893"/>
    <w:rsid w:val="004A07D4"/>
    <w:rsid w:val="004A0CF3"/>
    <w:rsid w:val="004A1FC2"/>
    <w:rsid w:val="004A20DB"/>
    <w:rsid w:val="004A45DB"/>
    <w:rsid w:val="004A5117"/>
    <w:rsid w:val="004B5398"/>
    <w:rsid w:val="004C0A38"/>
    <w:rsid w:val="004C0E42"/>
    <w:rsid w:val="004C2132"/>
    <w:rsid w:val="004C5B79"/>
    <w:rsid w:val="004C6B8B"/>
    <w:rsid w:val="004C76D6"/>
    <w:rsid w:val="004D1E8F"/>
    <w:rsid w:val="004D242D"/>
    <w:rsid w:val="004D3331"/>
    <w:rsid w:val="004D36A4"/>
    <w:rsid w:val="004D50C9"/>
    <w:rsid w:val="004D5378"/>
    <w:rsid w:val="004D60C0"/>
    <w:rsid w:val="004E05C9"/>
    <w:rsid w:val="004E2303"/>
    <w:rsid w:val="004E6689"/>
    <w:rsid w:val="004F0010"/>
    <w:rsid w:val="004F0AA4"/>
    <w:rsid w:val="004F28E9"/>
    <w:rsid w:val="004F2974"/>
    <w:rsid w:val="004F3071"/>
    <w:rsid w:val="0050254A"/>
    <w:rsid w:val="0050311E"/>
    <w:rsid w:val="005033F5"/>
    <w:rsid w:val="00507DC5"/>
    <w:rsid w:val="005104F1"/>
    <w:rsid w:val="00510BE3"/>
    <w:rsid w:val="00511313"/>
    <w:rsid w:val="00512703"/>
    <w:rsid w:val="0051479B"/>
    <w:rsid w:val="0051505A"/>
    <w:rsid w:val="005178EA"/>
    <w:rsid w:val="00517F2E"/>
    <w:rsid w:val="00525BF7"/>
    <w:rsid w:val="00526B0D"/>
    <w:rsid w:val="00527391"/>
    <w:rsid w:val="005301FD"/>
    <w:rsid w:val="00530985"/>
    <w:rsid w:val="00531B8A"/>
    <w:rsid w:val="005332DB"/>
    <w:rsid w:val="0053489A"/>
    <w:rsid w:val="00534F8E"/>
    <w:rsid w:val="005367E9"/>
    <w:rsid w:val="00542E26"/>
    <w:rsid w:val="005445B5"/>
    <w:rsid w:val="0054646F"/>
    <w:rsid w:val="005466EE"/>
    <w:rsid w:val="005545F6"/>
    <w:rsid w:val="0055712E"/>
    <w:rsid w:val="00557AC2"/>
    <w:rsid w:val="005605C0"/>
    <w:rsid w:val="00560F90"/>
    <w:rsid w:val="00560FB4"/>
    <w:rsid w:val="00561311"/>
    <w:rsid w:val="00562003"/>
    <w:rsid w:val="00564821"/>
    <w:rsid w:val="00565C76"/>
    <w:rsid w:val="005662DD"/>
    <w:rsid w:val="00566421"/>
    <w:rsid w:val="00570E0D"/>
    <w:rsid w:val="00571351"/>
    <w:rsid w:val="00571CDB"/>
    <w:rsid w:val="005729E2"/>
    <w:rsid w:val="0057390D"/>
    <w:rsid w:val="00577BF7"/>
    <w:rsid w:val="005817B1"/>
    <w:rsid w:val="00585A9C"/>
    <w:rsid w:val="005862DF"/>
    <w:rsid w:val="005870D5"/>
    <w:rsid w:val="00590659"/>
    <w:rsid w:val="0059072C"/>
    <w:rsid w:val="00591B16"/>
    <w:rsid w:val="00591DFE"/>
    <w:rsid w:val="005922A9"/>
    <w:rsid w:val="005925ED"/>
    <w:rsid w:val="00593920"/>
    <w:rsid w:val="00594485"/>
    <w:rsid w:val="005967FA"/>
    <w:rsid w:val="00597138"/>
    <w:rsid w:val="005971DF"/>
    <w:rsid w:val="005975D9"/>
    <w:rsid w:val="005A0730"/>
    <w:rsid w:val="005A0D66"/>
    <w:rsid w:val="005A112E"/>
    <w:rsid w:val="005A3556"/>
    <w:rsid w:val="005A4F7C"/>
    <w:rsid w:val="005A759D"/>
    <w:rsid w:val="005A76BE"/>
    <w:rsid w:val="005A7734"/>
    <w:rsid w:val="005A7B98"/>
    <w:rsid w:val="005B4465"/>
    <w:rsid w:val="005B4C43"/>
    <w:rsid w:val="005B5F2A"/>
    <w:rsid w:val="005C0E1D"/>
    <w:rsid w:val="005C0F4B"/>
    <w:rsid w:val="005C227A"/>
    <w:rsid w:val="005C29BA"/>
    <w:rsid w:val="005C3173"/>
    <w:rsid w:val="005C4A97"/>
    <w:rsid w:val="005C5A1D"/>
    <w:rsid w:val="005C5BA3"/>
    <w:rsid w:val="005C7022"/>
    <w:rsid w:val="005C7680"/>
    <w:rsid w:val="005C7D0D"/>
    <w:rsid w:val="005D0848"/>
    <w:rsid w:val="005D0DAE"/>
    <w:rsid w:val="005D1606"/>
    <w:rsid w:val="005D21DA"/>
    <w:rsid w:val="005D255A"/>
    <w:rsid w:val="005D4449"/>
    <w:rsid w:val="005D648F"/>
    <w:rsid w:val="005E092B"/>
    <w:rsid w:val="005E19EF"/>
    <w:rsid w:val="005E1C06"/>
    <w:rsid w:val="005E3725"/>
    <w:rsid w:val="005E5524"/>
    <w:rsid w:val="005F011F"/>
    <w:rsid w:val="005F0263"/>
    <w:rsid w:val="005F0D25"/>
    <w:rsid w:val="005F170C"/>
    <w:rsid w:val="005F17EA"/>
    <w:rsid w:val="005F27C8"/>
    <w:rsid w:val="005F2F9B"/>
    <w:rsid w:val="005F4432"/>
    <w:rsid w:val="005F660B"/>
    <w:rsid w:val="00600010"/>
    <w:rsid w:val="006017E2"/>
    <w:rsid w:val="00601AF2"/>
    <w:rsid w:val="006020B3"/>
    <w:rsid w:val="00602EAA"/>
    <w:rsid w:val="00604FC0"/>
    <w:rsid w:val="00605031"/>
    <w:rsid w:val="006062C3"/>
    <w:rsid w:val="00611943"/>
    <w:rsid w:val="006152DC"/>
    <w:rsid w:val="00615C0C"/>
    <w:rsid w:val="00615FCF"/>
    <w:rsid w:val="006166C1"/>
    <w:rsid w:val="00622B9C"/>
    <w:rsid w:val="00626FB3"/>
    <w:rsid w:val="00630BE4"/>
    <w:rsid w:val="00630CAD"/>
    <w:rsid w:val="00631419"/>
    <w:rsid w:val="0063203B"/>
    <w:rsid w:val="00632B07"/>
    <w:rsid w:val="00633209"/>
    <w:rsid w:val="00633B53"/>
    <w:rsid w:val="00635046"/>
    <w:rsid w:val="006353C4"/>
    <w:rsid w:val="00635BB8"/>
    <w:rsid w:val="0063682C"/>
    <w:rsid w:val="00637CE9"/>
    <w:rsid w:val="00642AA4"/>
    <w:rsid w:val="00643EB8"/>
    <w:rsid w:val="00646B80"/>
    <w:rsid w:val="00651A82"/>
    <w:rsid w:val="00652A1B"/>
    <w:rsid w:val="00655548"/>
    <w:rsid w:val="00655903"/>
    <w:rsid w:val="00660120"/>
    <w:rsid w:val="0066433C"/>
    <w:rsid w:val="0066437F"/>
    <w:rsid w:val="006651CE"/>
    <w:rsid w:val="00671198"/>
    <w:rsid w:val="006725E8"/>
    <w:rsid w:val="0067265B"/>
    <w:rsid w:val="006727AE"/>
    <w:rsid w:val="00672C61"/>
    <w:rsid w:val="0067318D"/>
    <w:rsid w:val="006732F5"/>
    <w:rsid w:val="006764DB"/>
    <w:rsid w:val="00677B4A"/>
    <w:rsid w:val="00677F4B"/>
    <w:rsid w:val="00681F92"/>
    <w:rsid w:val="006824DE"/>
    <w:rsid w:val="006845B7"/>
    <w:rsid w:val="0068488B"/>
    <w:rsid w:val="00687868"/>
    <w:rsid w:val="00687B0E"/>
    <w:rsid w:val="00691644"/>
    <w:rsid w:val="00692A0E"/>
    <w:rsid w:val="00692CCA"/>
    <w:rsid w:val="006938D3"/>
    <w:rsid w:val="00693A96"/>
    <w:rsid w:val="00693E33"/>
    <w:rsid w:val="00696015"/>
    <w:rsid w:val="00696CB6"/>
    <w:rsid w:val="00697442"/>
    <w:rsid w:val="0069747F"/>
    <w:rsid w:val="006A1C5F"/>
    <w:rsid w:val="006A3D59"/>
    <w:rsid w:val="006A42DB"/>
    <w:rsid w:val="006A5FF9"/>
    <w:rsid w:val="006B0226"/>
    <w:rsid w:val="006B1E55"/>
    <w:rsid w:val="006B224E"/>
    <w:rsid w:val="006B2D96"/>
    <w:rsid w:val="006B4588"/>
    <w:rsid w:val="006B5F8A"/>
    <w:rsid w:val="006B7462"/>
    <w:rsid w:val="006C4BEC"/>
    <w:rsid w:val="006C5045"/>
    <w:rsid w:val="006C51A1"/>
    <w:rsid w:val="006D00B4"/>
    <w:rsid w:val="006D0705"/>
    <w:rsid w:val="006D2519"/>
    <w:rsid w:val="006D2C22"/>
    <w:rsid w:val="006D3CB4"/>
    <w:rsid w:val="006D441F"/>
    <w:rsid w:val="006D6DDE"/>
    <w:rsid w:val="006D7826"/>
    <w:rsid w:val="006E0280"/>
    <w:rsid w:val="006E0809"/>
    <w:rsid w:val="006E0A9F"/>
    <w:rsid w:val="006E5C40"/>
    <w:rsid w:val="006E6377"/>
    <w:rsid w:val="006E7E02"/>
    <w:rsid w:val="006F16A0"/>
    <w:rsid w:val="006F1F77"/>
    <w:rsid w:val="006F33C1"/>
    <w:rsid w:val="006F3A17"/>
    <w:rsid w:val="006F54EC"/>
    <w:rsid w:val="006F6237"/>
    <w:rsid w:val="006F65D2"/>
    <w:rsid w:val="006F6839"/>
    <w:rsid w:val="006F72DB"/>
    <w:rsid w:val="00700BAD"/>
    <w:rsid w:val="0070171F"/>
    <w:rsid w:val="00702B67"/>
    <w:rsid w:val="007038B1"/>
    <w:rsid w:val="00704A54"/>
    <w:rsid w:val="00712717"/>
    <w:rsid w:val="007138AC"/>
    <w:rsid w:val="00714B8E"/>
    <w:rsid w:val="007217F5"/>
    <w:rsid w:val="007252A4"/>
    <w:rsid w:val="00725BCD"/>
    <w:rsid w:val="00727142"/>
    <w:rsid w:val="007303E8"/>
    <w:rsid w:val="0073087E"/>
    <w:rsid w:val="00731851"/>
    <w:rsid w:val="00731C2D"/>
    <w:rsid w:val="00733978"/>
    <w:rsid w:val="00733C93"/>
    <w:rsid w:val="00735895"/>
    <w:rsid w:val="00737A1E"/>
    <w:rsid w:val="00740D2E"/>
    <w:rsid w:val="00741E32"/>
    <w:rsid w:val="0074227A"/>
    <w:rsid w:val="00742D28"/>
    <w:rsid w:val="00751CF0"/>
    <w:rsid w:val="007528DC"/>
    <w:rsid w:val="0075379A"/>
    <w:rsid w:val="00755AF8"/>
    <w:rsid w:val="0075628D"/>
    <w:rsid w:val="0075647C"/>
    <w:rsid w:val="00757DC3"/>
    <w:rsid w:val="007606BC"/>
    <w:rsid w:val="0076548A"/>
    <w:rsid w:val="0077021D"/>
    <w:rsid w:val="00770259"/>
    <w:rsid w:val="0077299B"/>
    <w:rsid w:val="00772C85"/>
    <w:rsid w:val="00774203"/>
    <w:rsid w:val="00776329"/>
    <w:rsid w:val="00777E6D"/>
    <w:rsid w:val="0078335F"/>
    <w:rsid w:val="00783FE8"/>
    <w:rsid w:val="00784972"/>
    <w:rsid w:val="00784AED"/>
    <w:rsid w:val="00787194"/>
    <w:rsid w:val="00790ED8"/>
    <w:rsid w:val="00791C7E"/>
    <w:rsid w:val="00792014"/>
    <w:rsid w:val="0079362A"/>
    <w:rsid w:val="00793DA1"/>
    <w:rsid w:val="0079567D"/>
    <w:rsid w:val="00796446"/>
    <w:rsid w:val="007A2822"/>
    <w:rsid w:val="007A2EB6"/>
    <w:rsid w:val="007A556C"/>
    <w:rsid w:val="007B3502"/>
    <w:rsid w:val="007B48FF"/>
    <w:rsid w:val="007B7331"/>
    <w:rsid w:val="007C0520"/>
    <w:rsid w:val="007C0B67"/>
    <w:rsid w:val="007C0B96"/>
    <w:rsid w:val="007C25D8"/>
    <w:rsid w:val="007C3235"/>
    <w:rsid w:val="007C67D3"/>
    <w:rsid w:val="007C68AE"/>
    <w:rsid w:val="007D1707"/>
    <w:rsid w:val="007D40F4"/>
    <w:rsid w:val="007D5878"/>
    <w:rsid w:val="007D5A18"/>
    <w:rsid w:val="007D6260"/>
    <w:rsid w:val="007E1372"/>
    <w:rsid w:val="007E1B5A"/>
    <w:rsid w:val="007E5534"/>
    <w:rsid w:val="007E56B4"/>
    <w:rsid w:val="007E60A6"/>
    <w:rsid w:val="007F5CE3"/>
    <w:rsid w:val="007F61CE"/>
    <w:rsid w:val="007F68C2"/>
    <w:rsid w:val="007F7B6B"/>
    <w:rsid w:val="007F7D2F"/>
    <w:rsid w:val="0080072C"/>
    <w:rsid w:val="0080455F"/>
    <w:rsid w:val="008056CA"/>
    <w:rsid w:val="00805B2B"/>
    <w:rsid w:val="00811A8B"/>
    <w:rsid w:val="00817090"/>
    <w:rsid w:val="008170C9"/>
    <w:rsid w:val="008170F4"/>
    <w:rsid w:val="0081786B"/>
    <w:rsid w:val="00821834"/>
    <w:rsid w:val="00823679"/>
    <w:rsid w:val="00824303"/>
    <w:rsid w:val="008309BC"/>
    <w:rsid w:val="008313D7"/>
    <w:rsid w:val="00832A6E"/>
    <w:rsid w:val="00832BAC"/>
    <w:rsid w:val="00833520"/>
    <w:rsid w:val="00834015"/>
    <w:rsid w:val="00834041"/>
    <w:rsid w:val="00834A72"/>
    <w:rsid w:val="0084233B"/>
    <w:rsid w:val="00842A4E"/>
    <w:rsid w:val="0084306B"/>
    <w:rsid w:val="00843E87"/>
    <w:rsid w:val="00846617"/>
    <w:rsid w:val="00846FBA"/>
    <w:rsid w:val="00852BB6"/>
    <w:rsid w:val="00852E73"/>
    <w:rsid w:val="00853134"/>
    <w:rsid w:val="00853C5E"/>
    <w:rsid w:val="00853CA0"/>
    <w:rsid w:val="0085520F"/>
    <w:rsid w:val="00855F8C"/>
    <w:rsid w:val="008573C9"/>
    <w:rsid w:val="00860C19"/>
    <w:rsid w:val="00860D7A"/>
    <w:rsid w:val="00860F0E"/>
    <w:rsid w:val="00862622"/>
    <w:rsid w:val="00862D98"/>
    <w:rsid w:val="00863AD1"/>
    <w:rsid w:val="00867C69"/>
    <w:rsid w:val="00872C72"/>
    <w:rsid w:val="00874E0C"/>
    <w:rsid w:val="00876217"/>
    <w:rsid w:val="00877BFE"/>
    <w:rsid w:val="00884FAF"/>
    <w:rsid w:val="0088538C"/>
    <w:rsid w:val="00885717"/>
    <w:rsid w:val="00886549"/>
    <w:rsid w:val="00886BF8"/>
    <w:rsid w:val="00893D56"/>
    <w:rsid w:val="00897673"/>
    <w:rsid w:val="008976B8"/>
    <w:rsid w:val="008A01E6"/>
    <w:rsid w:val="008A466E"/>
    <w:rsid w:val="008A4C17"/>
    <w:rsid w:val="008A5803"/>
    <w:rsid w:val="008A7729"/>
    <w:rsid w:val="008B056C"/>
    <w:rsid w:val="008B28F5"/>
    <w:rsid w:val="008B2D06"/>
    <w:rsid w:val="008B3250"/>
    <w:rsid w:val="008B4A0C"/>
    <w:rsid w:val="008C269D"/>
    <w:rsid w:val="008C2E4F"/>
    <w:rsid w:val="008C4134"/>
    <w:rsid w:val="008C41C5"/>
    <w:rsid w:val="008C48D1"/>
    <w:rsid w:val="008C6DA1"/>
    <w:rsid w:val="008D47EB"/>
    <w:rsid w:val="008D5943"/>
    <w:rsid w:val="008D5B0B"/>
    <w:rsid w:val="008D7E0F"/>
    <w:rsid w:val="008E1254"/>
    <w:rsid w:val="008E2197"/>
    <w:rsid w:val="008E2704"/>
    <w:rsid w:val="008E2C83"/>
    <w:rsid w:val="008E2F4E"/>
    <w:rsid w:val="008E428F"/>
    <w:rsid w:val="008E5C50"/>
    <w:rsid w:val="008E78E3"/>
    <w:rsid w:val="008E7E34"/>
    <w:rsid w:val="008E7F7B"/>
    <w:rsid w:val="008F169D"/>
    <w:rsid w:val="008F2F5E"/>
    <w:rsid w:val="008F3161"/>
    <w:rsid w:val="008F32F8"/>
    <w:rsid w:val="008F3BA0"/>
    <w:rsid w:val="008F5A6C"/>
    <w:rsid w:val="008F6F98"/>
    <w:rsid w:val="008F7E1C"/>
    <w:rsid w:val="00901EB5"/>
    <w:rsid w:val="0090234A"/>
    <w:rsid w:val="00904B2F"/>
    <w:rsid w:val="00904F67"/>
    <w:rsid w:val="00905DD2"/>
    <w:rsid w:val="00910AF8"/>
    <w:rsid w:val="00910EAD"/>
    <w:rsid w:val="00914D16"/>
    <w:rsid w:val="009171D0"/>
    <w:rsid w:val="00920088"/>
    <w:rsid w:val="009217DE"/>
    <w:rsid w:val="00921AB4"/>
    <w:rsid w:val="00922D9C"/>
    <w:rsid w:val="00923A5A"/>
    <w:rsid w:val="0092614F"/>
    <w:rsid w:val="00927788"/>
    <w:rsid w:val="00927A9B"/>
    <w:rsid w:val="0093140B"/>
    <w:rsid w:val="00931E7C"/>
    <w:rsid w:val="00933C18"/>
    <w:rsid w:val="009354E8"/>
    <w:rsid w:val="0093559E"/>
    <w:rsid w:val="00936A35"/>
    <w:rsid w:val="009370D2"/>
    <w:rsid w:val="009407C1"/>
    <w:rsid w:val="009410D1"/>
    <w:rsid w:val="00941A3B"/>
    <w:rsid w:val="009428CE"/>
    <w:rsid w:val="00942BD1"/>
    <w:rsid w:val="00942CA3"/>
    <w:rsid w:val="00942F8E"/>
    <w:rsid w:val="009439EA"/>
    <w:rsid w:val="00947DFD"/>
    <w:rsid w:val="009517A7"/>
    <w:rsid w:val="00952C43"/>
    <w:rsid w:val="0095396D"/>
    <w:rsid w:val="0095766E"/>
    <w:rsid w:val="00957FBA"/>
    <w:rsid w:val="00960166"/>
    <w:rsid w:val="00961236"/>
    <w:rsid w:val="00961E61"/>
    <w:rsid w:val="009626AC"/>
    <w:rsid w:val="00962A18"/>
    <w:rsid w:val="0096485A"/>
    <w:rsid w:val="00967064"/>
    <w:rsid w:val="009702F1"/>
    <w:rsid w:val="0097067C"/>
    <w:rsid w:val="009708AC"/>
    <w:rsid w:val="00971664"/>
    <w:rsid w:val="0097449A"/>
    <w:rsid w:val="00975B08"/>
    <w:rsid w:val="0098179B"/>
    <w:rsid w:val="00984F3F"/>
    <w:rsid w:val="00986E0F"/>
    <w:rsid w:val="00987909"/>
    <w:rsid w:val="0099004A"/>
    <w:rsid w:val="00995668"/>
    <w:rsid w:val="00996A3A"/>
    <w:rsid w:val="00996A59"/>
    <w:rsid w:val="00996C37"/>
    <w:rsid w:val="009A09B8"/>
    <w:rsid w:val="009A580E"/>
    <w:rsid w:val="009B43E1"/>
    <w:rsid w:val="009B4A90"/>
    <w:rsid w:val="009B69EC"/>
    <w:rsid w:val="009B73B3"/>
    <w:rsid w:val="009C1E89"/>
    <w:rsid w:val="009C2D69"/>
    <w:rsid w:val="009C3C95"/>
    <w:rsid w:val="009C782E"/>
    <w:rsid w:val="009D0BCC"/>
    <w:rsid w:val="009D1524"/>
    <w:rsid w:val="009D28C7"/>
    <w:rsid w:val="009D363F"/>
    <w:rsid w:val="009D504F"/>
    <w:rsid w:val="009D586C"/>
    <w:rsid w:val="009E02C9"/>
    <w:rsid w:val="009E03F0"/>
    <w:rsid w:val="009E2902"/>
    <w:rsid w:val="009E2A30"/>
    <w:rsid w:val="009F19B9"/>
    <w:rsid w:val="009F24EA"/>
    <w:rsid w:val="009F5244"/>
    <w:rsid w:val="009F53AF"/>
    <w:rsid w:val="009F75D2"/>
    <w:rsid w:val="009F7693"/>
    <w:rsid w:val="00A029DD"/>
    <w:rsid w:val="00A04327"/>
    <w:rsid w:val="00A0737D"/>
    <w:rsid w:val="00A07FA0"/>
    <w:rsid w:val="00A1038C"/>
    <w:rsid w:val="00A13266"/>
    <w:rsid w:val="00A17513"/>
    <w:rsid w:val="00A17DE1"/>
    <w:rsid w:val="00A204A8"/>
    <w:rsid w:val="00A252CE"/>
    <w:rsid w:val="00A27A4C"/>
    <w:rsid w:val="00A33157"/>
    <w:rsid w:val="00A348B6"/>
    <w:rsid w:val="00A35D92"/>
    <w:rsid w:val="00A36099"/>
    <w:rsid w:val="00A36891"/>
    <w:rsid w:val="00A36FBC"/>
    <w:rsid w:val="00A3753D"/>
    <w:rsid w:val="00A400B4"/>
    <w:rsid w:val="00A4054A"/>
    <w:rsid w:val="00A41542"/>
    <w:rsid w:val="00A415F8"/>
    <w:rsid w:val="00A44C80"/>
    <w:rsid w:val="00A4616D"/>
    <w:rsid w:val="00A47C7A"/>
    <w:rsid w:val="00A50286"/>
    <w:rsid w:val="00A54827"/>
    <w:rsid w:val="00A56365"/>
    <w:rsid w:val="00A6072B"/>
    <w:rsid w:val="00A6168A"/>
    <w:rsid w:val="00A62896"/>
    <w:rsid w:val="00A62A7E"/>
    <w:rsid w:val="00A63DD5"/>
    <w:rsid w:val="00A63EA0"/>
    <w:rsid w:val="00A6500E"/>
    <w:rsid w:val="00A6547C"/>
    <w:rsid w:val="00A655E4"/>
    <w:rsid w:val="00A71373"/>
    <w:rsid w:val="00A713B2"/>
    <w:rsid w:val="00A72B15"/>
    <w:rsid w:val="00A73D97"/>
    <w:rsid w:val="00A766E7"/>
    <w:rsid w:val="00A76A57"/>
    <w:rsid w:val="00A80257"/>
    <w:rsid w:val="00A80377"/>
    <w:rsid w:val="00A80F43"/>
    <w:rsid w:val="00A80FBD"/>
    <w:rsid w:val="00A82EBC"/>
    <w:rsid w:val="00A82EE1"/>
    <w:rsid w:val="00A8609A"/>
    <w:rsid w:val="00A86205"/>
    <w:rsid w:val="00A8655D"/>
    <w:rsid w:val="00A87207"/>
    <w:rsid w:val="00A87467"/>
    <w:rsid w:val="00A9521D"/>
    <w:rsid w:val="00A96119"/>
    <w:rsid w:val="00A966FB"/>
    <w:rsid w:val="00AA5059"/>
    <w:rsid w:val="00AA64C8"/>
    <w:rsid w:val="00AB108E"/>
    <w:rsid w:val="00AB309F"/>
    <w:rsid w:val="00AB3405"/>
    <w:rsid w:val="00AB4126"/>
    <w:rsid w:val="00AB4F01"/>
    <w:rsid w:val="00AB5FB7"/>
    <w:rsid w:val="00AB68CA"/>
    <w:rsid w:val="00AB7943"/>
    <w:rsid w:val="00AC09B7"/>
    <w:rsid w:val="00AC3418"/>
    <w:rsid w:val="00AC3BC8"/>
    <w:rsid w:val="00AC3F96"/>
    <w:rsid w:val="00AC6121"/>
    <w:rsid w:val="00AC6440"/>
    <w:rsid w:val="00AD0F34"/>
    <w:rsid w:val="00AD21BD"/>
    <w:rsid w:val="00AD398C"/>
    <w:rsid w:val="00AD4D9B"/>
    <w:rsid w:val="00AD5B9F"/>
    <w:rsid w:val="00AD7B3E"/>
    <w:rsid w:val="00AE1AA9"/>
    <w:rsid w:val="00AE3BA5"/>
    <w:rsid w:val="00AE5B50"/>
    <w:rsid w:val="00AF25E3"/>
    <w:rsid w:val="00AF300D"/>
    <w:rsid w:val="00AF37DB"/>
    <w:rsid w:val="00AF3857"/>
    <w:rsid w:val="00AF4956"/>
    <w:rsid w:val="00B00905"/>
    <w:rsid w:val="00B010EE"/>
    <w:rsid w:val="00B01348"/>
    <w:rsid w:val="00B0287B"/>
    <w:rsid w:val="00B06D2E"/>
    <w:rsid w:val="00B06D4E"/>
    <w:rsid w:val="00B07E85"/>
    <w:rsid w:val="00B10BEE"/>
    <w:rsid w:val="00B11754"/>
    <w:rsid w:val="00B136A3"/>
    <w:rsid w:val="00B15B47"/>
    <w:rsid w:val="00B166C9"/>
    <w:rsid w:val="00B17E76"/>
    <w:rsid w:val="00B204D3"/>
    <w:rsid w:val="00B22C14"/>
    <w:rsid w:val="00B242AF"/>
    <w:rsid w:val="00B32001"/>
    <w:rsid w:val="00B352AE"/>
    <w:rsid w:val="00B36CE3"/>
    <w:rsid w:val="00B37B8C"/>
    <w:rsid w:val="00B37B8E"/>
    <w:rsid w:val="00B419AE"/>
    <w:rsid w:val="00B45717"/>
    <w:rsid w:val="00B45F3C"/>
    <w:rsid w:val="00B471E8"/>
    <w:rsid w:val="00B531F0"/>
    <w:rsid w:val="00B532AC"/>
    <w:rsid w:val="00B53734"/>
    <w:rsid w:val="00B545FC"/>
    <w:rsid w:val="00B5463C"/>
    <w:rsid w:val="00B55132"/>
    <w:rsid w:val="00B61B3A"/>
    <w:rsid w:val="00B6357D"/>
    <w:rsid w:val="00B63FC4"/>
    <w:rsid w:val="00B64212"/>
    <w:rsid w:val="00B676FD"/>
    <w:rsid w:val="00B840B2"/>
    <w:rsid w:val="00B84918"/>
    <w:rsid w:val="00B871B0"/>
    <w:rsid w:val="00B874B4"/>
    <w:rsid w:val="00B87C9E"/>
    <w:rsid w:val="00B903A8"/>
    <w:rsid w:val="00B90C01"/>
    <w:rsid w:val="00B92C02"/>
    <w:rsid w:val="00B972B4"/>
    <w:rsid w:val="00BA0979"/>
    <w:rsid w:val="00BA1E40"/>
    <w:rsid w:val="00BA21E9"/>
    <w:rsid w:val="00BA5883"/>
    <w:rsid w:val="00BA60E8"/>
    <w:rsid w:val="00BA6FC7"/>
    <w:rsid w:val="00BB01DC"/>
    <w:rsid w:val="00BB1127"/>
    <w:rsid w:val="00BB11F0"/>
    <w:rsid w:val="00BB323B"/>
    <w:rsid w:val="00BB32E4"/>
    <w:rsid w:val="00BB42B8"/>
    <w:rsid w:val="00BB435A"/>
    <w:rsid w:val="00BB442E"/>
    <w:rsid w:val="00BB5ED5"/>
    <w:rsid w:val="00BB6384"/>
    <w:rsid w:val="00BC0896"/>
    <w:rsid w:val="00BC20EE"/>
    <w:rsid w:val="00BC6215"/>
    <w:rsid w:val="00BC629E"/>
    <w:rsid w:val="00BD2C6A"/>
    <w:rsid w:val="00BD2D6F"/>
    <w:rsid w:val="00BD455B"/>
    <w:rsid w:val="00BD45A4"/>
    <w:rsid w:val="00BD4763"/>
    <w:rsid w:val="00BD6B1B"/>
    <w:rsid w:val="00BD7A0F"/>
    <w:rsid w:val="00BE18E5"/>
    <w:rsid w:val="00BE2C66"/>
    <w:rsid w:val="00BE4F50"/>
    <w:rsid w:val="00BE61D1"/>
    <w:rsid w:val="00BF0641"/>
    <w:rsid w:val="00BF3276"/>
    <w:rsid w:val="00BF4527"/>
    <w:rsid w:val="00BF4BD7"/>
    <w:rsid w:val="00C0507C"/>
    <w:rsid w:val="00C05D36"/>
    <w:rsid w:val="00C102EA"/>
    <w:rsid w:val="00C1165E"/>
    <w:rsid w:val="00C13704"/>
    <w:rsid w:val="00C152DA"/>
    <w:rsid w:val="00C15869"/>
    <w:rsid w:val="00C209F2"/>
    <w:rsid w:val="00C22A9D"/>
    <w:rsid w:val="00C23EC5"/>
    <w:rsid w:val="00C26B7B"/>
    <w:rsid w:val="00C3082E"/>
    <w:rsid w:val="00C31942"/>
    <w:rsid w:val="00C33ADC"/>
    <w:rsid w:val="00C342D9"/>
    <w:rsid w:val="00C34ACE"/>
    <w:rsid w:val="00C3536E"/>
    <w:rsid w:val="00C35521"/>
    <w:rsid w:val="00C403A7"/>
    <w:rsid w:val="00C41A4D"/>
    <w:rsid w:val="00C44144"/>
    <w:rsid w:val="00C4795D"/>
    <w:rsid w:val="00C55BE1"/>
    <w:rsid w:val="00C57B7B"/>
    <w:rsid w:val="00C609E3"/>
    <w:rsid w:val="00C633C5"/>
    <w:rsid w:val="00C636BD"/>
    <w:rsid w:val="00C6454F"/>
    <w:rsid w:val="00C6544C"/>
    <w:rsid w:val="00C657EF"/>
    <w:rsid w:val="00C67DCB"/>
    <w:rsid w:val="00C71675"/>
    <w:rsid w:val="00C71C2A"/>
    <w:rsid w:val="00C71DD7"/>
    <w:rsid w:val="00C722AA"/>
    <w:rsid w:val="00C741E1"/>
    <w:rsid w:val="00C814CB"/>
    <w:rsid w:val="00C82200"/>
    <w:rsid w:val="00C829F2"/>
    <w:rsid w:val="00C82BF6"/>
    <w:rsid w:val="00C83098"/>
    <w:rsid w:val="00C832F4"/>
    <w:rsid w:val="00C83826"/>
    <w:rsid w:val="00C9049B"/>
    <w:rsid w:val="00C94919"/>
    <w:rsid w:val="00C9620D"/>
    <w:rsid w:val="00CA01C4"/>
    <w:rsid w:val="00CA1085"/>
    <w:rsid w:val="00CA119C"/>
    <w:rsid w:val="00CA1269"/>
    <w:rsid w:val="00CA4783"/>
    <w:rsid w:val="00CA5BF7"/>
    <w:rsid w:val="00CA6823"/>
    <w:rsid w:val="00CB0070"/>
    <w:rsid w:val="00CB454C"/>
    <w:rsid w:val="00CB634F"/>
    <w:rsid w:val="00CC0E94"/>
    <w:rsid w:val="00CC18A2"/>
    <w:rsid w:val="00CC3FC3"/>
    <w:rsid w:val="00CC64ED"/>
    <w:rsid w:val="00CC6BB3"/>
    <w:rsid w:val="00CC6CFA"/>
    <w:rsid w:val="00CD0503"/>
    <w:rsid w:val="00CD166A"/>
    <w:rsid w:val="00CE07DA"/>
    <w:rsid w:val="00CE0B31"/>
    <w:rsid w:val="00CE2F6F"/>
    <w:rsid w:val="00CE555E"/>
    <w:rsid w:val="00CE5594"/>
    <w:rsid w:val="00CE6ED0"/>
    <w:rsid w:val="00CE74BC"/>
    <w:rsid w:val="00CE76CA"/>
    <w:rsid w:val="00CF1661"/>
    <w:rsid w:val="00CF1863"/>
    <w:rsid w:val="00CF3501"/>
    <w:rsid w:val="00CF4322"/>
    <w:rsid w:val="00CF4B30"/>
    <w:rsid w:val="00CF51D2"/>
    <w:rsid w:val="00CF7186"/>
    <w:rsid w:val="00D01476"/>
    <w:rsid w:val="00D03F78"/>
    <w:rsid w:val="00D03F7B"/>
    <w:rsid w:val="00D04F3C"/>
    <w:rsid w:val="00D05253"/>
    <w:rsid w:val="00D071FF"/>
    <w:rsid w:val="00D1027C"/>
    <w:rsid w:val="00D1125E"/>
    <w:rsid w:val="00D15C52"/>
    <w:rsid w:val="00D168DA"/>
    <w:rsid w:val="00D17B1C"/>
    <w:rsid w:val="00D17B9B"/>
    <w:rsid w:val="00D21A90"/>
    <w:rsid w:val="00D26431"/>
    <w:rsid w:val="00D2689D"/>
    <w:rsid w:val="00D307D1"/>
    <w:rsid w:val="00D30BF4"/>
    <w:rsid w:val="00D32DF0"/>
    <w:rsid w:val="00D33730"/>
    <w:rsid w:val="00D338B4"/>
    <w:rsid w:val="00D33AE8"/>
    <w:rsid w:val="00D34077"/>
    <w:rsid w:val="00D3429E"/>
    <w:rsid w:val="00D354BA"/>
    <w:rsid w:val="00D3557F"/>
    <w:rsid w:val="00D42B62"/>
    <w:rsid w:val="00D437A0"/>
    <w:rsid w:val="00D44EB0"/>
    <w:rsid w:val="00D45383"/>
    <w:rsid w:val="00D501BE"/>
    <w:rsid w:val="00D52028"/>
    <w:rsid w:val="00D52A1E"/>
    <w:rsid w:val="00D52CC5"/>
    <w:rsid w:val="00D52E8E"/>
    <w:rsid w:val="00D53C2F"/>
    <w:rsid w:val="00D55347"/>
    <w:rsid w:val="00D56ADA"/>
    <w:rsid w:val="00D57D5D"/>
    <w:rsid w:val="00D66EBD"/>
    <w:rsid w:val="00D672B5"/>
    <w:rsid w:val="00D6764A"/>
    <w:rsid w:val="00D705A4"/>
    <w:rsid w:val="00D70F01"/>
    <w:rsid w:val="00D71A32"/>
    <w:rsid w:val="00D72D17"/>
    <w:rsid w:val="00D73873"/>
    <w:rsid w:val="00D76C83"/>
    <w:rsid w:val="00D81305"/>
    <w:rsid w:val="00D82156"/>
    <w:rsid w:val="00D85783"/>
    <w:rsid w:val="00D90EA8"/>
    <w:rsid w:val="00D90F20"/>
    <w:rsid w:val="00D920F8"/>
    <w:rsid w:val="00D926C2"/>
    <w:rsid w:val="00D93700"/>
    <w:rsid w:val="00DA3215"/>
    <w:rsid w:val="00DA3C55"/>
    <w:rsid w:val="00DA6304"/>
    <w:rsid w:val="00DA6450"/>
    <w:rsid w:val="00DA6D5A"/>
    <w:rsid w:val="00DA6EED"/>
    <w:rsid w:val="00DA75B0"/>
    <w:rsid w:val="00DB01C4"/>
    <w:rsid w:val="00DB053A"/>
    <w:rsid w:val="00DB1374"/>
    <w:rsid w:val="00DB273E"/>
    <w:rsid w:val="00DB4174"/>
    <w:rsid w:val="00DB5291"/>
    <w:rsid w:val="00DB605E"/>
    <w:rsid w:val="00DB7424"/>
    <w:rsid w:val="00DC2EB8"/>
    <w:rsid w:val="00DC54C6"/>
    <w:rsid w:val="00DC69BA"/>
    <w:rsid w:val="00DD0C89"/>
    <w:rsid w:val="00DD4335"/>
    <w:rsid w:val="00DD52D6"/>
    <w:rsid w:val="00DE06D8"/>
    <w:rsid w:val="00DE215D"/>
    <w:rsid w:val="00DE22DD"/>
    <w:rsid w:val="00DE2D3B"/>
    <w:rsid w:val="00DE3A30"/>
    <w:rsid w:val="00DE50D0"/>
    <w:rsid w:val="00DE63D3"/>
    <w:rsid w:val="00DE7143"/>
    <w:rsid w:val="00DF0D2A"/>
    <w:rsid w:val="00DF1D48"/>
    <w:rsid w:val="00DF2439"/>
    <w:rsid w:val="00DF3436"/>
    <w:rsid w:val="00DF3BFD"/>
    <w:rsid w:val="00DF7813"/>
    <w:rsid w:val="00E00D89"/>
    <w:rsid w:val="00E039C8"/>
    <w:rsid w:val="00E046E7"/>
    <w:rsid w:val="00E04998"/>
    <w:rsid w:val="00E05815"/>
    <w:rsid w:val="00E05A10"/>
    <w:rsid w:val="00E061A4"/>
    <w:rsid w:val="00E1182B"/>
    <w:rsid w:val="00E1419C"/>
    <w:rsid w:val="00E148DB"/>
    <w:rsid w:val="00E215B5"/>
    <w:rsid w:val="00E23997"/>
    <w:rsid w:val="00E248ED"/>
    <w:rsid w:val="00E25A18"/>
    <w:rsid w:val="00E26121"/>
    <w:rsid w:val="00E271E6"/>
    <w:rsid w:val="00E27B1E"/>
    <w:rsid w:val="00E322E2"/>
    <w:rsid w:val="00E33C2D"/>
    <w:rsid w:val="00E34598"/>
    <w:rsid w:val="00E34BA4"/>
    <w:rsid w:val="00E35B3F"/>
    <w:rsid w:val="00E36978"/>
    <w:rsid w:val="00E371F0"/>
    <w:rsid w:val="00E403DF"/>
    <w:rsid w:val="00E41741"/>
    <w:rsid w:val="00E4214B"/>
    <w:rsid w:val="00E43F30"/>
    <w:rsid w:val="00E4716E"/>
    <w:rsid w:val="00E51363"/>
    <w:rsid w:val="00E5449A"/>
    <w:rsid w:val="00E550DC"/>
    <w:rsid w:val="00E56D3D"/>
    <w:rsid w:val="00E6075D"/>
    <w:rsid w:val="00E62291"/>
    <w:rsid w:val="00E6411A"/>
    <w:rsid w:val="00E642EC"/>
    <w:rsid w:val="00E6789D"/>
    <w:rsid w:val="00E70F0A"/>
    <w:rsid w:val="00E74A12"/>
    <w:rsid w:val="00E80F76"/>
    <w:rsid w:val="00E82CF7"/>
    <w:rsid w:val="00E82E3F"/>
    <w:rsid w:val="00E82F64"/>
    <w:rsid w:val="00E86BEE"/>
    <w:rsid w:val="00E93237"/>
    <w:rsid w:val="00E96810"/>
    <w:rsid w:val="00E9732F"/>
    <w:rsid w:val="00E9754E"/>
    <w:rsid w:val="00E979C7"/>
    <w:rsid w:val="00EA3BA3"/>
    <w:rsid w:val="00EA3F5F"/>
    <w:rsid w:val="00EA428B"/>
    <w:rsid w:val="00EA7C56"/>
    <w:rsid w:val="00EB2670"/>
    <w:rsid w:val="00EB5D23"/>
    <w:rsid w:val="00EB7D28"/>
    <w:rsid w:val="00EC0105"/>
    <w:rsid w:val="00EC044B"/>
    <w:rsid w:val="00EC21EC"/>
    <w:rsid w:val="00EC2503"/>
    <w:rsid w:val="00EC299E"/>
    <w:rsid w:val="00EC2F21"/>
    <w:rsid w:val="00EC3026"/>
    <w:rsid w:val="00ED052D"/>
    <w:rsid w:val="00ED27D3"/>
    <w:rsid w:val="00ED4529"/>
    <w:rsid w:val="00ED4854"/>
    <w:rsid w:val="00ED6A06"/>
    <w:rsid w:val="00ED7AF1"/>
    <w:rsid w:val="00EE0765"/>
    <w:rsid w:val="00EE14EE"/>
    <w:rsid w:val="00EE3976"/>
    <w:rsid w:val="00EE5E62"/>
    <w:rsid w:val="00EE6B0A"/>
    <w:rsid w:val="00EF01A9"/>
    <w:rsid w:val="00EF05D7"/>
    <w:rsid w:val="00EF3F07"/>
    <w:rsid w:val="00EF4F01"/>
    <w:rsid w:val="00EF52B0"/>
    <w:rsid w:val="00EF7252"/>
    <w:rsid w:val="00F00E00"/>
    <w:rsid w:val="00F0397B"/>
    <w:rsid w:val="00F051DA"/>
    <w:rsid w:val="00F06C4F"/>
    <w:rsid w:val="00F07B2C"/>
    <w:rsid w:val="00F1123A"/>
    <w:rsid w:val="00F133F2"/>
    <w:rsid w:val="00F166D0"/>
    <w:rsid w:val="00F1751E"/>
    <w:rsid w:val="00F22792"/>
    <w:rsid w:val="00F22D20"/>
    <w:rsid w:val="00F23817"/>
    <w:rsid w:val="00F239F2"/>
    <w:rsid w:val="00F23B16"/>
    <w:rsid w:val="00F246A5"/>
    <w:rsid w:val="00F24ED2"/>
    <w:rsid w:val="00F25D56"/>
    <w:rsid w:val="00F26271"/>
    <w:rsid w:val="00F27204"/>
    <w:rsid w:val="00F33FE0"/>
    <w:rsid w:val="00F3711F"/>
    <w:rsid w:val="00F37793"/>
    <w:rsid w:val="00F450CC"/>
    <w:rsid w:val="00F45CA8"/>
    <w:rsid w:val="00F46CC7"/>
    <w:rsid w:val="00F47F67"/>
    <w:rsid w:val="00F50079"/>
    <w:rsid w:val="00F504B9"/>
    <w:rsid w:val="00F5171D"/>
    <w:rsid w:val="00F52778"/>
    <w:rsid w:val="00F52829"/>
    <w:rsid w:val="00F54ADB"/>
    <w:rsid w:val="00F552EB"/>
    <w:rsid w:val="00F579DA"/>
    <w:rsid w:val="00F600DD"/>
    <w:rsid w:val="00F613AC"/>
    <w:rsid w:val="00F62507"/>
    <w:rsid w:val="00F6335C"/>
    <w:rsid w:val="00F64543"/>
    <w:rsid w:val="00F72B94"/>
    <w:rsid w:val="00F7775F"/>
    <w:rsid w:val="00F800CE"/>
    <w:rsid w:val="00F81241"/>
    <w:rsid w:val="00F84B17"/>
    <w:rsid w:val="00F858DE"/>
    <w:rsid w:val="00F87B3D"/>
    <w:rsid w:val="00F87FA6"/>
    <w:rsid w:val="00F9025B"/>
    <w:rsid w:val="00F93019"/>
    <w:rsid w:val="00F930F8"/>
    <w:rsid w:val="00F9591C"/>
    <w:rsid w:val="00F963A8"/>
    <w:rsid w:val="00F9668A"/>
    <w:rsid w:val="00F9689B"/>
    <w:rsid w:val="00FA061A"/>
    <w:rsid w:val="00FA1DAE"/>
    <w:rsid w:val="00FA3548"/>
    <w:rsid w:val="00FA56A7"/>
    <w:rsid w:val="00FA571F"/>
    <w:rsid w:val="00FA5B1F"/>
    <w:rsid w:val="00FA6C04"/>
    <w:rsid w:val="00FB138D"/>
    <w:rsid w:val="00FB1C0E"/>
    <w:rsid w:val="00FB36AA"/>
    <w:rsid w:val="00FB4329"/>
    <w:rsid w:val="00FB6F1B"/>
    <w:rsid w:val="00FC048F"/>
    <w:rsid w:val="00FC050E"/>
    <w:rsid w:val="00FC0E59"/>
    <w:rsid w:val="00FC2517"/>
    <w:rsid w:val="00FC37D0"/>
    <w:rsid w:val="00FC410C"/>
    <w:rsid w:val="00FC70F4"/>
    <w:rsid w:val="00FC728A"/>
    <w:rsid w:val="00FD0A1D"/>
    <w:rsid w:val="00FD3565"/>
    <w:rsid w:val="00FD53DE"/>
    <w:rsid w:val="00FD5862"/>
    <w:rsid w:val="00FD65F5"/>
    <w:rsid w:val="00FD6E3E"/>
    <w:rsid w:val="00FD6E6E"/>
    <w:rsid w:val="00FD7597"/>
    <w:rsid w:val="00FD7CD4"/>
    <w:rsid w:val="00FE062B"/>
    <w:rsid w:val="00FE24BE"/>
    <w:rsid w:val="00FE2890"/>
    <w:rsid w:val="00FE45FC"/>
    <w:rsid w:val="00FE4CED"/>
    <w:rsid w:val="00FE7CD1"/>
    <w:rsid w:val="00FE7F7D"/>
    <w:rsid w:val="00FF0AA6"/>
    <w:rsid w:val="00FF0EDF"/>
    <w:rsid w:val="00FF14A4"/>
    <w:rsid w:val="00FF156C"/>
    <w:rsid w:val="00FF313C"/>
    <w:rsid w:val="00FF399D"/>
    <w:rsid w:val="00FF57CD"/>
    <w:rsid w:val="00FF7327"/>
    <w:rsid w:val="02D597EE"/>
    <w:rsid w:val="0C4C3B5B"/>
    <w:rsid w:val="0DCD1DD6"/>
    <w:rsid w:val="0E93EEBD"/>
    <w:rsid w:val="13ACFC94"/>
    <w:rsid w:val="22991B4B"/>
    <w:rsid w:val="253BB599"/>
    <w:rsid w:val="2EC0F084"/>
    <w:rsid w:val="332F2FAC"/>
    <w:rsid w:val="36CAF6ED"/>
    <w:rsid w:val="3796D39D"/>
    <w:rsid w:val="37B7E99E"/>
    <w:rsid w:val="39CBF3F2"/>
    <w:rsid w:val="3E1C8854"/>
    <w:rsid w:val="3FD5654A"/>
    <w:rsid w:val="42CE2473"/>
    <w:rsid w:val="4BE3A2F3"/>
    <w:rsid w:val="4C88C848"/>
    <w:rsid w:val="5AD6381B"/>
    <w:rsid w:val="60349EAD"/>
    <w:rsid w:val="6E5B2219"/>
    <w:rsid w:val="71FA16B6"/>
    <w:rsid w:val="77B3E408"/>
    <w:rsid w:val="7811B8DF"/>
    <w:rsid w:val="7B3127B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C829"/>
  <w15:docId w15:val="{6E28F8D1-BCB1-4C4A-8E0B-7737B15A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0" w:unhideWhenUsed="1"/>
    <w:lsdException w:name="toc 2" w:semiHidden="1" w:uiPriority="5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146CA1"/>
  </w:style>
  <w:style w:type="paragraph" w:styleId="Heading1">
    <w:name w:val="heading 1"/>
    <w:aliases w:val="Title (Cover Page)"/>
    <w:basedOn w:val="Normal"/>
    <w:next w:val="Normal"/>
    <w:link w:val="Heading1Char"/>
    <w:qFormat/>
    <w:rsid w:val="00146CA1"/>
    <w:pPr>
      <w:pBdr>
        <w:bottom w:val="single" w:sz="18" w:space="4" w:color="00AEEF" w:themeColor="text2"/>
      </w:pBdr>
      <w:suppressAutoHyphens/>
      <w:jc w:val="center"/>
      <w:outlineLvl w:val="0"/>
    </w:pPr>
    <w:rPr>
      <w:rFonts w:ascii="Arial" w:eastAsiaTheme="minorEastAsia" w:hAnsi="Arial" w:cs="Arial"/>
      <w:color w:val="002D73" w:themeColor="accent1"/>
      <w:sz w:val="36"/>
    </w:rPr>
  </w:style>
  <w:style w:type="paragraph" w:styleId="Heading2">
    <w:name w:val="heading 2"/>
    <w:aliases w:val="Main Lvl 1"/>
    <w:basedOn w:val="Heading1"/>
    <w:next w:val="Normal"/>
    <w:link w:val="Heading2Char"/>
    <w:uiPriority w:val="14"/>
    <w:qFormat/>
    <w:rsid w:val="00146CA1"/>
    <w:pPr>
      <w:keepNext/>
      <w:keepLines/>
      <w:numPr>
        <w:numId w:val="13"/>
      </w:numPr>
      <w:pBdr>
        <w:top w:val="single" w:sz="12" w:space="2" w:color="002D73" w:themeColor="accent1"/>
        <w:left w:val="single" w:sz="48" w:space="0" w:color="002D73" w:themeColor="accent1"/>
        <w:bottom w:val="single" w:sz="12" w:space="4" w:color="002D73" w:themeColor="accent1"/>
      </w:pBdr>
      <w:shd w:val="clear" w:color="auto" w:fill="002D73" w:themeFill="accent1"/>
      <w:tabs>
        <w:tab w:val="left" w:pos="475"/>
      </w:tabs>
      <w:spacing w:before="360"/>
      <w:ind w:left="475" w:hanging="475"/>
      <w:contextualSpacing/>
      <w:outlineLvl w:val="1"/>
    </w:pPr>
    <w:rPr>
      <w:b/>
      <w:color w:val="FFFFFF" w:themeColor="background1"/>
      <w:sz w:val="32"/>
    </w:rPr>
  </w:style>
  <w:style w:type="paragraph" w:styleId="Heading3">
    <w:name w:val="heading 3"/>
    <w:aliases w:val="Main Lvl 2"/>
    <w:basedOn w:val="Heading2"/>
    <w:next w:val="Normal"/>
    <w:link w:val="Heading3Char"/>
    <w:uiPriority w:val="14"/>
    <w:qFormat/>
    <w:rsid w:val="00146CA1"/>
    <w:pPr>
      <w:numPr>
        <w:ilvl w:val="1"/>
      </w:numPr>
      <w:pBdr>
        <w:top w:val="none" w:sz="0" w:space="0" w:color="auto"/>
        <w:left w:val="none" w:sz="0" w:space="0" w:color="auto"/>
        <w:bottom w:val="single" w:sz="18" w:space="1" w:color="00AEEF" w:themeColor="text2"/>
      </w:pBdr>
      <w:shd w:val="clear" w:color="auto" w:fill="auto"/>
      <w:tabs>
        <w:tab w:val="clear" w:pos="475"/>
        <w:tab w:val="left" w:pos="720"/>
      </w:tabs>
      <w:spacing w:before="240" w:after="0"/>
      <w:outlineLvl w:val="2"/>
    </w:pPr>
    <w:rPr>
      <w:rFonts w:eastAsiaTheme="majorEastAsia" w:cstheme="majorBidi"/>
      <w:color w:val="002D73" w:themeColor="accent1"/>
      <w:sz w:val="24"/>
    </w:rPr>
  </w:style>
  <w:style w:type="paragraph" w:styleId="Heading4">
    <w:name w:val="heading 4"/>
    <w:aliases w:val="Main Lvl 3"/>
    <w:basedOn w:val="Heading3"/>
    <w:next w:val="Normal"/>
    <w:link w:val="Heading4Char"/>
    <w:uiPriority w:val="14"/>
    <w:qFormat/>
    <w:rsid w:val="00146CA1"/>
    <w:pPr>
      <w:numPr>
        <w:ilvl w:val="2"/>
      </w:numPr>
      <w:pBdr>
        <w:bottom w:val="none" w:sz="0" w:space="0" w:color="auto"/>
      </w:pBdr>
      <w:spacing w:before="0"/>
      <w:contextualSpacing w:val="0"/>
      <w:outlineLvl w:val="3"/>
    </w:pPr>
  </w:style>
  <w:style w:type="paragraph" w:styleId="Heading5">
    <w:name w:val="heading 5"/>
    <w:aliases w:val="Main Lvl 4"/>
    <w:basedOn w:val="Heading4"/>
    <w:next w:val="Normal"/>
    <w:link w:val="Heading5Char"/>
    <w:uiPriority w:val="14"/>
    <w:qFormat/>
    <w:rsid w:val="00146CA1"/>
    <w:pPr>
      <w:numPr>
        <w:ilvl w:val="0"/>
        <w:numId w:val="0"/>
      </w:numPr>
      <w:outlineLvl w:val="4"/>
    </w:pPr>
    <w:rPr>
      <w:b w:val="0"/>
    </w:rPr>
  </w:style>
  <w:style w:type="paragraph" w:styleId="Heading6">
    <w:name w:val="heading 6"/>
    <w:aliases w:val="Appendix Lvl 1"/>
    <w:basedOn w:val="Normal"/>
    <w:next w:val="Normal"/>
    <w:link w:val="Heading6Char"/>
    <w:uiPriority w:val="14"/>
    <w:qFormat/>
    <w:rsid w:val="00146CA1"/>
    <w:pPr>
      <w:keepNext/>
      <w:keepLines/>
      <w:numPr>
        <w:ilvl w:val="5"/>
        <w:numId w:val="13"/>
      </w:numPr>
      <w:tabs>
        <w:tab w:val="left" w:pos="475"/>
      </w:tabs>
      <w:suppressAutoHyphens/>
      <w:contextualSpacing/>
      <w:jc w:val="center"/>
      <w:outlineLvl w:val="5"/>
    </w:pPr>
    <w:rPr>
      <w:rFonts w:ascii="Arial" w:eastAsiaTheme="minorEastAsia" w:hAnsi="Arial" w:cs="Arial"/>
      <w:b/>
      <w:color w:val="002D73" w:themeColor="accent1"/>
      <w:sz w:val="32"/>
    </w:rPr>
  </w:style>
  <w:style w:type="paragraph" w:styleId="Heading7">
    <w:name w:val="heading 7"/>
    <w:aliases w:val="Appendix Lvl 2"/>
    <w:basedOn w:val="Normal"/>
    <w:next w:val="Normal"/>
    <w:link w:val="Heading7Char"/>
    <w:uiPriority w:val="14"/>
    <w:qFormat/>
    <w:rsid w:val="00146CA1"/>
    <w:pPr>
      <w:keepNext/>
      <w:keepLines/>
      <w:numPr>
        <w:ilvl w:val="6"/>
        <w:numId w:val="13"/>
      </w:numPr>
      <w:pBdr>
        <w:bottom w:val="single" w:sz="18" w:space="1" w:color="00AEEF" w:themeColor="text2"/>
      </w:pBdr>
      <w:tabs>
        <w:tab w:val="left" w:pos="475"/>
      </w:tabs>
      <w:suppressAutoHyphens/>
      <w:spacing w:before="240" w:after="0"/>
      <w:ind w:left="720" w:hanging="720"/>
      <w:contextualSpacing/>
      <w:jc w:val="left"/>
      <w:outlineLvl w:val="6"/>
    </w:pPr>
    <w:rPr>
      <w:rFonts w:ascii="Arial" w:eastAsiaTheme="majorEastAsia" w:hAnsi="Arial" w:cstheme="majorBidi"/>
      <w:b/>
      <w:color w:val="002D73" w:themeColor="accent1"/>
    </w:rPr>
  </w:style>
  <w:style w:type="paragraph" w:styleId="Heading8">
    <w:name w:val="heading 8"/>
    <w:aliases w:val="Appendix Lvl 3"/>
    <w:basedOn w:val="Normal"/>
    <w:next w:val="Normal"/>
    <w:link w:val="Heading8Char"/>
    <w:uiPriority w:val="14"/>
    <w:qFormat/>
    <w:rsid w:val="00146CA1"/>
    <w:pPr>
      <w:keepNext/>
      <w:keepLines/>
      <w:numPr>
        <w:ilvl w:val="7"/>
        <w:numId w:val="13"/>
      </w:numPr>
      <w:tabs>
        <w:tab w:val="left" w:pos="720"/>
      </w:tabs>
      <w:suppressAutoHyphens/>
      <w:spacing w:after="0"/>
      <w:jc w:val="left"/>
      <w:outlineLvl w:val="7"/>
    </w:pPr>
    <w:rPr>
      <w:rFonts w:ascii="Arial" w:eastAsiaTheme="majorEastAsia" w:hAnsi="Arial" w:cs="Arial"/>
      <w:b/>
      <w:color w:val="002D73" w:themeColor="accent1"/>
    </w:rPr>
  </w:style>
  <w:style w:type="paragraph" w:styleId="Heading9">
    <w:name w:val="heading 9"/>
    <w:aliases w:val="Appendix Lvl 4"/>
    <w:basedOn w:val="Normal"/>
    <w:next w:val="Normal"/>
    <w:link w:val="Heading9Char"/>
    <w:uiPriority w:val="14"/>
    <w:qFormat/>
    <w:rsid w:val="00146CA1"/>
    <w:pPr>
      <w:keepNext/>
      <w:keepLines/>
      <w:tabs>
        <w:tab w:val="left" w:pos="720"/>
      </w:tabs>
      <w:suppressAutoHyphens/>
      <w:spacing w:after="0"/>
      <w:jc w:val="left"/>
      <w:outlineLvl w:val="8"/>
    </w:pPr>
    <w:rPr>
      <w:rFonts w:ascii="Arial" w:eastAsiaTheme="majorEastAsia" w:hAnsi="Arial" w:cs="Arial"/>
      <w:color w:val="002D7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over Page) Char"/>
    <w:basedOn w:val="DefaultParagraphFont"/>
    <w:link w:val="Heading1"/>
    <w:rsid w:val="00146CA1"/>
    <w:rPr>
      <w:rFonts w:ascii="Arial" w:eastAsiaTheme="minorEastAsia" w:hAnsi="Arial" w:cs="Arial"/>
      <w:color w:val="002D73" w:themeColor="accent1"/>
      <w:sz w:val="36"/>
    </w:rPr>
  </w:style>
  <w:style w:type="character" w:customStyle="1" w:styleId="Heading2Char">
    <w:name w:val="Heading 2 Char"/>
    <w:aliases w:val="Main Lvl 1 Char"/>
    <w:basedOn w:val="DefaultParagraphFont"/>
    <w:link w:val="Heading2"/>
    <w:uiPriority w:val="14"/>
    <w:rsid w:val="00146CA1"/>
    <w:rPr>
      <w:rFonts w:ascii="Arial" w:eastAsiaTheme="minorEastAsia" w:hAnsi="Arial" w:cs="Arial"/>
      <w:b/>
      <w:color w:val="FFFFFF" w:themeColor="background1"/>
      <w:sz w:val="32"/>
      <w:shd w:val="clear" w:color="auto" w:fill="002D73" w:themeFill="accent1"/>
    </w:rPr>
  </w:style>
  <w:style w:type="character" w:customStyle="1" w:styleId="Heading3Char">
    <w:name w:val="Heading 3 Char"/>
    <w:aliases w:val="Main Lvl 2 Char"/>
    <w:basedOn w:val="DefaultParagraphFont"/>
    <w:link w:val="Heading3"/>
    <w:uiPriority w:val="14"/>
    <w:rsid w:val="00146CA1"/>
    <w:rPr>
      <w:rFonts w:ascii="Arial" w:eastAsiaTheme="majorEastAsia" w:hAnsi="Arial" w:cstheme="majorBidi"/>
      <w:b/>
      <w:color w:val="002D73" w:themeColor="accent1"/>
    </w:rPr>
  </w:style>
  <w:style w:type="character" w:customStyle="1" w:styleId="Heading4Char">
    <w:name w:val="Heading 4 Char"/>
    <w:aliases w:val="Main Lvl 3 Char"/>
    <w:basedOn w:val="DefaultParagraphFont"/>
    <w:link w:val="Heading4"/>
    <w:uiPriority w:val="14"/>
    <w:rsid w:val="00146CA1"/>
    <w:rPr>
      <w:rFonts w:ascii="Arial" w:eastAsiaTheme="majorEastAsia" w:hAnsi="Arial" w:cstheme="majorBidi"/>
      <w:b/>
      <w:color w:val="002D73" w:themeColor="accent1"/>
    </w:rPr>
  </w:style>
  <w:style w:type="character" w:customStyle="1" w:styleId="Heading5Char">
    <w:name w:val="Heading 5 Char"/>
    <w:aliases w:val="Main Lvl 4 Char"/>
    <w:basedOn w:val="DefaultParagraphFont"/>
    <w:link w:val="Heading5"/>
    <w:uiPriority w:val="14"/>
    <w:rsid w:val="00146CA1"/>
    <w:rPr>
      <w:rFonts w:ascii="Arial" w:eastAsiaTheme="majorEastAsia" w:hAnsi="Arial" w:cstheme="majorBidi"/>
      <w:color w:val="002D73" w:themeColor="accent1"/>
    </w:rPr>
  </w:style>
  <w:style w:type="character" w:customStyle="1" w:styleId="Heading6Char">
    <w:name w:val="Heading 6 Char"/>
    <w:aliases w:val="Appendix Lvl 1 Char"/>
    <w:basedOn w:val="DefaultParagraphFont"/>
    <w:link w:val="Heading6"/>
    <w:uiPriority w:val="14"/>
    <w:rsid w:val="00146CA1"/>
    <w:rPr>
      <w:rFonts w:ascii="Arial" w:eastAsiaTheme="minorEastAsia" w:hAnsi="Arial" w:cs="Arial"/>
      <w:b/>
      <w:color w:val="002D73" w:themeColor="accent1"/>
      <w:sz w:val="32"/>
    </w:rPr>
  </w:style>
  <w:style w:type="character" w:customStyle="1" w:styleId="Heading7Char">
    <w:name w:val="Heading 7 Char"/>
    <w:aliases w:val="Appendix Lvl 2 Char"/>
    <w:basedOn w:val="DefaultParagraphFont"/>
    <w:link w:val="Heading7"/>
    <w:uiPriority w:val="14"/>
    <w:rsid w:val="00146CA1"/>
    <w:rPr>
      <w:rFonts w:ascii="Arial" w:eastAsiaTheme="majorEastAsia" w:hAnsi="Arial" w:cstheme="majorBidi"/>
      <w:b/>
      <w:color w:val="002D73" w:themeColor="accent1"/>
    </w:rPr>
  </w:style>
  <w:style w:type="character" w:customStyle="1" w:styleId="Heading8Char">
    <w:name w:val="Heading 8 Char"/>
    <w:aliases w:val="Appendix Lvl 3 Char"/>
    <w:basedOn w:val="DefaultParagraphFont"/>
    <w:link w:val="Heading8"/>
    <w:uiPriority w:val="14"/>
    <w:rsid w:val="00146CA1"/>
    <w:rPr>
      <w:rFonts w:ascii="Arial" w:eastAsiaTheme="majorEastAsia" w:hAnsi="Arial" w:cs="Arial"/>
      <w:b/>
      <w:color w:val="002D73" w:themeColor="accent1"/>
    </w:rPr>
  </w:style>
  <w:style w:type="character" w:customStyle="1" w:styleId="Heading9Char">
    <w:name w:val="Heading 9 Char"/>
    <w:aliases w:val="Appendix Lvl 4 Char"/>
    <w:basedOn w:val="DefaultParagraphFont"/>
    <w:link w:val="Heading9"/>
    <w:uiPriority w:val="14"/>
    <w:rsid w:val="00146CA1"/>
    <w:rPr>
      <w:rFonts w:ascii="Arial" w:eastAsiaTheme="majorEastAsia" w:hAnsi="Arial" w:cs="Arial"/>
      <w:color w:val="002D73" w:themeColor="accent1"/>
    </w:rPr>
  </w:style>
  <w:style w:type="numbering" w:customStyle="1" w:styleId="Headings">
    <w:name w:val="Headings"/>
    <w:uiPriority w:val="99"/>
    <w:rsid w:val="00146CA1"/>
    <w:pPr>
      <w:numPr>
        <w:numId w:val="1"/>
      </w:numPr>
    </w:pPr>
  </w:style>
  <w:style w:type="table" w:styleId="TableGrid">
    <w:name w:val="Table Grid"/>
    <w:basedOn w:val="TableNormal"/>
    <w:uiPriority w:val="59"/>
    <w:rsid w:val="00146C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qFormat/>
    <w:rsid w:val="00146CA1"/>
    <w:pPr>
      <w:keepNext/>
      <w:keepLines/>
      <w:spacing w:before="240" w:after="40"/>
      <w:ind w:left="1152" w:hanging="1152"/>
      <w:contextualSpacing/>
    </w:pPr>
    <w:rPr>
      <w:rFonts w:ascii="Arial" w:hAnsi="Arial"/>
      <w:b/>
      <w:bCs/>
      <w:color w:val="002D73" w:themeColor="accent1"/>
      <w:sz w:val="22"/>
      <w:szCs w:val="18"/>
    </w:rPr>
  </w:style>
  <w:style w:type="paragraph" w:customStyle="1" w:styleId="TableColumnHeading">
    <w:name w:val="Table Column Heading"/>
    <w:link w:val="TableColumnHeadingChar"/>
    <w:uiPriority w:val="39"/>
    <w:qFormat/>
    <w:rsid w:val="00146CA1"/>
    <w:pPr>
      <w:keepNext/>
      <w:spacing w:after="0"/>
      <w:jc w:val="center"/>
    </w:pPr>
    <w:rPr>
      <w:rFonts w:ascii="Arial" w:eastAsia="Times New Roman" w:hAnsi="Arial" w:cs="Times New Roman"/>
      <w:bCs/>
      <w:color w:val="FFFFFF" w:themeColor="background1"/>
      <w:sz w:val="20"/>
    </w:rPr>
  </w:style>
  <w:style w:type="paragraph" w:customStyle="1" w:styleId="TableCellGeneralText">
    <w:name w:val="Table Cell General Text"/>
    <w:link w:val="TableCellGeneralTextChar"/>
    <w:qFormat/>
    <w:rsid w:val="00615C0C"/>
    <w:pPr>
      <w:spacing w:after="0"/>
      <w:jc w:val="left"/>
    </w:pPr>
    <w:rPr>
      <w:rFonts w:eastAsia="Times New Roman" w:cs="Arial"/>
      <w:bCs/>
      <w:color w:val="000000" w:themeColor="text1"/>
      <w:sz w:val="22"/>
    </w:rPr>
  </w:style>
  <w:style w:type="character" w:customStyle="1" w:styleId="TableColumnHeadingChar">
    <w:name w:val="Table Column Heading Char"/>
    <w:basedOn w:val="DefaultParagraphFont"/>
    <w:link w:val="TableColumnHeading"/>
    <w:uiPriority w:val="39"/>
    <w:rsid w:val="00146CA1"/>
    <w:rPr>
      <w:rFonts w:ascii="Arial" w:eastAsia="Times New Roman" w:hAnsi="Arial" w:cs="Times New Roman"/>
      <w:bCs/>
      <w:color w:val="FFFFFF" w:themeColor="background1"/>
      <w:sz w:val="20"/>
    </w:rPr>
  </w:style>
  <w:style w:type="paragraph" w:customStyle="1" w:styleId="TableCellNumbers">
    <w:name w:val="Table Cell Numbers"/>
    <w:basedOn w:val="TableCellGeneralText"/>
    <w:link w:val="TableCellNumbersChar"/>
    <w:uiPriority w:val="42"/>
    <w:qFormat/>
    <w:rsid w:val="00146CA1"/>
    <w:pPr>
      <w:jc w:val="right"/>
    </w:pPr>
  </w:style>
  <w:style w:type="character" w:customStyle="1" w:styleId="TableCellGeneralTextChar">
    <w:name w:val="Table Cell General Text Char"/>
    <w:basedOn w:val="DefaultParagraphFont"/>
    <w:link w:val="TableCellGeneralText"/>
    <w:qFormat/>
    <w:rsid w:val="00615C0C"/>
    <w:rPr>
      <w:rFonts w:eastAsia="Times New Roman" w:cs="Arial"/>
      <w:bCs/>
      <w:color w:val="000000" w:themeColor="text1"/>
      <w:sz w:val="22"/>
    </w:rPr>
  </w:style>
  <w:style w:type="paragraph" w:customStyle="1" w:styleId="TableCellYear">
    <w:name w:val="Table Cell Year"/>
    <w:basedOn w:val="TableCellGeneralText"/>
    <w:link w:val="TableCellYearChar"/>
    <w:uiPriority w:val="42"/>
    <w:qFormat/>
    <w:rsid w:val="00146CA1"/>
    <w:pPr>
      <w:jc w:val="center"/>
    </w:pPr>
    <w:rPr>
      <w:bCs w:val="0"/>
    </w:rPr>
  </w:style>
  <w:style w:type="character" w:customStyle="1" w:styleId="TableCellNumbersChar">
    <w:name w:val="Table Cell Numbers Char"/>
    <w:basedOn w:val="DefaultParagraphFont"/>
    <w:link w:val="TableCellNumbers"/>
    <w:uiPriority w:val="42"/>
    <w:rsid w:val="00146CA1"/>
    <w:rPr>
      <w:rFonts w:eastAsia="Times New Roman" w:cs="Arial"/>
      <w:bCs/>
      <w:color w:val="000000" w:themeColor="text1"/>
      <w:sz w:val="20"/>
    </w:rPr>
  </w:style>
  <w:style w:type="paragraph" w:customStyle="1" w:styleId="TableNote">
    <w:name w:val="Table Note"/>
    <w:basedOn w:val="TableCellGeneralText"/>
    <w:link w:val="TableNoteChar"/>
    <w:uiPriority w:val="45"/>
    <w:qFormat/>
    <w:rsid w:val="00146CA1"/>
    <w:pPr>
      <w:spacing w:after="240"/>
      <w:contextualSpacing/>
    </w:pPr>
    <w:rPr>
      <w:sz w:val="18"/>
      <w:szCs w:val="18"/>
    </w:rPr>
  </w:style>
  <w:style w:type="character" w:customStyle="1" w:styleId="TableCellYearChar">
    <w:name w:val="Table Cell Year Char"/>
    <w:basedOn w:val="DefaultParagraphFont"/>
    <w:link w:val="TableCellYear"/>
    <w:uiPriority w:val="42"/>
    <w:rsid w:val="00146CA1"/>
    <w:rPr>
      <w:rFonts w:eastAsia="Times New Roman" w:cs="Arial"/>
      <w:color w:val="000000" w:themeColor="text1"/>
      <w:sz w:val="20"/>
    </w:rPr>
  </w:style>
  <w:style w:type="paragraph" w:customStyle="1" w:styleId="Normalaftertablelist">
    <w:name w:val="Normal after table/list"/>
    <w:basedOn w:val="Normal"/>
    <w:next w:val="Normal"/>
    <w:link w:val="NormalaftertablelistChar"/>
    <w:uiPriority w:val="20"/>
    <w:qFormat/>
    <w:rsid w:val="00146CA1"/>
    <w:pPr>
      <w:spacing w:before="240"/>
    </w:pPr>
  </w:style>
  <w:style w:type="character" w:customStyle="1" w:styleId="TableNoteChar">
    <w:name w:val="Table Note Char"/>
    <w:basedOn w:val="DefaultParagraphFont"/>
    <w:link w:val="TableNote"/>
    <w:uiPriority w:val="45"/>
    <w:rsid w:val="00146CA1"/>
    <w:rPr>
      <w:rFonts w:eastAsia="Times New Roman" w:cs="Arial"/>
      <w:bCs/>
      <w:color w:val="000000" w:themeColor="text1"/>
      <w:sz w:val="18"/>
      <w:szCs w:val="18"/>
    </w:rPr>
  </w:style>
  <w:style w:type="paragraph" w:styleId="ListParagraph">
    <w:name w:val="List Paragraph"/>
    <w:aliases w:val="Bullet List Paragraph,Proposal Bullet List,Step Style"/>
    <w:basedOn w:val="Normal"/>
    <w:link w:val="ListParagraphChar"/>
    <w:uiPriority w:val="99"/>
    <w:unhideWhenUsed/>
    <w:qFormat/>
    <w:rsid w:val="00146CA1"/>
    <w:pPr>
      <w:ind w:left="720"/>
      <w:contextualSpacing/>
    </w:pPr>
  </w:style>
  <w:style w:type="character" w:customStyle="1" w:styleId="NormalaftertablelistChar">
    <w:name w:val="Normal after table/list Char"/>
    <w:basedOn w:val="DefaultParagraphFont"/>
    <w:link w:val="Normalaftertablelist"/>
    <w:uiPriority w:val="20"/>
    <w:rsid w:val="00146CA1"/>
  </w:style>
  <w:style w:type="numbering" w:customStyle="1" w:styleId="Bulletedlist">
    <w:name w:val="Bulleted list"/>
    <w:uiPriority w:val="99"/>
    <w:rsid w:val="00146CA1"/>
    <w:pPr>
      <w:numPr>
        <w:numId w:val="2"/>
      </w:numPr>
    </w:pPr>
  </w:style>
  <w:style w:type="paragraph" w:styleId="ListContinue">
    <w:name w:val="List Continue"/>
    <w:basedOn w:val="Normal"/>
    <w:uiPriority w:val="26"/>
    <w:rsid w:val="00146CA1"/>
    <w:pPr>
      <w:spacing w:before="120" w:after="0"/>
      <w:ind w:left="720"/>
    </w:pPr>
  </w:style>
  <w:style w:type="paragraph" w:styleId="ListBullet">
    <w:name w:val="List Bullet"/>
    <w:basedOn w:val="Normal"/>
    <w:link w:val="ListBulletChar"/>
    <w:uiPriority w:val="24"/>
    <w:qFormat/>
    <w:rsid w:val="00146CA1"/>
    <w:pPr>
      <w:numPr>
        <w:numId w:val="8"/>
      </w:numPr>
      <w:spacing w:before="120" w:after="0"/>
      <w:contextualSpacing/>
    </w:pPr>
  </w:style>
  <w:style w:type="paragraph" w:styleId="ListBullet2">
    <w:name w:val="List Bullet 2"/>
    <w:basedOn w:val="ListBullet"/>
    <w:link w:val="ListBullet2Char"/>
    <w:uiPriority w:val="24"/>
    <w:rsid w:val="00146CA1"/>
    <w:pPr>
      <w:numPr>
        <w:ilvl w:val="1"/>
      </w:numPr>
    </w:pPr>
  </w:style>
  <w:style w:type="paragraph" w:styleId="ListBullet3">
    <w:name w:val="List Bullet 3"/>
    <w:basedOn w:val="ListBullet2"/>
    <w:link w:val="ListBullet3Char"/>
    <w:uiPriority w:val="24"/>
    <w:rsid w:val="00146CA1"/>
    <w:pPr>
      <w:numPr>
        <w:ilvl w:val="2"/>
      </w:numPr>
    </w:pPr>
  </w:style>
  <w:style w:type="paragraph" w:styleId="ListBullet4">
    <w:name w:val="List Bullet 4"/>
    <w:basedOn w:val="ListBullet3"/>
    <w:link w:val="ListBullet4Char"/>
    <w:uiPriority w:val="24"/>
    <w:rsid w:val="00146CA1"/>
    <w:pPr>
      <w:numPr>
        <w:ilvl w:val="3"/>
      </w:numPr>
    </w:pPr>
  </w:style>
  <w:style w:type="paragraph" w:styleId="ListBullet5">
    <w:name w:val="List Bullet 5"/>
    <w:basedOn w:val="ListBullet4"/>
    <w:link w:val="ListBullet5Char"/>
    <w:uiPriority w:val="24"/>
    <w:rsid w:val="00146CA1"/>
    <w:pPr>
      <w:numPr>
        <w:ilvl w:val="4"/>
      </w:numPr>
    </w:pPr>
  </w:style>
  <w:style w:type="paragraph" w:styleId="ListContinue2">
    <w:name w:val="List Continue 2"/>
    <w:basedOn w:val="Normal"/>
    <w:uiPriority w:val="26"/>
    <w:rsid w:val="00146CA1"/>
    <w:pPr>
      <w:spacing w:before="120" w:after="0"/>
      <w:ind w:left="1440"/>
    </w:pPr>
  </w:style>
  <w:style w:type="character" w:customStyle="1" w:styleId="ListBulletChar">
    <w:name w:val="List Bullet Char"/>
    <w:basedOn w:val="DefaultParagraphFont"/>
    <w:link w:val="ListBullet"/>
    <w:uiPriority w:val="24"/>
    <w:rsid w:val="00146CA1"/>
  </w:style>
  <w:style w:type="paragraph" w:styleId="ListContinue3">
    <w:name w:val="List Continue 3"/>
    <w:basedOn w:val="Normal"/>
    <w:uiPriority w:val="26"/>
    <w:rsid w:val="00146CA1"/>
    <w:pPr>
      <w:spacing w:before="120" w:after="0"/>
      <w:ind w:left="1440"/>
    </w:pPr>
  </w:style>
  <w:style w:type="paragraph" w:styleId="ListContinue4">
    <w:name w:val="List Continue 4"/>
    <w:basedOn w:val="Normal"/>
    <w:uiPriority w:val="26"/>
    <w:rsid w:val="00146CA1"/>
    <w:pPr>
      <w:spacing w:before="120" w:after="0"/>
      <w:ind w:left="2160"/>
    </w:pPr>
  </w:style>
  <w:style w:type="character" w:customStyle="1" w:styleId="ListBullet2Char">
    <w:name w:val="List Bullet 2 Char"/>
    <w:basedOn w:val="DefaultParagraphFont"/>
    <w:link w:val="ListBullet2"/>
    <w:uiPriority w:val="24"/>
    <w:rsid w:val="00146CA1"/>
  </w:style>
  <w:style w:type="paragraph" w:styleId="ListContinue5">
    <w:name w:val="List Continue 5"/>
    <w:basedOn w:val="Normal"/>
    <w:uiPriority w:val="26"/>
    <w:rsid w:val="00146CA1"/>
    <w:pPr>
      <w:spacing w:before="120" w:after="0"/>
      <w:ind w:left="2880"/>
    </w:pPr>
  </w:style>
  <w:style w:type="character" w:customStyle="1" w:styleId="ListBullet3Char">
    <w:name w:val="List Bullet 3 Char"/>
    <w:basedOn w:val="DefaultParagraphFont"/>
    <w:link w:val="ListBullet3"/>
    <w:uiPriority w:val="24"/>
    <w:rsid w:val="00146CA1"/>
  </w:style>
  <w:style w:type="character" w:customStyle="1" w:styleId="ListBullet4Char">
    <w:name w:val="List Bullet 4 Char"/>
    <w:basedOn w:val="DefaultParagraphFont"/>
    <w:link w:val="ListBullet4"/>
    <w:uiPriority w:val="24"/>
    <w:rsid w:val="00146CA1"/>
  </w:style>
  <w:style w:type="character" w:styleId="PlaceholderText">
    <w:name w:val="Placeholder Text"/>
    <w:basedOn w:val="DefaultParagraphFont"/>
    <w:uiPriority w:val="99"/>
    <w:semiHidden/>
    <w:rsid w:val="00146CA1"/>
    <w:rPr>
      <w:color w:val="808080"/>
    </w:rPr>
  </w:style>
  <w:style w:type="paragraph" w:styleId="BalloonText">
    <w:name w:val="Balloon Text"/>
    <w:basedOn w:val="Normal"/>
    <w:link w:val="BalloonTextChar"/>
    <w:uiPriority w:val="99"/>
    <w:semiHidden/>
    <w:unhideWhenUsed/>
    <w:rsid w:val="00146C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CA1"/>
    <w:rPr>
      <w:rFonts w:ascii="Tahoma" w:hAnsi="Tahoma" w:cs="Tahoma"/>
      <w:sz w:val="16"/>
      <w:szCs w:val="16"/>
    </w:rPr>
  </w:style>
  <w:style w:type="paragraph" w:customStyle="1" w:styleId="CoverLetterText">
    <w:name w:val="Cover Letter Text"/>
    <w:link w:val="CoverLetterTextChar"/>
    <w:uiPriority w:val="4"/>
    <w:qFormat/>
    <w:rsid w:val="00146CA1"/>
    <w:pPr>
      <w:tabs>
        <w:tab w:val="right" w:pos="9360"/>
      </w:tabs>
      <w:spacing w:before="240"/>
    </w:pPr>
  </w:style>
  <w:style w:type="character" w:customStyle="1" w:styleId="CoverLetterTextChar">
    <w:name w:val="Cover Letter Text Char"/>
    <w:basedOn w:val="DefaultParagraphFont"/>
    <w:link w:val="CoverLetterText"/>
    <w:uiPriority w:val="4"/>
    <w:rsid w:val="00146CA1"/>
  </w:style>
  <w:style w:type="paragraph" w:customStyle="1" w:styleId="Normalbeforebulletedlist">
    <w:name w:val="Normal before bulleted list"/>
    <w:basedOn w:val="Normal"/>
    <w:next w:val="ListBullet"/>
    <w:link w:val="NormalbeforebulletedlistChar"/>
    <w:uiPriority w:val="19"/>
    <w:qFormat/>
    <w:rsid w:val="00146CA1"/>
    <w:pPr>
      <w:keepNext/>
      <w:spacing w:after="120"/>
    </w:pPr>
  </w:style>
  <w:style w:type="paragraph" w:styleId="Footer">
    <w:name w:val="footer"/>
    <w:link w:val="FooterChar"/>
    <w:uiPriority w:val="94"/>
    <w:unhideWhenUsed/>
    <w:rsid w:val="00146CA1"/>
    <w:pPr>
      <w:tabs>
        <w:tab w:val="center" w:pos="4680"/>
        <w:tab w:val="right" w:pos="10080"/>
      </w:tabs>
      <w:spacing w:after="0"/>
      <w:ind w:left="-720" w:right="-720"/>
      <w:jc w:val="left"/>
    </w:pPr>
    <w:rPr>
      <w:rFonts w:ascii="Arial" w:eastAsia="MS Mincho" w:hAnsi="Arial" w:cs="Arial"/>
      <w:noProof/>
      <w:color w:val="24366F"/>
      <w:sz w:val="16"/>
      <w:szCs w:val="16"/>
    </w:rPr>
  </w:style>
  <w:style w:type="character" w:customStyle="1" w:styleId="FooterChar">
    <w:name w:val="Footer Char"/>
    <w:basedOn w:val="DefaultParagraphFont"/>
    <w:link w:val="Footer"/>
    <w:uiPriority w:val="94"/>
    <w:rsid w:val="00146CA1"/>
    <w:rPr>
      <w:rFonts w:ascii="Arial" w:eastAsia="MS Mincho" w:hAnsi="Arial" w:cs="Arial"/>
      <w:noProof/>
      <w:color w:val="24366F"/>
      <w:sz w:val="16"/>
      <w:szCs w:val="16"/>
    </w:rPr>
  </w:style>
  <w:style w:type="paragraph" w:customStyle="1" w:styleId="Footer-PageNumber">
    <w:name w:val="Footer - Page Number"/>
    <w:basedOn w:val="Footer"/>
    <w:next w:val="Footer"/>
    <w:link w:val="Footer-PageNumberChar"/>
    <w:uiPriority w:val="94"/>
    <w:qFormat/>
    <w:rsid w:val="00146CA1"/>
    <w:rPr>
      <w:b/>
      <w:position w:val="-12"/>
    </w:rPr>
  </w:style>
  <w:style w:type="paragraph" w:customStyle="1" w:styleId="Footer-Econometrica">
    <w:name w:val="Footer - Econometrica"/>
    <w:aliases w:val="Inc."/>
    <w:basedOn w:val="Footer"/>
    <w:link w:val="Footer-EconometricaChar"/>
    <w:uiPriority w:val="94"/>
    <w:qFormat/>
    <w:rsid w:val="00146CA1"/>
  </w:style>
  <w:style w:type="character" w:customStyle="1" w:styleId="Footer-PageNumberChar">
    <w:name w:val="Footer - Page Number Char"/>
    <w:basedOn w:val="DefaultParagraphFont"/>
    <w:link w:val="Footer-PageNumber"/>
    <w:uiPriority w:val="94"/>
    <w:rsid w:val="00146CA1"/>
    <w:rPr>
      <w:rFonts w:ascii="Arial" w:eastAsia="MS Mincho" w:hAnsi="Arial" w:cs="Arial"/>
      <w:b/>
      <w:noProof/>
      <w:color w:val="24366F"/>
      <w:position w:val="-12"/>
      <w:sz w:val="16"/>
      <w:szCs w:val="16"/>
    </w:rPr>
  </w:style>
  <w:style w:type="paragraph" w:customStyle="1" w:styleId="Footer-Date">
    <w:name w:val="Footer - Date"/>
    <w:basedOn w:val="Footer"/>
    <w:link w:val="Footer-DateChar"/>
    <w:uiPriority w:val="94"/>
    <w:qFormat/>
    <w:rsid w:val="00146CA1"/>
  </w:style>
  <w:style w:type="character" w:customStyle="1" w:styleId="Footer-EconometricaChar">
    <w:name w:val="Footer - Econometrica Char"/>
    <w:aliases w:val="Inc. Char"/>
    <w:basedOn w:val="DefaultParagraphFont"/>
    <w:link w:val="Footer-Econometrica"/>
    <w:uiPriority w:val="94"/>
    <w:rsid w:val="00146CA1"/>
    <w:rPr>
      <w:rFonts w:ascii="Arial" w:eastAsia="MS Mincho" w:hAnsi="Arial" w:cs="Arial"/>
      <w:noProof/>
      <w:color w:val="24366F"/>
      <w:sz w:val="16"/>
      <w:szCs w:val="16"/>
    </w:rPr>
  </w:style>
  <w:style w:type="paragraph" w:customStyle="1" w:styleId="BasicParagraph">
    <w:name w:val="[Basic Paragraph]"/>
    <w:basedOn w:val="Normal"/>
    <w:link w:val="BasicParagraphChar"/>
    <w:uiPriority w:val="99"/>
    <w:unhideWhenUsed/>
    <w:rsid w:val="00146CA1"/>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uiPriority w:val="94"/>
    <w:rsid w:val="00146CA1"/>
    <w:rPr>
      <w:rFonts w:ascii="Arial" w:eastAsia="MS Mincho" w:hAnsi="Arial" w:cs="Arial"/>
      <w:noProof/>
      <w:color w:val="24366F"/>
      <w:sz w:val="16"/>
      <w:szCs w:val="16"/>
    </w:rPr>
  </w:style>
  <w:style w:type="character" w:customStyle="1" w:styleId="BasicParagraphChar">
    <w:name w:val="[Basic Paragraph] Char"/>
    <w:basedOn w:val="DefaultParagraphFont"/>
    <w:link w:val="BasicParagraph"/>
    <w:uiPriority w:val="99"/>
    <w:rsid w:val="00146CA1"/>
    <w:rPr>
      <w:rFonts w:eastAsia="Times New Roman" w:cs="Times New Roman"/>
      <w:color w:val="000000"/>
    </w:rPr>
  </w:style>
  <w:style w:type="paragraph" w:customStyle="1" w:styleId="Cover-2ProjectName">
    <w:name w:val="Cover - 2. Project Name"/>
    <w:basedOn w:val="Normal"/>
    <w:link w:val="Cover-2ProjectNameChar"/>
    <w:uiPriority w:val="1"/>
    <w:qFormat/>
    <w:rsid w:val="00146CA1"/>
    <w:pPr>
      <w:suppressAutoHyphens/>
      <w:spacing w:before="500" w:after="0"/>
      <w:contextualSpacing/>
      <w:jc w:val="left"/>
    </w:pPr>
    <w:rPr>
      <w:rFonts w:ascii="Arial" w:eastAsia="Times New Roman" w:hAnsi="Arial" w:cs="Arial"/>
      <w:b/>
      <w:color w:val="002D73" w:themeColor="accent1"/>
      <w:sz w:val="40"/>
    </w:rPr>
  </w:style>
  <w:style w:type="character" w:customStyle="1" w:styleId="Cover-2ProjectNameChar">
    <w:name w:val="Cover - 2. Project Name Char"/>
    <w:basedOn w:val="DefaultParagraphFont"/>
    <w:link w:val="Cover-2ProjectName"/>
    <w:uiPriority w:val="1"/>
    <w:rsid w:val="00146CA1"/>
    <w:rPr>
      <w:rFonts w:ascii="Arial" w:eastAsia="Times New Roman" w:hAnsi="Arial" w:cs="Arial"/>
      <w:b/>
      <w:color w:val="002D73" w:themeColor="accent1"/>
      <w:sz w:val="40"/>
    </w:rPr>
  </w:style>
  <w:style w:type="character" w:styleId="Hyperlink">
    <w:name w:val="Hyperlink"/>
    <w:basedOn w:val="DefaultParagraphFont"/>
    <w:uiPriority w:val="99"/>
    <w:unhideWhenUsed/>
    <w:rsid w:val="00146CA1"/>
    <w:rPr>
      <w:color w:val="00AEEF" w:themeColor="hyperlink"/>
      <w:u w:val="single"/>
    </w:rPr>
  </w:style>
  <w:style w:type="paragraph" w:styleId="TOCHeading">
    <w:name w:val="TOC Heading"/>
    <w:basedOn w:val="Heading2"/>
    <w:next w:val="Normal"/>
    <w:uiPriority w:val="49"/>
    <w:qFormat/>
    <w:rsid w:val="00146CA1"/>
    <w:pPr>
      <w:numPr>
        <w:numId w:val="0"/>
      </w:numPr>
      <w:pBdr>
        <w:top w:val="none" w:sz="0" w:space="0" w:color="auto"/>
        <w:left w:val="none" w:sz="0" w:space="0" w:color="auto"/>
        <w:bottom w:val="single" w:sz="24" w:space="4" w:color="00AEEF" w:themeColor="text2"/>
      </w:pBdr>
      <w:shd w:val="clear" w:color="auto" w:fill="auto"/>
      <w:spacing w:before="0"/>
    </w:pPr>
    <w:rPr>
      <w:rFonts w:eastAsiaTheme="majorEastAsia"/>
      <w:color w:val="002D73" w:themeColor="accent1"/>
    </w:rPr>
  </w:style>
  <w:style w:type="paragraph" w:styleId="TOC1">
    <w:name w:val="toc 1"/>
    <w:basedOn w:val="Normal"/>
    <w:next w:val="Normal"/>
    <w:autoRedefine/>
    <w:uiPriority w:val="50"/>
    <w:unhideWhenUsed/>
    <w:rsid w:val="00146CA1"/>
    <w:pPr>
      <w:tabs>
        <w:tab w:val="left" w:pos="274"/>
        <w:tab w:val="right" w:leader="dot" w:pos="9360"/>
      </w:tabs>
      <w:spacing w:before="240" w:after="0"/>
      <w:ind w:left="274" w:hanging="274"/>
    </w:pPr>
    <w:rPr>
      <w:b/>
      <w:smallCaps/>
      <w:noProof/>
    </w:rPr>
  </w:style>
  <w:style w:type="paragraph" w:styleId="TOC2">
    <w:name w:val="toc 2"/>
    <w:next w:val="Normal"/>
    <w:autoRedefine/>
    <w:uiPriority w:val="50"/>
    <w:unhideWhenUsed/>
    <w:rsid w:val="00146CA1"/>
    <w:pPr>
      <w:tabs>
        <w:tab w:val="left" w:pos="720"/>
        <w:tab w:val="right" w:leader="dot" w:pos="9360"/>
      </w:tabs>
      <w:spacing w:before="120" w:after="0"/>
      <w:ind w:left="994" w:hanging="720"/>
    </w:pPr>
    <w:rPr>
      <w:smallCaps/>
      <w:noProof/>
    </w:rPr>
  </w:style>
  <w:style w:type="paragraph" w:customStyle="1" w:styleId="Call-OutBoxText">
    <w:name w:val="Call-Out Box Text"/>
    <w:link w:val="Call-OutBoxTextChar"/>
    <w:uiPriority w:val="31"/>
    <w:qFormat/>
    <w:rsid w:val="00146CA1"/>
    <w:pPr>
      <w:spacing w:before="60" w:after="0"/>
    </w:pPr>
    <w:rPr>
      <w:rFonts w:ascii="Arial" w:hAnsi="Arial" w:cs="Arial"/>
      <w:color w:val="FFFFFF" w:themeColor="background1"/>
      <w:sz w:val="20"/>
    </w:rPr>
  </w:style>
  <w:style w:type="paragraph" w:customStyle="1" w:styleId="ResumeIndex-CompanyName">
    <w:name w:val="Resume Index - Company Name"/>
    <w:link w:val="ResumeIndex-CompanyNameChar"/>
    <w:uiPriority w:val="78"/>
    <w:qFormat/>
    <w:rsid w:val="00146CA1"/>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31"/>
    <w:rsid w:val="00146CA1"/>
    <w:rPr>
      <w:rFonts w:ascii="Arial" w:hAnsi="Arial" w:cs="Arial"/>
      <w:color w:val="FFFFFF" w:themeColor="background1"/>
      <w:sz w:val="20"/>
    </w:rPr>
  </w:style>
  <w:style w:type="paragraph" w:customStyle="1" w:styleId="Resume-1Name">
    <w:name w:val="Resume - 1. Name"/>
    <w:link w:val="Resume-1NameChar"/>
    <w:uiPriority w:val="69"/>
    <w:qFormat/>
    <w:rsid w:val="00146CA1"/>
    <w:pPr>
      <w:spacing w:after="0"/>
    </w:pPr>
    <w:rPr>
      <w:b/>
      <w:smallCaps/>
    </w:rPr>
  </w:style>
  <w:style w:type="character" w:customStyle="1" w:styleId="ResumeIndex-CompanyNameChar">
    <w:name w:val="Resume Index - Company Name Char"/>
    <w:basedOn w:val="DefaultParagraphFont"/>
    <w:link w:val="ResumeIndex-CompanyName"/>
    <w:uiPriority w:val="78"/>
    <w:rsid w:val="00146CA1"/>
    <w:rPr>
      <w:rFonts w:eastAsia="Times New Roman" w:cs="Times New Roman"/>
      <w:b/>
      <w:i/>
      <w:smallCaps/>
    </w:rPr>
  </w:style>
  <w:style w:type="paragraph" w:customStyle="1" w:styleId="ResumeIndex-StaffNames">
    <w:name w:val="Resume Index - Staff Names"/>
    <w:uiPriority w:val="78"/>
    <w:qFormat/>
    <w:rsid w:val="00146CA1"/>
    <w:pPr>
      <w:numPr>
        <w:numId w:val="3"/>
      </w:numPr>
      <w:spacing w:before="120" w:after="120"/>
      <w:ind w:left="3240"/>
      <w:jc w:val="left"/>
    </w:pPr>
    <w:rPr>
      <w:rFonts w:eastAsia="Times New Roman" w:cs="Times New Roman"/>
      <w:i/>
    </w:rPr>
  </w:style>
  <w:style w:type="paragraph" w:customStyle="1" w:styleId="Resume-2RoleLaborCategory">
    <w:name w:val="Resume - 2. Role/Labor Category"/>
    <w:basedOn w:val="Resume-1Name"/>
    <w:link w:val="Resume-2RoleLaborCategoryChar"/>
    <w:uiPriority w:val="69"/>
    <w:qFormat/>
    <w:rsid w:val="00146CA1"/>
    <w:pPr>
      <w:pBdr>
        <w:bottom w:val="single" w:sz="12" w:space="1" w:color="002D73" w:themeColor="accent1"/>
      </w:pBdr>
      <w:tabs>
        <w:tab w:val="right" w:pos="9360"/>
      </w:tabs>
      <w:spacing w:after="240"/>
    </w:pPr>
    <w:rPr>
      <w:smallCaps w:val="0"/>
    </w:rPr>
  </w:style>
  <w:style w:type="character" w:customStyle="1" w:styleId="Resume-1NameChar">
    <w:name w:val="Resume - 1. Name Char"/>
    <w:basedOn w:val="DefaultParagraphFont"/>
    <w:link w:val="Resume-1Name"/>
    <w:uiPriority w:val="69"/>
    <w:rsid w:val="00146CA1"/>
    <w:rPr>
      <w:b/>
      <w:smallCaps/>
    </w:rPr>
  </w:style>
  <w:style w:type="character" w:customStyle="1" w:styleId="Resume-2RoleLaborCategoryChar">
    <w:name w:val="Resume - 2. Role/Labor Category Char"/>
    <w:basedOn w:val="DefaultParagraphFont"/>
    <w:link w:val="Resume-2RoleLaborCategory"/>
    <w:uiPriority w:val="69"/>
    <w:rsid w:val="00146CA1"/>
    <w:rPr>
      <w:b/>
    </w:rPr>
  </w:style>
  <w:style w:type="numbering" w:customStyle="1" w:styleId="ResumeBullets">
    <w:name w:val="Resume Bullets"/>
    <w:uiPriority w:val="99"/>
    <w:rsid w:val="00146CA1"/>
    <w:pPr>
      <w:numPr>
        <w:numId w:val="4"/>
      </w:numPr>
    </w:pPr>
  </w:style>
  <w:style w:type="character" w:customStyle="1" w:styleId="ListParagraphChar">
    <w:name w:val="List Paragraph Char"/>
    <w:aliases w:val="Bullet List Paragraph Char,Proposal Bullet List Char,Step Style Char"/>
    <w:basedOn w:val="DefaultParagraphFont"/>
    <w:link w:val="ListParagraph"/>
    <w:uiPriority w:val="99"/>
    <w:rsid w:val="00146CA1"/>
  </w:style>
  <w:style w:type="table" w:customStyle="1" w:styleId="TableGrid1">
    <w:name w:val="Table Grid1"/>
    <w:basedOn w:val="TableNormal"/>
    <w:next w:val="TableGrid"/>
    <w:uiPriority w:val="59"/>
    <w:rsid w:val="00146CA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Table-HighlightsCheckmarks">
    <w:name w:val="PP Table - Highlights Checkmarks"/>
    <w:basedOn w:val="SkillsMatrixCheck"/>
    <w:link w:val="PPTable-HighlightsCheckmarksChar"/>
    <w:uiPriority w:val="74"/>
    <w:qFormat/>
    <w:rsid w:val="00146CA1"/>
    <w:pPr>
      <w:numPr>
        <w:numId w:val="5"/>
      </w:numPr>
      <w:ind w:left="288" w:hanging="288"/>
      <w:jc w:val="left"/>
    </w:pPr>
    <w:rPr>
      <w:rFonts w:ascii="Times New Roman" w:hAnsi="Times New Roman"/>
    </w:rPr>
  </w:style>
  <w:style w:type="character" w:customStyle="1" w:styleId="PPTable-HighlightsCheckmarksChar">
    <w:name w:val="PP Table - Highlights Checkmarks Char"/>
    <w:basedOn w:val="DefaultParagraphFont"/>
    <w:link w:val="PPTable-HighlightsCheckmarks"/>
    <w:uiPriority w:val="74"/>
    <w:rsid w:val="00146CA1"/>
    <w:rPr>
      <w:rFonts w:eastAsia="Times New Roman" w:cs="Times New Roman"/>
      <w:color w:val="000000" w:themeColor="text1"/>
      <w:sz w:val="20"/>
    </w:rPr>
  </w:style>
  <w:style w:type="paragraph" w:styleId="Header">
    <w:name w:val="header"/>
    <w:aliases w:val="Top Row"/>
    <w:basedOn w:val="Normal"/>
    <w:next w:val="Header-BottomRow"/>
    <w:link w:val="HeaderChar"/>
    <w:uiPriority w:val="89"/>
    <w:rsid w:val="00146CA1"/>
    <w:pPr>
      <w:widowControl w:val="0"/>
      <w:pBdr>
        <w:bottom w:val="single" w:sz="12" w:space="1" w:color="00AEEF" w:themeColor="text2"/>
      </w:pBdr>
      <w:tabs>
        <w:tab w:val="right" w:pos="10080"/>
      </w:tabs>
      <w:autoSpaceDE w:val="0"/>
      <w:autoSpaceDN w:val="0"/>
      <w:adjustRightInd w:val="0"/>
      <w:spacing w:after="0"/>
      <w:ind w:left="-720" w:right="-720"/>
      <w:jc w:val="left"/>
      <w:textAlignment w:val="center"/>
    </w:pPr>
    <w:rPr>
      <w:rFonts w:ascii="Arial" w:eastAsia="Times New Roman" w:hAnsi="Arial" w:cs="Arial"/>
      <w:b/>
      <w:noProof/>
      <w:color w:val="002D73" w:themeColor="accent1"/>
      <w:sz w:val="20"/>
      <w:szCs w:val="20"/>
    </w:rPr>
  </w:style>
  <w:style w:type="character" w:customStyle="1" w:styleId="NormalbeforebulletedlistChar">
    <w:name w:val="Normal before bulleted list Char"/>
    <w:basedOn w:val="DefaultParagraphFont"/>
    <w:link w:val="Normalbeforebulletedlist"/>
    <w:uiPriority w:val="19"/>
    <w:rsid w:val="00146CA1"/>
  </w:style>
  <w:style w:type="character" w:customStyle="1" w:styleId="HeaderChar">
    <w:name w:val="Header Char"/>
    <w:aliases w:val="Top Row Char"/>
    <w:basedOn w:val="DefaultParagraphFont"/>
    <w:link w:val="Header"/>
    <w:uiPriority w:val="89"/>
    <w:rsid w:val="00146CA1"/>
    <w:rPr>
      <w:rFonts w:ascii="Arial" w:eastAsia="Times New Roman" w:hAnsi="Arial" w:cs="Arial"/>
      <w:b/>
      <w:noProof/>
      <w:color w:val="002D73" w:themeColor="accent1"/>
      <w:sz w:val="20"/>
      <w:szCs w:val="20"/>
    </w:rPr>
  </w:style>
  <w:style w:type="paragraph" w:customStyle="1" w:styleId="Resume-3CoreCapabilitiesBoxHeading">
    <w:name w:val="Resume - 3. Core Capabilities Box Heading"/>
    <w:next w:val="Resume-4CoreCapabilitiesBoxCheckmarks"/>
    <w:link w:val="Resume-3CoreCapabilitiesBoxHeadingChar"/>
    <w:uiPriority w:val="69"/>
    <w:qFormat/>
    <w:rsid w:val="00146CA1"/>
    <w:pPr>
      <w:spacing w:after="60"/>
      <w:jc w:val="left"/>
    </w:pPr>
    <w:rPr>
      <w:rFonts w:ascii="Times New Roman Bold" w:hAnsi="Times New Roman Bold" w:cs="Times New Roman"/>
      <w:b/>
      <w:smallCaps/>
      <w:color w:val="000000" w:themeColor="text1"/>
      <w:sz w:val="20"/>
      <w:szCs w:val="18"/>
    </w:rPr>
  </w:style>
  <w:style w:type="paragraph" w:customStyle="1" w:styleId="Resume-4CoreCapabilitiesBoxCheckmarks">
    <w:name w:val="Resume - 4. Core Capabilities Box Checkmarks"/>
    <w:link w:val="Resume-4CoreCapabilitiesBoxCheckmarksChar"/>
    <w:uiPriority w:val="69"/>
    <w:qFormat/>
    <w:rsid w:val="00146CA1"/>
    <w:pPr>
      <w:numPr>
        <w:numId w:val="6"/>
      </w:numPr>
      <w:spacing w:after="60"/>
      <w:ind w:left="432" w:hanging="216"/>
      <w:contextualSpacing/>
      <w:jc w:val="left"/>
    </w:pPr>
    <w:rPr>
      <w:b/>
      <w:sz w:val="18"/>
      <w:szCs w:val="18"/>
    </w:rPr>
  </w:style>
  <w:style w:type="character" w:customStyle="1" w:styleId="Resume-3CoreCapabilitiesBoxHeadingChar">
    <w:name w:val="Resume - 3. Core Capabilities Box Heading Char"/>
    <w:basedOn w:val="DefaultParagraphFont"/>
    <w:link w:val="Resume-3CoreCapabilitiesBoxHeading"/>
    <w:uiPriority w:val="69"/>
    <w:rsid w:val="00146CA1"/>
    <w:rPr>
      <w:rFonts w:ascii="Times New Roman Bold" w:hAnsi="Times New Roman Bold" w:cs="Times New Roman"/>
      <w:b/>
      <w:smallCaps/>
      <w:color w:val="000000" w:themeColor="text1"/>
      <w:sz w:val="20"/>
      <w:szCs w:val="18"/>
    </w:rPr>
  </w:style>
  <w:style w:type="character" w:customStyle="1" w:styleId="Resume-4CoreCapabilitiesBoxCheckmarksChar">
    <w:name w:val="Resume - 4. Core Capabilities Box Checkmarks Char"/>
    <w:basedOn w:val="ListParagraphChar"/>
    <w:link w:val="Resume-4CoreCapabilitiesBoxCheckmarks"/>
    <w:uiPriority w:val="69"/>
    <w:rsid w:val="00146CA1"/>
    <w:rPr>
      <w:b/>
      <w:sz w:val="18"/>
      <w:szCs w:val="18"/>
    </w:rPr>
  </w:style>
  <w:style w:type="paragraph" w:styleId="TOC3">
    <w:name w:val="toc 3"/>
    <w:basedOn w:val="Normal"/>
    <w:next w:val="Normal"/>
    <w:autoRedefine/>
    <w:uiPriority w:val="50"/>
    <w:unhideWhenUsed/>
    <w:rsid w:val="00146CA1"/>
    <w:pPr>
      <w:spacing w:before="120" w:after="0"/>
      <w:ind w:left="475"/>
      <w:contextualSpacing/>
    </w:pPr>
  </w:style>
  <w:style w:type="paragraph" w:customStyle="1" w:styleId="ESHeading2">
    <w:name w:val="ES Heading 2"/>
    <w:basedOn w:val="Heading3"/>
    <w:next w:val="Normal"/>
    <w:link w:val="ESHeading2Char"/>
    <w:uiPriority w:val="11"/>
    <w:qFormat/>
    <w:rsid w:val="00146CA1"/>
    <w:pPr>
      <w:numPr>
        <w:numId w:val="14"/>
      </w:numPr>
    </w:pPr>
    <w:rPr>
      <w:sz w:val="32"/>
    </w:rPr>
  </w:style>
  <w:style w:type="paragraph" w:customStyle="1" w:styleId="ESHeading1">
    <w:name w:val="ES Heading 1"/>
    <w:basedOn w:val="Heading2"/>
    <w:next w:val="Normal"/>
    <w:link w:val="ESHeading1Char"/>
    <w:uiPriority w:val="11"/>
    <w:qFormat/>
    <w:rsid w:val="00146CA1"/>
    <w:pPr>
      <w:numPr>
        <w:numId w:val="14"/>
      </w:numPr>
      <w:tabs>
        <w:tab w:val="clear" w:pos="475"/>
      </w:tabs>
      <w:spacing w:before="0"/>
      <w:ind w:left="-1440" w:firstLine="1440"/>
    </w:pPr>
  </w:style>
  <w:style w:type="character" w:customStyle="1" w:styleId="ESHeading2Char">
    <w:name w:val="ES Heading 2 Char"/>
    <w:basedOn w:val="Heading2Char"/>
    <w:link w:val="ESHeading2"/>
    <w:uiPriority w:val="11"/>
    <w:rsid w:val="00146CA1"/>
    <w:rPr>
      <w:rFonts w:ascii="Arial" w:eastAsiaTheme="majorEastAsia" w:hAnsi="Arial" w:cstheme="majorBidi"/>
      <w:b/>
      <w:color w:val="002D73" w:themeColor="accent1"/>
      <w:sz w:val="32"/>
      <w:shd w:val="clear" w:color="auto" w:fill="002D73" w:themeFill="accent1"/>
    </w:rPr>
  </w:style>
  <w:style w:type="paragraph" w:customStyle="1" w:styleId="ESHeading3">
    <w:name w:val="ES Heading 3"/>
    <w:basedOn w:val="Heading4"/>
    <w:next w:val="Normal"/>
    <w:link w:val="ESHeading3Char"/>
    <w:uiPriority w:val="11"/>
    <w:qFormat/>
    <w:rsid w:val="00146CA1"/>
    <w:pPr>
      <w:numPr>
        <w:numId w:val="14"/>
      </w:numPr>
      <w:tabs>
        <w:tab w:val="clear" w:pos="720"/>
        <w:tab w:val="left" w:pos="1080"/>
      </w:tabs>
    </w:pPr>
  </w:style>
  <w:style w:type="character" w:customStyle="1" w:styleId="ESHeading1Char">
    <w:name w:val="ES Heading 1 Char"/>
    <w:basedOn w:val="Heading1Char"/>
    <w:link w:val="ESHeading1"/>
    <w:uiPriority w:val="11"/>
    <w:rsid w:val="00146CA1"/>
    <w:rPr>
      <w:rFonts w:ascii="Arial" w:eastAsiaTheme="minorEastAsia" w:hAnsi="Arial" w:cs="Arial"/>
      <w:b/>
      <w:color w:val="FFFFFF" w:themeColor="background1"/>
      <w:sz w:val="32"/>
      <w:shd w:val="clear" w:color="auto" w:fill="002D73" w:themeFill="accent1"/>
    </w:rPr>
  </w:style>
  <w:style w:type="paragraph" w:customStyle="1" w:styleId="ESHeading4">
    <w:name w:val="ES Heading 4"/>
    <w:basedOn w:val="Heading5"/>
    <w:next w:val="Normal"/>
    <w:link w:val="ESHeading4Char"/>
    <w:uiPriority w:val="11"/>
    <w:qFormat/>
    <w:rsid w:val="00146CA1"/>
  </w:style>
  <w:style w:type="character" w:customStyle="1" w:styleId="ESHeading3Char">
    <w:name w:val="ES Heading 3 Char"/>
    <w:basedOn w:val="Heading3Char"/>
    <w:link w:val="ESHeading3"/>
    <w:uiPriority w:val="11"/>
    <w:rsid w:val="00146CA1"/>
    <w:rPr>
      <w:rFonts w:ascii="Arial" w:eastAsiaTheme="majorEastAsia" w:hAnsi="Arial" w:cstheme="majorBidi"/>
      <w:b/>
      <w:color w:val="002D73" w:themeColor="accent1"/>
    </w:rPr>
  </w:style>
  <w:style w:type="numbering" w:customStyle="1" w:styleId="ExecutiveSummary">
    <w:name w:val="Executive Summary"/>
    <w:uiPriority w:val="99"/>
    <w:rsid w:val="00146CA1"/>
    <w:pPr>
      <w:numPr>
        <w:numId w:val="7"/>
      </w:numPr>
    </w:pPr>
  </w:style>
  <w:style w:type="character" w:customStyle="1" w:styleId="ESHeading4Char">
    <w:name w:val="ES Heading 4 Char"/>
    <w:basedOn w:val="Heading4Char"/>
    <w:link w:val="ESHeading4"/>
    <w:uiPriority w:val="11"/>
    <w:rsid w:val="00146CA1"/>
    <w:rPr>
      <w:rFonts w:ascii="Arial" w:eastAsiaTheme="majorEastAsia" w:hAnsi="Arial" w:cstheme="majorBidi"/>
      <w:b w:val="0"/>
      <w:color w:val="002D73" w:themeColor="accent1"/>
    </w:rPr>
  </w:style>
  <w:style w:type="paragraph" w:customStyle="1" w:styleId="TableCell-SubheadingText">
    <w:name w:val="Table Cell - Subheading Text"/>
    <w:basedOn w:val="TableCellNumbers"/>
    <w:link w:val="TableCell-SubheadingTextChar"/>
    <w:uiPriority w:val="40"/>
    <w:qFormat/>
    <w:rsid w:val="00146CA1"/>
    <w:pPr>
      <w:keepNext/>
      <w:jc w:val="left"/>
    </w:pPr>
    <w:rPr>
      <w:b/>
      <w:bCs w:val="0"/>
    </w:rPr>
  </w:style>
  <w:style w:type="paragraph" w:customStyle="1" w:styleId="Cover-6Date">
    <w:name w:val="Cover - 6. Date"/>
    <w:basedOn w:val="Normal"/>
    <w:link w:val="Cover-6DateChar"/>
    <w:uiPriority w:val="1"/>
    <w:qFormat/>
    <w:rsid w:val="00146CA1"/>
    <w:pPr>
      <w:suppressAutoHyphens/>
      <w:spacing w:before="400" w:after="400"/>
      <w:contextualSpacing/>
      <w:jc w:val="left"/>
    </w:pPr>
    <w:rPr>
      <w:rFonts w:ascii="Arial" w:eastAsia="Times New Roman" w:hAnsi="Arial" w:cs="Arial"/>
      <w:b/>
      <w:color w:val="002D73" w:themeColor="accent1"/>
      <w:position w:val="-12"/>
    </w:rPr>
  </w:style>
  <w:style w:type="character" w:customStyle="1" w:styleId="TableCell-SubheadingTextChar">
    <w:name w:val="Table Cell - Subheading Text Char"/>
    <w:basedOn w:val="TableCellNumbersChar"/>
    <w:link w:val="TableCell-SubheadingText"/>
    <w:uiPriority w:val="40"/>
    <w:rsid w:val="00146CA1"/>
    <w:rPr>
      <w:rFonts w:eastAsia="Times New Roman" w:cs="Arial"/>
      <w:b/>
      <w:bCs w:val="0"/>
      <w:color w:val="000000" w:themeColor="text1"/>
      <w:sz w:val="20"/>
    </w:rPr>
  </w:style>
  <w:style w:type="paragraph" w:customStyle="1" w:styleId="Cover-7AuthorsAmendments">
    <w:name w:val="Cover - 7. Authors/Amendments"/>
    <w:basedOn w:val="Normal"/>
    <w:link w:val="Cover-7AuthorsAmendmentsChar"/>
    <w:uiPriority w:val="1"/>
    <w:qFormat/>
    <w:rsid w:val="00146CA1"/>
    <w:pPr>
      <w:spacing w:before="240" w:after="0"/>
      <w:contextualSpacing/>
    </w:pPr>
    <w:rPr>
      <w:rFonts w:ascii="Arial" w:hAnsi="Arial" w:cs="Arial"/>
      <w:color w:val="002D73" w:themeColor="accent1"/>
      <w:sz w:val="20"/>
      <w:szCs w:val="16"/>
    </w:rPr>
  </w:style>
  <w:style w:type="character" w:customStyle="1" w:styleId="Cover-6DateChar">
    <w:name w:val="Cover - 6. Date Char"/>
    <w:basedOn w:val="DefaultParagraphFont"/>
    <w:link w:val="Cover-6Date"/>
    <w:uiPriority w:val="1"/>
    <w:rsid w:val="00146CA1"/>
    <w:rPr>
      <w:rFonts w:ascii="Arial" w:eastAsia="Times New Roman" w:hAnsi="Arial" w:cs="Arial"/>
      <w:b/>
      <w:color w:val="002D73" w:themeColor="accent1"/>
      <w:position w:val="-12"/>
    </w:rPr>
  </w:style>
  <w:style w:type="character" w:customStyle="1" w:styleId="Cover-7AuthorsAmendmentsChar">
    <w:name w:val="Cover - 7. Authors/Amendments Char"/>
    <w:basedOn w:val="DefaultParagraphFont"/>
    <w:link w:val="Cover-7AuthorsAmendments"/>
    <w:uiPriority w:val="1"/>
    <w:rsid w:val="00146CA1"/>
    <w:rPr>
      <w:rFonts w:ascii="Arial" w:hAnsi="Arial" w:cs="Arial"/>
      <w:color w:val="002D73" w:themeColor="accent1"/>
      <w:sz w:val="20"/>
      <w:szCs w:val="16"/>
    </w:rPr>
  </w:style>
  <w:style w:type="numbering" w:customStyle="1" w:styleId="NumberedList">
    <w:name w:val="Numbered List"/>
    <w:uiPriority w:val="99"/>
    <w:rsid w:val="00146CA1"/>
    <w:pPr>
      <w:numPr>
        <w:numId w:val="9"/>
      </w:numPr>
    </w:pPr>
  </w:style>
  <w:style w:type="paragraph" w:styleId="ListNumber">
    <w:name w:val="List Number"/>
    <w:link w:val="ListNumberChar"/>
    <w:uiPriority w:val="25"/>
    <w:rsid w:val="00146CA1"/>
    <w:pPr>
      <w:numPr>
        <w:numId w:val="15"/>
      </w:numPr>
      <w:spacing w:before="120" w:after="0"/>
    </w:pPr>
  </w:style>
  <w:style w:type="paragraph" w:styleId="ListNumber2">
    <w:name w:val="List Number 2"/>
    <w:basedOn w:val="ListNumber"/>
    <w:link w:val="ListNumber2Char"/>
    <w:uiPriority w:val="25"/>
    <w:rsid w:val="00146CA1"/>
    <w:pPr>
      <w:numPr>
        <w:ilvl w:val="1"/>
      </w:numPr>
    </w:pPr>
  </w:style>
  <w:style w:type="paragraph" w:styleId="ListNumber3">
    <w:name w:val="List Number 3"/>
    <w:basedOn w:val="ListNumber2"/>
    <w:link w:val="ListNumber3Char"/>
    <w:uiPriority w:val="25"/>
    <w:rsid w:val="00146CA1"/>
    <w:pPr>
      <w:numPr>
        <w:ilvl w:val="2"/>
      </w:numPr>
    </w:pPr>
  </w:style>
  <w:style w:type="paragraph" w:styleId="ListNumber4">
    <w:name w:val="List Number 4"/>
    <w:basedOn w:val="ListNumber3"/>
    <w:link w:val="ListNumber4Char"/>
    <w:uiPriority w:val="25"/>
    <w:rsid w:val="00146CA1"/>
    <w:pPr>
      <w:numPr>
        <w:ilvl w:val="3"/>
      </w:numPr>
    </w:pPr>
  </w:style>
  <w:style w:type="paragraph" w:styleId="ListNumber5">
    <w:name w:val="List Number 5"/>
    <w:basedOn w:val="ListNumber4"/>
    <w:link w:val="ListNumber5Char"/>
    <w:uiPriority w:val="25"/>
    <w:rsid w:val="00146CA1"/>
    <w:pPr>
      <w:numPr>
        <w:ilvl w:val="4"/>
      </w:numPr>
    </w:pPr>
  </w:style>
  <w:style w:type="character" w:customStyle="1" w:styleId="ListNumberChar">
    <w:name w:val="List Number Char"/>
    <w:basedOn w:val="DefaultParagraphFont"/>
    <w:link w:val="ListNumber"/>
    <w:uiPriority w:val="25"/>
    <w:rsid w:val="00146CA1"/>
  </w:style>
  <w:style w:type="character" w:customStyle="1" w:styleId="ListNumber2Char">
    <w:name w:val="List Number 2 Char"/>
    <w:basedOn w:val="ListNumberChar"/>
    <w:link w:val="ListNumber2"/>
    <w:uiPriority w:val="25"/>
    <w:rsid w:val="00146CA1"/>
  </w:style>
  <w:style w:type="character" w:customStyle="1" w:styleId="ListNumber3Char">
    <w:name w:val="List Number 3 Char"/>
    <w:basedOn w:val="ListNumber2Char"/>
    <w:link w:val="ListNumber3"/>
    <w:uiPriority w:val="25"/>
    <w:rsid w:val="00146CA1"/>
  </w:style>
  <w:style w:type="character" w:customStyle="1" w:styleId="ListNumber4Char">
    <w:name w:val="List Number 4 Char"/>
    <w:basedOn w:val="ListNumber3Char"/>
    <w:link w:val="ListNumber4"/>
    <w:uiPriority w:val="25"/>
    <w:rsid w:val="00146CA1"/>
  </w:style>
  <w:style w:type="character" w:customStyle="1" w:styleId="ListNumber5Char">
    <w:name w:val="List Number 5 Char"/>
    <w:basedOn w:val="ListNumber4Char"/>
    <w:link w:val="ListNumber5"/>
    <w:uiPriority w:val="25"/>
    <w:rsid w:val="00146CA1"/>
  </w:style>
  <w:style w:type="paragraph" w:customStyle="1" w:styleId="TableCaption">
    <w:name w:val="Table Caption"/>
    <w:basedOn w:val="Caption"/>
    <w:link w:val="TableCaptionChar"/>
    <w:uiPriority w:val="99"/>
    <w:qFormat/>
    <w:rsid w:val="00146CA1"/>
    <w:pPr>
      <w:spacing w:after="20"/>
      <w:ind w:left="907" w:hanging="907"/>
    </w:pPr>
  </w:style>
  <w:style w:type="paragraph" w:customStyle="1" w:styleId="FigureCaption">
    <w:name w:val="Figure Caption"/>
    <w:basedOn w:val="Caption"/>
    <w:link w:val="FigureCaptionChar"/>
    <w:uiPriority w:val="99"/>
    <w:unhideWhenUsed/>
    <w:qFormat/>
    <w:rsid w:val="00146CA1"/>
    <w:pPr>
      <w:tabs>
        <w:tab w:val="left" w:pos="1080"/>
      </w:tabs>
      <w:ind w:left="0" w:firstLine="0"/>
      <w:jc w:val="center"/>
    </w:pPr>
  </w:style>
  <w:style w:type="character" w:customStyle="1" w:styleId="CaptionChar">
    <w:name w:val="Caption Char"/>
    <w:basedOn w:val="DefaultParagraphFont"/>
    <w:link w:val="Caption"/>
    <w:uiPriority w:val="35"/>
    <w:rsid w:val="00146CA1"/>
    <w:rPr>
      <w:rFonts w:ascii="Arial" w:hAnsi="Arial"/>
      <w:b/>
      <w:bCs/>
      <w:color w:val="002D73" w:themeColor="accent1"/>
      <w:sz w:val="22"/>
      <w:szCs w:val="18"/>
    </w:rPr>
  </w:style>
  <w:style w:type="character" w:customStyle="1" w:styleId="TableCaptionChar">
    <w:name w:val="Table Caption Char"/>
    <w:basedOn w:val="CaptionChar"/>
    <w:link w:val="TableCaption"/>
    <w:uiPriority w:val="99"/>
    <w:rsid w:val="00146CA1"/>
    <w:rPr>
      <w:rFonts w:ascii="Arial" w:hAnsi="Arial"/>
      <w:b/>
      <w:bCs/>
      <w:color w:val="002D73" w:themeColor="accent1"/>
      <w:sz w:val="22"/>
      <w:szCs w:val="18"/>
    </w:rPr>
  </w:style>
  <w:style w:type="character" w:customStyle="1" w:styleId="FigureCaptionChar">
    <w:name w:val="Figure Caption Char"/>
    <w:basedOn w:val="CaptionChar"/>
    <w:link w:val="FigureCaption"/>
    <w:uiPriority w:val="99"/>
    <w:rsid w:val="00146CA1"/>
    <w:rPr>
      <w:rFonts w:ascii="Arial" w:hAnsi="Arial"/>
      <w:b/>
      <w:bCs/>
      <w:color w:val="002D73" w:themeColor="accent1"/>
      <w:sz w:val="22"/>
      <w:szCs w:val="18"/>
    </w:rPr>
  </w:style>
  <w:style w:type="paragraph" w:styleId="TableofFigures">
    <w:name w:val="table of figures"/>
    <w:basedOn w:val="Normal"/>
    <w:next w:val="Normal"/>
    <w:uiPriority w:val="99"/>
    <w:semiHidden/>
    <w:rsid w:val="00146CA1"/>
    <w:pPr>
      <w:tabs>
        <w:tab w:val="left" w:pos="1296"/>
        <w:tab w:val="right" w:leader="dot" w:pos="9360"/>
      </w:tabs>
      <w:spacing w:before="240" w:after="0"/>
      <w:ind w:left="1080" w:hanging="1080"/>
    </w:pPr>
    <w:rPr>
      <w:smallCaps/>
    </w:rPr>
  </w:style>
  <w:style w:type="character" w:customStyle="1" w:styleId="ListBullet5Char">
    <w:name w:val="List Bullet 5 Char"/>
    <w:basedOn w:val="ListBullet4Char"/>
    <w:link w:val="ListBullet5"/>
    <w:uiPriority w:val="24"/>
    <w:rsid w:val="00146CA1"/>
  </w:style>
  <w:style w:type="paragraph" w:customStyle="1" w:styleId="SkillsMatrixCheck">
    <w:name w:val="Skills Matrix Check"/>
    <w:link w:val="SkillsMatrixCheckChar"/>
    <w:uiPriority w:val="54"/>
    <w:qFormat/>
    <w:rsid w:val="00146CA1"/>
    <w:pPr>
      <w:spacing w:after="0"/>
      <w:jc w:val="center"/>
    </w:pPr>
    <w:rPr>
      <w:rFonts w:ascii="Segoe UI Symbol" w:eastAsia="Times New Roman" w:hAnsi="Segoe UI Symbol" w:cs="Times New Roman"/>
      <w:color w:val="000000" w:themeColor="text1"/>
      <w:sz w:val="20"/>
    </w:rPr>
  </w:style>
  <w:style w:type="paragraph" w:customStyle="1" w:styleId="SkillsMatrixSubheading">
    <w:name w:val="Skills Matrix Subheading"/>
    <w:link w:val="SkillsMatrixSubheadingChar"/>
    <w:uiPriority w:val="54"/>
    <w:qFormat/>
    <w:rsid w:val="00146CA1"/>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uiPriority w:val="54"/>
    <w:rsid w:val="00146CA1"/>
    <w:rPr>
      <w:rFonts w:ascii="Segoe UI Symbol" w:eastAsia="Times New Roman" w:hAnsi="Segoe UI Symbol" w:cs="Times New Roman"/>
      <w:color w:val="000000" w:themeColor="text1"/>
      <w:sz w:val="20"/>
    </w:rPr>
  </w:style>
  <w:style w:type="character" w:customStyle="1" w:styleId="SkillsMatrixSubheadingChar">
    <w:name w:val="Skills Matrix Subheading Char"/>
    <w:basedOn w:val="DefaultParagraphFont"/>
    <w:link w:val="SkillsMatrixSubheading"/>
    <w:uiPriority w:val="54"/>
    <w:rsid w:val="00146CA1"/>
    <w:rPr>
      <w:rFonts w:ascii="Arial" w:eastAsia="Times New Roman" w:hAnsi="Arial" w:cs="Arial"/>
      <w:b/>
      <w:i/>
      <w:color w:val="000000" w:themeColor="text1"/>
      <w:sz w:val="20"/>
      <w:szCs w:val="20"/>
    </w:rPr>
  </w:style>
  <w:style w:type="table" w:customStyle="1" w:styleId="EconometricaTableStyle">
    <w:name w:val="Econometrica Table Style"/>
    <w:basedOn w:val="TableNormal"/>
    <w:uiPriority w:val="99"/>
    <w:rsid w:val="00146CA1"/>
    <w:pPr>
      <w:spacing w:after="0"/>
    </w:pPr>
    <w:rPr>
      <w:sz w:val="20"/>
    </w:rPr>
    <w:tblPr>
      <w:tblStyleRowBandSize w:val="1"/>
      <w:tblStyleColBandSize w:val="1"/>
      <w:jc w:val="center"/>
      <w:tblBorders>
        <w:top w:val="single" w:sz="4" w:space="0" w:color="002D73" w:themeColor="accent1"/>
        <w:bottom w:val="single" w:sz="4" w:space="0" w:color="002D73" w:themeColor="accent1"/>
        <w:insideH w:val="single" w:sz="4" w:space="0" w:color="002D73" w:themeColor="accent1"/>
        <w:insideV w:val="single" w:sz="4" w:space="0" w:color="002D73" w:themeColor="accent1"/>
      </w:tblBorders>
      <w:tblCellMar>
        <w:top w:w="29" w:type="dxa"/>
        <w:left w:w="43" w:type="dxa"/>
        <w:bottom w:w="29" w:type="dxa"/>
        <w:right w:w="43" w:type="dxa"/>
      </w:tblCellMar>
    </w:tblPr>
    <w:trPr>
      <w:cantSplit/>
      <w:jc w:val="center"/>
    </w:trPr>
    <w:tcPr>
      <w:vAlign w:val="center"/>
    </w:tcPr>
    <w:tblStylePr w:type="firstRow">
      <w:pPr>
        <w:wordWrap/>
        <w:jc w:val="center"/>
      </w:pPr>
      <w:rPr>
        <w:rFonts w:ascii="Meiryo UI" w:hAnsi="Meiryo UI"/>
        <w:b/>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2D73" w:themeFill="accent1"/>
      </w:tcPr>
    </w:tblStylePr>
    <w:tblStylePr w:type="lastRow">
      <w:rPr>
        <w:b/>
        <w:color w:val="262626" w:themeColor="text1" w:themeTint="D9"/>
      </w:rPr>
      <w:tblPr/>
      <w:tcPr>
        <w:shd w:val="clear" w:color="auto" w:fill="FFF999" w:themeFill="accent2" w:themeFillTint="66"/>
      </w:tcPr>
    </w:tblStylePr>
    <w:tblStylePr w:type="firstCol">
      <w:rPr>
        <w:b w:val="0"/>
      </w:rPr>
      <w:tblPr/>
      <w:tcPr>
        <w:tcBorders>
          <w:top w:val="single" w:sz="4" w:space="0" w:color="002D73" w:themeColor="accent1"/>
          <w:left w:val="nil"/>
          <w:bottom w:val="single" w:sz="4" w:space="0" w:color="002D73" w:themeColor="accent1"/>
          <w:right w:val="nil"/>
          <w:insideH w:val="single" w:sz="4" w:space="0" w:color="002D73" w:themeColor="accent1"/>
          <w:insideV w:val="nil"/>
          <w:tl2br w:val="nil"/>
          <w:tr2bl w:val="nil"/>
        </w:tcBorders>
      </w:tcPr>
    </w:tblStylePr>
    <w:tblStylePr w:type="lastCol">
      <w:rPr>
        <w:b/>
        <w:color w:val="262626" w:themeColor="text1" w:themeTint="D9"/>
      </w:rPr>
      <w:tblPr/>
      <w:tcPr>
        <w:tcBorders>
          <w:top w:val="single" w:sz="4" w:space="0" w:color="002D73" w:themeColor="accent1"/>
          <w:left w:val="nil"/>
          <w:bottom w:val="single" w:sz="4" w:space="0" w:color="002D73" w:themeColor="accent1"/>
          <w:right w:val="nil"/>
          <w:insideH w:val="single" w:sz="4" w:space="0" w:color="002D73" w:themeColor="accent1"/>
          <w:insideV w:val="nil"/>
          <w:tl2br w:val="nil"/>
          <w:tr2bl w:val="nil"/>
        </w:tcBorders>
        <w:shd w:val="clear" w:color="auto" w:fill="FFF999" w:themeFill="accent2" w:themeFillTint="66"/>
      </w:tcPr>
    </w:tblStylePr>
    <w:tblStylePr w:type="band1Vert">
      <w:tblPr/>
      <w:tcPr>
        <w:tcBorders>
          <w:top w:val="single" w:sz="4" w:space="0" w:color="002D73" w:themeColor="accent1"/>
          <w:left w:val="nil"/>
          <w:bottom w:val="single" w:sz="4" w:space="0" w:color="002D73" w:themeColor="accent1"/>
          <w:right w:val="nil"/>
          <w:insideH w:val="single" w:sz="4" w:space="0" w:color="002D73" w:themeColor="accent1"/>
          <w:insideV w:val="nil"/>
          <w:tl2br w:val="nil"/>
          <w:tr2bl w:val="nil"/>
        </w:tcBorders>
        <w:shd w:val="clear" w:color="auto" w:fill="E1F4FF" w:themeFill="background2"/>
      </w:tcPr>
    </w:tblStylePr>
    <w:tblStylePr w:type="band2Vert">
      <w:tblPr/>
      <w:tcPr>
        <w:tcBorders>
          <w:top w:val="single" w:sz="4" w:space="0" w:color="002D73" w:themeColor="accent1"/>
          <w:left w:val="nil"/>
          <w:bottom w:val="single" w:sz="4" w:space="0" w:color="002D73" w:themeColor="accent1"/>
          <w:right w:val="nil"/>
          <w:insideH w:val="single" w:sz="4" w:space="0" w:color="002D73" w:themeColor="accent1"/>
          <w:insideV w:val="nil"/>
          <w:tl2br w:val="nil"/>
          <w:tr2bl w:val="nil"/>
        </w:tcBorders>
      </w:tcPr>
    </w:tblStylePr>
    <w:tblStylePr w:type="band1Horz">
      <w:rPr>
        <w:color w:val="auto"/>
      </w:rPr>
      <w:tblPr/>
      <w:tcPr>
        <w:tcBorders>
          <w:top w:val="single" w:sz="4" w:space="0" w:color="002D73" w:themeColor="accent1"/>
          <w:left w:val="nil"/>
          <w:bottom w:val="single" w:sz="4" w:space="0" w:color="002D73" w:themeColor="accent1"/>
          <w:right w:val="nil"/>
          <w:insideH w:val="nil"/>
          <w:insideV w:val="single" w:sz="4" w:space="0" w:color="002D73" w:themeColor="accent1"/>
          <w:tl2br w:val="nil"/>
          <w:tr2bl w:val="nil"/>
        </w:tcBorders>
        <w:shd w:val="clear" w:color="auto" w:fill="FFFFFF" w:themeFill="background1"/>
      </w:tcPr>
    </w:tblStylePr>
    <w:tblStylePr w:type="band2Horz">
      <w:rPr>
        <w:color w:val="auto"/>
      </w:rPr>
      <w:tblPr/>
      <w:tcPr>
        <w:tcBorders>
          <w:top w:val="single" w:sz="4" w:space="0" w:color="002D73" w:themeColor="accent1"/>
          <w:left w:val="nil"/>
          <w:bottom w:val="single" w:sz="4" w:space="0" w:color="002D73" w:themeColor="accent1"/>
          <w:right w:val="nil"/>
          <w:insideH w:val="nil"/>
          <w:insideV w:val="single" w:sz="4" w:space="0" w:color="002D73" w:themeColor="accent1"/>
          <w:tl2br w:val="nil"/>
          <w:tr2bl w:val="nil"/>
        </w:tcBorders>
        <w:shd w:val="clear" w:color="auto" w:fill="E1F4FF" w:themeFill="background2"/>
      </w:tcPr>
    </w:tblStylePr>
  </w:style>
  <w:style w:type="paragraph" w:styleId="FootnoteText">
    <w:name w:val="footnote text"/>
    <w:basedOn w:val="Normal"/>
    <w:link w:val="FootnoteTextChar"/>
    <w:uiPriority w:val="98"/>
    <w:unhideWhenUsed/>
    <w:rsid w:val="00146CA1"/>
    <w:pPr>
      <w:spacing w:after="0"/>
      <w:jc w:val="left"/>
    </w:pPr>
    <w:rPr>
      <w:sz w:val="20"/>
      <w:szCs w:val="20"/>
    </w:rPr>
  </w:style>
  <w:style w:type="character" w:customStyle="1" w:styleId="FootnoteTextChar">
    <w:name w:val="Footnote Text Char"/>
    <w:basedOn w:val="DefaultParagraphFont"/>
    <w:link w:val="FootnoteText"/>
    <w:uiPriority w:val="98"/>
    <w:rsid w:val="00146CA1"/>
    <w:rPr>
      <w:sz w:val="20"/>
      <w:szCs w:val="20"/>
    </w:rPr>
  </w:style>
  <w:style w:type="table" w:styleId="LightGrid-Accent5">
    <w:name w:val="Light Grid Accent 5"/>
    <w:basedOn w:val="TableNormal"/>
    <w:uiPriority w:val="99"/>
    <w:rsid w:val="00146CA1"/>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table" w:styleId="LightShading-Accent6">
    <w:name w:val="Light Shading Accent 6"/>
    <w:basedOn w:val="TableNormal"/>
    <w:uiPriority w:val="60"/>
    <w:rsid w:val="00146CA1"/>
    <w:pPr>
      <w:spacing w:after="0"/>
    </w:pPr>
    <w:rPr>
      <w:color w:val="26681C" w:themeColor="accent6" w:themeShade="BF"/>
    </w:rPr>
    <w:tblPr>
      <w:tblStyleRowBandSize w:val="1"/>
      <w:tblStyleColBandSize w:val="1"/>
      <w:tblBorders>
        <w:top w:val="single" w:sz="8" w:space="0" w:color="338C26" w:themeColor="accent6"/>
        <w:bottom w:val="single" w:sz="8" w:space="0" w:color="338C26" w:themeColor="accent6"/>
      </w:tblBorders>
    </w:tblPr>
    <w:tblStylePr w:type="firstRow">
      <w:pPr>
        <w:spacing w:before="0" w:after="0" w:line="240" w:lineRule="auto"/>
      </w:pPr>
      <w:rPr>
        <w:b/>
        <w:bCs/>
      </w:rPr>
      <w:tblPr/>
      <w:tcPr>
        <w:tcBorders>
          <w:top w:val="single" w:sz="8" w:space="0" w:color="338C26" w:themeColor="accent6"/>
          <w:left w:val="nil"/>
          <w:bottom w:val="single" w:sz="8" w:space="0" w:color="338C26" w:themeColor="accent6"/>
          <w:right w:val="nil"/>
          <w:insideH w:val="nil"/>
          <w:insideV w:val="nil"/>
        </w:tcBorders>
      </w:tcPr>
    </w:tblStylePr>
    <w:tblStylePr w:type="lastRow">
      <w:pPr>
        <w:spacing w:before="0" w:after="0" w:line="240" w:lineRule="auto"/>
      </w:pPr>
      <w:rPr>
        <w:b/>
        <w:bCs/>
      </w:rPr>
      <w:tblPr/>
      <w:tcPr>
        <w:tcBorders>
          <w:top w:val="single" w:sz="8" w:space="0" w:color="338C26" w:themeColor="accent6"/>
          <w:left w:val="nil"/>
          <w:bottom w:val="single" w:sz="8" w:space="0" w:color="338C2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EDBE" w:themeFill="accent6" w:themeFillTint="3F"/>
      </w:tcPr>
    </w:tblStylePr>
    <w:tblStylePr w:type="band1Horz">
      <w:tblPr/>
      <w:tcPr>
        <w:tcBorders>
          <w:left w:val="nil"/>
          <w:right w:val="nil"/>
          <w:insideH w:val="nil"/>
          <w:insideV w:val="nil"/>
        </w:tcBorders>
        <w:shd w:val="clear" w:color="auto" w:fill="C4EDBE" w:themeFill="accent6" w:themeFillTint="3F"/>
      </w:tcPr>
    </w:tblStylePr>
  </w:style>
  <w:style w:type="table" w:styleId="LightList-Accent2">
    <w:name w:val="Light List Accent 2"/>
    <w:basedOn w:val="TableNormal"/>
    <w:uiPriority w:val="61"/>
    <w:rsid w:val="00146CA1"/>
    <w:pPr>
      <w:spacing w:after="0"/>
    </w:pPr>
    <w:tblPr>
      <w:tblStyleRowBandSize w:val="1"/>
      <w:tblStyleColBandSize w:val="1"/>
      <w:tblBorders>
        <w:top w:val="single" w:sz="8" w:space="0" w:color="FFF200" w:themeColor="accent2"/>
        <w:left w:val="single" w:sz="8" w:space="0" w:color="FFF200" w:themeColor="accent2"/>
        <w:bottom w:val="single" w:sz="8" w:space="0" w:color="FFF200" w:themeColor="accent2"/>
        <w:right w:val="single" w:sz="8" w:space="0" w:color="FFF200" w:themeColor="accent2"/>
      </w:tblBorders>
    </w:tblPr>
    <w:tblStylePr w:type="firstRow">
      <w:pPr>
        <w:spacing w:before="0" w:after="0" w:line="240" w:lineRule="auto"/>
      </w:pPr>
      <w:rPr>
        <w:b/>
        <w:bCs/>
        <w:color w:val="FFFFFF" w:themeColor="background1"/>
      </w:rPr>
      <w:tblPr/>
      <w:tcPr>
        <w:shd w:val="clear" w:color="auto" w:fill="FFF200" w:themeFill="accent2"/>
      </w:tcPr>
    </w:tblStylePr>
    <w:tblStylePr w:type="lastRow">
      <w:pPr>
        <w:spacing w:before="0" w:after="0" w:line="240" w:lineRule="auto"/>
      </w:pPr>
      <w:rPr>
        <w:b/>
        <w:bCs/>
      </w:rPr>
      <w:tblPr/>
      <w:tcPr>
        <w:tcBorders>
          <w:top w:val="double" w:sz="6" w:space="0" w:color="FFF200" w:themeColor="accent2"/>
          <w:left w:val="single" w:sz="8" w:space="0" w:color="FFF200" w:themeColor="accent2"/>
          <w:bottom w:val="single" w:sz="8" w:space="0" w:color="FFF200" w:themeColor="accent2"/>
          <w:right w:val="single" w:sz="8" w:space="0" w:color="FFF200" w:themeColor="accent2"/>
        </w:tcBorders>
      </w:tcPr>
    </w:tblStylePr>
    <w:tblStylePr w:type="firstCol">
      <w:rPr>
        <w:b/>
        <w:bCs/>
      </w:rPr>
    </w:tblStylePr>
    <w:tblStylePr w:type="lastCol">
      <w:rPr>
        <w:b/>
        <w:bCs/>
      </w:rPr>
    </w:tblStylePr>
    <w:tblStylePr w:type="band1Vert">
      <w:tblPr/>
      <w:tcPr>
        <w:tcBorders>
          <w:top w:val="single" w:sz="8" w:space="0" w:color="FFF200" w:themeColor="accent2"/>
          <w:left w:val="single" w:sz="8" w:space="0" w:color="FFF200" w:themeColor="accent2"/>
          <w:bottom w:val="single" w:sz="8" w:space="0" w:color="FFF200" w:themeColor="accent2"/>
          <w:right w:val="single" w:sz="8" w:space="0" w:color="FFF200" w:themeColor="accent2"/>
        </w:tcBorders>
      </w:tcPr>
    </w:tblStylePr>
    <w:tblStylePr w:type="band1Horz">
      <w:tblPr/>
      <w:tcPr>
        <w:tcBorders>
          <w:top w:val="single" w:sz="8" w:space="0" w:color="FFF200" w:themeColor="accent2"/>
          <w:left w:val="single" w:sz="8" w:space="0" w:color="FFF200" w:themeColor="accent2"/>
          <w:bottom w:val="single" w:sz="8" w:space="0" w:color="FFF200" w:themeColor="accent2"/>
          <w:right w:val="single" w:sz="8" w:space="0" w:color="FFF200" w:themeColor="accent2"/>
        </w:tcBorders>
      </w:tcPr>
    </w:tblStylePr>
  </w:style>
  <w:style w:type="paragraph" w:styleId="Closing">
    <w:name w:val="Closing"/>
    <w:basedOn w:val="Normal"/>
    <w:link w:val="ClosingChar"/>
    <w:uiPriority w:val="99"/>
    <w:semiHidden/>
    <w:rsid w:val="00146CA1"/>
    <w:pPr>
      <w:spacing w:after="0"/>
      <w:ind w:left="4320"/>
    </w:pPr>
  </w:style>
  <w:style w:type="character" w:customStyle="1" w:styleId="ClosingChar">
    <w:name w:val="Closing Char"/>
    <w:basedOn w:val="DefaultParagraphFont"/>
    <w:link w:val="Closing"/>
    <w:uiPriority w:val="99"/>
    <w:semiHidden/>
    <w:rsid w:val="00146CA1"/>
  </w:style>
  <w:style w:type="character" w:styleId="CommentReference">
    <w:name w:val="annotation reference"/>
    <w:basedOn w:val="DefaultParagraphFont"/>
    <w:uiPriority w:val="99"/>
    <w:unhideWhenUsed/>
    <w:rsid w:val="00146CA1"/>
    <w:rPr>
      <w:sz w:val="16"/>
      <w:szCs w:val="16"/>
    </w:rPr>
  </w:style>
  <w:style w:type="paragraph" w:styleId="CommentText">
    <w:name w:val="annotation text"/>
    <w:basedOn w:val="Normal"/>
    <w:link w:val="CommentTextChar"/>
    <w:uiPriority w:val="99"/>
    <w:unhideWhenUsed/>
    <w:rsid w:val="00146CA1"/>
    <w:rPr>
      <w:sz w:val="20"/>
      <w:szCs w:val="20"/>
    </w:rPr>
  </w:style>
  <w:style w:type="character" w:customStyle="1" w:styleId="CommentTextChar">
    <w:name w:val="Comment Text Char"/>
    <w:basedOn w:val="DefaultParagraphFont"/>
    <w:link w:val="CommentText"/>
    <w:uiPriority w:val="99"/>
    <w:rsid w:val="00146CA1"/>
    <w:rPr>
      <w:sz w:val="20"/>
      <w:szCs w:val="20"/>
    </w:rPr>
  </w:style>
  <w:style w:type="paragraph" w:styleId="CommentSubject">
    <w:name w:val="annotation subject"/>
    <w:basedOn w:val="CommentText"/>
    <w:next w:val="CommentText"/>
    <w:link w:val="CommentSubjectChar"/>
    <w:uiPriority w:val="99"/>
    <w:unhideWhenUsed/>
    <w:rsid w:val="00146CA1"/>
    <w:rPr>
      <w:b/>
      <w:bCs/>
    </w:rPr>
  </w:style>
  <w:style w:type="character" w:customStyle="1" w:styleId="CommentSubjectChar">
    <w:name w:val="Comment Subject Char"/>
    <w:basedOn w:val="CommentTextChar"/>
    <w:link w:val="CommentSubject"/>
    <w:uiPriority w:val="99"/>
    <w:rsid w:val="00146CA1"/>
    <w:rPr>
      <w:b/>
      <w:bCs/>
      <w:sz w:val="20"/>
      <w:szCs w:val="20"/>
    </w:rPr>
  </w:style>
  <w:style w:type="paragraph" w:styleId="Date">
    <w:name w:val="Date"/>
    <w:basedOn w:val="Normal"/>
    <w:next w:val="Normal"/>
    <w:link w:val="DateChar"/>
    <w:uiPriority w:val="99"/>
    <w:semiHidden/>
    <w:rsid w:val="00146CA1"/>
  </w:style>
  <w:style w:type="character" w:customStyle="1" w:styleId="DateChar">
    <w:name w:val="Date Char"/>
    <w:basedOn w:val="DefaultParagraphFont"/>
    <w:link w:val="Date"/>
    <w:uiPriority w:val="99"/>
    <w:semiHidden/>
    <w:rsid w:val="00146CA1"/>
  </w:style>
  <w:style w:type="paragraph" w:styleId="E-mailSignature">
    <w:name w:val="E-mail Signature"/>
    <w:basedOn w:val="Normal"/>
    <w:link w:val="E-mailSignatureChar"/>
    <w:uiPriority w:val="99"/>
    <w:semiHidden/>
    <w:rsid w:val="00146CA1"/>
    <w:pPr>
      <w:spacing w:after="0"/>
    </w:pPr>
  </w:style>
  <w:style w:type="character" w:customStyle="1" w:styleId="E-mailSignatureChar">
    <w:name w:val="E-mail Signature Char"/>
    <w:basedOn w:val="DefaultParagraphFont"/>
    <w:link w:val="E-mailSignature"/>
    <w:uiPriority w:val="99"/>
    <w:semiHidden/>
    <w:rsid w:val="00146CA1"/>
  </w:style>
  <w:style w:type="character" w:styleId="FollowedHyperlink">
    <w:name w:val="FollowedHyperlink"/>
    <w:basedOn w:val="DefaultParagraphFont"/>
    <w:uiPriority w:val="99"/>
    <w:unhideWhenUsed/>
    <w:rsid w:val="00146CA1"/>
    <w:rPr>
      <w:color w:val="514689" w:themeColor="followedHyperlink"/>
      <w:u w:val="single"/>
    </w:rPr>
  </w:style>
  <w:style w:type="paragraph" w:styleId="NoSpacing">
    <w:name w:val="No Spacing"/>
    <w:link w:val="NoSpacingChar"/>
    <w:uiPriority w:val="22"/>
    <w:unhideWhenUsed/>
    <w:qFormat/>
    <w:rsid w:val="00146CA1"/>
    <w:pPr>
      <w:spacing w:after="0"/>
    </w:pPr>
  </w:style>
  <w:style w:type="paragraph" w:styleId="NormalWeb">
    <w:name w:val="Normal (Web)"/>
    <w:basedOn w:val="Normal"/>
    <w:uiPriority w:val="99"/>
    <w:unhideWhenUsed/>
    <w:rsid w:val="00146CA1"/>
    <w:rPr>
      <w:rFonts w:cs="Times New Roman"/>
    </w:rPr>
  </w:style>
  <w:style w:type="paragraph" w:styleId="NormalIndent">
    <w:name w:val="Normal Indent"/>
    <w:basedOn w:val="Normal"/>
    <w:uiPriority w:val="99"/>
    <w:unhideWhenUsed/>
    <w:rsid w:val="00146CA1"/>
    <w:pPr>
      <w:ind w:left="720"/>
    </w:pPr>
  </w:style>
  <w:style w:type="paragraph" w:styleId="NoteHeading">
    <w:name w:val="Note Heading"/>
    <w:basedOn w:val="Normal"/>
    <w:next w:val="Normal"/>
    <w:link w:val="NoteHeadingChar"/>
    <w:uiPriority w:val="99"/>
    <w:unhideWhenUsed/>
    <w:rsid w:val="00146CA1"/>
    <w:pPr>
      <w:spacing w:after="0"/>
    </w:pPr>
  </w:style>
  <w:style w:type="character" w:customStyle="1" w:styleId="NoteHeadingChar">
    <w:name w:val="Note Heading Char"/>
    <w:basedOn w:val="DefaultParagraphFont"/>
    <w:link w:val="NoteHeading"/>
    <w:uiPriority w:val="99"/>
    <w:rsid w:val="00146CA1"/>
  </w:style>
  <w:style w:type="character" w:styleId="PageNumber">
    <w:name w:val="page number"/>
    <w:basedOn w:val="DefaultParagraphFont"/>
    <w:uiPriority w:val="99"/>
    <w:unhideWhenUsed/>
    <w:rsid w:val="00146CA1"/>
  </w:style>
  <w:style w:type="paragraph" w:styleId="Salutation">
    <w:name w:val="Salutation"/>
    <w:basedOn w:val="Normal"/>
    <w:next w:val="Normal"/>
    <w:link w:val="SalutationChar"/>
    <w:uiPriority w:val="99"/>
    <w:semiHidden/>
    <w:rsid w:val="00146CA1"/>
  </w:style>
  <w:style w:type="character" w:customStyle="1" w:styleId="SalutationChar">
    <w:name w:val="Salutation Char"/>
    <w:basedOn w:val="DefaultParagraphFont"/>
    <w:link w:val="Salutation"/>
    <w:uiPriority w:val="99"/>
    <w:semiHidden/>
    <w:rsid w:val="00146CA1"/>
  </w:style>
  <w:style w:type="paragraph" w:styleId="TableofAuthorities">
    <w:name w:val="table of authorities"/>
    <w:basedOn w:val="Normal"/>
    <w:next w:val="Normal"/>
    <w:uiPriority w:val="99"/>
    <w:semiHidden/>
    <w:rsid w:val="00146CA1"/>
    <w:pPr>
      <w:spacing w:after="0"/>
      <w:ind w:left="240" w:hanging="240"/>
    </w:pPr>
  </w:style>
  <w:style w:type="paragraph" w:customStyle="1" w:styleId="TableCellText-Spaced">
    <w:name w:val="Table Cell Text - Spaced"/>
    <w:link w:val="TableCellText-SpacedChar"/>
    <w:uiPriority w:val="41"/>
    <w:qFormat/>
    <w:rsid w:val="00615C0C"/>
    <w:pPr>
      <w:spacing w:after="120"/>
      <w:jc w:val="left"/>
    </w:pPr>
    <w:rPr>
      <w:rFonts w:eastAsia="Times New Roman" w:cs="Arial"/>
      <w:bCs/>
      <w:color w:val="000000" w:themeColor="text1"/>
      <w:sz w:val="22"/>
    </w:rPr>
  </w:style>
  <w:style w:type="character" w:customStyle="1" w:styleId="TableCellText-SpacedChar">
    <w:name w:val="Table Cell Text - Spaced Char"/>
    <w:basedOn w:val="DefaultParagraphFont"/>
    <w:link w:val="TableCellText-Spaced"/>
    <w:uiPriority w:val="41"/>
    <w:rsid w:val="00615C0C"/>
    <w:rPr>
      <w:rFonts w:eastAsia="Times New Roman" w:cs="Arial"/>
      <w:bCs/>
      <w:color w:val="000000" w:themeColor="text1"/>
      <w:sz w:val="22"/>
    </w:rPr>
  </w:style>
  <w:style w:type="paragraph" w:customStyle="1" w:styleId="TableBullet1">
    <w:name w:val="Table Bullet 1"/>
    <w:basedOn w:val="TableCellGeneralText"/>
    <w:link w:val="TableBullet1Char"/>
    <w:qFormat/>
    <w:rsid w:val="00615C0C"/>
    <w:pPr>
      <w:numPr>
        <w:numId w:val="10"/>
      </w:numPr>
      <w:spacing w:after="120"/>
      <w:ind w:hanging="216"/>
      <w:contextualSpacing/>
    </w:pPr>
  </w:style>
  <w:style w:type="character" w:customStyle="1" w:styleId="TableBullet1Char">
    <w:name w:val="Table Bullet 1 Char"/>
    <w:basedOn w:val="TableCellGeneralTextChar"/>
    <w:link w:val="TableBullet1"/>
    <w:rsid w:val="00615C0C"/>
    <w:rPr>
      <w:rFonts w:eastAsia="Times New Roman" w:cs="Arial"/>
      <w:bCs/>
      <w:color w:val="000000" w:themeColor="text1"/>
      <w:sz w:val="22"/>
    </w:rPr>
  </w:style>
  <w:style w:type="paragraph" w:customStyle="1" w:styleId="TableBullet2">
    <w:name w:val="Table Bullet 2"/>
    <w:basedOn w:val="TableBullet1"/>
    <w:link w:val="TableBullet2Char"/>
    <w:qFormat/>
    <w:rsid w:val="00615C0C"/>
    <w:pPr>
      <w:numPr>
        <w:numId w:val="11"/>
      </w:numPr>
      <w:ind w:left="576" w:hanging="216"/>
    </w:pPr>
    <w:rPr>
      <w:bCs w:val="0"/>
    </w:rPr>
  </w:style>
  <w:style w:type="character" w:customStyle="1" w:styleId="TableBullet2Char">
    <w:name w:val="Table Bullet 2 Char"/>
    <w:basedOn w:val="TableBullet1Char"/>
    <w:link w:val="TableBullet2"/>
    <w:rsid w:val="00615C0C"/>
    <w:rPr>
      <w:rFonts w:eastAsia="Times New Roman" w:cs="Arial"/>
      <w:bCs w:val="0"/>
      <w:color w:val="000000" w:themeColor="text1"/>
      <w:sz w:val="22"/>
    </w:rPr>
  </w:style>
  <w:style w:type="paragraph" w:customStyle="1" w:styleId="TableBullet3">
    <w:name w:val="Table Bullet 3"/>
    <w:basedOn w:val="Normal"/>
    <w:link w:val="TableBullet3Char"/>
    <w:uiPriority w:val="44"/>
    <w:qFormat/>
    <w:rsid w:val="00146CA1"/>
    <w:pPr>
      <w:numPr>
        <w:numId w:val="12"/>
      </w:numPr>
      <w:spacing w:after="0"/>
      <w:ind w:left="648" w:hanging="216"/>
    </w:pPr>
    <w:rPr>
      <w:rFonts w:eastAsia="Times New Roman" w:cs="Arial"/>
      <w:color w:val="000000" w:themeColor="text1"/>
      <w:sz w:val="20"/>
    </w:rPr>
  </w:style>
  <w:style w:type="character" w:customStyle="1" w:styleId="TableBullet3Char">
    <w:name w:val="Table Bullet 3 Char"/>
    <w:basedOn w:val="DefaultParagraphFont"/>
    <w:link w:val="TableBullet3"/>
    <w:uiPriority w:val="44"/>
    <w:rsid w:val="00146CA1"/>
    <w:rPr>
      <w:rFonts w:eastAsia="Times New Roman" w:cs="Arial"/>
      <w:color w:val="000000" w:themeColor="text1"/>
      <w:sz w:val="20"/>
    </w:rPr>
  </w:style>
  <w:style w:type="paragraph" w:styleId="Revision">
    <w:name w:val="Revision"/>
    <w:hidden/>
    <w:uiPriority w:val="99"/>
    <w:semiHidden/>
    <w:rsid w:val="00146CA1"/>
    <w:pPr>
      <w:spacing w:after="0"/>
      <w:jc w:val="left"/>
    </w:pPr>
  </w:style>
  <w:style w:type="paragraph" w:customStyle="1" w:styleId="Cover-3ContractOrderProjectNo">
    <w:name w:val="Cover - 3. Contract/Order/Project No."/>
    <w:link w:val="Cover-3ContractOrderProjectNoChar"/>
    <w:uiPriority w:val="1"/>
    <w:qFormat/>
    <w:rsid w:val="00146CA1"/>
    <w:pPr>
      <w:spacing w:before="120" w:after="0"/>
      <w:jc w:val="center"/>
    </w:pPr>
    <w:rPr>
      <w:rFonts w:ascii="Arial" w:eastAsia="Times New Roman" w:hAnsi="Arial" w:cs="Arial"/>
      <w:color w:val="002D73" w:themeColor="accent1"/>
      <w:sz w:val="28"/>
    </w:rPr>
  </w:style>
  <w:style w:type="paragraph" w:customStyle="1" w:styleId="Cover-4SubmittedToBy">
    <w:name w:val="Cover - 4. Submitted To/By"/>
    <w:link w:val="Cover-4SubmittedToByChar"/>
    <w:uiPriority w:val="1"/>
    <w:qFormat/>
    <w:rsid w:val="00146CA1"/>
    <w:pPr>
      <w:spacing w:before="500" w:after="0"/>
      <w:jc w:val="left"/>
    </w:pPr>
    <w:rPr>
      <w:rFonts w:ascii="Arial" w:eastAsia="Times New Roman" w:hAnsi="Arial" w:cs="Arial"/>
      <w:b/>
      <w:bCs/>
      <w:color w:val="24366F"/>
      <w:szCs w:val="20"/>
    </w:rPr>
  </w:style>
  <w:style w:type="character" w:customStyle="1" w:styleId="Cover-3ContractOrderProjectNoChar">
    <w:name w:val="Cover - 3. Contract/Order/Project No. Char"/>
    <w:basedOn w:val="DefaultParagraphFont"/>
    <w:link w:val="Cover-3ContractOrderProjectNo"/>
    <w:uiPriority w:val="1"/>
    <w:rsid w:val="00146CA1"/>
    <w:rPr>
      <w:rFonts w:ascii="Arial" w:eastAsia="Times New Roman" w:hAnsi="Arial" w:cs="Arial"/>
      <w:color w:val="002D73" w:themeColor="accent1"/>
      <w:sz w:val="28"/>
    </w:rPr>
  </w:style>
  <w:style w:type="character" w:customStyle="1" w:styleId="Cover-4SubmittedToByChar">
    <w:name w:val="Cover - 4. Submitted To/By Char"/>
    <w:basedOn w:val="DefaultParagraphFont"/>
    <w:link w:val="Cover-4SubmittedToBy"/>
    <w:uiPriority w:val="1"/>
    <w:rsid w:val="00146CA1"/>
    <w:rPr>
      <w:rFonts w:ascii="Arial" w:eastAsia="Times New Roman" w:hAnsi="Arial" w:cs="Arial"/>
      <w:b/>
      <w:bCs/>
      <w:color w:val="24366F"/>
      <w:szCs w:val="20"/>
    </w:rPr>
  </w:style>
  <w:style w:type="paragraph" w:customStyle="1" w:styleId="Cover-5ClientEconometricaInfo">
    <w:name w:val="Cover - 5. Client/Econometrica Info"/>
    <w:basedOn w:val="Normal"/>
    <w:link w:val="Cover-5ClientEconometricaInfoChar"/>
    <w:uiPriority w:val="1"/>
    <w:qFormat/>
    <w:rsid w:val="00146CA1"/>
    <w:pPr>
      <w:spacing w:before="60" w:after="0"/>
      <w:contextualSpacing/>
      <w:jc w:val="left"/>
    </w:pPr>
    <w:rPr>
      <w:rFonts w:ascii="Arial" w:eastAsia="Times New Roman" w:hAnsi="Arial" w:cs="Arial"/>
      <w:bCs/>
      <w:color w:val="002D73" w:themeColor="accent1"/>
      <w:sz w:val="20"/>
      <w:szCs w:val="20"/>
    </w:rPr>
  </w:style>
  <w:style w:type="character" w:customStyle="1" w:styleId="Cover-5ClientEconometricaInfoChar">
    <w:name w:val="Cover - 5. Client/Econometrica Info Char"/>
    <w:basedOn w:val="BasicParagraphChar"/>
    <w:link w:val="Cover-5ClientEconometricaInfo"/>
    <w:uiPriority w:val="1"/>
    <w:rsid w:val="00146CA1"/>
    <w:rPr>
      <w:rFonts w:ascii="Arial" w:eastAsia="Times New Roman" w:hAnsi="Arial" w:cs="Arial"/>
      <w:bCs/>
      <w:color w:val="002D73" w:themeColor="accent1"/>
      <w:sz w:val="20"/>
      <w:szCs w:val="20"/>
    </w:rPr>
  </w:style>
  <w:style w:type="paragraph" w:customStyle="1" w:styleId="CoverLetterAddress">
    <w:name w:val="Cover Letter Address"/>
    <w:basedOn w:val="CoverLetterText"/>
    <w:uiPriority w:val="4"/>
    <w:qFormat/>
    <w:rsid w:val="00146CA1"/>
    <w:pPr>
      <w:spacing w:before="720" w:after="360"/>
      <w:contextualSpacing/>
    </w:pPr>
  </w:style>
  <w:style w:type="paragraph" w:customStyle="1" w:styleId="CoverLetterSignature">
    <w:name w:val="Cover Letter Signature"/>
    <w:basedOn w:val="CoverLetterText"/>
    <w:uiPriority w:val="5"/>
    <w:qFormat/>
    <w:rsid w:val="00146CA1"/>
    <w:pPr>
      <w:spacing w:after="0"/>
      <w:contextualSpacing/>
    </w:pPr>
  </w:style>
  <w:style w:type="paragraph" w:styleId="HTMLAddress">
    <w:name w:val="HTML Address"/>
    <w:basedOn w:val="Normal"/>
    <w:link w:val="HTMLAddressChar"/>
    <w:uiPriority w:val="99"/>
    <w:unhideWhenUsed/>
    <w:rsid w:val="00146CA1"/>
    <w:pPr>
      <w:spacing w:after="0"/>
    </w:pPr>
    <w:rPr>
      <w:i/>
      <w:iCs/>
    </w:rPr>
  </w:style>
  <w:style w:type="character" w:customStyle="1" w:styleId="HTMLAddressChar">
    <w:name w:val="HTML Address Char"/>
    <w:basedOn w:val="DefaultParagraphFont"/>
    <w:link w:val="HTMLAddress"/>
    <w:uiPriority w:val="99"/>
    <w:rsid w:val="00146CA1"/>
    <w:rPr>
      <w:i/>
      <w:iCs/>
    </w:rPr>
  </w:style>
  <w:style w:type="character" w:styleId="Hashtag">
    <w:name w:val="Hashtag"/>
    <w:basedOn w:val="DefaultParagraphFont"/>
    <w:uiPriority w:val="99"/>
    <w:semiHidden/>
    <w:rsid w:val="00146CA1"/>
    <w:rPr>
      <w:color w:val="2B579A"/>
      <w:shd w:val="clear" w:color="auto" w:fill="E6E6E6"/>
    </w:rPr>
  </w:style>
  <w:style w:type="character" w:styleId="FootnoteReference">
    <w:name w:val="footnote reference"/>
    <w:basedOn w:val="DefaultParagraphFont"/>
    <w:uiPriority w:val="98"/>
    <w:unhideWhenUsed/>
    <w:rsid w:val="00146CA1"/>
    <w:rPr>
      <w:vertAlign w:val="superscript"/>
    </w:rPr>
  </w:style>
  <w:style w:type="paragraph" w:styleId="Signature">
    <w:name w:val="Signature"/>
    <w:basedOn w:val="Normal"/>
    <w:link w:val="SignatureChar"/>
    <w:uiPriority w:val="99"/>
    <w:semiHidden/>
    <w:rsid w:val="00146CA1"/>
    <w:pPr>
      <w:spacing w:after="0"/>
      <w:ind w:left="4320"/>
    </w:pPr>
  </w:style>
  <w:style w:type="character" w:customStyle="1" w:styleId="SignatureChar">
    <w:name w:val="Signature Char"/>
    <w:basedOn w:val="DefaultParagraphFont"/>
    <w:link w:val="Signature"/>
    <w:uiPriority w:val="99"/>
    <w:semiHidden/>
    <w:rsid w:val="00146CA1"/>
  </w:style>
  <w:style w:type="paragraph" w:styleId="Quote">
    <w:name w:val="Quote"/>
    <w:basedOn w:val="Normal"/>
    <w:next w:val="Normal"/>
    <w:link w:val="QuoteChar"/>
    <w:uiPriority w:val="29"/>
    <w:qFormat/>
    <w:rsid w:val="00146CA1"/>
    <w:pPr>
      <w:pBdr>
        <w:left w:val="single" w:sz="18" w:space="6" w:color="00AEEF" w:themeColor="text2"/>
      </w:pBdr>
      <w:spacing w:before="120" w:after="120"/>
      <w:ind w:left="720" w:right="720"/>
    </w:pPr>
    <w:rPr>
      <w:i/>
      <w:iCs/>
      <w:color w:val="000000" w:themeColor="text1"/>
    </w:rPr>
  </w:style>
  <w:style w:type="character" w:customStyle="1" w:styleId="QuoteChar">
    <w:name w:val="Quote Char"/>
    <w:basedOn w:val="DefaultParagraphFont"/>
    <w:link w:val="Quote"/>
    <w:uiPriority w:val="29"/>
    <w:rsid w:val="00146CA1"/>
    <w:rPr>
      <w:i/>
      <w:iCs/>
      <w:color w:val="000000" w:themeColor="text1"/>
    </w:rPr>
  </w:style>
  <w:style w:type="character" w:styleId="HTMLSample">
    <w:name w:val="HTML Sample"/>
    <w:basedOn w:val="DefaultParagraphFont"/>
    <w:uiPriority w:val="99"/>
    <w:unhideWhenUsed/>
    <w:rsid w:val="00146CA1"/>
    <w:rPr>
      <w:rFonts w:ascii="Consolas" w:hAnsi="Consolas" w:cs="Consolas"/>
      <w:sz w:val="24"/>
      <w:szCs w:val="24"/>
    </w:rPr>
  </w:style>
  <w:style w:type="character" w:styleId="HTMLCode">
    <w:name w:val="HTML Code"/>
    <w:basedOn w:val="DefaultParagraphFont"/>
    <w:uiPriority w:val="99"/>
    <w:unhideWhenUsed/>
    <w:rsid w:val="00146CA1"/>
    <w:rPr>
      <w:rFonts w:ascii="Consolas" w:hAnsi="Consolas" w:cs="Consolas"/>
      <w:sz w:val="20"/>
      <w:szCs w:val="20"/>
    </w:rPr>
  </w:style>
  <w:style w:type="character" w:styleId="HTMLCite">
    <w:name w:val="HTML Cite"/>
    <w:basedOn w:val="DefaultParagraphFont"/>
    <w:uiPriority w:val="99"/>
    <w:unhideWhenUsed/>
    <w:rsid w:val="00146CA1"/>
    <w:rPr>
      <w:i/>
      <w:iCs/>
    </w:rPr>
  </w:style>
  <w:style w:type="paragraph" w:styleId="HTMLPreformatted">
    <w:name w:val="HTML Preformatted"/>
    <w:basedOn w:val="Normal"/>
    <w:link w:val="HTMLPreformattedChar"/>
    <w:uiPriority w:val="99"/>
    <w:unhideWhenUsed/>
    <w:rsid w:val="00146CA1"/>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46CA1"/>
    <w:rPr>
      <w:rFonts w:ascii="Consolas" w:hAnsi="Consolas" w:cs="Consolas"/>
      <w:sz w:val="20"/>
      <w:szCs w:val="20"/>
    </w:rPr>
  </w:style>
  <w:style w:type="paragraph" w:styleId="Index2">
    <w:name w:val="index 2"/>
    <w:basedOn w:val="Normal"/>
    <w:next w:val="Normal"/>
    <w:autoRedefine/>
    <w:uiPriority w:val="99"/>
    <w:semiHidden/>
    <w:rsid w:val="00146CA1"/>
    <w:pPr>
      <w:spacing w:after="0"/>
      <w:ind w:left="480" w:hanging="240"/>
    </w:pPr>
  </w:style>
  <w:style w:type="character" w:styleId="HTMLKeyboard">
    <w:name w:val="HTML Keyboard"/>
    <w:basedOn w:val="DefaultParagraphFont"/>
    <w:uiPriority w:val="99"/>
    <w:unhideWhenUsed/>
    <w:rsid w:val="00146CA1"/>
    <w:rPr>
      <w:rFonts w:ascii="Consolas" w:hAnsi="Consolas" w:cs="Consolas"/>
      <w:sz w:val="20"/>
      <w:szCs w:val="20"/>
    </w:rPr>
  </w:style>
  <w:style w:type="paragraph" w:styleId="TOAHeading">
    <w:name w:val="toa heading"/>
    <w:basedOn w:val="TOCHeading"/>
    <w:next w:val="Normal"/>
    <w:uiPriority w:val="50"/>
    <w:unhideWhenUsed/>
    <w:rsid w:val="00146CA1"/>
    <w:rPr>
      <w:rFonts w:cstheme="majorBidi"/>
      <w:bCs/>
    </w:rPr>
  </w:style>
  <w:style w:type="character" w:customStyle="1" w:styleId="NoSpacingChar">
    <w:name w:val="No Spacing Char"/>
    <w:basedOn w:val="DefaultParagraphFont"/>
    <w:link w:val="NoSpacing"/>
    <w:uiPriority w:val="22"/>
    <w:rsid w:val="00146CA1"/>
  </w:style>
  <w:style w:type="character" w:styleId="UnresolvedMention">
    <w:name w:val="Unresolved Mention"/>
    <w:basedOn w:val="DefaultParagraphFont"/>
    <w:uiPriority w:val="99"/>
    <w:semiHidden/>
    <w:unhideWhenUsed/>
    <w:rsid w:val="00146CA1"/>
    <w:rPr>
      <w:color w:val="605E5C"/>
      <w:shd w:val="clear" w:color="auto" w:fill="E1DFDD"/>
    </w:rPr>
  </w:style>
  <w:style w:type="paragraph" w:customStyle="1" w:styleId="Header-BottomRow">
    <w:name w:val="Header - Bottom Row"/>
    <w:basedOn w:val="Header"/>
    <w:uiPriority w:val="90"/>
    <w:qFormat/>
    <w:rsid w:val="00146CA1"/>
    <w:pPr>
      <w:pBdr>
        <w:bottom w:val="none" w:sz="0" w:space="0" w:color="auto"/>
      </w:pBdr>
    </w:pPr>
    <w:rPr>
      <w:rFonts w:eastAsiaTheme="minorEastAsia"/>
      <w:b w:val="0"/>
    </w:rPr>
  </w:style>
  <w:style w:type="character" w:styleId="Emphasis">
    <w:name w:val="Emphasis"/>
    <w:basedOn w:val="DefaultParagraphFont"/>
    <w:uiPriority w:val="99"/>
    <w:semiHidden/>
    <w:qFormat/>
    <w:rsid w:val="00146CA1"/>
    <w:rPr>
      <w:b/>
      <w:i w:val="0"/>
      <w:iCs/>
      <w:color w:val="002D73" w:themeColor="accent1"/>
    </w:rPr>
  </w:style>
  <w:style w:type="paragraph" w:customStyle="1" w:styleId="Call-OutBoxTitle">
    <w:name w:val="Call-Out Box Title"/>
    <w:basedOn w:val="Call-OutBoxText"/>
    <w:next w:val="Call-OutBoxText"/>
    <w:uiPriority w:val="30"/>
    <w:qFormat/>
    <w:rsid w:val="00146CA1"/>
    <w:pPr>
      <w:jc w:val="center"/>
    </w:pPr>
    <w:rPr>
      <w:color w:val="C5D744" w:themeColor="accent3"/>
      <w:sz w:val="22"/>
      <w:szCs w:val="22"/>
    </w:rPr>
  </w:style>
  <w:style w:type="paragraph" w:customStyle="1" w:styleId="Resume-5Headings">
    <w:name w:val="Resume - 5. Headings"/>
    <w:basedOn w:val="Resume-1Name"/>
    <w:next w:val="Normal"/>
    <w:link w:val="Resume-5HeadingsChar"/>
    <w:uiPriority w:val="69"/>
    <w:qFormat/>
    <w:rsid w:val="00146CA1"/>
    <w:pPr>
      <w:keepNext/>
      <w:spacing w:before="240" w:after="60"/>
    </w:pPr>
  </w:style>
  <w:style w:type="character" w:customStyle="1" w:styleId="Resume-5HeadingsChar">
    <w:name w:val="Resume - 5. Headings Char"/>
    <w:basedOn w:val="DefaultParagraphFont"/>
    <w:link w:val="Resume-5Headings"/>
    <w:uiPriority w:val="69"/>
    <w:rsid w:val="00146CA1"/>
    <w:rPr>
      <w:b/>
      <w:smallCaps/>
    </w:rPr>
  </w:style>
  <w:style w:type="paragraph" w:customStyle="1" w:styleId="Resume-6Subheadings">
    <w:name w:val="Resume - 6. Subheadings"/>
    <w:basedOn w:val="Normal"/>
    <w:next w:val="Normal"/>
    <w:link w:val="Resume-6SubheadingsChar"/>
    <w:uiPriority w:val="69"/>
    <w:qFormat/>
    <w:rsid w:val="00146CA1"/>
    <w:pPr>
      <w:keepNext/>
      <w:spacing w:after="0"/>
    </w:pPr>
    <w:rPr>
      <w:b/>
      <w:i/>
    </w:rPr>
  </w:style>
  <w:style w:type="character" w:customStyle="1" w:styleId="Resume-6SubheadingsChar">
    <w:name w:val="Resume - 6. Subheadings Char"/>
    <w:basedOn w:val="DefaultParagraphFont"/>
    <w:link w:val="Resume-6Subheadings"/>
    <w:uiPriority w:val="69"/>
    <w:rsid w:val="00146CA1"/>
    <w:rPr>
      <w:b/>
      <w:i/>
    </w:rPr>
  </w:style>
  <w:style w:type="paragraph" w:customStyle="1" w:styleId="Heading-MinorSubheading">
    <w:name w:val="Heading - Minor Subheading"/>
    <w:next w:val="Normal"/>
    <w:uiPriority w:val="15"/>
    <w:qFormat/>
    <w:rsid w:val="00146CA1"/>
    <w:pPr>
      <w:keepNext/>
      <w:keepLines/>
      <w:spacing w:after="0"/>
    </w:pPr>
    <w:rPr>
      <w:rFonts w:eastAsiaTheme="majorEastAsia" w:cstheme="majorBidi"/>
      <w:b/>
    </w:rPr>
  </w:style>
  <w:style w:type="character" w:customStyle="1" w:styleId="normaltextrun">
    <w:name w:val="normaltextrun"/>
    <w:basedOn w:val="DefaultParagraphFont"/>
    <w:rsid w:val="00146CA1"/>
  </w:style>
  <w:style w:type="character" w:customStyle="1" w:styleId="eop">
    <w:name w:val="eop"/>
    <w:basedOn w:val="DefaultParagraphFont"/>
    <w:rsid w:val="00146CA1"/>
  </w:style>
  <w:style w:type="character" w:customStyle="1" w:styleId="ui-provider">
    <w:name w:val="ui-provider"/>
    <w:basedOn w:val="DefaultParagraphFont"/>
    <w:rsid w:val="00E1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683703402">
      <w:bodyDiv w:val="1"/>
      <w:marLeft w:val="0"/>
      <w:marRight w:val="0"/>
      <w:marTop w:val="0"/>
      <w:marBottom w:val="0"/>
      <w:divBdr>
        <w:top w:val="none" w:sz="0" w:space="0" w:color="auto"/>
        <w:left w:val="none" w:sz="0" w:space="0" w:color="auto"/>
        <w:bottom w:val="none" w:sz="0" w:space="0" w:color="auto"/>
        <w:right w:val="none" w:sz="0" w:space="0" w:color="auto"/>
      </w:divBdr>
      <w:divsChild>
        <w:div w:id="238248757">
          <w:marLeft w:val="0"/>
          <w:marRight w:val="0"/>
          <w:marTop w:val="0"/>
          <w:marBottom w:val="0"/>
          <w:divBdr>
            <w:top w:val="none" w:sz="0" w:space="0" w:color="auto"/>
            <w:left w:val="none" w:sz="0" w:space="0" w:color="auto"/>
            <w:bottom w:val="none" w:sz="0" w:space="0" w:color="auto"/>
            <w:right w:val="none" w:sz="0" w:space="0" w:color="auto"/>
          </w:divBdr>
        </w:div>
        <w:div w:id="804271261">
          <w:marLeft w:val="0"/>
          <w:marRight w:val="0"/>
          <w:marTop w:val="0"/>
          <w:marBottom w:val="0"/>
          <w:divBdr>
            <w:top w:val="none" w:sz="0" w:space="0" w:color="auto"/>
            <w:left w:val="none" w:sz="0" w:space="0" w:color="auto"/>
            <w:bottom w:val="none" w:sz="0" w:space="0" w:color="auto"/>
            <w:right w:val="none" w:sz="0" w:space="0" w:color="auto"/>
          </w:divBdr>
        </w:div>
        <w:div w:id="1449353042">
          <w:marLeft w:val="0"/>
          <w:marRight w:val="0"/>
          <w:marTop w:val="0"/>
          <w:marBottom w:val="0"/>
          <w:divBdr>
            <w:top w:val="none" w:sz="0" w:space="0" w:color="auto"/>
            <w:left w:val="none" w:sz="0" w:space="0" w:color="auto"/>
            <w:bottom w:val="none" w:sz="0" w:space="0" w:color="auto"/>
            <w:right w:val="none" w:sz="0" w:space="0" w:color="auto"/>
          </w:divBdr>
        </w:div>
        <w:div w:id="2000814688">
          <w:marLeft w:val="0"/>
          <w:marRight w:val="0"/>
          <w:marTop w:val="0"/>
          <w:marBottom w:val="0"/>
          <w:divBdr>
            <w:top w:val="none" w:sz="0" w:space="0" w:color="auto"/>
            <w:left w:val="none" w:sz="0" w:space="0" w:color="auto"/>
            <w:bottom w:val="none" w:sz="0" w:space="0" w:color="auto"/>
            <w:right w:val="none" w:sz="0" w:space="0" w:color="auto"/>
          </w:divBdr>
        </w:div>
        <w:div w:id="2111119067">
          <w:marLeft w:val="0"/>
          <w:marRight w:val="0"/>
          <w:marTop w:val="0"/>
          <w:marBottom w:val="0"/>
          <w:divBdr>
            <w:top w:val="none" w:sz="0" w:space="0" w:color="auto"/>
            <w:left w:val="none" w:sz="0" w:space="0" w:color="auto"/>
            <w:bottom w:val="none" w:sz="0" w:space="0" w:color="auto"/>
            <w:right w:val="none" w:sz="0" w:space="0" w:color="auto"/>
          </w:divBdr>
        </w:div>
      </w:divsChild>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gov/sites/dfiles/OCHCO/documents/2023-10hsgn.pdf" TargetMode="External"/><Relationship Id="rId18" Type="http://schemas.openxmlformats.org/officeDocument/2006/relationships/hyperlink" Target="mailto:MFH_HOTMA@hud.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ud.gov/sites/dfiles/OCHCO/documents/2023-10hsgn.pdf" TargetMode="External"/><Relationship Id="rId17" Type="http://schemas.openxmlformats.org/officeDocument/2006/relationships/hyperlink" Target="https://www.huduser.gov/portal/datasets/inflationary-adjustments-notifications.html" TargetMode="External"/><Relationship Id="rId2" Type="http://schemas.openxmlformats.org/officeDocument/2006/relationships/customXml" Target="../customXml/item2.xml"/><Relationship Id="rId16" Type="http://schemas.openxmlformats.org/officeDocument/2006/relationships/hyperlink" Target="https://www.hud.gov/sites/dfiles/Housing/&#8204;documents/&#8204;MFH_&#8204;List_Discretionary_Policies_Implement_HOTM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ud.gov/sites/dfiles/Housing/documents/&#8204;HOTMA_&#8204;One_&#8204;pager.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program_offices/&#8204;housing/&#8204;mfh/&#8204;hotma"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7882R\OneDrive%20-%20Econometrica%20Inc\Resources\Templates\Proposal%20Template-January%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A4944809764E3DAF378BC62805A4D4"/>
        <w:category>
          <w:name w:val="General"/>
          <w:gallery w:val="placeholder"/>
        </w:category>
        <w:types>
          <w:type w:val="bbPlcHdr"/>
        </w:types>
        <w:behaviors>
          <w:behavior w:val="content"/>
        </w:behaviors>
        <w:guid w:val="{78CF0B04-FF4B-4546-BB13-45D26ABD10FE}"/>
      </w:docPartPr>
      <w:docPartBody>
        <w:p w:rsidR="00477066" w:rsidRDefault="00477066" w:rsidP="00477066">
          <w:pPr>
            <w:pStyle w:val="FFA4944809764E3DAF378BC62805A4D4"/>
          </w:pPr>
          <w:bookmarkStart w:id="0" w:name="_Ref153467320"/>
          <w:bookmarkEnd w:id="0"/>
          <w:r w:rsidRPr="003714F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iryo UI">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cadia Code SemiBold">
    <w:altName w:val="Segoe UI Symbol"/>
    <w:charset w:val="00"/>
    <w:family w:val="modern"/>
    <w:pitch w:val="fixed"/>
    <w:sig w:usb0="A1002AFF" w:usb1="C0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Cascadia Code">
    <w:charset w:val="00"/>
    <w:family w:val="modern"/>
    <w:pitch w:val="fixed"/>
    <w:sig w:usb0="A1002AFF" w:usb1="C000F9FB" w:usb2="00040020"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Bahnschrift SemiCondensed">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3505D"/>
    <w:multiLevelType w:val="multilevel"/>
    <w:tmpl w:val="8BC8E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23E61B4"/>
    <w:multiLevelType w:val="hybridMultilevel"/>
    <w:tmpl w:val="7C6E2BCE"/>
    <w:lvl w:ilvl="0" w:tplc="FAFE91D4">
      <w:start w:val="1"/>
      <w:numFmt w:val="bullet"/>
      <w:lvlText w:val="●"/>
      <w:lvlJc w:val="left"/>
      <w:pPr>
        <w:ind w:left="360" w:hanging="360"/>
      </w:pPr>
      <w:rPr>
        <w:rFonts w:ascii="Cascadia Code SemiBold" w:hAnsi="Cascadia Code SemiBold" w:hint="default"/>
        <w:b w:val="0"/>
        <w:bCs w:val="0"/>
        <w:color w:val="0E2841" w:themeColor="text2"/>
        <w:sz w:val="14"/>
        <w:szCs w:val="14"/>
      </w:rPr>
    </w:lvl>
    <w:lvl w:ilvl="1" w:tplc="4F54B40E">
      <w:start w:val="1"/>
      <w:numFmt w:val="bullet"/>
      <w:lvlText w:val="o"/>
      <w:lvlJc w:val="left"/>
      <w:pPr>
        <w:ind w:left="1440" w:hanging="360"/>
      </w:pPr>
      <w:rPr>
        <w:rFonts w:ascii="Courier New" w:hAnsi="Courier New" w:cs="Courier New" w:hint="default"/>
        <w:color w:val="156082" w:themeColor="accent1"/>
      </w:rPr>
    </w:lvl>
    <w:lvl w:ilvl="2" w:tplc="B6D456B4">
      <w:start w:val="1"/>
      <w:numFmt w:val="bullet"/>
      <w:lvlText w:val=""/>
      <w:lvlJc w:val="left"/>
      <w:pPr>
        <w:ind w:left="2160" w:hanging="360"/>
      </w:pPr>
      <w:rPr>
        <w:rFonts w:ascii="Wingdings" w:hAnsi="Wingdings" w:hint="default"/>
        <w:color w:val="156082"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409D0"/>
    <w:multiLevelType w:val="hybridMultilevel"/>
    <w:tmpl w:val="842E799E"/>
    <w:lvl w:ilvl="0" w:tplc="0C7E8F96">
      <w:start w:val="1"/>
      <w:numFmt w:val="bullet"/>
      <w:lvlText w:val="○"/>
      <w:lvlJc w:val="left"/>
      <w:pPr>
        <w:ind w:left="1152" w:hanging="360"/>
      </w:pPr>
      <w:rPr>
        <w:rFonts w:ascii="Cascadia Code SemiBold" w:hAnsi="Cascadia Code SemiBold" w:hint="default"/>
        <w:b w:val="0"/>
        <w:bCs w:val="0"/>
        <w:color w:val="0E2841" w:themeColor="text2"/>
        <w:sz w:val="16"/>
        <w:szCs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7A0C6D34"/>
    <w:multiLevelType w:val="multilevel"/>
    <w:tmpl w:val="70108B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7419062">
    <w:abstractNumId w:val="1"/>
  </w:num>
  <w:num w:numId="2" w16cid:durableId="1741782369">
    <w:abstractNumId w:val="2"/>
  </w:num>
  <w:num w:numId="3" w16cid:durableId="1365593913">
    <w:abstractNumId w:val="0"/>
  </w:num>
  <w:num w:numId="4" w16cid:durableId="196021235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E"/>
    <w:rsid w:val="0012537E"/>
    <w:rsid w:val="001F3119"/>
    <w:rsid w:val="00230CE4"/>
    <w:rsid w:val="002363F7"/>
    <w:rsid w:val="00254174"/>
    <w:rsid w:val="0026580E"/>
    <w:rsid w:val="002A1F8B"/>
    <w:rsid w:val="002C5060"/>
    <w:rsid w:val="00402D5B"/>
    <w:rsid w:val="00427124"/>
    <w:rsid w:val="00477066"/>
    <w:rsid w:val="0058735A"/>
    <w:rsid w:val="0062553D"/>
    <w:rsid w:val="006A2E28"/>
    <w:rsid w:val="006F6E77"/>
    <w:rsid w:val="0071044A"/>
    <w:rsid w:val="00785531"/>
    <w:rsid w:val="00816207"/>
    <w:rsid w:val="008A4BF5"/>
    <w:rsid w:val="008E30B7"/>
    <w:rsid w:val="008E68BD"/>
    <w:rsid w:val="00BB6E9C"/>
    <w:rsid w:val="00BF1EE7"/>
    <w:rsid w:val="00C05E7B"/>
    <w:rsid w:val="00D171F6"/>
    <w:rsid w:val="00D533D1"/>
    <w:rsid w:val="00E00984"/>
    <w:rsid w:val="00E20270"/>
    <w:rsid w:val="00F45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066"/>
    <w:rPr>
      <w:color w:val="808080"/>
    </w:rPr>
  </w:style>
  <w:style w:type="paragraph" w:styleId="Caption">
    <w:name w:val="caption"/>
    <w:next w:val="Normal"/>
    <w:link w:val="CaptionChar"/>
    <w:uiPriority w:val="35"/>
    <w:qFormat/>
    <w:rsid w:val="00F452CE"/>
    <w:pPr>
      <w:keepNext/>
      <w:keepLines/>
      <w:spacing w:before="240" w:after="40" w:line="240" w:lineRule="auto"/>
      <w:ind w:left="1152" w:hanging="1152"/>
      <w:contextualSpacing/>
      <w:jc w:val="both"/>
    </w:pPr>
    <w:rPr>
      <w:rFonts w:ascii="Arial" w:eastAsiaTheme="minorHAnsi" w:hAnsi="Arial"/>
      <w:b/>
      <w:bCs/>
      <w:color w:val="156082" w:themeColor="accent1"/>
      <w:kern w:val="0"/>
      <w:szCs w:val="18"/>
      <w14:ligatures w14:val="none"/>
    </w:rPr>
  </w:style>
  <w:style w:type="character" w:customStyle="1" w:styleId="CaptionChar">
    <w:name w:val="Caption Char"/>
    <w:basedOn w:val="DefaultParagraphFont"/>
    <w:link w:val="Caption"/>
    <w:uiPriority w:val="35"/>
    <w:rsid w:val="00F452CE"/>
    <w:rPr>
      <w:rFonts w:ascii="Arial" w:eastAsiaTheme="minorHAnsi" w:hAnsi="Arial"/>
      <w:b/>
      <w:bCs/>
      <w:color w:val="156082" w:themeColor="accent1"/>
      <w:kern w:val="0"/>
      <w:szCs w:val="18"/>
      <w14:ligatures w14:val="none"/>
    </w:rPr>
  </w:style>
  <w:style w:type="table" w:customStyle="1" w:styleId="EconometricaTableStyle">
    <w:name w:val="Econometrica Table Style"/>
    <w:basedOn w:val="TableNormal"/>
    <w:uiPriority w:val="99"/>
    <w:rsid w:val="00F452CE"/>
    <w:pPr>
      <w:spacing w:after="0" w:line="240" w:lineRule="auto"/>
      <w:jc w:val="both"/>
    </w:pPr>
    <w:rPr>
      <w:rFonts w:ascii="Times New Roman" w:eastAsiaTheme="minorHAnsi" w:hAnsi="Times New Roman"/>
      <w:kern w:val="0"/>
      <w:sz w:val="20"/>
      <w:szCs w:val="24"/>
      <w14:ligatures w14:val="none"/>
    </w:rPr>
    <w:tblPr>
      <w:tblStyleRowBandSize w:val="1"/>
      <w:tblStyleColBandSize w:val="1"/>
      <w:jc w:val="center"/>
      <w:tblBorders>
        <w:top w:val="single" w:sz="4" w:space="0" w:color="156082" w:themeColor="accent1"/>
        <w:bottom w:val="single" w:sz="4" w:space="0" w:color="156082" w:themeColor="accent1"/>
        <w:insideH w:val="single" w:sz="4" w:space="0" w:color="156082" w:themeColor="accent1"/>
        <w:insideV w:val="single" w:sz="4" w:space="0" w:color="156082" w:themeColor="accent1"/>
      </w:tblBorders>
      <w:tblCellMar>
        <w:top w:w="29" w:type="dxa"/>
        <w:left w:w="43" w:type="dxa"/>
        <w:bottom w:w="29" w:type="dxa"/>
        <w:right w:w="43" w:type="dxa"/>
      </w:tblCellMar>
    </w:tblPr>
    <w:trPr>
      <w:cantSplit/>
      <w:jc w:val="center"/>
    </w:trPr>
    <w:tcPr>
      <w:vAlign w:val="center"/>
    </w:tcPr>
    <w:tblStylePr w:type="firstRow">
      <w:pPr>
        <w:wordWrap/>
        <w:jc w:val="center"/>
      </w:pPr>
      <w:rPr>
        <w:rFonts w:ascii="Bahnschrift SemiCondensed" w:hAnsi="Bahnschrift SemiCondensed"/>
        <w:b/>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156082" w:themeFill="accent1"/>
      </w:tcPr>
    </w:tblStylePr>
    <w:tblStylePr w:type="lastRow">
      <w:rPr>
        <w:b/>
        <w:color w:val="262626" w:themeColor="text1" w:themeTint="D9"/>
      </w:rPr>
      <w:tblPr/>
      <w:tcPr>
        <w:shd w:val="clear" w:color="auto" w:fill="F6C5AC" w:themeFill="accent2" w:themeFillTint="66"/>
      </w:tcPr>
    </w:tblStylePr>
    <w:tblStylePr w:type="firstCol">
      <w:rPr>
        <w:b w:val="0"/>
      </w:rPr>
      <w:tblPr/>
      <w:tcPr>
        <w:tcBorders>
          <w:top w:val="single" w:sz="4" w:space="0" w:color="156082" w:themeColor="accent1"/>
          <w:left w:val="nil"/>
          <w:bottom w:val="single" w:sz="4" w:space="0" w:color="156082" w:themeColor="accent1"/>
          <w:right w:val="nil"/>
          <w:insideH w:val="single" w:sz="4" w:space="0" w:color="156082" w:themeColor="accent1"/>
          <w:insideV w:val="nil"/>
          <w:tl2br w:val="nil"/>
          <w:tr2bl w:val="nil"/>
        </w:tcBorders>
      </w:tcPr>
    </w:tblStylePr>
    <w:tblStylePr w:type="lastCol">
      <w:rPr>
        <w:b/>
        <w:color w:val="262626" w:themeColor="text1" w:themeTint="D9"/>
      </w:rPr>
      <w:tblPr/>
      <w:tcPr>
        <w:tcBorders>
          <w:top w:val="single" w:sz="4" w:space="0" w:color="156082" w:themeColor="accent1"/>
          <w:left w:val="nil"/>
          <w:bottom w:val="single" w:sz="4" w:space="0" w:color="156082" w:themeColor="accent1"/>
          <w:right w:val="nil"/>
          <w:insideH w:val="single" w:sz="4" w:space="0" w:color="156082" w:themeColor="accent1"/>
          <w:insideV w:val="nil"/>
          <w:tl2br w:val="nil"/>
          <w:tr2bl w:val="nil"/>
        </w:tcBorders>
        <w:shd w:val="clear" w:color="auto" w:fill="F6C5AC" w:themeFill="accent2" w:themeFillTint="66"/>
      </w:tcPr>
    </w:tblStylePr>
    <w:tblStylePr w:type="band1Vert">
      <w:tblPr/>
      <w:tcPr>
        <w:tcBorders>
          <w:top w:val="single" w:sz="4" w:space="0" w:color="156082" w:themeColor="accent1"/>
          <w:left w:val="nil"/>
          <w:bottom w:val="single" w:sz="4" w:space="0" w:color="156082" w:themeColor="accent1"/>
          <w:right w:val="nil"/>
          <w:insideH w:val="single" w:sz="4" w:space="0" w:color="156082" w:themeColor="accent1"/>
          <w:insideV w:val="nil"/>
          <w:tl2br w:val="nil"/>
          <w:tr2bl w:val="nil"/>
        </w:tcBorders>
        <w:shd w:val="clear" w:color="auto" w:fill="E8E8E8" w:themeFill="background2"/>
      </w:tcPr>
    </w:tblStylePr>
    <w:tblStylePr w:type="band2Vert">
      <w:tblPr/>
      <w:tcPr>
        <w:tcBorders>
          <w:top w:val="single" w:sz="4" w:space="0" w:color="156082" w:themeColor="accent1"/>
          <w:left w:val="nil"/>
          <w:bottom w:val="single" w:sz="4" w:space="0" w:color="156082" w:themeColor="accent1"/>
          <w:right w:val="nil"/>
          <w:insideH w:val="single" w:sz="4" w:space="0" w:color="156082" w:themeColor="accent1"/>
          <w:insideV w:val="nil"/>
          <w:tl2br w:val="nil"/>
          <w:tr2bl w:val="nil"/>
        </w:tcBorders>
      </w:tcPr>
    </w:tblStylePr>
    <w:tblStylePr w:type="band1Horz">
      <w:rPr>
        <w:color w:val="auto"/>
      </w:rPr>
      <w:tblPr/>
      <w:tcPr>
        <w:tcBorders>
          <w:top w:val="single" w:sz="4" w:space="0" w:color="156082" w:themeColor="accent1"/>
          <w:left w:val="nil"/>
          <w:bottom w:val="single" w:sz="4" w:space="0" w:color="156082" w:themeColor="accent1"/>
          <w:right w:val="nil"/>
          <w:insideH w:val="nil"/>
          <w:insideV w:val="single" w:sz="4" w:space="0" w:color="156082" w:themeColor="accent1"/>
          <w:tl2br w:val="nil"/>
          <w:tr2bl w:val="nil"/>
        </w:tcBorders>
        <w:shd w:val="clear" w:color="auto" w:fill="FFFFFF" w:themeFill="background1"/>
      </w:tcPr>
    </w:tblStylePr>
    <w:tblStylePr w:type="band2Horz">
      <w:rPr>
        <w:color w:val="auto"/>
      </w:rPr>
      <w:tblPr/>
      <w:tcPr>
        <w:tcBorders>
          <w:top w:val="single" w:sz="4" w:space="0" w:color="156082" w:themeColor="accent1"/>
          <w:left w:val="nil"/>
          <w:bottom w:val="single" w:sz="4" w:space="0" w:color="156082" w:themeColor="accent1"/>
          <w:right w:val="nil"/>
          <w:insideH w:val="nil"/>
          <w:insideV w:val="single" w:sz="4" w:space="0" w:color="156082" w:themeColor="accent1"/>
          <w:tl2br w:val="nil"/>
          <w:tr2bl w:val="nil"/>
        </w:tcBorders>
        <w:shd w:val="clear" w:color="auto" w:fill="E8E8E8" w:themeFill="background2"/>
      </w:tcPr>
    </w:tblStylePr>
  </w:style>
  <w:style w:type="paragraph" w:customStyle="1" w:styleId="FFA4944809764E3DAF378BC62805A4D4">
    <w:name w:val="FFA4944809764E3DAF378BC62805A4D4"/>
    <w:rsid w:val="00477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cono 2024">
      <a:dk1>
        <a:srgbClr val="000000"/>
      </a:dk1>
      <a:lt1>
        <a:srgbClr val="FFFFFF"/>
      </a:lt1>
      <a:dk2>
        <a:srgbClr val="00AEEF"/>
      </a:dk2>
      <a:lt2>
        <a:srgbClr val="E1F4FF"/>
      </a:lt2>
      <a:accent1>
        <a:srgbClr val="002D73"/>
      </a:accent1>
      <a:accent2>
        <a:srgbClr val="FFF200"/>
      </a:accent2>
      <a:accent3>
        <a:srgbClr val="C5D744"/>
      </a:accent3>
      <a:accent4>
        <a:srgbClr val="514689"/>
      </a:accent4>
      <a:accent5>
        <a:srgbClr val="D97300"/>
      </a:accent5>
      <a:accent6>
        <a:srgbClr val="338C26"/>
      </a:accent6>
      <a:hlink>
        <a:srgbClr val="00AEEF"/>
      </a:hlink>
      <a:folHlink>
        <a:srgbClr val="5146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bf3f732-1a97-483a-be9a-e4f04644d5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082A9F1B5F64FB738623D8E3DCC81" ma:contentTypeVersion="8" ma:contentTypeDescription="Create a new document." ma:contentTypeScope="" ma:versionID="fa0ebb79c0107d527403b3856c15e5a9">
  <xsd:schema xmlns:xsd="http://www.w3.org/2001/XMLSchema" xmlns:xs="http://www.w3.org/2001/XMLSchema" xmlns:p="http://schemas.microsoft.com/office/2006/metadata/properties" xmlns:ns2="fbf3f732-1a97-483a-be9a-e4f04644d584" targetNamespace="http://schemas.microsoft.com/office/2006/metadata/properties" ma:root="true" ma:fieldsID="1a33988b153a3381bb8298376738280d" ns2:_="">
    <xsd:import namespace="fbf3f732-1a97-483a-be9a-e4f04644d5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3f732-1a97-483a-be9a-e4f04644d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5D8F00-1340-47DD-847E-B6D4A13601FD}">
  <ds:schemaRefs>
    <ds:schemaRef ds:uri="b5590037-2679-4f02-b608-2da6905a2729"/>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e5948d07-3295-40b9-aaa1-f7b0a7a90be1"/>
    <ds:schemaRef ds:uri="http://schemas.openxmlformats.org/package/2006/metadata/core-properties"/>
    <ds:schemaRef ds:uri="b9e20292-dd07-46e6-902d-a173c7891c2e"/>
    <ds:schemaRef ds:uri="http://purl.org/dc/terms/"/>
    <ds:schemaRef ds:uri="fbf3f732-1a97-483a-be9a-e4f04644d584"/>
  </ds:schemaRefs>
</ds:datastoreItem>
</file>

<file path=customXml/itemProps3.xml><?xml version="1.0" encoding="utf-8"?>
<ds:datastoreItem xmlns:ds="http://schemas.openxmlformats.org/officeDocument/2006/customXml" ds:itemID="{E1BCEDFD-1BE1-4082-8ADC-13E5E4576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3f732-1a97-483a-be9a-e4f04644d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4ABBD-F95E-47FE-9DF6-FA52AD85D872}">
  <ds:schemaRefs>
    <ds:schemaRef ds:uri="http://schemas.microsoft.com/sharepoint/v3/contenttype/forms"/>
  </ds:schemaRefs>
</ds:datastoreItem>
</file>

<file path=customXml/itemProps5.xml><?xml version="1.0" encoding="utf-8"?>
<ds:datastoreItem xmlns:ds="http://schemas.openxmlformats.org/officeDocument/2006/customXml" ds:itemID="{012DFA19-9102-40AA-BECA-5503655C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Template-January 2024</Template>
  <TotalTime>2</TotalTime>
  <Pages>12</Pages>
  <Words>3214</Words>
  <Characters>18322</Characters>
  <Application>Microsoft Office Word</Application>
  <DocSecurity>0</DocSecurity>
  <Lines>152</Lines>
  <Paragraphs>42</Paragraphs>
  <ScaleCrop>false</ScaleCrop>
  <Company>Econometrica, Inc.</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From Solicitation</dc:title>
  <dc:subject>HOTMA Training and Technical Assistance</dc:subject>
  <dc:creator>Kurt von Tish</dc:creator>
  <cp:keywords>XXXXXXX</cp:keywords>
  <cp:lastModifiedBy>Norman, Robert L</cp:lastModifiedBy>
  <cp:revision>2</cp:revision>
  <cp:lastPrinted>2023-11-28T20:12:00Z</cp:lastPrinted>
  <dcterms:created xsi:type="dcterms:W3CDTF">2024-05-07T13:24:00Z</dcterms:created>
  <dcterms:modified xsi:type="dcterms:W3CDTF">2024-05-07T13:24:00Z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0x010100E11082A9F1B5F64FB738623D8E3DCC81</vt:lpwstr>
  </property>
  <property fmtid="{D5CDD505-2E9C-101B-9397-08002B2CF9AE}" pid="3" name="MediaServiceImageTags">
    <vt:lpwstr/>
  </property>
  <property fmtid="{D5CDD505-2E9C-101B-9397-08002B2CF9AE}" pid="4" name="GrammarlyDocumentId">
    <vt:lpwstr>9e0e640dace89655f13e56ba9d4bb5838a080ffc4cd7e45e7fc6d4d93a50227c</vt:lpwstr>
  </property>
  <property fmtid="{D5CDD505-2E9C-101B-9397-08002B2CF9AE}" pid="5" name="Order">
    <vt:r8>21200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