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2C13" w14:textId="6FF4E1FF" w:rsidR="00942988" w:rsidRPr="0088258D" w:rsidRDefault="00942988" w:rsidP="00942988">
      <w:pPr>
        <w:pStyle w:val="Title-2ProjectName"/>
        <w:rPr>
          <w:rFonts w:ascii="Times New Roman" w:hAnsi="Times New Roman" w:cs="Times New Roman"/>
          <w:sz w:val="22"/>
          <w:szCs w:val="22"/>
        </w:rPr>
      </w:pPr>
      <w:r w:rsidRPr="0088258D">
        <w:rPr>
          <w:rFonts w:ascii="Times New Roman" w:hAnsi="Times New Roman" w:cs="Times New Roman"/>
          <w:sz w:val="22"/>
          <w:szCs w:val="22"/>
        </w:rPr>
        <w:t xml:space="preserve">Housing Opportunity Through Modernization Act (HOTMA) Video Series for Multifamily </w:t>
      </w:r>
      <w:r w:rsidR="00912694">
        <w:rPr>
          <w:rFonts w:ascii="Times New Roman" w:hAnsi="Times New Roman" w:cs="Times New Roman"/>
          <w:sz w:val="22"/>
          <w:szCs w:val="22"/>
        </w:rPr>
        <w:t xml:space="preserve">Housing </w:t>
      </w:r>
      <w:r w:rsidR="00A149A0">
        <w:rPr>
          <w:rFonts w:ascii="Times New Roman" w:hAnsi="Times New Roman" w:cs="Times New Roman"/>
          <w:sz w:val="22"/>
          <w:szCs w:val="22"/>
        </w:rPr>
        <w:t>Owners</w:t>
      </w:r>
      <w:r w:rsidRPr="0088258D">
        <w:rPr>
          <w:rFonts w:ascii="Times New Roman" w:hAnsi="Times New Roman" w:cs="Times New Roman"/>
          <w:sz w:val="22"/>
          <w:szCs w:val="22"/>
        </w:rPr>
        <w:t xml:space="preserve"> and Property Managers</w:t>
      </w:r>
    </w:p>
    <w:sdt>
      <w:sdtPr>
        <w:rPr>
          <w:rFonts w:ascii="Times New Roman" w:hAnsi="Times New Roman" w:cs="Times New Roman"/>
          <w:color w:val="2B579A"/>
          <w:sz w:val="22"/>
          <w:szCs w:val="22"/>
          <w:shd w:val="clear" w:color="auto" w:fill="E6E6E6"/>
        </w:rPr>
        <w:alias w:val="Title"/>
        <w:tag w:val=""/>
        <w:id w:val="1023362912"/>
        <w:placeholder>
          <w:docPart w:val="C9ECBF0D7CB744B7899366CCAB3F0D5C"/>
        </w:placeholder>
        <w:dataBinding w:prefixMappings="xmlns:ns0='http://purl.org/dc/elements/1.1/' xmlns:ns1='http://schemas.openxmlformats.org/package/2006/metadata/core-properties' " w:xpath="/ns1:coreProperties[1]/ns0:title[1]" w:storeItemID="{6C3C8BC8-F283-45AE-878A-BAB7291924A1}"/>
        <w:text/>
      </w:sdtPr>
      <w:sdtEndPr>
        <w:rPr>
          <w:color w:val="00AEEF" w:themeColor="text2"/>
          <w:shd w:val="clear" w:color="auto" w:fill="auto"/>
        </w:rPr>
      </w:sdtEndPr>
      <w:sdtContent>
        <w:p w14:paraId="487884B5" w14:textId="2E6D5786" w:rsidR="00942988" w:rsidRPr="0088258D" w:rsidRDefault="00942988" w:rsidP="00942988">
          <w:pPr>
            <w:pStyle w:val="Heading1"/>
            <w:rPr>
              <w:rFonts w:ascii="Times New Roman" w:hAnsi="Times New Roman" w:cs="Times New Roman"/>
              <w:sz w:val="22"/>
              <w:szCs w:val="22"/>
            </w:rPr>
          </w:pPr>
          <w:r w:rsidRPr="0088258D">
            <w:rPr>
              <w:rFonts w:ascii="Times New Roman" w:hAnsi="Times New Roman" w:cs="Times New Roman"/>
              <w:sz w:val="22"/>
              <w:szCs w:val="22"/>
            </w:rPr>
            <w:t>Net Family Assets</w:t>
          </w:r>
        </w:p>
      </w:sdtContent>
    </w:sdt>
    <w:p w14:paraId="0D384929" w14:textId="5287E93F" w:rsidR="00DB45A5" w:rsidRPr="0088258D" w:rsidRDefault="00942988" w:rsidP="00942988">
      <w:pPr>
        <w:pStyle w:val="Caption"/>
        <w:rPr>
          <w:rFonts w:ascii="Times New Roman" w:hAnsi="Times New Roman" w:cs="Times New Roman"/>
          <w:szCs w:val="22"/>
        </w:rPr>
      </w:pPr>
      <w:r w:rsidRPr="0088258D">
        <w:rPr>
          <w:rFonts w:ascii="Times New Roman" w:hAnsi="Times New Roman" w:cs="Times New Roman"/>
          <w:szCs w:val="22"/>
        </w:rPr>
        <w:t>Script</w:t>
      </w:r>
    </w:p>
    <w:tbl>
      <w:tblPr>
        <w:tblStyle w:val="EconometricaTableStyle"/>
        <w:tblW w:w="0" w:type="auto"/>
        <w:tblLayout w:type="fixed"/>
        <w:tblCellMar>
          <w:top w:w="101" w:type="dxa"/>
          <w:bottom w:w="101" w:type="dxa"/>
        </w:tblCellMar>
        <w:tblLook w:val="0620" w:firstRow="1" w:lastRow="0" w:firstColumn="0" w:lastColumn="0" w:noHBand="1" w:noVBand="1"/>
      </w:tblPr>
      <w:tblGrid>
        <w:gridCol w:w="720"/>
        <w:gridCol w:w="2160"/>
        <w:gridCol w:w="10080"/>
      </w:tblGrid>
      <w:tr w:rsidR="00942988" w:rsidRPr="0088258D" w14:paraId="126CE6B8" w14:textId="77777777" w:rsidTr="1281F8EE">
        <w:trPr>
          <w:cnfStyle w:val="100000000000" w:firstRow="1" w:lastRow="0" w:firstColumn="0" w:lastColumn="0" w:oddVBand="0" w:evenVBand="0" w:oddHBand="0" w:evenHBand="0" w:firstRowFirstColumn="0" w:firstRowLastColumn="0" w:lastRowFirstColumn="0" w:lastRowLastColumn="0"/>
          <w:trHeight w:val="20"/>
        </w:trPr>
        <w:tc>
          <w:tcPr>
            <w:tcW w:w="720" w:type="dxa"/>
          </w:tcPr>
          <w:p w14:paraId="66262B90" w14:textId="77777777" w:rsidR="00942988" w:rsidRPr="0088258D" w:rsidRDefault="00942988" w:rsidP="00942988">
            <w:pPr>
              <w:pStyle w:val="TableColumnHeading"/>
              <w:rPr>
                <w:rFonts w:ascii="Times New Roman" w:hAnsi="Times New Roman"/>
                <w:sz w:val="22"/>
                <w:szCs w:val="22"/>
              </w:rPr>
            </w:pPr>
            <w:r w:rsidRPr="0088258D">
              <w:rPr>
                <w:rFonts w:ascii="Times New Roman" w:hAnsi="Times New Roman"/>
                <w:sz w:val="22"/>
                <w:szCs w:val="22"/>
              </w:rPr>
              <w:t>Slide No.</w:t>
            </w:r>
          </w:p>
        </w:tc>
        <w:tc>
          <w:tcPr>
            <w:tcW w:w="2160" w:type="dxa"/>
          </w:tcPr>
          <w:p w14:paraId="616232B0" w14:textId="77777777" w:rsidR="00942988" w:rsidRPr="0088258D" w:rsidRDefault="00942988" w:rsidP="00942988">
            <w:pPr>
              <w:pStyle w:val="TableColumnHeading"/>
              <w:rPr>
                <w:rFonts w:ascii="Times New Roman" w:hAnsi="Times New Roman"/>
                <w:sz w:val="22"/>
                <w:szCs w:val="22"/>
              </w:rPr>
            </w:pPr>
            <w:r w:rsidRPr="0088258D">
              <w:rPr>
                <w:rFonts w:ascii="Times New Roman" w:hAnsi="Times New Roman"/>
                <w:sz w:val="22"/>
                <w:szCs w:val="22"/>
              </w:rPr>
              <w:t>Slide Title</w:t>
            </w:r>
          </w:p>
        </w:tc>
        <w:tc>
          <w:tcPr>
            <w:tcW w:w="10080" w:type="dxa"/>
          </w:tcPr>
          <w:p w14:paraId="0F3F820D" w14:textId="6453F74B" w:rsidR="00942988" w:rsidRPr="0088258D" w:rsidRDefault="00942988" w:rsidP="00942988">
            <w:pPr>
              <w:pStyle w:val="TableColumnHeading"/>
              <w:rPr>
                <w:rFonts w:ascii="Times New Roman" w:hAnsi="Times New Roman"/>
                <w:sz w:val="22"/>
                <w:szCs w:val="22"/>
              </w:rPr>
            </w:pPr>
            <w:r w:rsidRPr="0088258D">
              <w:rPr>
                <w:rFonts w:ascii="Times New Roman" w:hAnsi="Times New Roman"/>
                <w:sz w:val="22"/>
                <w:szCs w:val="22"/>
              </w:rPr>
              <w:t>Script</w:t>
            </w:r>
          </w:p>
        </w:tc>
      </w:tr>
      <w:tr w:rsidR="00942988" w:rsidRPr="0088258D" w14:paraId="513A94F3" w14:textId="77777777" w:rsidTr="1281F8EE">
        <w:trPr>
          <w:trHeight w:val="20"/>
        </w:trPr>
        <w:tc>
          <w:tcPr>
            <w:tcW w:w="720" w:type="dxa"/>
          </w:tcPr>
          <w:p w14:paraId="76DBEAF2" w14:textId="65433AE6" w:rsidR="00942988" w:rsidRPr="0088258D" w:rsidRDefault="00942988" w:rsidP="00942988">
            <w:pPr>
              <w:pStyle w:val="TableCellYear"/>
              <w:rPr>
                <w:rFonts w:cs="Times New Roman"/>
                <w:szCs w:val="22"/>
              </w:rPr>
            </w:pPr>
            <w:r w:rsidRPr="0088258D">
              <w:rPr>
                <w:rFonts w:cs="Times New Roman"/>
                <w:szCs w:val="22"/>
              </w:rPr>
              <w:t>1</w:t>
            </w:r>
          </w:p>
        </w:tc>
        <w:tc>
          <w:tcPr>
            <w:tcW w:w="2160" w:type="dxa"/>
          </w:tcPr>
          <w:p w14:paraId="6DD13867" w14:textId="77777777" w:rsidR="00942988" w:rsidRPr="0088258D" w:rsidRDefault="00942988" w:rsidP="00942988">
            <w:pPr>
              <w:pStyle w:val="TableCellGeneralText"/>
              <w:rPr>
                <w:rFonts w:cs="Times New Roman"/>
                <w:i/>
                <w:iCs/>
                <w:szCs w:val="22"/>
              </w:rPr>
            </w:pPr>
            <w:r w:rsidRPr="0088258D">
              <w:rPr>
                <w:rFonts w:cs="Times New Roman"/>
                <w:i/>
                <w:iCs/>
                <w:szCs w:val="22"/>
              </w:rPr>
              <w:t>Cover</w:t>
            </w:r>
          </w:p>
        </w:tc>
        <w:tc>
          <w:tcPr>
            <w:tcW w:w="10080" w:type="dxa"/>
          </w:tcPr>
          <w:p w14:paraId="21F50E84" w14:textId="35559F02" w:rsidR="00942988" w:rsidRPr="0088258D" w:rsidRDefault="000343B5" w:rsidP="00942988">
            <w:pPr>
              <w:pStyle w:val="TableCellGeneralText"/>
              <w:rPr>
                <w:rFonts w:cs="Times New Roman"/>
                <w:szCs w:val="22"/>
              </w:rPr>
            </w:pPr>
            <w:r w:rsidRPr="0088258D">
              <w:rPr>
                <w:rFonts w:cs="Times New Roman"/>
                <w:szCs w:val="22"/>
              </w:rPr>
              <w:t xml:space="preserve">Welcome to HUD Multifamily Housing’s HOTMA video series for </w:t>
            </w:r>
            <w:r w:rsidR="00A149A0">
              <w:rPr>
                <w:rFonts w:cs="Times New Roman"/>
                <w:szCs w:val="22"/>
              </w:rPr>
              <w:t>Owners</w:t>
            </w:r>
            <w:r w:rsidRPr="0088258D">
              <w:rPr>
                <w:rFonts w:cs="Times New Roman"/>
                <w:szCs w:val="22"/>
              </w:rPr>
              <w:t>. As you may know, HOTMA stands for the Housing Opportunity Through Modernization Act. Today’s session will cover Net Family Assets.</w:t>
            </w:r>
          </w:p>
        </w:tc>
      </w:tr>
      <w:tr w:rsidR="00942988" w:rsidRPr="0088258D" w14:paraId="24EBA872" w14:textId="77777777" w:rsidTr="1281F8EE">
        <w:trPr>
          <w:trHeight w:val="20"/>
        </w:trPr>
        <w:tc>
          <w:tcPr>
            <w:tcW w:w="720" w:type="dxa"/>
          </w:tcPr>
          <w:p w14:paraId="4F71148E" w14:textId="6E98E112" w:rsidR="00942988" w:rsidRPr="0088258D" w:rsidRDefault="00942988" w:rsidP="00942988">
            <w:pPr>
              <w:pStyle w:val="TableCellYear"/>
              <w:rPr>
                <w:rFonts w:cs="Times New Roman"/>
                <w:szCs w:val="22"/>
              </w:rPr>
            </w:pPr>
            <w:r w:rsidRPr="0088258D">
              <w:rPr>
                <w:rFonts w:cs="Times New Roman"/>
                <w:szCs w:val="22"/>
              </w:rPr>
              <w:t>2</w:t>
            </w:r>
          </w:p>
        </w:tc>
        <w:tc>
          <w:tcPr>
            <w:tcW w:w="2160" w:type="dxa"/>
          </w:tcPr>
          <w:p w14:paraId="402E631A" w14:textId="30C1E885" w:rsidR="00942988" w:rsidRPr="0088258D" w:rsidRDefault="00942988" w:rsidP="00942988">
            <w:pPr>
              <w:pStyle w:val="TableCellGeneralText"/>
              <w:rPr>
                <w:rFonts w:cs="Times New Roman"/>
                <w:szCs w:val="22"/>
              </w:rPr>
            </w:pPr>
            <w:r w:rsidRPr="0088258D">
              <w:rPr>
                <w:rFonts w:cs="Times New Roman"/>
                <w:szCs w:val="22"/>
              </w:rPr>
              <w:t xml:space="preserve">Multifamily Housing HOTMA Video Series for </w:t>
            </w:r>
            <w:r w:rsidR="00A149A0">
              <w:rPr>
                <w:rFonts w:cs="Times New Roman"/>
                <w:szCs w:val="22"/>
              </w:rPr>
              <w:t>Owners</w:t>
            </w:r>
            <w:r w:rsidRPr="0088258D">
              <w:rPr>
                <w:rFonts w:cs="Times New Roman"/>
                <w:szCs w:val="22"/>
              </w:rPr>
              <w:t xml:space="preserve"> – Net Family Assets</w:t>
            </w:r>
          </w:p>
        </w:tc>
        <w:tc>
          <w:tcPr>
            <w:tcW w:w="10080" w:type="dxa"/>
          </w:tcPr>
          <w:p w14:paraId="4E9CBC47" w14:textId="1A01F329" w:rsidR="00942988" w:rsidRPr="0088258D" w:rsidRDefault="00942988" w:rsidP="00942988">
            <w:pPr>
              <w:pStyle w:val="TableCellText-Spaced"/>
              <w:rPr>
                <w:rFonts w:cs="Times New Roman"/>
                <w:szCs w:val="22"/>
              </w:rPr>
            </w:pPr>
            <w:r w:rsidRPr="0088258D">
              <w:rPr>
                <w:rFonts w:cs="Times New Roman"/>
                <w:szCs w:val="22"/>
              </w:rPr>
              <w:t xml:space="preserve">Net Family Assets is one of a series of eight HOTMA </w:t>
            </w:r>
            <w:r w:rsidR="00DC4A73" w:rsidRPr="0088258D">
              <w:rPr>
                <w:rFonts w:cs="Times New Roman"/>
                <w:szCs w:val="22"/>
              </w:rPr>
              <w:t xml:space="preserve">training videos </w:t>
            </w:r>
            <w:r w:rsidRPr="0088258D">
              <w:rPr>
                <w:rFonts w:cs="Times New Roman"/>
                <w:szCs w:val="22"/>
              </w:rPr>
              <w:t xml:space="preserve">created specifically </w:t>
            </w:r>
            <w:r w:rsidR="00DC4A73" w:rsidRPr="0088258D">
              <w:rPr>
                <w:rFonts w:cs="Times New Roman"/>
                <w:szCs w:val="22"/>
              </w:rPr>
              <w:t xml:space="preserve">for </w:t>
            </w:r>
            <w:r w:rsidRPr="0088258D">
              <w:rPr>
                <w:rFonts w:cs="Times New Roman"/>
                <w:szCs w:val="22"/>
              </w:rPr>
              <w:t xml:space="preserve">Multifamily </w:t>
            </w:r>
            <w:r w:rsidR="00B40265" w:rsidRPr="0088258D">
              <w:rPr>
                <w:rFonts w:cs="Times New Roman"/>
                <w:szCs w:val="22"/>
              </w:rPr>
              <w:t>Housin</w:t>
            </w:r>
            <w:r w:rsidR="00B95238" w:rsidRPr="0088258D">
              <w:rPr>
                <w:rFonts w:cs="Times New Roman"/>
                <w:szCs w:val="22"/>
              </w:rPr>
              <w:t xml:space="preserve">g </w:t>
            </w:r>
            <w:r w:rsidRPr="0088258D">
              <w:rPr>
                <w:rFonts w:cs="Times New Roman"/>
                <w:szCs w:val="22"/>
              </w:rPr>
              <w:t xml:space="preserve">property </w:t>
            </w:r>
            <w:r w:rsidR="00A149A0">
              <w:rPr>
                <w:rFonts w:cs="Times New Roman"/>
                <w:szCs w:val="22"/>
              </w:rPr>
              <w:t>Owners</w:t>
            </w:r>
            <w:r w:rsidRPr="0088258D">
              <w:rPr>
                <w:rFonts w:cs="Times New Roman"/>
                <w:szCs w:val="22"/>
              </w:rPr>
              <w:t>.</w:t>
            </w:r>
          </w:p>
          <w:p w14:paraId="6DEFD5D8" w14:textId="471EC007" w:rsidR="00942988" w:rsidRPr="0088258D" w:rsidRDefault="00942988" w:rsidP="00942988">
            <w:pPr>
              <w:pStyle w:val="TableCellGeneralText"/>
              <w:rPr>
                <w:rFonts w:cs="Times New Roman"/>
                <w:szCs w:val="22"/>
              </w:rPr>
            </w:pPr>
            <w:r w:rsidRPr="0088258D">
              <w:rPr>
                <w:rFonts w:cs="Times New Roman"/>
                <w:szCs w:val="22"/>
              </w:rPr>
              <w:t xml:space="preserve">Video recordings and the accompanying slide decks for the other topics are currently or </w:t>
            </w:r>
            <w:r w:rsidR="00DC4A73" w:rsidRPr="0088258D">
              <w:rPr>
                <w:rFonts w:cs="Times New Roman"/>
                <w:szCs w:val="22"/>
              </w:rPr>
              <w:t xml:space="preserve">will </w:t>
            </w:r>
            <w:r w:rsidRPr="0088258D">
              <w:rPr>
                <w:rFonts w:cs="Times New Roman"/>
                <w:szCs w:val="22"/>
              </w:rPr>
              <w:t>soon be available on HUD’s MFH HOTMA site.</w:t>
            </w:r>
          </w:p>
        </w:tc>
      </w:tr>
      <w:tr w:rsidR="00942988" w:rsidRPr="0088258D" w14:paraId="1949EBDE" w14:textId="77777777" w:rsidTr="1281F8EE">
        <w:trPr>
          <w:trHeight w:val="20"/>
        </w:trPr>
        <w:tc>
          <w:tcPr>
            <w:tcW w:w="720" w:type="dxa"/>
          </w:tcPr>
          <w:p w14:paraId="7FA9E352" w14:textId="56A286E0" w:rsidR="00942988" w:rsidRPr="0088258D" w:rsidRDefault="00942988" w:rsidP="00942988">
            <w:pPr>
              <w:pStyle w:val="TableCellYear"/>
              <w:rPr>
                <w:rFonts w:cs="Times New Roman"/>
                <w:szCs w:val="22"/>
              </w:rPr>
            </w:pPr>
            <w:r w:rsidRPr="0088258D">
              <w:rPr>
                <w:rFonts w:cs="Times New Roman"/>
                <w:szCs w:val="22"/>
              </w:rPr>
              <w:t>3</w:t>
            </w:r>
          </w:p>
        </w:tc>
        <w:tc>
          <w:tcPr>
            <w:tcW w:w="2160" w:type="dxa"/>
          </w:tcPr>
          <w:p w14:paraId="3382ACB0" w14:textId="77777777" w:rsidR="00942988" w:rsidRPr="0088258D" w:rsidRDefault="00942988" w:rsidP="00942988">
            <w:pPr>
              <w:pStyle w:val="TableCellGeneralText"/>
              <w:rPr>
                <w:rFonts w:cs="Times New Roman"/>
                <w:szCs w:val="22"/>
              </w:rPr>
            </w:pPr>
            <w:r w:rsidRPr="0088258D">
              <w:rPr>
                <w:rFonts w:cs="Times New Roman"/>
                <w:szCs w:val="22"/>
              </w:rPr>
              <w:t>Agenda</w:t>
            </w:r>
          </w:p>
        </w:tc>
        <w:tc>
          <w:tcPr>
            <w:tcW w:w="10080" w:type="dxa"/>
          </w:tcPr>
          <w:p w14:paraId="06F181F0" w14:textId="6385CF43" w:rsidR="00942988" w:rsidRPr="0088258D" w:rsidRDefault="00942988" w:rsidP="00942988">
            <w:pPr>
              <w:pStyle w:val="TableCellGeneralText"/>
              <w:rPr>
                <w:rFonts w:cs="Times New Roman"/>
                <w:szCs w:val="22"/>
              </w:rPr>
            </w:pPr>
            <w:r w:rsidRPr="0088258D">
              <w:rPr>
                <w:rFonts w:cs="Times New Roman"/>
                <w:szCs w:val="22"/>
              </w:rPr>
              <w:t>Today’s agenda includes:</w:t>
            </w:r>
          </w:p>
          <w:p w14:paraId="7A12899C" w14:textId="2BA1186E" w:rsidR="00942988" w:rsidRPr="0088258D" w:rsidRDefault="00942988" w:rsidP="00942988">
            <w:pPr>
              <w:pStyle w:val="TableBullet1"/>
              <w:rPr>
                <w:rFonts w:cs="Times New Roman"/>
                <w:szCs w:val="22"/>
              </w:rPr>
            </w:pPr>
            <w:r w:rsidRPr="0088258D">
              <w:rPr>
                <w:rFonts w:cs="Times New Roman"/>
                <w:szCs w:val="22"/>
              </w:rPr>
              <w:t xml:space="preserve">A brief </w:t>
            </w:r>
            <w:r w:rsidR="00DC4A73" w:rsidRPr="0088258D">
              <w:rPr>
                <w:rFonts w:cs="Times New Roman"/>
                <w:szCs w:val="22"/>
              </w:rPr>
              <w:t xml:space="preserve">background </w:t>
            </w:r>
            <w:r w:rsidRPr="0088258D">
              <w:rPr>
                <w:rFonts w:cs="Times New Roman"/>
                <w:szCs w:val="22"/>
              </w:rPr>
              <w:t>of HOTMA</w:t>
            </w:r>
            <w:r w:rsidR="00DC4A73" w:rsidRPr="0088258D">
              <w:rPr>
                <w:rFonts w:cs="Times New Roman"/>
                <w:szCs w:val="22"/>
              </w:rPr>
              <w:t>,</w:t>
            </w:r>
          </w:p>
          <w:p w14:paraId="34361311" w14:textId="293D524E" w:rsidR="00942988" w:rsidRPr="0088258D" w:rsidRDefault="00942988" w:rsidP="00942988">
            <w:pPr>
              <w:pStyle w:val="TableBullet1"/>
              <w:rPr>
                <w:rFonts w:cs="Times New Roman"/>
                <w:szCs w:val="22"/>
              </w:rPr>
            </w:pPr>
            <w:r w:rsidRPr="0088258D">
              <w:rPr>
                <w:rFonts w:cs="Times New Roman"/>
                <w:szCs w:val="22"/>
              </w:rPr>
              <w:t xml:space="preserve">A review of the </w:t>
            </w:r>
            <w:r w:rsidR="00DC4A73" w:rsidRPr="0088258D">
              <w:rPr>
                <w:rFonts w:cs="Times New Roman"/>
                <w:szCs w:val="22"/>
              </w:rPr>
              <w:t xml:space="preserve">new definition </w:t>
            </w:r>
            <w:r w:rsidRPr="0088258D">
              <w:rPr>
                <w:rFonts w:cs="Times New Roman"/>
                <w:szCs w:val="22"/>
              </w:rPr>
              <w:t>of “Assets</w:t>
            </w:r>
            <w:r w:rsidR="00DC4A73" w:rsidRPr="0088258D">
              <w:rPr>
                <w:rFonts w:cs="Times New Roman"/>
                <w:szCs w:val="22"/>
              </w:rPr>
              <w:t>,</w:t>
            </w:r>
            <w:r w:rsidRPr="0088258D">
              <w:rPr>
                <w:rFonts w:cs="Times New Roman"/>
                <w:szCs w:val="22"/>
              </w:rPr>
              <w:t xml:space="preserve">” </w:t>
            </w:r>
          </w:p>
          <w:p w14:paraId="19865483" w14:textId="1650045B" w:rsidR="00942988" w:rsidRPr="0088258D" w:rsidRDefault="00942988" w:rsidP="00942988">
            <w:pPr>
              <w:pStyle w:val="TableBullet1"/>
              <w:rPr>
                <w:rFonts w:cs="Times New Roman"/>
                <w:szCs w:val="22"/>
              </w:rPr>
            </w:pPr>
            <w:r w:rsidRPr="0088258D">
              <w:rPr>
                <w:rFonts w:cs="Times New Roman"/>
                <w:szCs w:val="22"/>
              </w:rPr>
              <w:t xml:space="preserve">A review of </w:t>
            </w:r>
            <w:r w:rsidR="00DC4A73" w:rsidRPr="0088258D">
              <w:rPr>
                <w:rFonts w:cs="Times New Roman"/>
                <w:szCs w:val="22"/>
              </w:rPr>
              <w:t xml:space="preserve">exclusions and inclusions </w:t>
            </w:r>
            <w:r w:rsidRPr="0088258D">
              <w:rPr>
                <w:rFonts w:cs="Times New Roman"/>
                <w:szCs w:val="22"/>
              </w:rPr>
              <w:t>in Net Family Assets</w:t>
            </w:r>
            <w:r w:rsidR="009E2E10" w:rsidRPr="0088258D">
              <w:rPr>
                <w:rFonts w:cs="Times New Roman"/>
                <w:szCs w:val="22"/>
              </w:rPr>
              <w:t>.</w:t>
            </w:r>
            <w:r w:rsidR="00EA1199" w:rsidRPr="0088258D">
              <w:rPr>
                <w:rFonts w:cs="Times New Roman"/>
                <w:szCs w:val="22"/>
              </w:rPr>
              <w:t xml:space="preserve"> and</w:t>
            </w:r>
          </w:p>
          <w:p w14:paraId="58C5AF70" w14:textId="77777777" w:rsidR="008C414D" w:rsidRPr="0088258D" w:rsidRDefault="00942988" w:rsidP="002A6346">
            <w:pPr>
              <w:pStyle w:val="TableBullet1"/>
              <w:rPr>
                <w:rFonts w:cs="Times New Roman"/>
                <w:szCs w:val="22"/>
              </w:rPr>
            </w:pPr>
            <w:r w:rsidRPr="0088258D">
              <w:rPr>
                <w:rFonts w:cs="Times New Roman"/>
                <w:szCs w:val="22"/>
              </w:rPr>
              <w:t xml:space="preserve">We will also cover </w:t>
            </w:r>
            <w:r w:rsidR="00DC4A73" w:rsidRPr="0088258D">
              <w:rPr>
                <w:rFonts w:cs="Times New Roman"/>
                <w:szCs w:val="22"/>
              </w:rPr>
              <w:t xml:space="preserve">determining </w:t>
            </w:r>
            <w:r w:rsidRPr="0088258D">
              <w:rPr>
                <w:rFonts w:cs="Times New Roman"/>
                <w:szCs w:val="22"/>
              </w:rPr>
              <w:t xml:space="preserve">Net Family Assets and </w:t>
            </w:r>
          </w:p>
          <w:p w14:paraId="361330F5" w14:textId="2A3F484E" w:rsidR="00942988" w:rsidRPr="0088258D" w:rsidRDefault="00942988" w:rsidP="002A6346">
            <w:pPr>
              <w:pStyle w:val="TableBullet1"/>
              <w:rPr>
                <w:rFonts w:cs="Times New Roman"/>
                <w:szCs w:val="22"/>
              </w:rPr>
            </w:pPr>
            <w:r w:rsidRPr="0088258D">
              <w:rPr>
                <w:rFonts w:cs="Times New Roman"/>
                <w:szCs w:val="22"/>
              </w:rPr>
              <w:t xml:space="preserve">Calculating </w:t>
            </w:r>
            <w:r w:rsidR="00DC4A73" w:rsidRPr="0088258D">
              <w:rPr>
                <w:rFonts w:cs="Times New Roman"/>
                <w:szCs w:val="22"/>
              </w:rPr>
              <w:t>asset income.</w:t>
            </w:r>
          </w:p>
        </w:tc>
      </w:tr>
      <w:tr w:rsidR="00942988" w:rsidRPr="0088258D" w14:paraId="02E151B7" w14:textId="77777777" w:rsidTr="1281F8EE">
        <w:trPr>
          <w:trHeight w:val="20"/>
        </w:trPr>
        <w:tc>
          <w:tcPr>
            <w:tcW w:w="720" w:type="dxa"/>
          </w:tcPr>
          <w:p w14:paraId="43EA545A" w14:textId="5EE97BC9" w:rsidR="00942988" w:rsidRPr="0088258D" w:rsidRDefault="00942988" w:rsidP="00942988">
            <w:pPr>
              <w:pStyle w:val="TableCellYear"/>
              <w:rPr>
                <w:rFonts w:cs="Times New Roman"/>
                <w:szCs w:val="22"/>
              </w:rPr>
            </w:pPr>
            <w:r w:rsidRPr="0088258D">
              <w:rPr>
                <w:rFonts w:cs="Times New Roman"/>
                <w:szCs w:val="22"/>
              </w:rPr>
              <w:t>4</w:t>
            </w:r>
          </w:p>
        </w:tc>
        <w:tc>
          <w:tcPr>
            <w:tcW w:w="2160" w:type="dxa"/>
          </w:tcPr>
          <w:p w14:paraId="0FB2DD16" w14:textId="3C9F9203" w:rsidR="00942988" w:rsidRPr="0088258D" w:rsidRDefault="00942988" w:rsidP="00942988">
            <w:pPr>
              <w:pStyle w:val="TableCellGeneralText"/>
              <w:rPr>
                <w:rFonts w:cs="Times New Roman"/>
                <w:szCs w:val="22"/>
              </w:rPr>
            </w:pPr>
            <w:r w:rsidRPr="0088258D">
              <w:rPr>
                <w:rFonts w:cs="Times New Roman"/>
                <w:szCs w:val="22"/>
              </w:rPr>
              <w:t>Today’s Training Objectives</w:t>
            </w:r>
          </w:p>
        </w:tc>
        <w:tc>
          <w:tcPr>
            <w:tcW w:w="10080" w:type="dxa"/>
          </w:tcPr>
          <w:p w14:paraId="5BD8470B" w14:textId="68C6B097" w:rsidR="00942988" w:rsidRPr="0088258D" w:rsidRDefault="00942988" w:rsidP="00942988">
            <w:pPr>
              <w:pStyle w:val="TableCellGeneralText"/>
              <w:rPr>
                <w:rFonts w:cs="Times New Roman"/>
                <w:szCs w:val="22"/>
              </w:rPr>
            </w:pPr>
            <w:r w:rsidRPr="0088258D">
              <w:rPr>
                <w:rFonts w:cs="Times New Roman"/>
                <w:szCs w:val="22"/>
              </w:rPr>
              <w:t xml:space="preserve">This training will provide </w:t>
            </w:r>
            <w:r w:rsidR="0044409E" w:rsidRPr="0088258D">
              <w:rPr>
                <w:rFonts w:cs="Times New Roman"/>
                <w:szCs w:val="22"/>
              </w:rPr>
              <w:t>Multifamily</w:t>
            </w:r>
            <w:r w:rsidR="00CD29EB" w:rsidRPr="0088258D">
              <w:rPr>
                <w:rFonts w:cs="Times New Roman"/>
                <w:szCs w:val="22"/>
              </w:rPr>
              <w:t xml:space="preserve"> Housing</w:t>
            </w:r>
            <w:r w:rsidR="0044409E" w:rsidRPr="0088258D">
              <w:rPr>
                <w:rFonts w:cs="Times New Roman"/>
                <w:szCs w:val="22"/>
              </w:rPr>
              <w:t xml:space="preserve"> </w:t>
            </w:r>
            <w:r w:rsidR="00E5515A">
              <w:rPr>
                <w:rFonts w:cs="Times New Roman"/>
                <w:szCs w:val="22"/>
              </w:rPr>
              <w:t>P</w:t>
            </w:r>
            <w:r w:rsidRPr="0088258D">
              <w:rPr>
                <w:rFonts w:cs="Times New Roman"/>
                <w:szCs w:val="22"/>
              </w:rPr>
              <w:t xml:space="preserve">roperty </w:t>
            </w:r>
            <w:r w:rsidR="00E5515A">
              <w:rPr>
                <w:rFonts w:cs="Times New Roman"/>
                <w:szCs w:val="22"/>
              </w:rPr>
              <w:t>O</w:t>
            </w:r>
            <w:r w:rsidRPr="0088258D">
              <w:rPr>
                <w:rFonts w:cs="Times New Roman"/>
                <w:szCs w:val="22"/>
              </w:rPr>
              <w:t>wners and property managers with the knowledge and tools to:</w:t>
            </w:r>
          </w:p>
          <w:p w14:paraId="5A742F2B" w14:textId="0A35BF4D" w:rsidR="00942988" w:rsidRPr="0088258D" w:rsidRDefault="00942988" w:rsidP="00942988">
            <w:pPr>
              <w:pStyle w:val="TableBullet1"/>
              <w:rPr>
                <w:rFonts w:cs="Times New Roman"/>
                <w:szCs w:val="22"/>
              </w:rPr>
            </w:pPr>
            <w:r w:rsidRPr="0088258D">
              <w:rPr>
                <w:rFonts w:cs="Times New Roman"/>
                <w:szCs w:val="22"/>
              </w:rPr>
              <w:t xml:space="preserve">Become familiar with the revised definition </w:t>
            </w:r>
            <w:r w:rsidR="00DC4A73" w:rsidRPr="0088258D">
              <w:rPr>
                <w:rFonts w:cs="Times New Roman"/>
                <w:szCs w:val="22"/>
              </w:rPr>
              <w:t xml:space="preserve">of </w:t>
            </w:r>
            <w:r w:rsidRPr="0088258D">
              <w:rPr>
                <w:rFonts w:cs="Times New Roman"/>
                <w:szCs w:val="22"/>
              </w:rPr>
              <w:t>Net Family Assets</w:t>
            </w:r>
            <w:r w:rsidR="00DC4A73" w:rsidRPr="0088258D">
              <w:rPr>
                <w:rFonts w:cs="Times New Roman"/>
                <w:szCs w:val="22"/>
              </w:rPr>
              <w:t>.</w:t>
            </w:r>
          </w:p>
          <w:p w14:paraId="36427218" w14:textId="36CA6A94" w:rsidR="00942988" w:rsidRPr="0088258D" w:rsidRDefault="00942988" w:rsidP="00942988">
            <w:pPr>
              <w:pStyle w:val="TableBullet1"/>
              <w:rPr>
                <w:rFonts w:cs="Times New Roman"/>
                <w:szCs w:val="22"/>
              </w:rPr>
            </w:pPr>
            <w:r w:rsidRPr="0088258D">
              <w:rPr>
                <w:rFonts w:cs="Times New Roman"/>
                <w:szCs w:val="22"/>
              </w:rPr>
              <w:t xml:space="preserve">Describe </w:t>
            </w:r>
            <w:r w:rsidR="00DC4A73" w:rsidRPr="0088258D">
              <w:rPr>
                <w:rFonts w:cs="Times New Roman"/>
                <w:szCs w:val="22"/>
              </w:rPr>
              <w:t xml:space="preserve">the </w:t>
            </w:r>
            <w:r w:rsidRPr="0088258D">
              <w:rPr>
                <w:rFonts w:cs="Times New Roman"/>
                <w:szCs w:val="22"/>
              </w:rPr>
              <w:t>use of self-certification of Net Family Assets</w:t>
            </w:r>
            <w:r w:rsidR="00DC4A73" w:rsidRPr="0088258D">
              <w:rPr>
                <w:rFonts w:cs="Times New Roman"/>
                <w:szCs w:val="22"/>
              </w:rPr>
              <w:t>.</w:t>
            </w:r>
          </w:p>
          <w:p w14:paraId="2E1FC4A8" w14:textId="502E56C0" w:rsidR="00942988" w:rsidRPr="0088258D" w:rsidRDefault="00942988" w:rsidP="00942988">
            <w:pPr>
              <w:pStyle w:val="TableBullet1"/>
              <w:rPr>
                <w:rFonts w:cs="Times New Roman"/>
                <w:szCs w:val="22"/>
              </w:rPr>
            </w:pPr>
            <w:r w:rsidRPr="0088258D">
              <w:rPr>
                <w:rFonts w:cs="Times New Roman"/>
                <w:szCs w:val="22"/>
              </w:rPr>
              <w:t>List what assets are now excluded and included in Net Family Assets</w:t>
            </w:r>
            <w:r w:rsidR="00DC4A73" w:rsidRPr="0088258D">
              <w:rPr>
                <w:rFonts w:cs="Times New Roman"/>
                <w:szCs w:val="22"/>
              </w:rPr>
              <w:t>.</w:t>
            </w:r>
          </w:p>
          <w:p w14:paraId="13C834E1" w14:textId="1E18DA27" w:rsidR="00942988" w:rsidRPr="0088258D" w:rsidRDefault="00942988" w:rsidP="00942988">
            <w:pPr>
              <w:pStyle w:val="TableBullet1"/>
              <w:rPr>
                <w:rFonts w:cs="Times New Roman"/>
                <w:szCs w:val="22"/>
              </w:rPr>
            </w:pPr>
            <w:r w:rsidRPr="0088258D">
              <w:rPr>
                <w:rFonts w:cs="Times New Roman"/>
                <w:szCs w:val="22"/>
              </w:rPr>
              <w:t>Implement newly required program regulations related to determining Net Family Assets and calculating asset income</w:t>
            </w:r>
            <w:r w:rsidR="000F023F" w:rsidRPr="0088258D">
              <w:rPr>
                <w:rFonts w:cs="Times New Roman"/>
                <w:szCs w:val="22"/>
              </w:rPr>
              <w:t>, and</w:t>
            </w:r>
          </w:p>
          <w:p w14:paraId="02A15909" w14:textId="423B12B4" w:rsidR="00942988" w:rsidRPr="0088258D" w:rsidRDefault="00942988" w:rsidP="00942988">
            <w:pPr>
              <w:pStyle w:val="TableBullet1"/>
              <w:rPr>
                <w:rFonts w:cs="Times New Roman"/>
                <w:szCs w:val="22"/>
              </w:rPr>
            </w:pPr>
            <w:r w:rsidRPr="0088258D">
              <w:rPr>
                <w:rFonts w:cs="Times New Roman"/>
                <w:szCs w:val="22"/>
              </w:rPr>
              <w:t>Know when to impute income from Net Family Assets</w:t>
            </w:r>
            <w:r w:rsidR="49237377" w:rsidRPr="0088258D">
              <w:rPr>
                <w:rFonts w:cs="Times New Roman"/>
                <w:szCs w:val="22"/>
              </w:rPr>
              <w:t xml:space="preserve">. </w:t>
            </w:r>
          </w:p>
        </w:tc>
      </w:tr>
      <w:tr w:rsidR="00942988" w:rsidRPr="0088258D" w14:paraId="085AA07C" w14:textId="77777777" w:rsidTr="1281F8EE">
        <w:trPr>
          <w:trHeight w:val="20"/>
        </w:trPr>
        <w:tc>
          <w:tcPr>
            <w:tcW w:w="720" w:type="dxa"/>
          </w:tcPr>
          <w:p w14:paraId="190889BD" w14:textId="04F9B1C1" w:rsidR="00942988" w:rsidRPr="0088258D" w:rsidRDefault="00942988" w:rsidP="00942988">
            <w:pPr>
              <w:pStyle w:val="TableCellYear"/>
              <w:rPr>
                <w:rFonts w:cs="Times New Roman"/>
                <w:szCs w:val="22"/>
              </w:rPr>
            </w:pPr>
            <w:r w:rsidRPr="0088258D">
              <w:rPr>
                <w:rFonts w:cs="Times New Roman"/>
                <w:szCs w:val="22"/>
              </w:rPr>
              <w:lastRenderedPageBreak/>
              <w:t>5</w:t>
            </w:r>
          </w:p>
        </w:tc>
        <w:tc>
          <w:tcPr>
            <w:tcW w:w="2160" w:type="dxa"/>
          </w:tcPr>
          <w:p w14:paraId="7798E13B" w14:textId="77777777" w:rsidR="00942988" w:rsidRPr="0088258D" w:rsidRDefault="00942988" w:rsidP="00942988">
            <w:pPr>
              <w:pStyle w:val="TableCellGeneralText"/>
              <w:rPr>
                <w:rFonts w:cs="Times New Roman"/>
                <w:szCs w:val="22"/>
              </w:rPr>
            </w:pPr>
            <w:r w:rsidRPr="0088258D">
              <w:rPr>
                <w:rFonts w:cs="Times New Roman"/>
                <w:szCs w:val="22"/>
              </w:rPr>
              <w:t>HOTMA Background</w:t>
            </w:r>
          </w:p>
        </w:tc>
        <w:tc>
          <w:tcPr>
            <w:tcW w:w="10080" w:type="dxa"/>
          </w:tcPr>
          <w:p w14:paraId="0A0347C0" w14:textId="05182B0D" w:rsidR="00B93638" w:rsidRPr="0088258D" w:rsidRDefault="00B93638" w:rsidP="00B93638">
            <w:pPr>
              <w:spacing w:after="120"/>
              <w:rPr>
                <w:rFonts w:cs="Times New Roman"/>
                <w:bCs/>
                <w:sz w:val="22"/>
                <w:szCs w:val="22"/>
              </w:rPr>
            </w:pPr>
            <w:r w:rsidRPr="0088258D">
              <w:rPr>
                <w:rFonts w:cs="Times New Roman"/>
                <w:bCs/>
                <w:sz w:val="22"/>
                <w:szCs w:val="22"/>
              </w:rPr>
              <w:t>On July 29</w:t>
            </w:r>
            <w:r w:rsidR="003170B3" w:rsidRPr="003170B3">
              <w:rPr>
                <w:rFonts w:cs="Times New Roman"/>
                <w:bCs/>
                <w:sz w:val="22"/>
                <w:szCs w:val="22"/>
                <w:vertAlign w:val="superscript"/>
              </w:rPr>
              <w:t>th</w:t>
            </w:r>
            <w:r w:rsidRPr="0088258D">
              <w:rPr>
                <w:rFonts w:cs="Times New Roman"/>
                <w:bCs/>
                <w:sz w:val="22"/>
                <w:szCs w:val="22"/>
              </w:rPr>
              <w:t>, 2016, HOTMA was signed into law. It consists of 14 sections that affect HUD’s rental assistance programs.</w:t>
            </w:r>
          </w:p>
          <w:p w14:paraId="3AE44DF8" w14:textId="63A70006" w:rsidR="00B93638" w:rsidRPr="0088258D" w:rsidRDefault="00B93638" w:rsidP="00B93638">
            <w:pPr>
              <w:spacing w:after="120"/>
              <w:rPr>
                <w:rFonts w:cs="Times New Roman"/>
                <w:bCs/>
                <w:sz w:val="22"/>
                <w:szCs w:val="22"/>
              </w:rPr>
            </w:pPr>
            <w:r w:rsidRPr="0088258D">
              <w:rPr>
                <w:rFonts w:cs="Times New Roman"/>
                <w:bCs/>
                <w:sz w:val="22"/>
                <w:szCs w:val="22"/>
              </w:rPr>
              <w:t>On February 14</w:t>
            </w:r>
            <w:r w:rsidR="003170B3" w:rsidRPr="003170B3">
              <w:rPr>
                <w:rFonts w:cs="Times New Roman"/>
                <w:bCs/>
                <w:sz w:val="22"/>
                <w:szCs w:val="22"/>
                <w:vertAlign w:val="superscript"/>
              </w:rPr>
              <w:t>th</w:t>
            </w:r>
            <w:r w:rsidRPr="0088258D">
              <w:rPr>
                <w:rFonts w:cs="Times New Roman"/>
                <w:bCs/>
                <w:sz w:val="22"/>
                <w:szCs w:val="22"/>
              </w:rPr>
              <w:t>, 2023, the Final Rule for implementing Sections 102, 103, and 104 of HOTMA was published.</w:t>
            </w:r>
          </w:p>
          <w:p w14:paraId="638FE5EE" w14:textId="3E8D1004" w:rsidR="00B93638" w:rsidRPr="0088258D" w:rsidRDefault="00B93638" w:rsidP="00B93638">
            <w:pPr>
              <w:spacing w:after="120"/>
              <w:rPr>
                <w:rFonts w:cs="Times New Roman"/>
                <w:bCs/>
                <w:sz w:val="22"/>
                <w:szCs w:val="22"/>
              </w:rPr>
            </w:pPr>
            <w:r w:rsidRPr="0088258D">
              <w:rPr>
                <w:rFonts w:cs="Times New Roman"/>
                <w:bCs/>
                <w:sz w:val="22"/>
                <w:szCs w:val="22"/>
              </w:rPr>
              <w:t xml:space="preserve">Only Sections 102 and 104 apply to HUD’s </w:t>
            </w:r>
            <w:r w:rsidR="00E23E99" w:rsidRPr="0088258D">
              <w:rPr>
                <w:rFonts w:cs="Times New Roman"/>
                <w:bCs/>
                <w:sz w:val="22"/>
                <w:szCs w:val="22"/>
              </w:rPr>
              <w:t>M</w:t>
            </w:r>
            <w:r w:rsidRPr="0088258D">
              <w:rPr>
                <w:rFonts w:cs="Times New Roman"/>
                <w:bCs/>
                <w:sz w:val="22"/>
                <w:szCs w:val="22"/>
              </w:rPr>
              <w:t xml:space="preserve">ultifamily </w:t>
            </w:r>
            <w:r w:rsidR="00E23E99" w:rsidRPr="0088258D">
              <w:rPr>
                <w:rFonts w:cs="Times New Roman"/>
                <w:bCs/>
                <w:sz w:val="22"/>
                <w:szCs w:val="22"/>
              </w:rPr>
              <w:t>H</w:t>
            </w:r>
            <w:r w:rsidRPr="0088258D">
              <w:rPr>
                <w:rFonts w:cs="Times New Roman"/>
                <w:bCs/>
                <w:sz w:val="22"/>
                <w:szCs w:val="22"/>
              </w:rPr>
              <w:t>ousing programs.</w:t>
            </w:r>
          </w:p>
          <w:p w14:paraId="2274B634" w14:textId="1899A407" w:rsidR="00B93638" w:rsidRPr="0088258D" w:rsidRDefault="00B93638" w:rsidP="00B45B1B">
            <w:pPr>
              <w:pStyle w:val="ListParagraph"/>
              <w:numPr>
                <w:ilvl w:val="0"/>
                <w:numId w:val="20"/>
              </w:numPr>
              <w:spacing w:after="120"/>
              <w:rPr>
                <w:rFonts w:cs="Times New Roman"/>
                <w:bCs/>
                <w:sz w:val="22"/>
                <w:szCs w:val="22"/>
              </w:rPr>
            </w:pPr>
            <w:r w:rsidRPr="0088258D">
              <w:rPr>
                <w:rFonts w:cs="Times New Roman"/>
                <w:bCs/>
                <w:sz w:val="22"/>
                <w:szCs w:val="22"/>
              </w:rPr>
              <w:t>Section 102 changes requirements related to income reviews.</w:t>
            </w:r>
          </w:p>
          <w:p w14:paraId="727E9B17" w14:textId="455EC763" w:rsidR="00B93638" w:rsidRPr="0088258D" w:rsidRDefault="00B93638" w:rsidP="00B45B1B">
            <w:pPr>
              <w:pStyle w:val="ListParagraph"/>
              <w:numPr>
                <w:ilvl w:val="0"/>
                <w:numId w:val="20"/>
              </w:numPr>
              <w:spacing w:after="120"/>
              <w:rPr>
                <w:rFonts w:cs="Times New Roman"/>
                <w:bCs/>
                <w:sz w:val="22"/>
                <w:szCs w:val="22"/>
              </w:rPr>
            </w:pPr>
            <w:r w:rsidRPr="0088258D">
              <w:rPr>
                <w:rFonts w:cs="Times New Roman"/>
                <w:bCs/>
                <w:sz w:val="22"/>
                <w:szCs w:val="22"/>
              </w:rPr>
              <w:t>Section 104 sets maximum asset limitations.</w:t>
            </w:r>
          </w:p>
          <w:p w14:paraId="7E10B604" w14:textId="79C78F1F" w:rsidR="00B93638" w:rsidRPr="0088258D" w:rsidRDefault="00B93638" w:rsidP="00B93638">
            <w:pPr>
              <w:spacing w:after="120"/>
              <w:rPr>
                <w:rFonts w:cs="Times New Roman"/>
                <w:bCs/>
                <w:sz w:val="22"/>
                <w:szCs w:val="22"/>
              </w:rPr>
            </w:pPr>
            <w:r w:rsidRPr="0088258D">
              <w:rPr>
                <w:rFonts w:cs="Times New Roman"/>
                <w:bCs/>
                <w:sz w:val="22"/>
                <w:szCs w:val="22"/>
              </w:rPr>
              <w:t>Then on September 29</w:t>
            </w:r>
            <w:r w:rsidR="003170B3" w:rsidRPr="003170B3">
              <w:rPr>
                <w:rFonts w:cs="Times New Roman"/>
                <w:bCs/>
                <w:sz w:val="22"/>
                <w:szCs w:val="22"/>
                <w:vertAlign w:val="superscript"/>
              </w:rPr>
              <w:t>th</w:t>
            </w:r>
            <w:r w:rsidRPr="0088258D">
              <w:rPr>
                <w:rFonts w:cs="Times New Roman"/>
                <w:bCs/>
                <w:sz w:val="22"/>
                <w:szCs w:val="22"/>
              </w:rPr>
              <w:t>, 2023, Notice H 2023-10 was issued, which provided guidance on Section 102.</w:t>
            </w:r>
          </w:p>
          <w:p w14:paraId="6223B09C" w14:textId="59F892A8" w:rsidR="00B93638" w:rsidRPr="0088258D" w:rsidRDefault="00B93638" w:rsidP="00B93638">
            <w:pPr>
              <w:spacing w:after="120"/>
              <w:rPr>
                <w:rFonts w:cs="Times New Roman"/>
                <w:bCs/>
                <w:sz w:val="22"/>
                <w:szCs w:val="22"/>
              </w:rPr>
            </w:pPr>
            <w:r w:rsidRPr="0088258D">
              <w:rPr>
                <w:rFonts w:cs="Times New Roman"/>
                <w:bCs/>
                <w:sz w:val="22"/>
                <w:szCs w:val="22"/>
              </w:rPr>
              <w:t>Recently, on February 2</w:t>
            </w:r>
            <w:r w:rsidR="003170B3" w:rsidRPr="003170B3">
              <w:rPr>
                <w:rFonts w:cs="Times New Roman"/>
                <w:bCs/>
                <w:sz w:val="22"/>
                <w:szCs w:val="22"/>
                <w:vertAlign w:val="superscript"/>
              </w:rPr>
              <w:t>nd</w:t>
            </w:r>
            <w:r w:rsidRPr="0088258D">
              <w:rPr>
                <w:rFonts w:cs="Times New Roman"/>
                <w:bCs/>
                <w:sz w:val="22"/>
                <w:szCs w:val="22"/>
              </w:rPr>
              <w:t>, 2024, Revised Notice H 2023-10 was issued. This provided guidance for Sections 104 and technical clarifications.</w:t>
            </w:r>
          </w:p>
          <w:p w14:paraId="5521AF9B" w14:textId="109B1EA0" w:rsidR="00942988" w:rsidRPr="0088258D" w:rsidRDefault="00B93638" w:rsidP="00C36552">
            <w:pPr>
              <w:pStyle w:val="TableCellGeneralText"/>
              <w:rPr>
                <w:rFonts w:cs="Times New Roman"/>
                <w:szCs w:val="22"/>
              </w:rPr>
            </w:pPr>
            <w:r w:rsidRPr="0088258D">
              <w:rPr>
                <w:rFonts w:cs="Times New Roman"/>
                <w:bCs w:val="0"/>
                <w:szCs w:val="22"/>
              </w:rPr>
              <w:t>As a side note, HOTMA more closely aligns MFH and Public and Indian Housing policies.</w:t>
            </w:r>
          </w:p>
        </w:tc>
      </w:tr>
      <w:tr w:rsidR="00942988" w:rsidRPr="0088258D" w14:paraId="256C2EF5" w14:textId="77777777" w:rsidTr="1281F8EE">
        <w:trPr>
          <w:trHeight w:val="20"/>
        </w:trPr>
        <w:tc>
          <w:tcPr>
            <w:tcW w:w="720" w:type="dxa"/>
          </w:tcPr>
          <w:p w14:paraId="17CB59FD" w14:textId="736D475B" w:rsidR="00942988" w:rsidRPr="0088258D" w:rsidRDefault="00942988" w:rsidP="00942988">
            <w:pPr>
              <w:pStyle w:val="TableCellYear"/>
              <w:rPr>
                <w:rFonts w:cs="Times New Roman"/>
                <w:szCs w:val="22"/>
              </w:rPr>
            </w:pPr>
            <w:r w:rsidRPr="0088258D">
              <w:rPr>
                <w:rFonts w:cs="Times New Roman"/>
                <w:szCs w:val="22"/>
              </w:rPr>
              <w:t>6</w:t>
            </w:r>
          </w:p>
        </w:tc>
        <w:tc>
          <w:tcPr>
            <w:tcW w:w="2160" w:type="dxa"/>
          </w:tcPr>
          <w:p w14:paraId="6F480770" w14:textId="171703F2" w:rsidR="00942988" w:rsidRPr="0088258D" w:rsidRDefault="00DC4A73" w:rsidP="00942988">
            <w:pPr>
              <w:pStyle w:val="TableCellGeneralText"/>
              <w:rPr>
                <w:rFonts w:cs="Times New Roman"/>
                <w:szCs w:val="22"/>
              </w:rPr>
            </w:pPr>
            <w:r w:rsidRPr="0088258D">
              <w:rPr>
                <w:rFonts w:cs="Times New Roman"/>
                <w:szCs w:val="22"/>
              </w:rPr>
              <w:t>MF</w:t>
            </w:r>
            <w:r w:rsidR="00F808F2" w:rsidRPr="0088258D">
              <w:rPr>
                <w:rFonts w:cs="Times New Roman"/>
                <w:szCs w:val="22"/>
              </w:rPr>
              <w:t>H</w:t>
            </w:r>
            <w:r w:rsidRPr="0088258D">
              <w:rPr>
                <w:rFonts w:cs="Times New Roman"/>
                <w:szCs w:val="22"/>
              </w:rPr>
              <w:t xml:space="preserve"> Programs Affected </w:t>
            </w:r>
          </w:p>
        </w:tc>
        <w:tc>
          <w:tcPr>
            <w:tcW w:w="10080" w:type="dxa"/>
          </w:tcPr>
          <w:p w14:paraId="75F83808" w14:textId="77777777" w:rsidR="00A554BB" w:rsidRPr="0088258D" w:rsidRDefault="00A554BB" w:rsidP="00A554BB">
            <w:pPr>
              <w:rPr>
                <w:rFonts w:cs="Times New Roman"/>
                <w:bCs/>
                <w:sz w:val="22"/>
                <w:szCs w:val="22"/>
              </w:rPr>
            </w:pPr>
            <w:r w:rsidRPr="0088258D">
              <w:rPr>
                <w:rFonts w:cs="Times New Roman"/>
                <w:bCs/>
                <w:sz w:val="22"/>
                <w:szCs w:val="22"/>
              </w:rPr>
              <w:t>The information in this training is applicable to the following MFH programs:</w:t>
            </w:r>
          </w:p>
          <w:p w14:paraId="365B15D6" w14:textId="77777777" w:rsidR="000E4FBF" w:rsidRPr="0088258D" w:rsidRDefault="000E4FBF" w:rsidP="00B45B1B">
            <w:pPr>
              <w:pStyle w:val="TableBullet1"/>
              <w:numPr>
                <w:ilvl w:val="0"/>
                <w:numId w:val="21"/>
              </w:numPr>
              <w:spacing w:before="0" w:after="120"/>
              <w:contextualSpacing/>
              <w:rPr>
                <w:rFonts w:cs="Times New Roman"/>
                <w:szCs w:val="22"/>
              </w:rPr>
            </w:pPr>
            <w:r w:rsidRPr="0088258D">
              <w:rPr>
                <w:rFonts w:cs="Times New Roman"/>
                <w:szCs w:val="22"/>
              </w:rPr>
              <w:t>Section 8 Project-Based Rental Assistance (PBRA)</w:t>
            </w:r>
          </w:p>
          <w:p w14:paraId="5F618A42" w14:textId="77777777" w:rsidR="000E4FBF" w:rsidRPr="0088258D" w:rsidRDefault="000E4FBF" w:rsidP="00B45B1B">
            <w:pPr>
              <w:pStyle w:val="TableBullet1"/>
              <w:numPr>
                <w:ilvl w:val="0"/>
                <w:numId w:val="21"/>
              </w:numPr>
              <w:spacing w:before="0" w:after="120"/>
              <w:contextualSpacing/>
              <w:rPr>
                <w:rFonts w:cs="Times New Roman"/>
                <w:szCs w:val="22"/>
              </w:rPr>
            </w:pPr>
            <w:r w:rsidRPr="0088258D">
              <w:rPr>
                <w:rFonts w:cs="Times New Roman"/>
                <w:szCs w:val="22"/>
              </w:rPr>
              <w:t>Section 202/8 Supportive Housing for the Elderly and Persons with Disabilities</w:t>
            </w:r>
          </w:p>
          <w:p w14:paraId="3C01E5CF" w14:textId="77777777" w:rsidR="000E4FBF" w:rsidRPr="0088258D" w:rsidRDefault="000E4FBF" w:rsidP="00B45B1B">
            <w:pPr>
              <w:pStyle w:val="TableBullet1"/>
              <w:numPr>
                <w:ilvl w:val="0"/>
                <w:numId w:val="21"/>
              </w:numPr>
              <w:spacing w:before="0" w:after="120"/>
              <w:contextualSpacing/>
              <w:rPr>
                <w:rFonts w:cs="Times New Roman"/>
                <w:szCs w:val="22"/>
              </w:rPr>
            </w:pPr>
            <w:r w:rsidRPr="0088258D">
              <w:rPr>
                <w:rFonts w:cs="Times New Roman"/>
                <w:szCs w:val="22"/>
              </w:rPr>
              <w:t>Section 202/162 Project Assistance Contract (202/162 PAC)</w:t>
            </w:r>
          </w:p>
          <w:p w14:paraId="2FDA1C41" w14:textId="77777777" w:rsidR="000E4FBF" w:rsidRPr="0088258D" w:rsidRDefault="000E4FBF" w:rsidP="00B45B1B">
            <w:pPr>
              <w:pStyle w:val="TableBullet1"/>
              <w:numPr>
                <w:ilvl w:val="0"/>
                <w:numId w:val="21"/>
              </w:numPr>
              <w:spacing w:before="0" w:after="120"/>
              <w:contextualSpacing/>
              <w:rPr>
                <w:rFonts w:cs="Times New Roman"/>
                <w:szCs w:val="22"/>
              </w:rPr>
            </w:pPr>
            <w:r w:rsidRPr="0088258D">
              <w:rPr>
                <w:rFonts w:cs="Times New Roman"/>
                <w:szCs w:val="22"/>
              </w:rPr>
              <w:t>Section 202/811 Capital Advance with Project Rental Assistance Contract (202/811 PRAC)</w:t>
            </w:r>
          </w:p>
          <w:p w14:paraId="5D7AAC39" w14:textId="77777777" w:rsidR="000E4FBF" w:rsidRPr="0088258D" w:rsidRDefault="000E4FBF" w:rsidP="00B45B1B">
            <w:pPr>
              <w:pStyle w:val="TableBullet1"/>
              <w:numPr>
                <w:ilvl w:val="0"/>
                <w:numId w:val="21"/>
              </w:numPr>
              <w:spacing w:before="0" w:after="120"/>
              <w:contextualSpacing/>
              <w:rPr>
                <w:rFonts w:cs="Times New Roman"/>
                <w:szCs w:val="22"/>
              </w:rPr>
            </w:pPr>
            <w:r w:rsidRPr="0088258D">
              <w:rPr>
                <w:rFonts w:cs="Times New Roman"/>
                <w:szCs w:val="22"/>
              </w:rPr>
              <w:t>Non-insured 236 projects with Interest Reduction Payments (236 IRP) </w:t>
            </w:r>
          </w:p>
          <w:p w14:paraId="784A328E" w14:textId="77777777" w:rsidR="000E4FBF" w:rsidRPr="0088258D" w:rsidRDefault="000E4FBF" w:rsidP="00B45B1B">
            <w:pPr>
              <w:pStyle w:val="TableBullet1"/>
              <w:numPr>
                <w:ilvl w:val="0"/>
                <w:numId w:val="21"/>
              </w:numPr>
              <w:rPr>
                <w:rFonts w:cs="Times New Roman"/>
                <w:szCs w:val="22"/>
              </w:rPr>
            </w:pPr>
            <w:r w:rsidRPr="0088258D">
              <w:rPr>
                <w:rFonts w:cs="Times New Roman"/>
                <w:szCs w:val="22"/>
              </w:rPr>
              <w:t>Section 811 Project Rental Assistance Demonstration (811 PRA)</w:t>
            </w:r>
          </w:p>
          <w:p w14:paraId="24189718" w14:textId="54E30D8E" w:rsidR="000E4FBF" w:rsidRPr="0088258D" w:rsidRDefault="000E4FBF" w:rsidP="000E4FBF">
            <w:pPr>
              <w:pStyle w:val="TableBullet1"/>
              <w:numPr>
                <w:ilvl w:val="0"/>
                <w:numId w:val="0"/>
              </w:numPr>
              <w:rPr>
                <w:rFonts w:eastAsiaTheme="minorHAnsi" w:cs="Times New Roman"/>
                <w:szCs w:val="22"/>
              </w:rPr>
            </w:pPr>
            <w:r w:rsidRPr="0088258D">
              <w:rPr>
                <w:rFonts w:eastAsiaTheme="minorHAnsi" w:cs="Times New Roman"/>
                <w:szCs w:val="22"/>
              </w:rPr>
              <w:t xml:space="preserve">Senior Preservation Rental Assistance Contract (SPRAC) </w:t>
            </w:r>
          </w:p>
          <w:p w14:paraId="7ED0A33C" w14:textId="77777777" w:rsidR="000E4FBF" w:rsidRPr="0088258D" w:rsidRDefault="000E4FBF" w:rsidP="00A554BB">
            <w:pPr>
              <w:pStyle w:val="TableCellGeneralText"/>
              <w:rPr>
                <w:rFonts w:eastAsiaTheme="minorHAnsi" w:cs="Times New Roman"/>
                <w:bCs w:val="0"/>
                <w:color w:val="auto"/>
                <w:szCs w:val="22"/>
              </w:rPr>
            </w:pPr>
          </w:p>
          <w:p w14:paraId="59EEEAF1" w14:textId="77777777" w:rsidR="000E4FBF" w:rsidRPr="0088258D" w:rsidRDefault="000E4FBF" w:rsidP="00A554BB">
            <w:pPr>
              <w:pStyle w:val="TableCellGeneralText"/>
              <w:rPr>
                <w:rFonts w:eastAsiaTheme="minorHAnsi" w:cs="Times New Roman"/>
                <w:bCs w:val="0"/>
                <w:color w:val="auto"/>
                <w:szCs w:val="22"/>
              </w:rPr>
            </w:pPr>
          </w:p>
          <w:p w14:paraId="39524D4C" w14:textId="77B5AEAD" w:rsidR="00942988" w:rsidRPr="0088258D" w:rsidRDefault="00D8742C" w:rsidP="00A554BB">
            <w:pPr>
              <w:pStyle w:val="TableCellGeneralText"/>
              <w:rPr>
                <w:rFonts w:cs="Times New Roman"/>
                <w:szCs w:val="22"/>
              </w:rPr>
            </w:pPr>
            <w:r w:rsidRPr="0088258D">
              <w:rPr>
                <w:rFonts w:eastAsiaTheme="minorHAnsi" w:cs="Times New Roman"/>
                <w:bCs w:val="0"/>
                <w:color w:val="auto"/>
                <w:szCs w:val="22"/>
              </w:rPr>
              <w:t>Please n</w:t>
            </w:r>
            <w:r w:rsidR="00A554BB" w:rsidRPr="0088258D">
              <w:rPr>
                <w:rFonts w:eastAsiaTheme="minorHAnsi" w:cs="Times New Roman"/>
                <w:bCs w:val="0"/>
                <w:color w:val="auto"/>
                <w:szCs w:val="22"/>
              </w:rPr>
              <w:t xml:space="preserve">ote that HOTMA’s Asset Limitation provision, discussed in detail in the Asset Limitation Training included in this training series, applies only to Section 8 </w:t>
            </w:r>
            <w:r w:rsidR="00267D73" w:rsidRPr="0088258D">
              <w:rPr>
                <w:rFonts w:cs="Times New Roman"/>
                <w:szCs w:val="22"/>
              </w:rPr>
              <w:t xml:space="preserve">Project-Based Rental Assistance </w:t>
            </w:r>
            <w:r w:rsidR="00A554BB" w:rsidRPr="0088258D">
              <w:rPr>
                <w:rFonts w:eastAsiaTheme="minorHAnsi" w:cs="Times New Roman"/>
                <w:bCs w:val="0"/>
                <w:color w:val="auto"/>
                <w:szCs w:val="22"/>
              </w:rPr>
              <w:t>and Section 202/8.</w:t>
            </w:r>
          </w:p>
        </w:tc>
      </w:tr>
      <w:tr w:rsidR="00942988" w:rsidRPr="0088258D" w14:paraId="70A0E6AF" w14:textId="77777777" w:rsidTr="1281F8EE">
        <w:trPr>
          <w:trHeight w:val="20"/>
        </w:trPr>
        <w:tc>
          <w:tcPr>
            <w:tcW w:w="720" w:type="dxa"/>
          </w:tcPr>
          <w:p w14:paraId="42523862" w14:textId="2CFA6B70" w:rsidR="00942988" w:rsidRPr="0088258D" w:rsidRDefault="00942988" w:rsidP="00942988">
            <w:pPr>
              <w:pStyle w:val="TableCellYear"/>
              <w:rPr>
                <w:rFonts w:cs="Times New Roman"/>
                <w:szCs w:val="22"/>
              </w:rPr>
            </w:pPr>
            <w:r w:rsidRPr="0088258D">
              <w:rPr>
                <w:rFonts w:cs="Times New Roman"/>
                <w:szCs w:val="22"/>
              </w:rPr>
              <w:lastRenderedPageBreak/>
              <w:t>7</w:t>
            </w:r>
          </w:p>
        </w:tc>
        <w:tc>
          <w:tcPr>
            <w:tcW w:w="2160" w:type="dxa"/>
          </w:tcPr>
          <w:p w14:paraId="6749D719" w14:textId="40F65904" w:rsidR="00942988" w:rsidRPr="0088258D" w:rsidRDefault="00DC4A73" w:rsidP="00942988">
            <w:pPr>
              <w:pStyle w:val="TableCellGeneralText"/>
              <w:rPr>
                <w:rFonts w:cs="Times New Roman"/>
                <w:szCs w:val="22"/>
              </w:rPr>
            </w:pPr>
            <w:r w:rsidRPr="0088258D">
              <w:rPr>
                <w:rFonts w:cs="Times New Roman"/>
                <w:szCs w:val="22"/>
              </w:rPr>
              <w:t>HOTMA Compliance Dates</w:t>
            </w:r>
          </w:p>
        </w:tc>
        <w:tc>
          <w:tcPr>
            <w:tcW w:w="10080" w:type="dxa"/>
          </w:tcPr>
          <w:p w14:paraId="396207E8" w14:textId="77777777" w:rsidR="00FE49D3" w:rsidRPr="0088258D" w:rsidRDefault="00FE49D3" w:rsidP="001701EB">
            <w:pPr>
              <w:pStyle w:val="TableBullet1"/>
              <w:numPr>
                <w:ilvl w:val="0"/>
                <w:numId w:val="0"/>
              </w:numPr>
              <w:ind w:left="360" w:hanging="360"/>
              <w:rPr>
                <w:rFonts w:cs="Times New Roman"/>
                <w:szCs w:val="22"/>
              </w:rPr>
            </w:pPr>
            <w:r w:rsidRPr="0088258D">
              <w:rPr>
                <w:rFonts w:cs="Times New Roman"/>
                <w:szCs w:val="22"/>
              </w:rPr>
              <w:t xml:space="preserve">The following are key HOTMA compliance dates: </w:t>
            </w:r>
          </w:p>
          <w:p w14:paraId="00D6174B" w14:textId="77777777" w:rsidR="00FE49D3" w:rsidRPr="0088258D" w:rsidRDefault="00FE49D3" w:rsidP="00CF54E4">
            <w:pPr>
              <w:pStyle w:val="TableBullet1"/>
              <w:rPr>
                <w:rFonts w:cs="Times New Roman"/>
                <w:szCs w:val="22"/>
              </w:rPr>
            </w:pPr>
            <w:r w:rsidRPr="0088258D">
              <w:rPr>
                <w:rFonts w:cs="Times New Roman"/>
                <w:szCs w:val="22"/>
              </w:rPr>
              <w:t xml:space="preserve">January 1, 2024, is the effective date of the Final Rule. </w:t>
            </w:r>
          </w:p>
          <w:p w14:paraId="30483AB7" w14:textId="045E038F" w:rsidR="00FE49D3" w:rsidRPr="0088258D" w:rsidRDefault="00FE49D3" w:rsidP="00CF54E4">
            <w:pPr>
              <w:pStyle w:val="TableBullet1"/>
              <w:rPr>
                <w:rFonts w:cs="Times New Roman"/>
                <w:szCs w:val="22"/>
              </w:rPr>
            </w:pPr>
            <w:r w:rsidRPr="0088258D">
              <w:rPr>
                <w:rFonts w:cs="Times New Roman"/>
                <w:szCs w:val="22"/>
              </w:rPr>
              <w:t xml:space="preserve">By May 31, 2024, all </w:t>
            </w:r>
            <w:r w:rsidR="00E23E99" w:rsidRPr="0088258D">
              <w:rPr>
                <w:rFonts w:cs="Times New Roman"/>
                <w:szCs w:val="22"/>
              </w:rPr>
              <w:t>M</w:t>
            </w:r>
            <w:r w:rsidRPr="0088258D">
              <w:rPr>
                <w:rFonts w:cs="Times New Roman"/>
                <w:szCs w:val="22"/>
              </w:rPr>
              <w:t xml:space="preserve">ultifamily </w:t>
            </w:r>
            <w:r w:rsidR="00E23E99" w:rsidRPr="0088258D">
              <w:rPr>
                <w:rFonts w:cs="Times New Roman"/>
                <w:szCs w:val="22"/>
              </w:rPr>
              <w:t>H</w:t>
            </w:r>
            <w:r w:rsidRPr="0088258D">
              <w:rPr>
                <w:rFonts w:cs="Times New Roman"/>
                <w:szCs w:val="22"/>
              </w:rPr>
              <w:t xml:space="preserve">ousing </w:t>
            </w:r>
            <w:r w:rsidR="00A149A0">
              <w:rPr>
                <w:rFonts w:cs="Times New Roman"/>
                <w:szCs w:val="22"/>
              </w:rPr>
              <w:t>Owners</w:t>
            </w:r>
            <w:r w:rsidRPr="0088258D">
              <w:rPr>
                <w:rFonts w:cs="Times New Roman"/>
                <w:szCs w:val="22"/>
              </w:rPr>
              <w:t xml:space="preserve"> must:</w:t>
            </w:r>
          </w:p>
          <w:p w14:paraId="5E01473C" w14:textId="24B9399C" w:rsidR="00FE49D3" w:rsidRPr="0088258D" w:rsidRDefault="00FE49D3" w:rsidP="00CF54E4">
            <w:pPr>
              <w:pStyle w:val="TableBullet1"/>
              <w:rPr>
                <w:rFonts w:cs="Times New Roman"/>
                <w:szCs w:val="22"/>
              </w:rPr>
            </w:pPr>
            <w:r w:rsidRPr="0088258D">
              <w:rPr>
                <w:rFonts w:cs="Times New Roman"/>
                <w:szCs w:val="22"/>
              </w:rPr>
              <w:t xml:space="preserve">Update their Tenant Selection Plans and </w:t>
            </w:r>
            <w:r w:rsidR="00397B3C" w:rsidRPr="0088258D">
              <w:rPr>
                <w:rFonts w:cs="Times New Roman"/>
                <w:szCs w:val="22"/>
              </w:rPr>
              <w:t xml:space="preserve">Enterprise Income Verification </w:t>
            </w:r>
            <w:r w:rsidRPr="0088258D">
              <w:rPr>
                <w:rFonts w:cs="Times New Roman"/>
                <w:szCs w:val="22"/>
              </w:rPr>
              <w:t>policies and procedures to reflect HOTMA’s rules and discretionary policies, and also</w:t>
            </w:r>
          </w:p>
          <w:p w14:paraId="7216BC72" w14:textId="25BB253F" w:rsidR="00FE49D3" w:rsidRPr="0088258D" w:rsidRDefault="00A149A0" w:rsidP="00CF54E4">
            <w:pPr>
              <w:pStyle w:val="TableBullet1"/>
              <w:rPr>
                <w:rFonts w:cs="Times New Roman"/>
                <w:szCs w:val="22"/>
              </w:rPr>
            </w:pPr>
            <w:r>
              <w:rPr>
                <w:rFonts w:cs="Times New Roman"/>
                <w:szCs w:val="22"/>
              </w:rPr>
              <w:t>Owners</w:t>
            </w:r>
            <w:r w:rsidR="009057ED" w:rsidRPr="0088258D">
              <w:rPr>
                <w:rFonts w:cs="Times New Roman"/>
                <w:szCs w:val="22"/>
              </w:rPr>
              <w:t xml:space="preserve"> </w:t>
            </w:r>
            <w:r w:rsidR="00340BFD" w:rsidRPr="0088258D">
              <w:rPr>
                <w:rFonts w:cs="Times New Roman"/>
                <w:szCs w:val="22"/>
              </w:rPr>
              <w:t>must m</w:t>
            </w:r>
            <w:r w:rsidR="00FE49D3" w:rsidRPr="0088258D">
              <w:rPr>
                <w:rFonts w:cs="Times New Roman"/>
                <w:szCs w:val="22"/>
              </w:rPr>
              <w:t xml:space="preserve">ake the updated Tenant Selection Plan and </w:t>
            </w:r>
            <w:r w:rsidR="00397B3C" w:rsidRPr="0088258D">
              <w:rPr>
                <w:rFonts w:cs="Times New Roman"/>
                <w:szCs w:val="22"/>
              </w:rPr>
              <w:t xml:space="preserve">Enterprise Income Verification </w:t>
            </w:r>
            <w:r w:rsidR="00FE49D3" w:rsidRPr="0088258D">
              <w:rPr>
                <w:rFonts w:cs="Times New Roman"/>
                <w:szCs w:val="22"/>
              </w:rPr>
              <w:t xml:space="preserve">policies and procedures publicly available. </w:t>
            </w:r>
          </w:p>
          <w:p w14:paraId="16CDCF93" w14:textId="22656F73" w:rsidR="00942988" w:rsidRPr="0088258D" w:rsidRDefault="00FE49D3" w:rsidP="001701EB">
            <w:pPr>
              <w:pStyle w:val="TableBullet1"/>
              <w:numPr>
                <w:ilvl w:val="0"/>
                <w:numId w:val="0"/>
              </w:numPr>
              <w:rPr>
                <w:rFonts w:cs="Times New Roman"/>
                <w:szCs w:val="22"/>
              </w:rPr>
            </w:pPr>
            <w:r w:rsidRPr="0088258D">
              <w:rPr>
                <w:rFonts w:cs="Times New Roman"/>
                <w:szCs w:val="22"/>
              </w:rPr>
              <w:t>Then, by January 1, 2025, all</w:t>
            </w:r>
            <w:r w:rsidRPr="0088258D">
              <w:rPr>
                <w:rFonts w:eastAsiaTheme="minorHAnsi" w:cs="Times New Roman"/>
                <w:bCs w:val="0"/>
                <w:color w:val="auto"/>
                <w:szCs w:val="22"/>
              </w:rPr>
              <w:t xml:space="preserve"> MFH </w:t>
            </w:r>
            <w:r w:rsidR="00A149A0">
              <w:rPr>
                <w:rFonts w:eastAsiaTheme="minorHAnsi" w:cs="Times New Roman"/>
                <w:bCs w:val="0"/>
                <w:color w:val="auto"/>
                <w:szCs w:val="22"/>
              </w:rPr>
              <w:t>Owners</w:t>
            </w:r>
            <w:r w:rsidRPr="0088258D">
              <w:rPr>
                <w:rFonts w:eastAsiaTheme="minorHAnsi" w:cs="Times New Roman"/>
                <w:bCs w:val="0"/>
                <w:color w:val="auto"/>
                <w:szCs w:val="22"/>
              </w:rPr>
              <w:t xml:space="preserve"> must be fully compliant with the HOTMA Final Rule.</w:t>
            </w:r>
          </w:p>
        </w:tc>
      </w:tr>
      <w:tr w:rsidR="00942988" w:rsidRPr="0088258D" w14:paraId="19C6FBE6" w14:textId="77777777" w:rsidTr="1281F8EE">
        <w:trPr>
          <w:trHeight w:val="20"/>
        </w:trPr>
        <w:tc>
          <w:tcPr>
            <w:tcW w:w="720" w:type="dxa"/>
          </w:tcPr>
          <w:p w14:paraId="67BEAED3" w14:textId="5D18BD0E" w:rsidR="00942988" w:rsidRPr="0088258D" w:rsidRDefault="00942988" w:rsidP="00942988">
            <w:pPr>
              <w:pStyle w:val="TableCellYear"/>
              <w:rPr>
                <w:rFonts w:cs="Times New Roman"/>
                <w:szCs w:val="22"/>
              </w:rPr>
            </w:pPr>
            <w:r w:rsidRPr="0088258D">
              <w:rPr>
                <w:rFonts w:cs="Times New Roman"/>
                <w:szCs w:val="22"/>
              </w:rPr>
              <w:t>8</w:t>
            </w:r>
          </w:p>
        </w:tc>
        <w:tc>
          <w:tcPr>
            <w:tcW w:w="2160" w:type="dxa"/>
          </w:tcPr>
          <w:p w14:paraId="1945BA2F" w14:textId="6A335D12" w:rsidR="00942988" w:rsidRPr="0088258D" w:rsidRDefault="00942988" w:rsidP="00942988">
            <w:pPr>
              <w:pStyle w:val="TableCellGeneralText"/>
              <w:rPr>
                <w:rFonts w:cs="Times New Roman"/>
                <w:szCs w:val="22"/>
              </w:rPr>
            </w:pPr>
            <w:r w:rsidRPr="0088258D">
              <w:rPr>
                <w:rFonts w:cs="Times New Roman"/>
                <w:szCs w:val="22"/>
              </w:rPr>
              <w:t>Key Changes in “Net Family Assets”</w:t>
            </w:r>
          </w:p>
        </w:tc>
        <w:tc>
          <w:tcPr>
            <w:tcW w:w="10080" w:type="dxa"/>
          </w:tcPr>
          <w:p w14:paraId="23045546" w14:textId="19E67481" w:rsidR="00942988" w:rsidRPr="0088258D" w:rsidRDefault="00942988" w:rsidP="00942988">
            <w:pPr>
              <w:pStyle w:val="TableCellGeneralText"/>
              <w:rPr>
                <w:rFonts w:cs="Times New Roman"/>
                <w:szCs w:val="22"/>
              </w:rPr>
            </w:pPr>
            <w:r w:rsidRPr="0088258D">
              <w:rPr>
                <w:rFonts w:cs="Times New Roman"/>
                <w:szCs w:val="22"/>
              </w:rPr>
              <w:t xml:space="preserve">HOTMA has brought about several key changes related to </w:t>
            </w:r>
            <w:r w:rsidR="00DC4A73" w:rsidRPr="0088258D">
              <w:rPr>
                <w:rFonts w:cs="Times New Roman"/>
                <w:szCs w:val="22"/>
              </w:rPr>
              <w:t>Net Family Assets</w:t>
            </w:r>
            <w:r w:rsidRPr="0088258D">
              <w:rPr>
                <w:rFonts w:cs="Times New Roman"/>
                <w:szCs w:val="22"/>
              </w:rPr>
              <w:t xml:space="preserve">. For example, </w:t>
            </w:r>
          </w:p>
          <w:p w14:paraId="78481ABE" w14:textId="414875E8" w:rsidR="00942988" w:rsidRPr="0088258D" w:rsidRDefault="00942988" w:rsidP="00942988">
            <w:pPr>
              <w:pStyle w:val="TableBullet1"/>
              <w:rPr>
                <w:rFonts w:cs="Times New Roman"/>
                <w:szCs w:val="22"/>
              </w:rPr>
            </w:pPr>
            <w:r w:rsidRPr="0088258D">
              <w:rPr>
                <w:rFonts w:cs="Times New Roman"/>
                <w:szCs w:val="22"/>
              </w:rPr>
              <w:t>HOTMA has changed the definition of “asset,” which now means all family assets, including previously excluded personal property and equity accounts in certain HUD programs.</w:t>
            </w:r>
          </w:p>
          <w:p w14:paraId="0136F3B2" w14:textId="3322CEC2" w:rsidR="00942988" w:rsidRPr="0088258D" w:rsidRDefault="00942988" w:rsidP="00942988">
            <w:pPr>
              <w:pStyle w:val="TableBullet1"/>
              <w:rPr>
                <w:rFonts w:cs="Times New Roman"/>
                <w:szCs w:val="22"/>
              </w:rPr>
            </w:pPr>
            <w:r w:rsidRPr="0088258D">
              <w:rPr>
                <w:rFonts w:cs="Times New Roman"/>
                <w:szCs w:val="22"/>
              </w:rPr>
              <w:t xml:space="preserve">HOTMA establishes new exclusions from </w:t>
            </w:r>
            <w:r w:rsidR="00DC4A73" w:rsidRPr="0088258D">
              <w:rPr>
                <w:rFonts w:cs="Times New Roman"/>
                <w:szCs w:val="22"/>
              </w:rPr>
              <w:t>Net Family Assets</w:t>
            </w:r>
            <w:r w:rsidRPr="0088258D">
              <w:rPr>
                <w:rFonts w:cs="Times New Roman"/>
                <w:szCs w:val="22"/>
              </w:rPr>
              <w:t>, including retirement accounts, educational savings accounts, “baby bonds” accounts, irrevocable trusts, and non-necessary personal property with a combined value of $50,000 or less (adjusted annually for inflation)</w:t>
            </w:r>
            <w:r w:rsidR="00DC4A73" w:rsidRPr="0088258D">
              <w:rPr>
                <w:rFonts w:cs="Times New Roman"/>
                <w:szCs w:val="22"/>
              </w:rPr>
              <w:t>.</w:t>
            </w:r>
            <w:r w:rsidRPr="0088258D">
              <w:rPr>
                <w:rFonts w:cs="Times New Roman"/>
                <w:szCs w:val="22"/>
              </w:rPr>
              <w:t xml:space="preserve"> </w:t>
            </w:r>
          </w:p>
          <w:p w14:paraId="342FB321" w14:textId="77777777" w:rsidR="00942988" w:rsidRPr="0088258D" w:rsidRDefault="00942988" w:rsidP="00942988">
            <w:pPr>
              <w:pStyle w:val="TableBullet1"/>
              <w:rPr>
                <w:rFonts w:cs="Times New Roman"/>
                <w:szCs w:val="22"/>
              </w:rPr>
            </w:pPr>
            <w:r w:rsidRPr="0088258D">
              <w:rPr>
                <w:rFonts w:cs="Times New Roman"/>
                <w:szCs w:val="22"/>
              </w:rPr>
              <w:t xml:space="preserve">HOTMA raises the imputed asset threshold from $5,000 to $50,000 (adjusted annually for inflation). Asset income is imputed only for those assets where the actual asset income cannot be computed. </w:t>
            </w:r>
          </w:p>
          <w:p w14:paraId="51829625" w14:textId="41F84C15" w:rsidR="00942988" w:rsidRPr="0088258D" w:rsidRDefault="00942988" w:rsidP="00942988">
            <w:pPr>
              <w:pStyle w:val="TableBullet1"/>
              <w:rPr>
                <w:rFonts w:cs="Times New Roman"/>
                <w:szCs w:val="22"/>
              </w:rPr>
            </w:pPr>
            <w:r w:rsidRPr="0088258D">
              <w:rPr>
                <w:rFonts w:cs="Times New Roman"/>
                <w:szCs w:val="22"/>
              </w:rPr>
              <w:t xml:space="preserve">Total asset income is calculated as the sum of all actual income from assets plus imputed income (where applicable). </w:t>
            </w:r>
          </w:p>
        </w:tc>
      </w:tr>
      <w:tr w:rsidR="00942988" w:rsidRPr="0088258D" w14:paraId="3DE42019" w14:textId="77777777" w:rsidTr="1281F8EE">
        <w:trPr>
          <w:trHeight w:val="20"/>
        </w:trPr>
        <w:tc>
          <w:tcPr>
            <w:tcW w:w="720" w:type="dxa"/>
          </w:tcPr>
          <w:p w14:paraId="01BA5850" w14:textId="0A25DABE" w:rsidR="00942988" w:rsidRPr="0088258D" w:rsidRDefault="00942988" w:rsidP="00942988">
            <w:pPr>
              <w:pStyle w:val="TableCellYear"/>
              <w:rPr>
                <w:rFonts w:cs="Times New Roman"/>
                <w:szCs w:val="22"/>
              </w:rPr>
            </w:pPr>
            <w:r w:rsidRPr="0088258D">
              <w:rPr>
                <w:rFonts w:cs="Times New Roman"/>
                <w:szCs w:val="22"/>
              </w:rPr>
              <w:t>9</w:t>
            </w:r>
          </w:p>
        </w:tc>
        <w:tc>
          <w:tcPr>
            <w:tcW w:w="2160" w:type="dxa"/>
          </w:tcPr>
          <w:p w14:paraId="64DA998D" w14:textId="692C065E" w:rsidR="00942988" w:rsidRPr="0088258D" w:rsidRDefault="00942988" w:rsidP="00942988">
            <w:pPr>
              <w:pStyle w:val="TableCellGeneralText"/>
              <w:rPr>
                <w:rFonts w:cs="Times New Roman"/>
                <w:szCs w:val="22"/>
              </w:rPr>
            </w:pPr>
            <w:r w:rsidRPr="0088258D">
              <w:rPr>
                <w:rFonts w:cs="Times New Roman"/>
                <w:szCs w:val="22"/>
              </w:rPr>
              <w:t>Key Changes in “Net Family Assets”</w:t>
            </w:r>
          </w:p>
        </w:tc>
        <w:tc>
          <w:tcPr>
            <w:tcW w:w="10080" w:type="dxa"/>
          </w:tcPr>
          <w:p w14:paraId="286D6329" w14:textId="287149D3" w:rsidR="00121F8C" w:rsidRPr="0088258D" w:rsidRDefault="00A149A0" w:rsidP="00121F8C">
            <w:pPr>
              <w:pStyle w:val="TableBullet1"/>
              <w:ind w:left="288" w:hanging="216"/>
              <w:rPr>
                <w:rFonts w:cs="Times New Roman"/>
                <w:szCs w:val="22"/>
              </w:rPr>
            </w:pPr>
            <w:r>
              <w:rPr>
                <w:rFonts w:cs="Times New Roman"/>
                <w:szCs w:val="22"/>
              </w:rPr>
              <w:t>Owners</w:t>
            </w:r>
            <w:r w:rsidR="00121F8C" w:rsidRPr="0088258D">
              <w:rPr>
                <w:rFonts w:cs="Times New Roman"/>
                <w:szCs w:val="22"/>
              </w:rPr>
              <w:t xml:space="preserve"> no longer use the greater of actual income from assets or imputed asset income to determine total income from assets.</w:t>
            </w:r>
          </w:p>
          <w:p w14:paraId="3141A1AC" w14:textId="69F255DD" w:rsidR="00942988" w:rsidRPr="0088258D" w:rsidRDefault="00A149A0" w:rsidP="00121F8C">
            <w:pPr>
              <w:pStyle w:val="TableBullet1"/>
              <w:ind w:left="288" w:hanging="216"/>
              <w:rPr>
                <w:rFonts w:cs="Times New Roman"/>
                <w:szCs w:val="22"/>
              </w:rPr>
            </w:pPr>
            <w:r>
              <w:rPr>
                <w:rFonts w:cs="Times New Roman"/>
                <w:szCs w:val="22"/>
              </w:rPr>
              <w:t>Owners</w:t>
            </w:r>
            <w:r w:rsidR="00942988" w:rsidRPr="0088258D">
              <w:rPr>
                <w:rFonts w:cs="Times New Roman"/>
                <w:szCs w:val="22"/>
              </w:rPr>
              <w:t xml:space="preserve"> may accept self-certification of </w:t>
            </w:r>
            <w:r w:rsidR="00DC4A73" w:rsidRPr="0088258D">
              <w:rPr>
                <w:rFonts w:cs="Times New Roman"/>
                <w:szCs w:val="22"/>
              </w:rPr>
              <w:t xml:space="preserve">Net Family Assets </w:t>
            </w:r>
            <w:r w:rsidR="00942988" w:rsidRPr="0088258D">
              <w:rPr>
                <w:rFonts w:cs="Times New Roman"/>
                <w:szCs w:val="22"/>
              </w:rPr>
              <w:t xml:space="preserve">equal to or less than $50,000 (adjusted annually for inflation). When </w:t>
            </w:r>
            <w:r>
              <w:rPr>
                <w:rFonts w:cs="Times New Roman"/>
                <w:szCs w:val="22"/>
              </w:rPr>
              <w:t>O</w:t>
            </w:r>
            <w:r w:rsidR="00942988" w:rsidRPr="0088258D">
              <w:rPr>
                <w:rFonts w:cs="Times New Roman"/>
                <w:szCs w:val="22"/>
              </w:rPr>
              <w:t>wners accept self-certification, they must verify all assets every three years via third</w:t>
            </w:r>
            <w:r w:rsidR="00DC4A73" w:rsidRPr="0088258D">
              <w:rPr>
                <w:rFonts w:cs="Times New Roman"/>
                <w:szCs w:val="22"/>
              </w:rPr>
              <w:t>-</w:t>
            </w:r>
            <w:r w:rsidR="00942988" w:rsidRPr="0088258D">
              <w:rPr>
                <w:rFonts w:cs="Times New Roman"/>
                <w:szCs w:val="22"/>
              </w:rPr>
              <w:t>party verification.</w:t>
            </w:r>
          </w:p>
        </w:tc>
      </w:tr>
      <w:tr w:rsidR="00942988" w:rsidRPr="0088258D" w14:paraId="38DE7EAF" w14:textId="77777777" w:rsidTr="1281F8EE">
        <w:trPr>
          <w:trHeight w:val="20"/>
        </w:trPr>
        <w:tc>
          <w:tcPr>
            <w:tcW w:w="720" w:type="dxa"/>
          </w:tcPr>
          <w:p w14:paraId="73B02609" w14:textId="25B74121" w:rsidR="00942988" w:rsidRPr="0088258D" w:rsidRDefault="00942988" w:rsidP="00942988">
            <w:pPr>
              <w:pStyle w:val="TableCellYear"/>
              <w:rPr>
                <w:rFonts w:eastAsiaTheme="minorHAnsi" w:cs="Times New Roman"/>
                <w:szCs w:val="22"/>
              </w:rPr>
            </w:pPr>
            <w:r w:rsidRPr="0088258D">
              <w:rPr>
                <w:rFonts w:cs="Times New Roman"/>
                <w:szCs w:val="22"/>
              </w:rPr>
              <w:lastRenderedPageBreak/>
              <w:t>10</w:t>
            </w:r>
          </w:p>
        </w:tc>
        <w:tc>
          <w:tcPr>
            <w:tcW w:w="2160" w:type="dxa"/>
          </w:tcPr>
          <w:p w14:paraId="47B027FF" w14:textId="406622DB" w:rsidR="00942988" w:rsidRPr="0088258D" w:rsidDel="00DF419D" w:rsidRDefault="00942988" w:rsidP="00942988">
            <w:pPr>
              <w:pStyle w:val="TableCellGeneralText"/>
              <w:rPr>
                <w:rFonts w:cs="Times New Roman"/>
                <w:szCs w:val="22"/>
              </w:rPr>
            </w:pPr>
            <w:r w:rsidRPr="0088258D">
              <w:rPr>
                <w:rFonts w:cs="Times New Roman"/>
                <w:szCs w:val="22"/>
              </w:rPr>
              <w:t>HOTMA’s Asset Limitation</w:t>
            </w:r>
          </w:p>
        </w:tc>
        <w:tc>
          <w:tcPr>
            <w:tcW w:w="10080" w:type="dxa"/>
          </w:tcPr>
          <w:p w14:paraId="4BFB3DDF" w14:textId="3644B5E2" w:rsidR="00942988" w:rsidRPr="0088258D" w:rsidRDefault="00942988" w:rsidP="00942988">
            <w:pPr>
              <w:pStyle w:val="TableCellGeneralText"/>
              <w:rPr>
                <w:rFonts w:cs="Times New Roman"/>
                <w:szCs w:val="22"/>
              </w:rPr>
            </w:pPr>
            <w:r w:rsidRPr="0088258D">
              <w:rPr>
                <w:rFonts w:cs="Times New Roman"/>
                <w:szCs w:val="22"/>
              </w:rPr>
              <w:t>HOTMA also includes a new Asset Limitation</w:t>
            </w:r>
            <w:r w:rsidR="00DC4A73" w:rsidRPr="0088258D">
              <w:rPr>
                <w:rFonts w:cs="Times New Roman"/>
                <w:szCs w:val="22"/>
              </w:rPr>
              <w:t>:</w:t>
            </w:r>
            <w:r w:rsidRPr="0088258D">
              <w:rPr>
                <w:rFonts w:cs="Times New Roman"/>
                <w:szCs w:val="22"/>
              </w:rPr>
              <w:t xml:space="preserve"> </w:t>
            </w:r>
          </w:p>
          <w:p w14:paraId="008184DC" w14:textId="05027DE4" w:rsidR="00942988" w:rsidRPr="0088258D" w:rsidRDefault="00942988" w:rsidP="00942988">
            <w:pPr>
              <w:pStyle w:val="TableBullet1"/>
              <w:rPr>
                <w:rFonts w:cs="Times New Roman"/>
                <w:szCs w:val="22"/>
              </w:rPr>
            </w:pPr>
            <w:r w:rsidRPr="0088258D">
              <w:rPr>
                <w:rFonts w:cs="Times New Roman"/>
                <w:szCs w:val="22"/>
              </w:rPr>
              <w:t>A family is out of compliance with the Asset Limitation i</w:t>
            </w:r>
            <w:r w:rsidR="00DC4A73" w:rsidRPr="0088258D">
              <w:rPr>
                <w:rFonts w:cs="Times New Roman"/>
                <w:szCs w:val="22"/>
              </w:rPr>
              <w:t>f</w:t>
            </w:r>
            <w:r w:rsidRPr="0088258D">
              <w:rPr>
                <w:rFonts w:cs="Times New Roman"/>
                <w:szCs w:val="22"/>
              </w:rPr>
              <w:t xml:space="preserve"> they have either of the following:</w:t>
            </w:r>
          </w:p>
          <w:p w14:paraId="03D28E2B" w14:textId="77777777" w:rsidR="00942988" w:rsidRPr="0088258D" w:rsidRDefault="00942988" w:rsidP="00942988">
            <w:pPr>
              <w:pStyle w:val="TableBullet2"/>
              <w:rPr>
                <w:rFonts w:cs="Times New Roman"/>
                <w:szCs w:val="22"/>
              </w:rPr>
            </w:pPr>
            <w:r w:rsidRPr="0088258D">
              <w:rPr>
                <w:rFonts w:cs="Times New Roman"/>
                <w:szCs w:val="22"/>
              </w:rPr>
              <w:t>Net Family Assets that exceed $100,000, adjusted for inflation, OR</w:t>
            </w:r>
          </w:p>
          <w:p w14:paraId="3FA4BB79" w14:textId="77777777" w:rsidR="00942988" w:rsidRPr="0088258D" w:rsidRDefault="00942988" w:rsidP="00942988">
            <w:pPr>
              <w:pStyle w:val="TableBullet2"/>
              <w:rPr>
                <w:rFonts w:cs="Times New Roman"/>
                <w:szCs w:val="22"/>
              </w:rPr>
            </w:pPr>
            <w:r w:rsidRPr="0088258D">
              <w:rPr>
                <w:rFonts w:cs="Times New Roman"/>
                <w:szCs w:val="22"/>
              </w:rPr>
              <w:t>Real property that is suitable for occupancy.</w:t>
            </w:r>
          </w:p>
          <w:p w14:paraId="2A0D0823" w14:textId="10D4F35A" w:rsidR="00942988" w:rsidRPr="0088258D" w:rsidRDefault="00A149A0" w:rsidP="00942988">
            <w:pPr>
              <w:pStyle w:val="TableBullet1"/>
              <w:rPr>
                <w:rFonts w:cs="Times New Roman"/>
                <w:szCs w:val="22"/>
              </w:rPr>
            </w:pPr>
            <w:r>
              <w:rPr>
                <w:rFonts w:cs="Times New Roman"/>
                <w:szCs w:val="22"/>
              </w:rPr>
              <w:t>Owners</w:t>
            </w:r>
            <w:r w:rsidR="00942988" w:rsidRPr="0088258D">
              <w:rPr>
                <w:rFonts w:cs="Times New Roman"/>
                <w:szCs w:val="22"/>
              </w:rPr>
              <w:t xml:space="preserve"> must deny admission of an applicant if they are determined not to meet the requirements of the Asset Limitation</w:t>
            </w:r>
            <w:r w:rsidR="00DC4A73" w:rsidRPr="0088258D">
              <w:rPr>
                <w:rFonts w:cs="Times New Roman"/>
                <w:szCs w:val="22"/>
              </w:rPr>
              <w:t>.</w:t>
            </w:r>
          </w:p>
          <w:p w14:paraId="50FDF9A9" w14:textId="14646CBC" w:rsidR="00942988" w:rsidRPr="0088258D" w:rsidRDefault="00A149A0" w:rsidP="00942988">
            <w:pPr>
              <w:pStyle w:val="TableBullet1"/>
              <w:rPr>
                <w:rFonts w:cs="Times New Roman"/>
                <w:szCs w:val="22"/>
              </w:rPr>
            </w:pPr>
            <w:r>
              <w:rPr>
                <w:rFonts w:cs="Times New Roman"/>
                <w:szCs w:val="22"/>
              </w:rPr>
              <w:t>Owners</w:t>
            </w:r>
            <w:r w:rsidR="00942988" w:rsidRPr="0088258D">
              <w:rPr>
                <w:rFonts w:cs="Times New Roman"/>
                <w:szCs w:val="22"/>
              </w:rPr>
              <w:t xml:space="preserve"> have discretion </w:t>
            </w:r>
            <w:r w:rsidR="00DC4A73" w:rsidRPr="0088258D">
              <w:rPr>
                <w:rFonts w:cs="Times New Roman"/>
                <w:szCs w:val="22"/>
              </w:rPr>
              <w:t xml:space="preserve">over </w:t>
            </w:r>
            <w:r w:rsidR="00942988" w:rsidRPr="0088258D">
              <w:rPr>
                <w:rFonts w:cs="Times New Roman"/>
                <w:szCs w:val="22"/>
              </w:rPr>
              <w:t>whether</w:t>
            </w:r>
            <w:r w:rsidR="00DC647F" w:rsidRPr="0088258D">
              <w:rPr>
                <w:rFonts w:cs="Times New Roman"/>
                <w:szCs w:val="22"/>
              </w:rPr>
              <w:t xml:space="preserve"> and how</w:t>
            </w:r>
            <w:r w:rsidR="00942988" w:rsidRPr="0088258D">
              <w:rPr>
                <w:rFonts w:cs="Times New Roman"/>
                <w:szCs w:val="22"/>
              </w:rPr>
              <w:t xml:space="preserve"> to enforce this requirement at annual and interim reexaminations for program participants. This policy decision must be documented in the </w:t>
            </w:r>
            <w:r>
              <w:rPr>
                <w:rFonts w:cs="Times New Roman"/>
                <w:szCs w:val="22"/>
              </w:rPr>
              <w:t>Owners</w:t>
            </w:r>
            <w:r w:rsidR="00942988" w:rsidRPr="0088258D">
              <w:rPr>
                <w:rFonts w:cs="Times New Roman"/>
                <w:szCs w:val="22"/>
              </w:rPr>
              <w:t xml:space="preserve">’ written policies. </w:t>
            </w:r>
          </w:p>
          <w:p w14:paraId="3A5FA528" w14:textId="6BAC2031" w:rsidR="00942988" w:rsidRPr="0088258D" w:rsidRDefault="00942988" w:rsidP="00942988">
            <w:pPr>
              <w:pStyle w:val="TableBullet1"/>
              <w:rPr>
                <w:rFonts w:cs="Times New Roman"/>
                <w:szCs w:val="22"/>
              </w:rPr>
            </w:pPr>
            <w:r w:rsidRPr="0088258D">
              <w:rPr>
                <w:rFonts w:cs="Times New Roman"/>
                <w:szCs w:val="22"/>
              </w:rPr>
              <w:t xml:space="preserve">Regardless of their policy decision, </w:t>
            </w:r>
            <w:r w:rsidR="00A149A0">
              <w:rPr>
                <w:rFonts w:cs="Times New Roman"/>
                <w:szCs w:val="22"/>
              </w:rPr>
              <w:t>Owners</w:t>
            </w:r>
            <w:r w:rsidRPr="0088258D">
              <w:rPr>
                <w:rFonts w:cs="Times New Roman"/>
                <w:szCs w:val="22"/>
              </w:rPr>
              <w:t xml:space="preserve"> must comply with federal fair housing and civil rights requirements, including reasonable accommodation requirements. </w:t>
            </w:r>
          </w:p>
          <w:p w14:paraId="024FC46E" w14:textId="32058DB1" w:rsidR="00942988" w:rsidRPr="0088258D" w:rsidRDefault="00942988" w:rsidP="00942988">
            <w:pPr>
              <w:pStyle w:val="TableCellText-Spaced"/>
              <w:spacing w:before="120"/>
              <w:rPr>
                <w:rFonts w:cs="Times New Roman"/>
                <w:szCs w:val="22"/>
              </w:rPr>
            </w:pPr>
            <w:r w:rsidRPr="0088258D">
              <w:rPr>
                <w:rFonts w:cs="Times New Roman"/>
                <w:szCs w:val="22"/>
              </w:rPr>
              <w:t xml:space="preserve">Additional </w:t>
            </w:r>
            <w:r w:rsidR="00EE6C04" w:rsidRPr="0088258D">
              <w:rPr>
                <w:rFonts w:cs="Times New Roman"/>
                <w:szCs w:val="22"/>
              </w:rPr>
              <w:t>details</w:t>
            </w:r>
            <w:r w:rsidRPr="0088258D">
              <w:rPr>
                <w:rFonts w:cs="Times New Roman"/>
                <w:szCs w:val="22"/>
              </w:rPr>
              <w:t xml:space="preserve"> on HOTMA’s Asset Limitation provision may be found in the accompanying Asset Limitation video.</w:t>
            </w:r>
          </w:p>
          <w:p w14:paraId="492F5BB8" w14:textId="4FB80E8B" w:rsidR="00942988" w:rsidRPr="0088258D" w:rsidDel="00DF419D" w:rsidRDefault="00DC4A73" w:rsidP="00942988">
            <w:pPr>
              <w:pStyle w:val="TableCellGeneralText"/>
              <w:rPr>
                <w:rFonts w:cs="Times New Roman"/>
                <w:szCs w:val="22"/>
              </w:rPr>
            </w:pPr>
            <w:r w:rsidRPr="0088258D">
              <w:rPr>
                <w:rFonts w:cs="Times New Roman"/>
                <w:b/>
                <w:bCs w:val="0"/>
                <w:szCs w:val="22"/>
              </w:rPr>
              <w:t>Note</w:t>
            </w:r>
            <w:r w:rsidR="00942988" w:rsidRPr="0088258D">
              <w:rPr>
                <w:rFonts w:cs="Times New Roman"/>
                <w:b/>
                <w:bCs w:val="0"/>
                <w:szCs w:val="22"/>
              </w:rPr>
              <w:t xml:space="preserve">: </w:t>
            </w:r>
            <w:r w:rsidR="00942988" w:rsidRPr="0088258D">
              <w:rPr>
                <w:rFonts w:cs="Times New Roman"/>
                <w:szCs w:val="22"/>
              </w:rPr>
              <w:t>The Asset Limitation provision applies only to Section 8 PBRA and 202/8. It does not apply to any other MFH programs</w:t>
            </w:r>
          </w:p>
        </w:tc>
      </w:tr>
      <w:tr w:rsidR="000F29A7" w:rsidRPr="0088258D" w14:paraId="2B4190A1" w14:textId="77777777" w:rsidTr="1281F8EE">
        <w:trPr>
          <w:trHeight w:val="20"/>
        </w:trPr>
        <w:tc>
          <w:tcPr>
            <w:tcW w:w="720" w:type="dxa"/>
          </w:tcPr>
          <w:p w14:paraId="2F187B61" w14:textId="3FA4E64A" w:rsidR="000F29A7" w:rsidRPr="0088258D" w:rsidRDefault="00C252AA" w:rsidP="000F29A7">
            <w:pPr>
              <w:pStyle w:val="TableCellYear"/>
              <w:rPr>
                <w:rFonts w:cs="Times New Roman"/>
                <w:szCs w:val="22"/>
              </w:rPr>
            </w:pPr>
            <w:r w:rsidRPr="0088258D">
              <w:rPr>
                <w:rFonts w:cs="Times New Roman"/>
                <w:szCs w:val="22"/>
              </w:rPr>
              <w:t>11</w:t>
            </w:r>
          </w:p>
        </w:tc>
        <w:tc>
          <w:tcPr>
            <w:tcW w:w="2160" w:type="dxa"/>
          </w:tcPr>
          <w:p w14:paraId="5941F800" w14:textId="69D07BAD" w:rsidR="000F29A7" w:rsidRPr="0088258D" w:rsidRDefault="000F29A7" w:rsidP="000F29A7">
            <w:pPr>
              <w:pStyle w:val="TableCellGeneralText"/>
              <w:rPr>
                <w:rFonts w:cs="Times New Roman"/>
                <w:szCs w:val="22"/>
              </w:rPr>
            </w:pPr>
            <w:r w:rsidRPr="0088258D">
              <w:rPr>
                <w:rFonts w:cs="Times New Roman"/>
                <w:szCs w:val="22"/>
              </w:rPr>
              <w:t>What Is an Asset?</w:t>
            </w:r>
          </w:p>
        </w:tc>
        <w:tc>
          <w:tcPr>
            <w:tcW w:w="10080" w:type="dxa"/>
          </w:tcPr>
          <w:p w14:paraId="7E258707" w14:textId="77777777" w:rsidR="000F29A7" w:rsidRPr="0088258D" w:rsidRDefault="000F29A7" w:rsidP="000F29A7">
            <w:pPr>
              <w:pStyle w:val="TableCellGeneralText"/>
              <w:rPr>
                <w:rFonts w:cs="Times New Roman"/>
                <w:szCs w:val="22"/>
              </w:rPr>
            </w:pPr>
            <w:r w:rsidRPr="0088258D">
              <w:rPr>
                <w:rFonts w:cs="Times New Roman"/>
                <w:szCs w:val="22"/>
              </w:rPr>
              <w:t>What is an asset?</w:t>
            </w:r>
          </w:p>
          <w:p w14:paraId="00BA24B6" w14:textId="77777777" w:rsidR="000F29A7" w:rsidRPr="0088258D" w:rsidRDefault="000F29A7" w:rsidP="000F29A7">
            <w:pPr>
              <w:pStyle w:val="TableBullet1"/>
              <w:rPr>
                <w:rFonts w:cs="Times New Roman"/>
                <w:szCs w:val="22"/>
              </w:rPr>
            </w:pPr>
            <w:r w:rsidRPr="0088258D">
              <w:rPr>
                <w:rFonts w:cs="Times New Roman"/>
                <w:szCs w:val="22"/>
              </w:rPr>
              <w:t xml:space="preserve">One definition is that an asset is a resource with economic value that a family owns or controls with the expectation that it will provide a future benefit. </w:t>
            </w:r>
          </w:p>
          <w:p w14:paraId="001F15B0" w14:textId="77777777" w:rsidR="000F29A7" w:rsidRPr="0088258D" w:rsidRDefault="000F29A7" w:rsidP="000F29A7">
            <w:pPr>
              <w:pStyle w:val="TableBullet1"/>
              <w:rPr>
                <w:rFonts w:cs="Times New Roman"/>
                <w:szCs w:val="22"/>
              </w:rPr>
            </w:pPr>
            <w:r w:rsidRPr="0088258D">
              <w:rPr>
                <w:rFonts w:cs="Times New Roman"/>
                <w:szCs w:val="22"/>
              </w:rPr>
              <w:t>Under HOTMA, assets are categorized as either real property (for example, a parcel of land or a home) or personal property. Personal property can be tangible items, like a car or a boat, as well as intangible items, like a bank account.</w:t>
            </w:r>
          </w:p>
          <w:p w14:paraId="52D407F1" w14:textId="0C6DF1A3" w:rsidR="000F29A7" w:rsidRPr="0088258D" w:rsidRDefault="000F29A7" w:rsidP="000F29A7">
            <w:pPr>
              <w:pStyle w:val="TableCellGeneralText"/>
              <w:rPr>
                <w:rFonts w:cs="Times New Roman"/>
                <w:szCs w:val="22"/>
              </w:rPr>
            </w:pPr>
            <w:r w:rsidRPr="0088258D">
              <w:rPr>
                <w:rFonts w:cs="Times New Roman"/>
                <w:szCs w:val="22"/>
              </w:rPr>
              <w:t>In the HOTMA Final Rule, HUD notes that real property, as used in 24 C.F.</w:t>
            </w:r>
            <w:r w:rsidR="001D4F9E" w:rsidRPr="0088258D">
              <w:rPr>
                <w:rFonts w:cs="Times New Roman"/>
                <w:szCs w:val="22"/>
              </w:rPr>
              <w:t>R</w:t>
            </w:r>
            <w:r w:rsidRPr="0088258D">
              <w:rPr>
                <w:rFonts w:cs="Times New Roman"/>
                <w:szCs w:val="22"/>
              </w:rPr>
              <w:t xml:space="preserve"> Part 5, has the same meaning as that provided under the state law in which the property is located.</w:t>
            </w:r>
          </w:p>
        </w:tc>
      </w:tr>
      <w:tr w:rsidR="000F29A7" w:rsidRPr="0088258D" w14:paraId="68B52813" w14:textId="77777777" w:rsidTr="1281F8EE">
        <w:trPr>
          <w:trHeight w:val="20"/>
        </w:trPr>
        <w:tc>
          <w:tcPr>
            <w:tcW w:w="720" w:type="dxa"/>
          </w:tcPr>
          <w:p w14:paraId="4AAECC13" w14:textId="1A15508F" w:rsidR="000F29A7" w:rsidRPr="0088258D" w:rsidRDefault="000F29A7" w:rsidP="000F29A7">
            <w:pPr>
              <w:pStyle w:val="TableCellYear"/>
              <w:rPr>
                <w:rFonts w:cs="Times New Roman"/>
                <w:szCs w:val="22"/>
              </w:rPr>
            </w:pPr>
            <w:r w:rsidRPr="0088258D">
              <w:rPr>
                <w:rFonts w:cs="Times New Roman"/>
                <w:szCs w:val="22"/>
              </w:rPr>
              <w:lastRenderedPageBreak/>
              <w:t>1</w:t>
            </w:r>
            <w:r w:rsidR="00CD1210" w:rsidRPr="0088258D">
              <w:rPr>
                <w:rFonts w:cs="Times New Roman"/>
                <w:szCs w:val="22"/>
              </w:rPr>
              <w:t>2</w:t>
            </w:r>
          </w:p>
        </w:tc>
        <w:tc>
          <w:tcPr>
            <w:tcW w:w="2160" w:type="dxa"/>
          </w:tcPr>
          <w:p w14:paraId="2ED7E033" w14:textId="77777777" w:rsidR="000F29A7" w:rsidRPr="0088258D" w:rsidRDefault="000F29A7" w:rsidP="000F29A7">
            <w:pPr>
              <w:pStyle w:val="TableCellGeneralText"/>
              <w:rPr>
                <w:rFonts w:cs="Times New Roman"/>
                <w:szCs w:val="22"/>
              </w:rPr>
            </w:pPr>
            <w:r w:rsidRPr="0088258D">
              <w:rPr>
                <w:rFonts w:cs="Times New Roman"/>
                <w:szCs w:val="22"/>
              </w:rPr>
              <w:t>Net Family Assets: Relevancy</w:t>
            </w:r>
          </w:p>
        </w:tc>
        <w:tc>
          <w:tcPr>
            <w:tcW w:w="10080" w:type="dxa"/>
          </w:tcPr>
          <w:p w14:paraId="2AC0E290" w14:textId="0E555717" w:rsidR="000F29A7" w:rsidRPr="0088258D" w:rsidRDefault="000F29A7" w:rsidP="000F29A7">
            <w:pPr>
              <w:pStyle w:val="TableCellGeneralText"/>
              <w:rPr>
                <w:rFonts w:cs="Times New Roman"/>
                <w:szCs w:val="22"/>
              </w:rPr>
            </w:pPr>
            <w:r w:rsidRPr="0088258D">
              <w:rPr>
                <w:rFonts w:cs="Times New Roman"/>
                <w:szCs w:val="22"/>
              </w:rPr>
              <w:t>Let’s talk about why assets are relevant.</w:t>
            </w:r>
          </w:p>
          <w:p w14:paraId="44C08694" w14:textId="21014455" w:rsidR="000F29A7" w:rsidRPr="0088258D" w:rsidRDefault="000F29A7" w:rsidP="000F29A7">
            <w:pPr>
              <w:pStyle w:val="TableBullet1"/>
              <w:rPr>
                <w:rFonts w:cs="Times New Roman"/>
                <w:szCs w:val="22"/>
              </w:rPr>
            </w:pPr>
            <w:r w:rsidRPr="0088258D">
              <w:rPr>
                <w:rFonts w:cs="Times New Roman"/>
                <w:szCs w:val="22"/>
              </w:rPr>
              <w:t xml:space="preserve">The annual income calculation, used for determining initial program eligibility and ongoing rental payments, relies on Net Family Assets as part of its calculation. </w:t>
            </w:r>
          </w:p>
          <w:p w14:paraId="28F7B48F" w14:textId="77777777" w:rsidR="000F29A7" w:rsidRPr="0088258D" w:rsidRDefault="000F29A7" w:rsidP="000F29A7">
            <w:pPr>
              <w:pStyle w:val="TableBullet1"/>
              <w:rPr>
                <w:rFonts w:cs="Times New Roman"/>
                <w:szCs w:val="22"/>
              </w:rPr>
            </w:pPr>
            <w:r w:rsidRPr="0088258D">
              <w:rPr>
                <w:rFonts w:cs="Times New Roman"/>
                <w:szCs w:val="22"/>
              </w:rPr>
              <w:t>Income from assets is considered income and must be used when determining annual income and calculating rent at both:</w:t>
            </w:r>
          </w:p>
          <w:p w14:paraId="41D68ECB" w14:textId="1A1988F5" w:rsidR="000F29A7" w:rsidRPr="0088258D" w:rsidRDefault="000F29A7" w:rsidP="000F29A7">
            <w:pPr>
              <w:pStyle w:val="TableBullet2"/>
              <w:rPr>
                <w:rFonts w:cs="Times New Roman"/>
                <w:szCs w:val="22"/>
              </w:rPr>
            </w:pPr>
            <w:r w:rsidRPr="0088258D">
              <w:rPr>
                <w:rFonts w:cs="Times New Roman"/>
                <w:szCs w:val="22"/>
              </w:rPr>
              <w:t>Initial program eligibility and</w:t>
            </w:r>
          </w:p>
          <w:p w14:paraId="6D797CC9" w14:textId="778375AC" w:rsidR="000F29A7" w:rsidRPr="0088258D" w:rsidRDefault="000F29A7" w:rsidP="000F29A7">
            <w:pPr>
              <w:pStyle w:val="TableBullet2"/>
              <w:rPr>
                <w:rFonts w:cs="Times New Roman"/>
                <w:szCs w:val="22"/>
              </w:rPr>
            </w:pPr>
            <w:r w:rsidRPr="0088258D">
              <w:rPr>
                <w:rFonts w:cs="Times New Roman"/>
                <w:szCs w:val="22"/>
              </w:rPr>
              <w:t>Continued program participation.</w:t>
            </w:r>
          </w:p>
        </w:tc>
      </w:tr>
      <w:tr w:rsidR="000F29A7" w:rsidRPr="0088258D" w14:paraId="0DBEA158" w14:textId="77777777" w:rsidTr="1281F8EE">
        <w:trPr>
          <w:trHeight w:val="20"/>
        </w:trPr>
        <w:tc>
          <w:tcPr>
            <w:tcW w:w="720" w:type="dxa"/>
          </w:tcPr>
          <w:p w14:paraId="08CF40E4" w14:textId="5AAF6CE2" w:rsidR="000F29A7" w:rsidRPr="0088258D" w:rsidRDefault="000F29A7" w:rsidP="000F29A7">
            <w:pPr>
              <w:pStyle w:val="TableCellYear"/>
              <w:rPr>
                <w:rFonts w:cs="Times New Roman"/>
                <w:szCs w:val="22"/>
              </w:rPr>
            </w:pPr>
            <w:r w:rsidRPr="0088258D">
              <w:rPr>
                <w:rFonts w:cs="Times New Roman"/>
                <w:szCs w:val="22"/>
              </w:rPr>
              <w:t>1</w:t>
            </w:r>
            <w:r w:rsidR="00CD1210" w:rsidRPr="0088258D">
              <w:rPr>
                <w:rFonts w:cs="Times New Roman"/>
                <w:szCs w:val="22"/>
              </w:rPr>
              <w:t>3</w:t>
            </w:r>
          </w:p>
        </w:tc>
        <w:tc>
          <w:tcPr>
            <w:tcW w:w="2160" w:type="dxa"/>
          </w:tcPr>
          <w:p w14:paraId="11F91218" w14:textId="77777777" w:rsidR="000F29A7" w:rsidRPr="0088258D" w:rsidRDefault="000F29A7" w:rsidP="000F29A7">
            <w:pPr>
              <w:pStyle w:val="TableCellGeneralText"/>
              <w:rPr>
                <w:rFonts w:cs="Times New Roman"/>
                <w:szCs w:val="22"/>
              </w:rPr>
            </w:pPr>
            <w:r w:rsidRPr="0088258D">
              <w:rPr>
                <w:rFonts w:cs="Times New Roman"/>
                <w:szCs w:val="22"/>
              </w:rPr>
              <w:t>Net Family Assets: Relevancy</w:t>
            </w:r>
          </w:p>
        </w:tc>
        <w:tc>
          <w:tcPr>
            <w:tcW w:w="10080" w:type="dxa"/>
          </w:tcPr>
          <w:p w14:paraId="1B37DD17" w14:textId="455BE4F9" w:rsidR="000F29A7" w:rsidRPr="0088258D" w:rsidRDefault="000F29A7" w:rsidP="000F29A7">
            <w:pPr>
              <w:pStyle w:val="TableCellGeneralText"/>
              <w:rPr>
                <w:rFonts w:cs="Times New Roman"/>
                <w:szCs w:val="22"/>
              </w:rPr>
            </w:pPr>
            <w:r w:rsidRPr="0088258D">
              <w:rPr>
                <w:rFonts w:cs="Times New Roman"/>
                <w:szCs w:val="22"/>
              </w:rPr>
              <w:t xml:space="preserve">The process that </w:t>
            </w:r>
            <w:r w:rsidR="00A149A0">
              <w:rPr>
                <w:rFonts w:cs="Times New Roman"/>
                <w:szCs w:val="22"/>
              </w:rPr>
              <w:t>Owners</w:t>
            </w:r>
            <w:r w:rsidRPr="0088258D">
              <w:rPr>
                <w:rFonts w:cs="Times New Roman"/>
                <w:szCs w:val="22"/>
              </w:rPr>
              <w:t xml:space="preserve"> follow to determine asset income is:</w:t>
            </w:r>
          </w:p>
          <w:p w14:paraId="492981F0" w14:textId="248CC7CE" w:rsidR="000F29A7" w:rsidRPr="0088258D" w:rsidRDefault="000F29A7" w:rsidP="00B45B1B">
            <w:pPr>
              <w:pStyle w:val="TableCellGeneralText"/>
              <w:numPr>
                <w:ilvl w:val="0"/>
                <w:numId w:val="12"/>
              </w:numPr>
              <w:spacing w:before="60"/>
              <w:ind w:left="504" w:hanging="216"/>
              <w:rPr>
                <w:rFonts w:cs="Times New Roman"/>
                <w:szCs w:val="22"/>
              </w:rPr>
            </w:pPr>
            <w:r w:rsidRPr="0088258D">
              <w:rPr>
                <w:rFonts w:cs="Times New Roman"/>
                <w:szCs w:val="22"/>
              </w:rPr>
              <w:t>Collect information on all family-owned assets.</w:t>
            </w:r>
          </w:p>
          <w:p w14:paraId="586AB212" w14:textId="704E9B14" w:rsidR="000F29A7" w:rsidRPr="0088258D" w:rsidRDefault="000F29A7" w:rsidP="00B45B1B">
            <w:pPr>
              <w:pStyle w:val="TableCellGeneralText"/>
              <w:numPr>
                <w:ilvl w:val="0"/>
                <w:numId w:val="12"/>
              </w:numPr>
              <w:spacing w:before="60"/>
              <w:ind w:left="504" w:hanging="216"/>
              <w:rPr>
                <w:rFonts w:cs="Times New Roman"/>
                <w:szCs w:val="22"/>
              </w:rPr>
            </w:pPr>
            <w:r w:rsidRPr="0088258D">
              <w:rPr>
                <w:rFonts w:cs="Times New Roman"/>
                <w:szCs w:val="22"/>
              </w:rPr>
              <w:t>Determine whether the assets should be included in Net Family Assets. We will talk about this in detail in upcoming slides.</w:t>
            </w:r>
          </w:p>
          <w:p w14:paraId="103E4D3C" w14:textId="0398EA4A" w:rsidR="000F29A7" w:rsidRPr="0088258D" w:rsidRDefault="000F29A7" w:rsidP="00B45B1B">
            <w:pPr>
              <w:pStyle w:val="TableCellGeneralText"/>
              <w:numPr>
                <w:ilvl w:val="0"/>
                <w:numId w:val="12"/>
              </w:numPr>
              <w:spacing w:before="60"/>
              <w:ind w:left="504" w:hanging="216"/>
              <w:rPr>
                <w:rFonts w:cs="Times New Roman"/>
                <w:szCs w:val="22"/>
              </w:rPr>
            </w:pPr>
            <w:r w:rsidRPr="0088258D">
              <w:rPr>
                <w:rFonts w:cs="Times New Roman"/>
                <w:szCs w:val="22"/>
              </w:rPr>
              <w:t>Tally the value of family’s Net Family Assets.</w:t>
            </w:r>
          </w:p>
          <w:p w14:paraId="4125B177" w14:textId="380B2309" w:rsidR="000F29A7" w:rsidRPr="0088258D" w:rsidRDefault="000F29A7" w:rsidP="00B45B1B">
            <w:pPr>
              <w:pStyle w:val="TableCellGeneralText"/>
              <w:numPr>
                <w:ilvl w:val="0"/>
                <w:numId w:val="12"/>
              </w:numPr>
              <w:spacing w:before="60"/>
              <w:ind w:left="504" w:hanging="216"/>
              <w:rPr>
                <w:rFonts w:cs="Times New Roman"/>
                <w:szCs w:val="22"/>
              </w:rPr>
            </w:pPr>
            <w:r w:rsidRPr="0088258D">
              <w:rPr>
                <w:rFonts w:cs="Times New Roman"/>
                <w:szCs w:val="22"/>
              </w:rPr>
              <w:t>Calculate income from Net Family Assets.</w:t>
            </w:r>
          </w:p>
          <w:p w14:paraId="5E1604AF" w14:textId="77777777" w:rsidR="000F29A7" w:rsidRPr="0088258D" w:rsidRDefault="000F29A7" w:rsidP="000F29A7">
            <w:pPr>
              <w:pStyle w:val="TableCellGeneralText"/>
              <w:spacing w:before="120"/>
              <w:rPr>
                <w:rFonts w:cs="Times New Roman"/>
                <w:szCs w:val="22"/>
              </w:rPr>
            </w:pPr>
            <w:r w:rsidRPr="0088258D">
              <w:rPr>
                <w:rFonts w:cs="Times New Roman"/>
                <w:szCs w:val="22"/>
              </w:rPr>
              <w:t>In the upcoming sections, we will review how this process has been impacted by HOTMA.</w:t>
            </w:r>
          </w:p>
        </w:tc>
      </w:tr>
      <w:tr w:rsidR="000F29A7" w:rsidRPr="0088258D" w14:paraId="08FF9810" w14:textId="77777777" w:rsidTr="1281F8EE">
        <w:trPr>
          <w:trHeight w:val="20"/>
        </w:trPr>
        <w:tc>
          <w:tcPr>
            <w:tcW w:w="720" w:type="dxa"/>
          </w:tcPr>
          <w:p w14:paraId="6540526E" w14:textId="2A7D3BC0" w:rsidR="000F29A7" w:rsidRPr="0088258D" w:rsidRDefault="000F29A7" w:rsidP="000F29A7">
            <w:pPr>
              <w:pStyle w:val="TableCellYear"/>
              <w:rPr>
                <w:rFonts w:cs="Times New Roman"/>
                <w:szCs w:val="22"/>
              </w:rPr>
            </w:pPr>
            <w:r w:rsidRPr="0088258D">
              <w:rPr>
                <w:rFonts w:cs="Times New Roman"/>
                <w:szCs w:val="22"/>
              </w:rPr>
              <w:t>1</w:t>
            </w:r>
            <w:r w:rsidR="00CD1210" w:rsidRPr="0088258D">
              <w:rPr>
                <w:rFonts w:cs="Times New Roman"/>
                <w:szCs w:val="22"/>
              </w:rPr>
              <w:t>4</w:t>
            </w:r>
          </w:p>
        </w:tc>
        <w:tc>
          <w:tcPr>
            <w:tcW w:w="2160" w:type="dxa"/>
          </w:tcPr>
          <w:p w14:paraId="6FA73F44" w14:textId="086C36DF" w:rsidR="000F29A7" w:rsidRPr="0088258D" w:rsidRDefault="000F29A7" w:rsidP="000F29A7">
            <w:pPr>
              <w:pStyle w:val="TableCellGeneralText"/>
              <w:rPr>
                <w:rFonts w:cs="Times New Roman"/>
                <w:i/>
                <w:iCs/>
                <w:szCs w:val="22"/>
              </w:rPr>
            </w:pPr>
            <w:r w:rsidRPr="0088258D">
              <w:rPr>
                <w:rFonts w:cs="Times New Roman"/>
                <w:i/>
                <w:iCs/>
                <w:szCs w:val="22"/>
              </w:rPr>
              <w:t>Divider slide</w:t>
            </w:r>
          </w:p>
        </w:tc>
        <w:tc>
          <w:tcPr>
            <w:tcW w:w="10080" w:type="dxa"/>
          </w:tcPr>
          <w:p w14:paraId="7E3316D3" w14:textId="54E4F793" w:rsidR="000F29A7" w:rsidRPr="0088258D" w:rsidRDefault="000F29A7" w:rsidP="000F29A7">
            <w:pPr>
              <w:pStyle w:val="TableCellGeneralText"/>
              <w:rPr>
                <w:rFonts w:cs="Times New Roman"/>
                <w:szCs w:val="22"/>
              </w:rPr>
            </w:pPr>
            <w:r w:rsidRPr="0088258D">
              <w:rPr>
                <w:rFonts w:cs="Times New Roman"/>
                <w:szCs w:val="22"/>
              </w:rPr>
              <w:t>In this section, we will discuss HOTMA specifics for collecting family asset information.</w:t>
            </w:r>
          </w:p>
        </w:tc>
      </w:tr>
      <w:tr w:rsidR="000F29A7" w:rsidRPr="0088258D" w14:paraId="0471530F" w14:textId="77777777" w:rsidTr="1281F8EE">
        <w:trPr>
          <w:trHeight w:val="20"/>
        </w:trPr>
        <w:tc>
          <w:tcPr>
            <w:tcW w:w="720" w:type="dxa"/>
          </w:tcPr>
          <w:p w14:paraId="041E6C05" w14:textId="76554ECB" w:rsidR="000F29A7" w:rsidRPr="0088258D" w:rsidRDefault="000F29A7" w:rsidP="000F29A7">
            <w:pPr>
              <w:pStyle w:val="TableCellYear"/>
              <w:rPr>
                <w:rFonts w:cs="Times New Roman"/>
                <w:szCs w:val="22"/>
              </w:rPr>
            </w:pPr>
            <w:r w:rsidRPr="0088258D">
              <w:rPr>
                <w:rFonts w:cs="Times New Roman"/>
                <w:szCs w:val="22"/>
              </w:rPr>
              <w:lastRenderedPageBreak/>
              <w:t>15</w:t>
            </w:r>
          </w:p>
        </w:tc>
        <w:tc>
          <w:tcPr>
            <w:tcW w:w="2160" w:type="dxa"/>
          </w:tcPr>
          <w:p w14:paraId="1E22BAFC" w14:textId="77777777" w:rsidR="000F29A7" w:rsidRPr="0088258D" w:rsidRDefault="000F29A7" w:rsidP="000F29A7">
            <w:pPr>
              <w:pStyle w:val="TableCellGeneralText"/>
              <w:rPr>
                <w:rFonts w:cs="Times New Roman"/>
                <w:szCs w:val="22"/>
              </w:rPr>
            </w:pPr>
            <w:r w:rsidRPr="0088258D">
              <w:rPr>
                <w:rFonts w:cs="Times New Roman"/>
                <w:szCs w:val="22"/>
              </w:rPr>
              <w:t xml:space="preserve">Verification of Assets </w:t>
            </w:r>
          </w:p>
          <w:p w14:paraId="356C0DBE" w14:textId="77777777" w:rsidR="000F29A7" w:rsidRPr="0088258D" w:rsidRDefault="000F29A7" w:rsidP="000F29A7">
            <w:pPr>
              <w:pStyle w:val="TableCellGeneralText"/>
              <w:rPr>
                <w:rFonts w:cs="Times New Roman"/>
                <w:szCs w:val="22"/>
              </w:rPr>
            </w:pPr>
          </w:p>
        </w:tc>
        <w:tc>
          <w:tcPr>
            <w:tcW w:w="10080" w:type="dxa"/>
          </w:tcPr>
          <w:p w14:paraId="0D5814B5" w14:textId="716BF0F5" w:rsidR="000F29A7" w:rsidRPr="0088258D" w:rsidRDefault="000F29A7" w:rsidP="000F29A7">
            <w:pPr>
              <w:pStyle w:val="TableCellText-Spaced"/>
              <w:rPr>
                <w:rFonts w:cs="Times New Roman"/>
                <w:szCs w:val="22"/>
              </w:rPr>
            </w:pPr>
            <w:r w:rsidRPr="0088258D">
              <w:rPr>
                <w:rFonts w:cs="Times New Roman"/>
                <w:szCs w:val="22"/>
              </w:rPr>
              <w:t xml:space="preserve">Families must report all family-owned assets and the income that the family anticipates receiving from them. </w:t>
            </w:r>
            <w:r w:rsidR="00A149A0">
              <w:rPr>
                <w:rFonts w:cs="Times New Roman"/>
                <w:szCs w:val="22"/>
              </w:rPr>
              <w:t>Owners</w:t>
            </w:r>
            <w:r w:rsidRPr="0088258D">
              <w:rPr>
                <w:rFonts w:cs="Times New Roman"/>
                <w:szCs w:val="22"/>
              </w:rPr>
              <w:t xml:space="preserve"> then review that information and clarify for the family what assets are included and excluded from Net Family Assets. </w:t>
            </w:r>
          </w:p>
          <w:p w14:paraId="071F1FB3" w14:textId="5507D24D" w:rsidR="000F29A7" w:rsidRPr="0088258D" w:rsidRDefault="000F29A7" w:rsidP="000F29A7">
            <w:pPr>
              <w:pStyle w:val="TableCellText-Spaced"/>
              <w:rPr>
                <w:rFonts w:cs="Times New Roman"/>
                <w:szCs w:val="22"/>
              </w:rPr>
            </w:pPr>
            <w:r w:rsidRPr="0088258D">
              <w:rPr>
                <w:rFonts w:cs="Times New Roman"/>
                <w:szCs w:val="22"/>
              </w:rPr>
              <w:t xml:space="preserve">Under HOTMA, </w:t>
            </w:r>
            <w:r w:rsidR="00A149A0">
              <w:rPr>
                <w:rFonts w:cs="Times New Roman"/>
                <w:szCs w:val="22"/>
              </w:rPr>
              <w:t>Owners</w:t>
            </w:r>
            <w:r w:rsidRPr="0088258D">
              <w:rPr>
                <w:rFonts w:cs="Times New Roman"/>
                <w:szCs w:val="22"/>
              </w:rPr>
              <w:t xml:space="preserve"> </w:t>
            </w:r>
            <w:r w:rsidRPr="0088258D">
              <w:rPr>
                <w:rFonts w:cs="Times New Roman"/>
                <w:i/>
                <w:iCs/>
                <w:szCs w:val="22"/>
              </w:rPr>
              <w:t>may</w:t>
            </w:r>
            <w:r w:rsidRPr="0088258D">
              <w:rPr>
                <w:rFonts w:cs="Times New Roman"/>
                <w:szCs w:val="22"/>
              </w:rPr>
              <w:t xml:space="preserve"> adopt a policy to accept the family’s self-certification that their total family assets are equal to or less than $50,000, adjusted for inflation, without taking additional steps to verify the accuracy of the declaration at admission and/or reexamination. </w:t>
            </w:r>
          </w:p>
          <w:p w14:paraId="500FD57E" w14:textId="281BB202" w:rsidR="000F29A7" w:rsidRPr="0088258D" w:rsidRDefault="000F29A7" w:rsidP="000F29A7">
            <w:pPr>
              <w:pStyle w:val="TableCellGeneralText"/>
              <w:rPr>
                <w:rFonts w:cs="Times New Roman"/>
                <w:szCs w:val="22"/>
              </w:rPr>
            </w:pPr>
            <w:r w:rsidRPr="0088258D">
              <w:rPr>
                <w:rFonts w:cs="Times New Roman"/>
                <w:szCs w:val="22"/>
              </w:rPr>
              <w:t xml:space="preserve">If </w:t>
            </w:r>
            <w:r w:rsidR="00A149A0">
              <w:rPr>
                <w:rFonts w:cs="Times New Roman"/>
                <w:szCs w:val="22"/>
              </w:rPr>
              <w:t>Owners</w:t>
            </w:r>
            <w:r w:rsidRPr="0088258D">
              <w:rPr>
                <w:rFonts w:cs="Times New Roman"/>
                <w:szCs w:val="22"/>
              </w:rPr>
              <w:t xml:space="preserve"> implement the self-certification policy for assets, they</w:t>
            </w:r>
          </w:p>
          <w:p w14:paraId="6E6A2DD9" w14:textId="47B39838" w:rsidR="00046E6D" w:rsidRPr="0088258D" w:rsidRDefault="000F29A7" w:rsidP="00817B71">
            <w:pPr>
              <w:pStyle w:val="TableBullet1"/>
              <w:rPr>
                <w:rFonts w:cs="Times New Roman"/>
                <w:szCs w:val="22"/>
              </w:rPr>
            </w:pPr>
            <w:r w:rsidRPr="0088258D">
              <w:rPr>
                <w:rFonts w:cs="Times New Roman"/>
                <w:szCs w:val="22"/>
              </w:rPr>
              <w:t xml:space="preserve">May accept self-certification of Net Family Assets for two years in a row, and then must fully verify assets, via third party verification, in the third year. </w:t>
            </w:r>
          </w:p>
          <w:p w14:paraId="223F2EAB" w14:textId="4988CEFE" w:rsidR="000F29A7" w:rsidRPr="0088258D" w:rsidRDefault="00A149A0" w:rsidP="000F29A7">
            <w:pPr>
              <w:pStyle w:val="TableCellText-Spaced"/>
              <w:spacing w:before="120"/>
              <w:rPr>
                <w:rFonts w:cs="Times New Roman"/>
                <w:szCs w:val="22"/>
              </w:rPr>
            </w:pPr>
            <w:r>
              <w:rPr>
                <w:rFonts w:cs="Times New Roman"/>
                <w:szCs w:val="22"/>
              </w:rPr>
              <w:t>Owners</w:t>
            </w:r>
            <w:r w:rsidR="000F29A7" w:rsidRPr="0088258D">
              <w:rPr>
                <w:rFonts w:cs="Times New Roman"/>
                <w:szCs w:val="22"/>
              </w:rPr>
              <w:t xml:space="preserve"> who do not accept self-certification of assets must verify families’ assets annually. </w:t>
            </w:r>
          </w:p>
          <w:p w14:paraId="6CEE138F" w14:textId="77B4B79D" w:rsidR="000F29A7" w:rsidRPr="0088258D" w:rsidRDefault="000F29A7" w:rsidP="000F29A7">
            <w:pPr>
              <w:pStyle w:val="TableCellGeneralText"/>
              <w:rPr>
                <w:rFonts w:cs="Times New Roman"/>
                <w:szCs w:val="22"/>
              </w:rPr>
            </w:pPr>
            <w:r w:rsidRPr="0088258D">
              <w:rPr>
                <w:rFonts w:cs="Times New Roman"/>
                <w:b/>
                <w:bCs w:val="0"/>
                <w:szCs w:val="22"/>
              </w:rPr>
              <w:t>Note:</w:t>
            </w:r>
            <w:r w:rsidRPr="0088258D">
              <w:rPr>
                <w:rFonts w:cs="Times New Roman"/>
                <w:szCs w:val="22"/>
              </w:rPr>
              <w:t xml:space="preserve"> Third-party verification is always required when Net Family Assets exceed the $50,000 threshold, adjusted annually for inflation.</w:t>
            </w:r>
          </w:p>
        </w:tc>
      </w:tr>
      <w:tr w:rsidR="000F29A7" w:rsidRPr="0088258D" w14:paraId="486108EA" w14:textId="77777777" w:rsidTr="1281F8EE">
        <w:trPr>
          <w:trHeight w:val="20"/>
        </w:trPr>
        <w:tc>
          <w:tcPr>
            <w:tcW w:w="720" w:type="dxa"/>
          </w:tcPr>
          <w:p w14:paraId="0A8C0E8A" w14:textId="017D7833" w:rsidR="000F29A7" w:rsidRPr="0088258D" w:rsidRDefault="000F29A7" w:rsidP="000F29A7">
            <w:pPr>
              <w:pStyle w:val="TableCellYear"/>
              <w:rPr>
                <w:rFonts w:cs="Times New Roman"/>
                <w:szCs w:val="22"/>
              </w:rPr>
            </w:pPr>
            <w:r w:rsidRPr="0088258D">
              <w:rPr>
                <w:rFonts w:cs="Times New Roman"/>
                <w:szCs w:val="22"/>
              </w:rPr>
              <w:t>16</w:t>
            </w:r>
          </w:p>
        </w:tc>
        <w:tc>
          <w:tcPr>
            <w:tcW w:w="2160" w:type="dxa"/>
          </w:tcPr>
          <w:p w14:paraId="3A167E6D" w14:textId="77777777" w:rsidR="000F29A7" w:rsidRPr="0088258D" w:rsidRDefault="000F29A7" w:rsidP="000F29A7">
            <w:pPr>
              <w:pStyle w:val="TableCellGeneralText"/>
              <w:rPr>
                <w:rFonts w:cs="Times New Roman"/>
                <w:szCs w:val="22"/>
              </w:rPr>
            </w:pPr>
            <w:r w:rsidRPr="0088258D">
              <w:rPr>
                <w:rFonts w:cs="Times New Roman"/>
                <w:szCs w:val="22"/>
              </w:rPr>
              <w:t>Family Self-Certification of Assets</w:t>
            </w:r>
          </w:p>
        </w:tc>
        <w:tc>
          <w:tcPr>
            <w:tcW w:w="10080" w:type="dxa"/>
          </w:tcPr>
          <w:p w14:paraId="0BFD0194" w14:textId="2079BF11" w:rsidR="000F29A7" w:rsidRPr="0088258D" w:rsidRDefault="000F29A7" w:rsidP="000F29A7">
            <w:pPr>
              <w:pStyle w:val="TableCellGeneralText"/>
              <w:rPr>
                <w:rFonts w:cs="Times New Roman"/>
                <w:szCs w:val="22"/>
              </w:rPr>
            </w:pPr>
            <w:r w:rsidRPr="0088258D">
              <w:rPr>
                <w:rFonts w:cs="Times New Roman"/>
                <w:szCs w:val="22"/>
              </w:rPr>
              <w:t xml:space="preserve">If </w:t>
            </w:r>
            <w:r w:rsidR="00A149A0">
              <w:rPr>
                <w:rFonts w:cs="Times New Roman"/>
                <w:szCs w:val="22"/>
              </w:rPr>
              <w:t>Owners</w:t>
            </w:r>
            <w:r w:rsidRPr="0088258D">
              <w:rPr>
                <w:rFonts w:cs="Times New Roman"/>
                <w:szCs w:val="22"/>
              </w:rPr>
              <w:t xml:space="preserve"> implement the self-certification policy for assets, they:</w:t>
            </w:r>
          </w:p>
          <w:p w14:paraId="0432466A" w14:textId="45CB6C84" w:rsidR="000F29A7" w:rsidRPr="0088258D" w:rsidRDefault="000F29A7" w:rsidP="000F29A7">
            <w:pPr>
              <w:pStyle w:val="TableBullet1"/>
              <w:rPr>
                <w:rFonts w:cs="Times New Roman"/>
                <w:szCs w:val="22"/>
              </w:rPr>
            </w:pPr>
            <w:r w:rsidRPr="0088258D">
              <w:rPr>
                <w:rFonts w:cs="Times New Roman"/>
                <w:b/>
                <w:bCs w:val="0"/>
                <w:szCs w:val="22"/>
              </w:rPr>
              <w:t>Must</w:t>
            </w:r>
            <w:r w:rsidRPr="0088258D">
              <w:rPr>
                <w:rFonts w:cs="Times New Roman"/>
                <w:szCs w:val="22"/>
              </w:rPr>
              <w:t xml:space="preserve"> include this policy in their Tenant Selection Plan.</w:t>
            </w:r>
          </w:p>
          <w:p w14:paraId="33BD9095" w14:textId="79A3AC04" w:rsidR="004D7ED4" w:rsidRPr="0088258D" w:rsidRDefault="000F29A7" w:rsidP="000F29A7">
            <w:pPr>
              <w:pStyle w:val="TableCellGeneralText"/>
              <w:spacing w:before="120"/>
              <w:rPr>
                <w:rFonts w:cs="Times New Roman"/>
                <w:szCs w:val="22"/>
              </w:rPr>
            </w:pPr>
            <w:r w:rsidRPr="0088258D">
              <w:rPr>
                <w:rFonts w:cs="Times New Roman"/>
                <w:szCs w:val="22"/>
              </w:rPr>
              <w:t xml:space="preserve">When deciding whether to accept self-certification, </w:t>
            </w:r>
            <w:r w:rsidR="00A149A0">
              <w:rPr>
                <w:rFonts w:cs="Times New Roman"/>
                <w:szCs w:val="22"/>
              </w:rPr>
              <w:t>Owners</w:t>
            </w:r>
            <w:r w:rsidRPr="0088258D">
              <w:rPr>
                <w:rFonts w:cs="Times New Roman"/>
                <w:szCs w:val="22"/>
              </w:rPr>
              <w:t xml:space="preserve"> are encouraged to consider the local needs and priorities in their communities along with the potential risks of accepting self-certification of Net Family Assets, including the requirement to repay funds for participants or tenants who are later found to be ineligible for assistance. </w:t>
            </w:r>
          </w:p>
          <w:p w14:paraId="537847A3" w14:textId="5AD836DD" w:rsidR="000F29A7" w:rsidRPr="0088258D" w:rsidRDefault="000F29A7" w:rsidP="000F29A7">
            <w:pPr>
              <w:pStyle w:val="TableCellGeneralText"/>
              <w:spacing w:before="120"/>
              <w:rPr>
                <w:rFonts w:cs="Times New Roman"/>
                <w:szCs w:val="22"/>
              </w:rPr>
            </w:pPr>
            <w:r w:rsidRPr="0088258D">
              <w:rPr>
                <w:rFonts w:cs="Times New Roman"/>
                <w:szCs w:val="22"/>
              </w:rPr>
              <w:t>Notice 2023-10 provides a sample Net Family Asset Self-Certification Form.</w:t>
            </w:r>
          </w:p>
        </w:tc>
      </w:tr>
      <w:tr w:rsidR="000F29A7" w:rsidRPr="0088258D" w14:paraId="35F10B1C" w14:textId="77777777" w:rsidTr="1281F8EE">
        <w:trPr>
          <w:trHeight w:val="20"/>
        </w:trPr>
        <w:tc>
          <w:tcPr>
            <w:tcW w:w="720" w:type="dxa"/>
          </w:tcPr>
          <w:p w14:paraId="4D9FC489" w14:textId="494EE28C" w:rsidR="000F29A7" w:rsidRPr="0088258D" w:rsidRDefault="000F29A7" w:rsidP="000F29A7">
            <w:pPr>
              <w:pStyle w:val="TableCellYear"/>
              <w:rPr>
                <w:rFonts w:cs="Times New Roman"/>
                <w:szCs w:val="22"/>
              </w:rPr>
            </w:pPr>
            <w:r w:rsidRPr="0088258D">
              <w:rPr>
                <w:rFonts w:cs="Times New Roman"/>
                <w:szCs w:val="22"/>
              </w:rPr>
              <w:t>17</w:t>
            </w:r>
          </w:p>
        </w:tc>
        <w:tc>
          <w:tcPr>
            <w:tcW w:w="2160" w:type="dxa"/>
          </w:tcPr>
          <w:p w14:paraId="05439936" w14:textId="229A745C" w:rsidR="000F29A7" w:rsidRPr="0088258D" w:rsidRDefault="000F29A7" w:rsidP="000F29A7">
            <w:pPr>
              <w:pStyle w:val="TableCellGeneralText"/>
              <w:rPr>
                <w:rFonts w:cs="Times New Roman"/>
                <w:i/>
                <w:iCs/>
                <w:szCs w:val="22"/>
              </w:rPr>
            </w:pPr>
            <w:r w:rsidRPr="0088258D">
              <w:rPr>
                <w:rFonts w:cs="Times New Roman"/>
                <w:i/>
                <w:iCs/>
                <w:szCs w:val="22"/>
              </w:rPr>
              <w:t>Divider slide</w:t>
            </w:r>
          </w:p>
        </w:tc>
        <w:tc>
          <w:tcPr>
            <w:tcW w:w="10080" w:type="dxa"/>
          </w:tcPr>
          <w:p w14:paraId="0D594D24" w14:textId="15B743DD" w:rsidR="000F29A7" w:rsidRPr="0088258D" w:rsidRDefault="000F29A7" w:rsidP="000F29A7">
            <w:pPr>
              <w:pStyle w:val="TableCellGeneralText"/>
              <w:rPr>
                <w:rFonts w:cs="Times New Roman"/>
                <w:szCs w:val="22"/>
              </w:rPr>
            </w:pPr>
            <w:r w:rsidRPr="0088258D">
              <w:rPr>
                <w:rFonts w:cs="Times New Roman"/>
                <w:szCs w:val="22"/>
              </w:rPr>
              <w:t>Next, we will look at when an asset is included in Net Family Assets under HOTMA.</w:t>
            </w:r>
          </w:p>
        </w:tc>
      </w:tr>
      <w:tr w:rsidR="000F29A7" w:rsidRPr="0088258D" w14:paraId="255CCEEF" w14:textId="77777777" w:rsidTr="1281F8EE">
        <w:trPr>
          <w:trHeight w:val="20"/>
        </w:trPr>
        <w:tc>
          <w:tcPr>
            <w:tcW w:w="720" w:type="dxa"/>
          </w:tcPr>
          <w:p w14:paraId="7B441160" w14:textId="67794643" w:rsidR="000F29A7" w:rsidRPr="0088258D" w:rsidRDefault="000F29A7" w:rsidP="000F29A7">
            <w:pPr>
              <w:pStyle w:val="TableCellYear"/>
              <w:rPr>
                <w:rFonts w:cs="Times New Roman"/>
                <w:szCs w:val="22"/>
              </w:rPr>
            </w:pPr>
            <w:r w:rsidRPr="0088258D">
              <w:rPr>
                <w:rFonts w:cs="Times New Roman"/>
                <w:szCs w:val="22"/>
              </w:rPr>
              <w:lastRenderedPageBreak/>
              <w:t>18</w:t>
            </w:r>
          </w:p>
        </w:tc>
        <w:tc>
          <w:tcPr>
            <w:tcW w:w="2160" w:type="dxa"/>
          </w:tcPr>
          <w:p w14:paraId="7D5B98C4" w14:textId="77777777" w:rsidR="000F29A7" w:rsidRPr="0088258D" w:rsidRDefault="000F29A7" w:rsidP="000F29A7">
            <w:pPr>
              <w:pStyle w:val="TableCellGeneralText"/>
              <w:rPr>
                <w:rFonts w:cs="Times New Roman"/>
                <w:szCs w:val="22"/>
              </w:rPr>
            </w:pPr>
            <w:r w:rsidRPr="0088258D">
              <w:rPr>
                <w:rFonts w:cs="Times New Roman"/>
                <w:szCs w:val="22"/>
              </w:rPr>
              <w:t>New Definition of Net Family Asset</w:t>
            </w:r>
          </w:p>
        </w:tc>
        <w:tc>
          <w:tcPr>
            <w:tcW w:w="10080" w:type="dxa"/>
          </w:tcPr>
          <w:p w14:paraId="36EE4BD7" w14:textId="170B022D" w:rsidR="000F29A7" w:rsidRPr="0088258D" w:rsidRDefault="000F29A7" w:rsidP="000F29A7">
            <w:pPr>
              <w:pStyle w:val="TableCellText-Spaced"/>
              <w:rPr>
                <w:rFonts w:cs="Times New Roman"/>
                <w:szCs w:val="22"/>
              </w:rPr>
            </w:pPr>
            <w:r w:rsidRPr="0088258D">
              <w:rPr>
                <w:rFonts w:cs="Times New Roman"/>
                <w:szCs w:val="22"/>
              </w:rPr>
              <w:t xml:space="preserve">When calculating asset income, </w:t>
            </w:r>
            <w:r w:rsidR="00A149A0">
              <w:rPr>
                <w:rFonts w:cs="Times New Roman"/>
                <w:szCs w:val="22"/>
              </w:rPr>
              <w:t>Owners</w:t>
            </w:r>
            <w:r w:rsidRPr="0088258D">
              <w:rPr>
                <w:rFonts w:cs="Times New Roman"/>
                <w:szCs w:val="22"/>
              </w:rPr>
              <w:t xml:space="preserve"> must use HUD’s new definition of Net Family Assets, which is provided in Section 5.603(b) of the HOTMA Final Rule:</w:t>
            </w:r>
          </w:p>
          <w:p w14:paraId="6EE04D45" w14:textId="4E771EEE" w:rsidR="000F29A7" w:rsidRPr="0088258D" w:rsidRDefault="000F29A7" w:rsidP="000F29A7">
            <w:pPr>
              <w:pStyle w:val="TableCellGeneralText"/>
              <w:spacing w:before="60" w:after="120"/>
              <w:ind w:left="720" w:right="720"/>
              <w:rPr>
                <w:rFonts w:cs="Times New Roman"/>
                <w:i/>
                <w:iCs/>
                <w:szCs w:val="22"/>
              </w:rPr>
            </w:pPr>
            <w:r w:rsidRPr="0088258D">
              <w:rPr>
                <w:rFonts w:cs="Times New Roman"/>
                <w:i/>
                <w:iCs/>
                <w:szCs w:val="22"/>
              </w:rPr>
              <w:t xml:space="preserve">“Net family assets” is the </w:t>
            </w:r>
            <w:r w:rsidRPr="0088258D">
              <w:rPr>
                <w:rFonts w:cs="Times New Roman"/>
                <w:b/>
                <w:bCs w:val="0"/>
                <w:i/>
                <w:iCs/>
                <w:szCs w:val="22"/>
              </w:rPr>
              <w:t>net cash value of all assets owned by the family,</w:t>
            </w:r>
            <w:r w:rsidRPr="0088258D">
              <w:rPr>
                <w:rFonts w:cs="Times New Roman"/>
                <w:i/>
                <w:iCs/>
                <w:szCs w:val="22"/>
              </w:rPr>
              <w:t xml:space="preserve"> after deducting reasonable costs that would be incurred in disposing real property, savings, stocks, bonds, and other forms of capital investment.</w:t>
            </w:r>
          </w:p>
          <w:p w14:paraId="2E014BED" w14:textId="52832371" w:rsidR="000F29A7" w:rsidRPr="0088258D" w:rsidRDefault="000F29A7" w:rsidP="000F29A7">
            <w:pPr>
              <w:pStyle w:val="TableBullet1"/>
              <w:rPr>
                <w:rFonts w:cs="Times New Roman"/>
                <w:szCs w:val="22"/>
              </w:rPr>
            </w:pPr>
            <w:r w:rsidRPr="0088258D">
              <w:rPr>
                <w:rFonts w:cs="Times New Roman"/>
                <w:szCs w:val="22"/>
              </w:rPr>
              <w:t>Considerations must be taken for assets disposed of for less than market value within the two-year period before application or re-examination. We will talk about this in an upcoming slide.</w:t>
            </w:r>
          </w:p>
          <w:p w14:paraId="02CA8051" w14:textId="18755461" w:rsidR="000F29A7" w:rsidRPr="0088258D" w:rsidRDefault="000F29A7" w:rsidP="000F29A7">
            <w:pPr>
              <w:pStyle w:val="TableBullet1"/>
              <w:rPr>
                <w:rFonts w:cs="Times New Roman"/>
                <w:szCs w:val="22"/>
              </w:rPr>
            </w:pPr>
            <w:r w:rsidRPr="0088258D">
              <w:rPr>
                <w:rFonts w:cs="Times New Roman"/>
                <w:szCs w:val="22"/>
              </w:rPr>
              <w:t>The following are excluded from the calculation of Net Family Assets:</w:t>
            </w:r>
          </w:p>
          <w:p w14:paraId="2DA96643" w14:textId="6832DD7C" w:rsidR="000F29A7" w:rsidRPr="0088258D" w:rsidRDefault="000F29A7" w:rsidP="000F29A7">
            <w:pPr>
              <w:pStyle w:val="TableBullet2"/>
              <w:rPr>
                <w:rFonts w:cs="Times New Roman"/>
                <w:szCs w:val="22"/>
              </w:rPr>
            </w:pPr>
            <w:r w:rsidRPr="0088258D">
              <w:rPr>
                <w:rFonts w:cs="Times New Roman"/>
                <w:szCs w:val="22"/>
              </w:rPr>
              <w:t>The value of necessary personal items.</w:t>
            </w:r>
          </w:p>
          <w:p w14:paraId="56C4F314" w14:textId="631CCD92" w:rsidR="000F29A7" w:rsidRPr="0088258D" w:rsidRDefault="000F29A7" w:rsidP="000F29A7">
            <w:pPr>
              <w:pStyle w:val="TableBullet2"/>
              <w:rPr>
                <w:rFonts w:cs="Times New Roman"/>
                <w:szCs w:val="22"/>
              </w:rPr>
            </w:pPr>
            <w:r w:rsidRPr="0088258D">
              <w:rPr>
                <w:rFonts w:cs="Times New Roman"/>
                <w:szCs w:val="22"/>
              </w:rPr>
              <w:t>The combined value of non-necessary personal items up to $50,000, adjusted annually for inflation.</w:t>
            </w:r>
          </w:p>
          <w:p w14:paraId="5CAE35D5" w14:textId="77777777" w:rsidR="000F29A7" w:rsidRPr="0088258D" w:rsidRDefault="000F29A7" w:rsidP="000F29A7">
            <w:pPr>
              <w:pStyle w:val="TableBullet2"/>
              <w:rPr>
                <w:rFonts w:cs="Times New Roman"/>
                <w:szCs w:val="22"/>
              </w:rPr>
            </w:pPr>
            <w:r w:rsidRPr="0088258D">
              <w:rPr>
                <w:rFonts w:cs="Times New Roman"/>
                <w:szCs w:val="22"/>
              </w:rPr>
              <w:t>And other exclusions.</w:t>
            </w:r>
          </w:p>
          <w:p w14:paraId="0F28A55E" w14:textId="28F069CD" w:rsidR="000F29A7" w:rsidRPr="0088258D" w:rsidRDefault="000F29A7" w:rsidP="000F29A7">
            <w:pPr>
              <w:pStyle w:val="TableBullet1"/>
              <w:rPr>
                <w:rFonts w:cs="Times New Roman"/>
                <w:szCs w:val="22"/>
              </w:rPr>
            </w:pPr>
            <w:r w:rsidRPr="0088258D">
              <w:rPr>
                <w:rFonts w:cs="Times New Roman"/>
                <w:szCs w:val="22"/>
              </w:rPr>
              <w:t>HOTMA has expanded the list of exclusions from Net Family Assets. See 25 C.F.R. Section 5.603(b), “Net Family Assets.” We will review that list in an upcoming slide.</w:t>
            </w:r>
          </w:p>
        </w:tc>
      </w:tr>
      <w:tr w:rsidR="000F29A7" w:rsidRPr="0088258D" w14:paraId="2A7D4EED" w14:textId="77777777" w:rsidTr="1281F8EE">
        <w:trPr>
          <w:trHeight w:val="20"/>
        </w:trPr>
        <w:tc>
          <w:tcPr>
            <w:tcW w:w="720" w:type="dxa"/>
          </w:tcPr>
          <w:p w14:paraId="747B5ABF" w14:textId="5EF93D22" w:rsidR="000F29A7" w:rsidRPr="0088258D" w:rsidRDefault="000F29A7" w:rsidP="000F29A7">
            <w:pPr>
              <w:pStyle w:val="TableCellYear"/>
              <w:rPr>
                <w:rFonts w:cs="Times New Roman"/>
                <w:szCs w:val="22"/>
              </w:rPr>
            </w:pPr>
            <w:r w:rsidRPr="0088258D">
              <w:rPr>
                <w:rFonts w:cs="Times New Roman"/>
                <w:szCs w:val="22"/>
              </w:rPr>
              <w:t>19</w:t>
            </w:r>
          </w:p>
        </w:tc>
        <w:tc>
          <w:tcPr>
            <w:tcW w:w="2160" w:type="dxa"/>
          </w:tcPr>
          <w:p w14:paraId="3B554CDF" w14:textId="2A1796CB" w:rsidR="000F29A7" w:rsidRPr="0088258D" w:rsidRDefault="000F29A7" w:rsidP="000F29A7">
            <w:pPr>
              <w:pStyle w:val="TableCellGeneralText"/>
              <w:rPr>
                <w:rFonts w:cs="Times New Roman"/>
                <w:szCs w:val="22"/>
              </w:rPr>
            </w:pPr>
            <w:r w:rsidRPr="0088258D">
              <w:rPr>
                <w:rFonts w:cs="Times New Roman"/>
                <w:szCs w:val="22"/>
              </w:rPr>
              <w:t>Net Family Assets: Necessary Personal Property</w:t>
            </w:r>
          </w:p>
        </w:tc>
        <w:tc>
          <w:tcPr>
            <w:tcW w:w="10080" w:type="dxa"/>
          </w:tcPr>
          <w:p w14:paraId="5272C7AD" w14:textId="6600C1DC" w:rsidR="000F29A7" w:rsidRPr="0088258D" w:rsidRDefault="000F29A7" w:rsidP="000F29A7">
            <w:pPr>
              <w:pStyle w:val="TableCellText-Spaced"/>
              <w:rPr>
                <w:rFonts w:cs="Times New Roman"/>
                <w:szCs w:val="22"/>
              </w:rPr>
            </w:pPr>
            <w:r w:rsidRPr="0088258D">
              <w:rPr>
                <w:rFonts w:cs="Times New Roman"/>
                <w:szCs w:val="22"/>
              </w:rPr>
              <w:t>Let’s take a look at what’s excluded under the new definition of Net Family Assets.</w:t>
            </w:r>
          </w:p>
          <w:p w14:paraId="2A430EC7" w14:textId="38FA87C8" w:rsidR="000F29A7" w:rsidRPr="0088258D" w:rsidRDefault="000F29A7" w:rsidP="000F29A7">
            <w:pPr>
              <w:pStyle w:val="TableCellText-Spaced"/>
              <w:rPr>
                <w:rFonts w:cs="Times New Roman"/>
                <w:szCs w:val="22"/>
              </w:rPr>
            </w:pPr>
            <w:r w:rsidRPr="0088258D">
              <w:rPr>
                <w:rFonts w:cs="Times New Roman"/>
                <w:szCs w:val="22"/>
              </w:rPr>
              <w:t xml:space="preserve">First, we’ll look at necessary personal property, which are items that are essential to the family for maintenance, use, and occupancy of the residence, or necessary for employment, education, or health and wellness. Necessary personal property also includes items that assist persons with disabilities, including items for disability-related needs and items required for reasonable accommodation. Necessary personal property does not include luxury items. </w:t>
            </w:r>
          </w:p>
          <w:p w14:paraId="6DBAEAB0" w14:textId="1C5F4168" w:rsidR="000F29A7" w:rsidRPr="0088258D" w:rsidRDefault="000F29A7" w:rsidP="000F29A7">
            <w:pPr>
              <w:pStyle w:val="TableCellText-Spaced"/>
              <w:rPr>
                <w:rFonts w:cs="Times New Roman"/>
                <w:szCs w:val="22"/>
              </w:rPr>
            </w:pPr>
            <w:r w:rsidRPr="0088258D">
              <w:rPr>
                <w:rFonts w:cs="Times New Roman"/>
                <w:szCs w:val="22"/>
              </w:rPr>
              <w:t xml:space="preserve">Property </w:t>
            </w:r>
            <w:r w:rsidR="00A149A0">
              <w:rPr>
                <w:rFonts w:cs="Times New Roman"/>
                <w:szCs w:val="22"/>
              </w:rPr>
              <w:t>Owners</w:t>
            </w:r>
            <w:r w:rsidRPr="0088258D">
              <w:rPr>
                <w:rFonts w:cs="Times New Roman"/>
                <w:szCs w:val="22"/>
              </w:rPr>
              <w:t xml:space="preserve"> must determine whether an item or asset is considered necessary or non-necessary to determine whether it should be included in Net Family Assets.</w:t>
            </w:r>
          </w:p>
          <w:p w14:paraId="0DC1E9CA" w14:textId="0D5CEA15" w:rsidR="000F29A7" w:rsidRPr="0088258D" w:rsidRDefault="000F29A7" w:rsidP="000F29A7">
            <w:pPr>
              <w:pStyle w:val="TableCellText-Spaced"/>
              <w:rPr>
                <w:rFonts w:cs="Times New Roman"/>
                <w:szCs w:val="22"/>
              </w:rPr>
            </w:pPr>
            <w:r w:rsidRPr="0088258D">
              <w:rPr>
                <w:rFonts w:cs="Times New Roman"/>
                <w:szCs w:val="22"/>
              </w:rPr>
              <w:t xml:space="preserve">This is a highly fact-specific determination. Therefore, it is incumbent on </w:t>
            </w:r>
            <w:r w:rsidR="00A149A0">
              <w:rPr>
                <w:rFonts w:cs="Times New Roman"/>
                <w:szCs w:val="22"/>
              </w:rPr>
              <w:t>Owners</w:t>
            </w:r>
            <w:r w:rsidRPr="0088258D">
              <w:rPr>
                <w:rFonts w:cs="Times New Roman"/>
                <w:szCs w:val="22"/>
              </w:rPr>
              <w:t xml:space="preserve"> to collect enough facts to make this determination.</w:t>
            </w:r>
          </w:p>
          <w:p w14:paraId="72B1CFC9" w14:textId="4CED4BF3" w:rsidR="000F29A7" w:rsidRPr="0088258D" w:rsidRDefault="000F29A7" w:rsidP="000F29A7">
            <w:pPr>
              <w:pStyle w:val="TableCellGeneralText"/>
              <w:rPr>
                <w:rFonts w:cs="Times New Roman"/>
                <w:szCs w:val="22"/>
              </w:rPr>
            </w:pPr>
            <w:r w:rsidRPr="0088258D">
              <w:rPr>
                <w:rFonts w:cs="Times New Roman"/>
                <w:szCs w:val="22"/>
              </w:rPr>
              <w:t>If an item or asset is considered necessary personal property, it is not included in Net Family Assets.</w:t>
            </w:r>
          </w:p>
        </w:tc>
      </w:tr>
      <w:tr w:rsidR="000F29A7" w:rsidRPr="0088258D" w14:paraId="69509BEC" w14:textId="77777777" w:rsidTr="1281F8EE">
        <w:trPr>
          <w:trHeight w:val="20"/>
        </w:trPr>
        <w:tc>
          <w:tcPr>
            <w:tcW w:w="720" w:type="dxa"/>
          </w:tcPr>
          <w:p w14:paraId="2449AC25" w14:textId="31FCAFF0" w:rsidR="000F29A7" w:rsidRPr="0088258D" w:rsidRDefault="000F29A7" w:rsidP="000F29A7">
            <w:pPr>
              <w:pStyle w:val="TableCellYear"/>
              <w:rPr>
                <w:rFonts w:cs="Times New Roman"/>
                <w:szCs w:val="22"/>
              </w:rPr>
            </w:pPr>
            <w:r w:rsidRPr="0088258D">
              <w:rPr>
                <w:rFonts w:cs="Times New Roman"/>
                <w:szCs w:val="22"/>
              </w:rPr>
              <w:lastRenderedPageBreak/>
              <w:t>20</w:t>
            </w:r>
          </w:p>
        </w:tc>
        <w:tc>
          <w:tcPr>
            <w:tcW w:w="2160" w:type="dxa"/>
          </w:tcPr>
          <w:p w14:paraId="395DDD4F" w14:textId="46877854" w:rsidR="000F29A7" w:rsidRPr="0088258D" w:rsidRDefault="000F29A7" w:rsidP="000F29A7">
            <w:pPr>
              <w:pStyle w:val="TableCellGeneralText"/>
              <w:rPr>
                <w:rFonts w:cs="Times New Roman"/>
                <w:szCs w:val="22"/>
              </w:rPr>
            </w:pPr>
            <w:r w:rsidRPr="0088258D">
              <w:rPr>
                <w:rFonts w:cs="Times New Roman"/>
                <w:szCs w:val="22"/>
              </w:rPr>
              <w:t>Net Family Assets: Necessary Personal Property</w:t>
            </w:r>
          </w:p>
        </w:tc>
        <w:tc>
          <w:tcPr>
            <w:tcW w:w="10080" w:type="dxa"/>
          </w:tcPr>
          <w:p w14:paraId="60FFFFAE" w14:textId="39B2A972" w:rsidR="000F29A7" w:rsidRPr="0088258D" w:rsidRDefault="000F29A7" w:rsidP="000F29A7">
            <w:pPr>
              <w:pStyle w:val="TableCellText-Spaced"/>
              <w:rPr>
                <w:rFonts w:cs="Times New Roman"/>
                <w:szCs w:val="22"/>
              </w:rPr>
            </w:pPr>
            <w:r w:rsidRPr="0088258D">
              <w:rPr>
                <w:rFonts w:cs="Times New Roman"/>
                <w:szCs w:val="22"/>
              </w:rPr>
              <w:t xml:space="preserve">To assist </w:t>
            </w:r>
            <w:r w:rsidR="00A149A0">
              <w:rPr>
                <w:rFonts w:cs="Times New Roman"/>
                <w:szCs w:val="22"/>
              </w:rPr>
              <w:t>Owners</w:t>
            </w:r>
            <w:r w:rsidRPr="0088258D">
              <w:rPr>
                <w:rFonts w:cs="Times New Roman"/>
                <w:szCs w:val="22"/>
              </w:rPr>
              <w:t xml:space="preserve"> in making the determination of whether an asset is necessary or non-necessary personal property, HUD has developed a list of examples of necessary personal property. </w:t>
            </w:r>
            <w:r w:rsidR="00B93340" w:rsidRPr="0088258D">
              <w:rPr>
                <w:rFonts w:cs="Times New Roman"/>
                <w:szCs w:val="22"/>
              </w:rPr>
              <w:t>This includes items such as c</w:t>
            </w:r>
            <w:r w:rsidR="00D54640" w:rsidRPr="0088258D">
              <w:rPr>
                <w:rFonts w:cs="Times New Roman"/>
                <w:szCs w:val="22"/>
              </w:rPr>
              <w:t xml:space="preserve">ars the family relies on for personal or business use, personal effects, </w:t>
            </w:r>
            <w:r w:rsidR="003E70EB" w:rsidRPr="0088258D">
              <w:rPr>
                <w:rFonts w:cs="Times New Roman"/>
                <w:szCs w:val="22"/>
              </w:rPr>
              <w:t xml:space="preserve">and medical and healthcare related items. </w:t>
            </w:r>
            <w:r w:rsidRPr="0088258D">
              <w:rPr>
                <w:rFonts w:cs="Times New Roman"/>
                <w:szCs w:val="22"/>
              </w:rPr>
              <w:t xml:space="preserve">Note that this is </w:t>
            </w:r>
            <w:r w:rsidRPr="0088258D">
              <w:rPr>
                <w:rFonts w:cs="Times New Roman"/>
                <w:b/>
                <w:bCs w:val="0"/>
                <w:szCs w:val="22"/>
              </w:rPr>
              <w:t>not</w:t>
            </w:r>
            <w:r w:rsidRPr="0088258D">
              <w:rPr>
                <w:rFonts w:cs="Times New Roman"/>
                <w:szCs w:val="22"/>
              </w:rPr>
              <w:t xml:space="preserve"> an exhaustive list.</w:t>
            </w:r>
          </w:p>
          <w:p w14:paraId="6202F82F" w14:textId="77777777" w:rsidR="000F29A7" w:rsidRPr="0088258D" w:rsidRDefault="000F29A7" w:rsidP="000F29A7">
            <w:pPr>
              <w:pStyle w:val="TableCellGeneralText"/>
              <w:rPr>
                <w:rFonts w:cs="Times New Roman"/>
                <w:szCs w:val="22"/>
              </w:rPr>
            </w:pPr>
            <w:r w:rsidRPr="0088258D">
              <w:rPr>
                <w:rFonts w:cs="Times New Roman"/>
                <w:szCs w:val="22"/>
              </w:rPr>
              <w:t xml:space="preserve">Again, necessary personal property is always excluded from Net Family Assets. </w:t>
            </w:r>
          </w:p>
          <w:p w14:paraId="2C8E4743" w14:textId="6A252F84" w:rsidR="00F63520" w:rsidRPr="0088258D" w:rsidRDefault="00F63520" w:rsidP="000F29A7">
            <w:pPr>
              <w:pStyle w:val="TableCellGeneralText"/>
              <w:rPr>
                <w:rFonts w:cs="Times New Roman"/>
                <w:szCs w:val="22"/>
              </w:rPr>
            </w:pPr>
          </w:p>
        </w:tc>
      </w:tr>
      <w:tr w:rsidR="000F29A7" w:rsidRPr="0088258D" w14:paraId="2ADC3FBF" w14:textId="77777777" w:rsidTr="1281F8EE">
        <w:trPr>
          <w:trHeight w:val="20"/>
        </w:trPr>
        <w:tc>
          <w:tcPr>
            <w:tcW w:w="720" w:type="dxa"/>
          </w:tcPr>
          <w:p w14:paraId="547A8A9E" w14:textId="17D2B8F1" w:rsidR="000F29A7" w:rsidRPr="0088258D" w:rsidRDefault="000F29A7" w:rsidP="000F29A7">
            <w:pPr>
              <w:pStyle w:val="TableCellYear"/>
              <w:rPr>
                <w:rFonts w:cs="Times New Roman"/>
                <w:szCs w:val="22"/>
              </w:rPr>
            </w:pPr>
            <w:r w:rsidRPr="0088258D">
              <w:rPr>
                <w:rFonts w:cs="Times New Roman"/>
                <w:szCs w:val="22"/>
              </w:rPr>
              <w:t>21</w:t>
            </w:r>
          </w:p>
        </w:tc>
        <w:tc>
          <w:tcPr>
            <w:tcW w:w="2160" w:type="dxa"/>
          </w:tcPr>
          <w:p w14:paraId="7C24C016" w14:textId="73A2DEB4" w:rsidR="000F29A7" w:rsidRPr="0088258D" w:rsidRDefault="000F29A7" w:rsidP="000F29A7">
            <w:pPr>
              <w:pStyle w:val="TableCellGeneralText"/>
              <w:rPr>
                <w:rFonts w:cs="Times New Roman"/>
                <w:szCs w:val="22"/>
              </w:rPr>
            </w:pPr>
            <w:r w:rsidRPr="0088258D">
              <w:rPr>
                <w:rFonts w:cs="Times New Roman"/>
                <w:szCs w:val="22"/>
              </w:rPr>
              <w:t>Net Family Assets: Non-Necessary Personal Property</w:t>
            </w:r>
          </w:p>
        </w:tc>
        <w:tc>
          <w:tcPr>
            <w:tcW w:w="10080" w:type="dxa"/>
          </w:tcPr>
          <w:p w14:paraId="28EA1364" w14:textId="340F1DFD" w:rsidR="000F29A7" w:rsidRPr="0088258D" w:rsidRDefault="000F29A7" w:rsidP="000F29A7">
            <w:pPr>
              <w:pStyle w:val="TableCellText-Spaced"/>
              <w:rPr>
                <w:rFonts w:cs="Times New Roman"/>
                <w:szCs w:val="22"/>
              </w:rPr>
            </w:pPr>
            <w:r w:rsidRPr="0088258D">
              <w:rPr>
                <w:rFonts w:cs="Times New Roman"/>
                <w:szCs w:val="22"/>
              </w:rPr>
              <w:t xml:space="preserve">If the personal property is not deemed necessary, as we just discussed, then it is considered non-necessary personal property and may need to be included in Net Family Assets. </w:t>
            </w:r>
          </w:p>
          <w:p w14:paraId="2E519F82" w14:textId="2FF8BD40" w:rsidR="000F29A7" w:rsidRPr="0088258D" w:rsidRDefault="000F29A7" w:rsidP="000F29A7">
            <w:pPr>
              <w:pStyle w:val="TableCellText-Spaced"/>
              <w:rPr>
                <w:rFonts w:cs="Times New Roman"/>
                <w:szCs w:val="22"/>
              </w:rPr>
            </w:pPr>
            <w:r w:rsidRPr="0088258D">
              <w:rPr>
                <w:rFonts w:cs="Times New Roman"/>
                <w:szCs w:val="22"/>
              </w:rPr>
              <w:t xml:space="preserve">Under HOTMA, the combined value of non-necessary personal items up to $50,000, adjusted for inflation, is excluded from Net Family Assets. </w:t>
            </w:r>
          </w:p>
          <w:p w14:paraId="012D7526" w14:textId="37D062D8" w:rsidR="000F29A7" w:rsidRPr="0088258D" w:rsidRDefault="000F29A7" w:rsidP="000F29A7">
            <w:pPr>
              <w:pStyle w:val="TableCellText-Spaced"/>
              <w:rPr>
                <w:rFonts w:cs="Times New Roman"/>
                <w:szCs w:val="22"/>
              </w:rPr>
            </w:pPr>
            <w:r w:rsidRPr="0088258D">
              <w:rPr>
                <w:rFonts w:cs="Times New Roman"/>
                <w:szCs w:val="22"/>
              </w:rPr>
              <w:t xml:space="preserve">The </w:t>
            </w:r>
            <w:r w:rsidR="00927369">
              <w:rPr>
                <w:rFonts w:cs="Times New Roman"/>
                <w:szCs w:val="22"/>
              </w:rPr>
              <w:t>Owner</w:t>
            </w:r>
            <w:r w:rsidRPr="0088258D">
              <w:rPr>
                <w:rFonts w:cs="Times New Roman"/>
                <w:szCs w:val="22"/>
              </w:rPr>
              <w:t xml:space="preserve"> must determine the total value of the non-necessary personal items. If that value is $50,000, adjusted annually for inflation, or less, then the anticipated income from those assets is not included in the calculation of annual income.</w:t>
            </w:r>
          </w:p>
          <w:p w14:paraId="72BF2ADC" w14:textId="77777777" w:rsidR="000F29A7" w:rsidRPr="0088258D" w:rsidRDefault="000F29A7" w:rsidP="000F29A7">
            <w:pPr>
              <w:pStyle w:val="TableCellGeneralText"/>
              <w:rPr>
                <w:rFonts w:cs="Times New Roman"/>
                <w:szCs w:val="22"/>
              </w:rPr>
            </w:pPr>
            <w:r w:rsidRPr="0088258D">
              <w:rPr>
                <w:rFonts w:cs="Times New Roman"/>
                <w:szCs w:val="22"/>
              </w:rPr>
              <w:t xml:space="preserve">If the total value of the non-necessary personal items exceeds $50,000, adjusted annually for inflation, then the anticipated income from those assets is included in the calculation of annual income. </w:t>
            </w:r>
          </w:p>
        </w:tc>
      </w:tr>
      <w:tr w:rsidR="000F29A7" w:rsidRPr="0088258D" w14:paraId="1D0F86C5" w14:textId="77777777" w:rsidTr="1281F8EE">
        <w:trPr>
          <w:trHeight w:val="20"/>
        </w:trPr>
        <w:tc>
          <w:tcPr>
            <w:tcW w:w="720" w:type="dxa"/>
          </w:tcPr>
          <w:p w14:paraId="5E8645BF" w14:textId="4C675D31" w:rsidR="000F29A7" w:rsidRPr="0088258D" w:rsidRDefault="000F29A7" w:rsidP="000F29A7">
            <w:pPr>
              <w:pStyle w:val="TableCellYear"/>
              <w:rPr>
                <w:rFonts w:cs="Times New Roman"/>
                <w:szCs w:val="22"/>
              </w:rPr>
            </w:pPr>
            <w:r w:rsidRPr="0088258D">
              <w:rPr>
                <w:rFonts w:cs="Times New Roman"/>
                <w:szCs w:val="22"/>
              </w:rPr>
              <w:t>22</w:t>
            </w:r>
          </w:p>
        </w:tc>
        <w:tc>
          <w:tcPr>
            <w:tcW w:w="2160" w:type="dxa"/>
          </w:tcPr>
          <w:p w14:paraId="602E958A" w14:textId="3427FAAB" w:rsidR="000F29A7" w:rsidRPr="0088258D" w:rsidRDefault="000F29A7" w:rsidP="000F29A7">
            <w:pPr>
              <w:pStyle w:val="TableCellGeneralText"/>
              <w:rPr>
                <w:rFonts w:cs="Times New Roman"/>
                <w:szCs w:val="22"/>
              </w:rPr>
            </w:pPr>
            <w:r w:rsidRPr="0088258D">
              <w:rPr>
                <w:rFonts w:cs="Times New Roman"/>
                <w:szCs w:val="22"/>
              </w:rPr>
              <w:t>Net Family Assets: Non-Necessary Personal Property</w:t>
            </w:r>
          </w:p>
        </w:tc>
        <w:tc>
          <w:tcPr>
            <w:tcW w:w="10080" w:type="dxa"/>
          </w:tcPr>
          <w:p w14:paraId="762BB136" w14:textId="4425B967" w:rsidR="000F29A7" w:rsidRPr="0088258D" w:rsidRDefault="000F29A7" w:rsidP="000F29A7">
            <w:pPr>
              <w:pStyle w:val="TableCellText-Spaced"/>
              <w:rPr>
                <w:rFonts w:cs="Times New Roman"/>
                <w:szCs w:val="22"/>
              </w:rPr>
            </w:pPr>
            <w:r w:rsidRPr="0088258D">
              <w:rPr>
                <w:rFonts w:cs="Times New Roman"/>
                <w:szCs w:val="22"/>
              </w:rPr>
              <w:t xml:space="preserve">HUD has prepared this list of examples of non-necessary personal property. </w:t>
            </w:r>
            <w:r w:rsidR="003D42A0" w:rsidRPr="0088258D">
              <w:rPr>
                <w:rFonts w:cs="Times New Roman"/>
                <w:szCs w:val="22"/>
              </w:rPr>
              <w:t xml:space="preserve">This includes items such as recreational </w:t>
            </w:r>
            <w:r w:rsidR="001B5F8F" w:rsidRPr="0088258D">
              <w:rPr>
                <w:rFonts w:cs="Times New Roman"/>
                <w:szCs w:val="22"/>
              </w:rPr>
              <w:t>cars or vehicles, collectibles, and antiques car</w:t>
            </w:r>
            <w:r w:rsidR="00A45CA2" w:rsidRPr="0088258D">
              <w:rPr>
                <w:rFonts w:cs="Times New Roman"/>
                <w:szCs w:val="22"/>
              </w:rPr>
              <w:t xml:space="preserve">s. </w:t>
            </w:r>
            <w:r w:rsidRPr="0088258D">
              <w:rPr>
                <w:rFonts w:cs="Times New Roman"/>
                <w:szCs w:val="22"/>
              </w:rPr>
              <w:t xml:space="preserve">Note that this is </w:t>
            </w:r>
            <w:r w:rsidRPr="0088258D">
              <w:rPr>
                <w:rFonts w:cs="Times New Roman"/>
                <w:b/>
                <w:bCs w:val="0"/>
                <w:szCs w:val="22"/>
              </w:rPr>
              <w:t>not</w:t>
            </w:r>
            <w:r w:rsidRPr="0088258D">
              <w:rPr>
                <w:rFonts w:cs="Times New Roman"/>
                <w:szCs w:val="22"/>
              </w:rPr>
              <w:t xml:space="preserve"> an exhaustive list.</w:t>
            </w:r>
          </w:p>
          <w:p w14:paraId="34B0269C" w14:textId="77777777" w:rsidR="000F29A7" w:rsidRPr="0088258D" w:rsidRDefault="000F29A7" w:rsidP="000F29A7">
            <w:pPr>
              <w:pStyle w:val="TableCellGeneralText"/>
              <w:rPr>
                <w:rFonts w:cs="Times New Roman"/>
                <w:szCs w:val="22"/>
              </w:rPr>
            </w:pPr>
            <w:r w:rsidRPr="0088258D">
              <w:rPr>
                <w:rFonts w:cs="Times New Roman"/>
                <w:szCs w:val="22"/>
              </w:rPr>
              <w:t xml:space="preserve">Non-necessary items such as art, recreational vehicles, coins or other rare-item collections, etc. that contribute to Net Family Assets that total more than $50,000, adjusted annually for inflation, must be included in Net Family Assets, and income from these assets must be counted toward family income. </w:t>
            </w:r>
          </w:p>
          <w:p w14:paraId="2AE48D5A" w14:textId="616158A2" w:rsidR="00704890" w:rsidRPr="0088258D" w:rsidRDefault="00704890" w:rsidP="000F29A7">
            <w:pPr>
              <w:pStyle w:val="TableCellGeneralText"/>
              <w:rPr>
                <w:rFonts w:cs="Times New Roman"/>
                <w:szCs w:val="22"/>
              </w:rPr>
            </w:pPr>
          </w:p>
        </w:tc>
      </w:tr>
      <w:tr w:rsidR="000F29A7" w:rsidRPr="0088258D" w14:paraId="738DF5C9" w14:textId="77777777" w:rsidTr="1281F8EE">
        <w:trPr>
          <w:trHeight w:val="20"/>
        </w:trPr>
        <w:tc>
          <w:tcPr>
            <w:tcW w:w="720" w:type="dxa"/>
          </w:tcPr>
          <w:p w14:paraId="77B1FB92" w14:textId="22E81C5A" w:rsidR="000F29A7" w:rsidRPr="0088258D" w:rsidRDefault="000F29A7" w:rsidP="000F29A7">
            <w:pPr>
              <w:pStyle w:val="TableCellYear"/>
              <w:rPr>
                <w:rFonts w:cs="Times New Roman"/>
                <w:szCs w:val="22"/>
              </w:rPr>
            </w:pPr>
            <w:r w:rsidRPr="0088258D">
              <w:rPr>
                <w:rFonts w:cs="Times New Roman"/>
                <w:szCs w:val="22"/>
              </w:rPr>
              <w:lastRenderedPageBreak/>
              <w:t>23</w:t>
            </w:r>
          </w:p>
        </w:tc>
        <w:tc>
          <w:tcPr>
            <w:tcW w:w="2160" w:type="dxa"/>
          </w:tcPr>
          <w:p w14:paraId="020CFF3D" w14:textId="77777777" w:rsidR="000F29A7" w:rsidRPr="0088258D" w:rsidRDefault="000F29A7" w:rsidP="000F29A7">
            <w:pPr>
              <w:pStyle w:val="TableCellGeneralText"/>
              <w:rPr>
                <w:rFonts w:cs="Times New Roman"/>
                <w:szCs w:val="22"/>
              </w:rPr>
            </w:pPr>
            <w:r w:rsidRPr="0088258D">
              <w:rPr>
                <w:rFonts w:cs="Times New Roman"/>
                <w:szCs w:val="22"/>
              </w:rPr>
              <w:t>Net Family Assets: Exclusions</w:t>
            </w:r>
          </w:p>
        </w:tc>
        <w:tc>
          <w:tcPr>
            <w:tcW w:w="10080" w:type="dxa"/>
          </w:tcPr>
          <w:p w14:paraId="47A8698D" w14:textId="1FE76AEB" w:rsidR="000F29A7" w:rsidRPr="0088258D" w:rsidRDefault="000F29A7" w:rsidP="000F29A7">
            <w:pPr>
              <w:pStyle w:val="TableCellText-Spaced"/>
              <w:rPr>
                <w:rFonts w:cs="Times New Roman"/>
                <w:szCs w:val="22"/>
              </w:rPr>
            </w:pPr>
            <w:r w:rsidRPr="0088258D">
              <w:rPr>
                <w:rFonts w:cs="Times New Roman"/>
                <w:szCs w:val="22"/>
              </w:rPr>
              <w:t>HOTMA has expanded the exclusions from Net Family Assets. The list on this slide shows all the exclusions provided for under 25 C.F.R. Section 5.603(b), “Net Family Assets.”</w:t>
            </w:r>
            <w:r w:rsidR="00CE7F2F" w:rsidRPr="0088258D">
              <w:rPr>
                <w:rFonts w:cs="Times New Roman"/>
                <w:szCs w:val="22"/>
              </w:rPr>
              <w:t xml:space="preserve"> </w:t>
            </w:r>
            <w:r w:rsidR="003064FD" w:rsidRPr="0088258D">
              <w:rPr>
                <w:rFonts w:cs="Times New Roman"/>
                <w:szCs w:val="22"/>
              </w:rPr>
              <w:t xml:space="preserve">A few examples </w:t>
            </w:r>
            <w:r w:rsidR="001E3EF8" w:rsidRPr="0088258D">
              <w:rPr>
                <w:rFonts w:cs="Times New Roman"/>
                <w:szCs w:val="22"/>
              </w:rPr>
              <w:t xml:space="preserve">from the list </w:t>
            </w:r>
            <w:r w:rsidR="003064FD" w:rsidRPr="0088258D">
              <w:rPr>
                <w:rFonts w:cs="Times New Roman"/>
                <w:szCs w:val="22"/>
              </w:rPr>
              <w:t xml:space="preserve">include non-necessary personal property </w:t>
            </w:r>
            <w:r w:rsidR="00482CEC" w:rsidRPr="0088258D">
              <w:rPr>
                <w:rFonts w:cs="Times New Roman"/>
                <w:szCs w:val="22"/>
              </w:rPr>
              <w:t>less than $50,000, adjusted annually for inflation;</w:t>
            </w:r>
            <w:r w:rsidR="007E7FB2" w:rsidRPr="0088258D">
              <w:rPr>
                <w:rFonts w:cs="Times New Roman"/>
                <w:szCs w:val="22"/>
              </w:rPr>
              <w:t xml:space="preserve"> IRAs;</w:t>
            </w:r>
            <w:r w:rsidR="00482CEC" w:rsidRPr="0088258D">
              <w:rPr>
                <w:rFonts w:cs="Times New Roman"/>
                <w:szCs w:val="22"/>
              </w:rPr>
              <w:t xml:space="preserve"> </w:t>
            </w:r>
            <w:r w:rsidR="00633FEE" w:rsidRPr="0088258D">
              <w:rPr>
                <w:rFonts w:cs="Times New Roman"/>
                <w:szCs w:val="22"/>
              </w:rPr>
              <w:t>real property without legal authority to sell; Coverdell or 529 education savings accounts</w:t>
            </w:r>
            <w:r w:rsidR="001E3EF8" w:rsidRPr="0088258D">
              <w:rPr>
                <w:rFonts w:cs="Times New Roman"/>
                <w:szCs w:val="22"/>
              </w:rPr>
              <w:t>;</w:t>
            </w:r>
            <w:r w:rsidR="000B441F" w:rsidRPr="0088258D">
              <w:rPr>
                <w:rFonts w:cs="Times New Roman"/>
                <w:szCs w:val="22"/>
              </w:rPr>
              <w:t xml:space="preserve"> and </w:t>
            </w:r>
            <w:r w:rsidR="00503D71" w:rsidRPr="0088258D">
              <w:rPr>
                <w:rFonts w:cs="Times New Roman"/>
                <w:szCs w:val="22"/>
              </w:rPr>
              <w:t>Federal tax refunds</w:t>
            </w:r>
            <w:r w:rsidR="000B441F" w:rsidRPr="0088258D">
              <w:rPr>
                <w:rFonts w:cs="Times New Roman"/>
                <w:szCs w:val="22"/>
              </w:rPr>
              <w:t xml:space="preserve">. </w:t>
            </w:r>
          </w:p>
          <w:p w14:paraId="22838A02" w14:textId="77777777" w:rsidR="000F29A7" w:rsidRPr="0088258D" w:rsidRDefault="000F29A7" w:rsidP="000F29A7">
            <w:pPr>
              <w:pStyle w:val="TableCellGeneralText"/>
              <w:rPr>
                <w:rFonts w:cs="Times New Roman"/>
                <w:szCs w:val="22"/>
              </w:rPr>
            </w:pPr>
            <w:r w:rsidRPr="0088258D">
              <w:rPr>
                <w:rFonts w:cs="Times New Roman"/>
                <w:szCs w:val="22"/>
              </w:rPr>
              <w:t xml:space="preserve">None of these assets will be included in Net Family Assets. As such, their anticipated income is not included in the calculation of the family’s annual income. </w:t>
            </w:r>
          </w:p>
          <w:p w14:paraId="22E62E61" w14:textId="47324F3C" w:rsidR="00704890" w:rsidRPr="0088258D" w:rsidRDefault="00704890" w:rsidP="000F29A7">
            <w:pPr>
              <w:pStyle w:val="TableCellGeneralText"/>
              <w:rPr>
                <w:rFonts w:cs="Times New Roman"/>
                <w:szCs w:val="22"/>
              </w:rPr>
            </w:pPr>
          </w:p>
        </w:tc>
      </w:tr>
      <w:tr w:rsidR="000F29A7" w:rsidRPr="0088258D" w14:paraId="21F0AC31" w14:textId="77777777" w:rsidTr="1281F8EE">
        <w:trPr>
          <w:trHeight w:val="20"/>
        </w:trPr>
        <w:tc>
          <w:tcPr>
            <w:tcW w:w="720" w:type="dxa"/>
          </w:tcPr>
          <w:p w14:paraId="281B02DA" w14:textId="03556AFC" w:rsidR="000F29A7" w:rsidRPr="0088258D" w:rsidRDefault="000F29A7" w:rsidP="000F29A7">
            <w:pPr>
              <w:pStyle w:val="TableCellYear"/>
              <w:rPr>
                <w:rFonts w:cs="Times New Roman"/>
                <w:szCs w:val="22"/>
              </w:rPr>
            </w:pPr>
            <w:r w:rsidRPr="0088258D">
              <w:rPr>
                <w:rFonts w:cs="Times New Roman"/>
                <w:szCs w:val="22"/>
              </w:rPr>
              <w:t>24</w:t>
            </w:r>
          </w:p>
        </w:tc>
        <w:tc>
          <w:tcPr>
            <w:tcW w:w="2160" w:type="dxa"/>
          </w:tcPr>
          <w:p w14:paraId="2F492F27" w14:textId="77777777" w:rsidR="000F29A7" w:rsidRPr="0088258D" w:rsidRDefault="000F29A7" w:rsidP="000F29A7">
            <w:pPr>
              <w:pStyle w:val="TableCellGeneralText"/>
              <w:rPr>
                <w:rFonts w:cs="Times New Roman"/>
                <w:szCs w:val="22"/>
              </w:rPr>
            </w:pPr>
            <w:r w:rsidRPr="0088258D">
              <w:rPr>
                <w:rFonts w:cs="Times New Roman"/>
                <w:szCs w:val="22"/>
              </w:rPr>
              <w:t xml:space="preserve">Knowledge Check </w:t>
            </w:r>
          </w:p>
        </w:tc>
        <w:tc>
          <w:tcPr>
            <w:tcW w:w="10080" w:type="dxa"/>
          </w:tcPr>
          <w:p w14:paraId="25A2A95C" w14:textId="14FD3B8C" w:rsidR="000F29A7" w:rsidRPr="0088258D" w:rsidRDefault="000F29A7" w:rsidP="000F29A7">
            <w:pPr>
              <w:pStyle w:val="TableCellText-Spaced"/>
              <w:rPr>
                <w:rFonts w:cs="Times New Roman"/>
                <w:szCs w:val="22"/>
              </w:rPr>
            </w:pPr>
            <w:r w:rsidRPr="0088258D">
              <w:rPr>
                <w:rFonts w:cs="Times New Roman"/>
                <w:szCs w:val="22"/>
              </w:rPr>
              <w:t>Let’s take a minute to check what we have learned so far.</w:t>
            </w:r>
          </w:p>
          <w:p w14:paraId="6C47FF1E" w14:textId="6C324F98" w:rsidR="000F29A7" w:rsidRPr="0088258D" w:rsidRDefault="000F29A7" w:rsidP="000F29A7">
            <w:pPr>
              <w:pStyle w:val="TableCellGeneralText"/>
              <w:rPr>
                <w:rFonts w:cs="Times New Roman"/>
                <w:szCs w:val="22"/>
              </w:rPr>
            </w:pPr>
            <w:r w:rsidRPr="0088258D">
              <w:rPr>
                <w:rFonts w:cs="Times New Roman"/>
                <w:szCs w:val="22"/>
              </w:rPr>
              <w:t>To calculate Net Family Assets, which of the following are subtracted from the cash value of all the family’s assets?</w:t>
            </w:r>
          </w:p>
          <w:p w14:paraId="211313CB" w14:textId="77777777" w:rsidR="000F29A7" w:rsidRPr="0088258D" w:rsidRDefault="000F29A7" w:rsidP="00B45B1B">
            <w:pPr>
              <w:pStyle w:val="TableCellGeneralText"/>
              <w:numPr>
                <w:ilvl w:val="0"/>
                <w:numId w:val="13"/>
              </w:numPr>
              <w:spacing w:before="60"/>
              <w:ind w:left="648"/>
              <w:rPr>
                <w:rFonts w:cs="Times New Roman"/>
                <w:szCs w:val="22"/>
              </w:rPr>
            </w:pPr>
            <w:r w:rsidRPr="0088258D">
              <w:rPr>
                <w:rFonts w:cs="Times New Roman"/>
                <w:szCs w:val="22"/>
              </w:rPr>
              <w:t>All non-necessary personal property</w:t>
            </w:r>
          </w:p>
          <w:p w14:paraId="73EB09D1" w14:textId="77777777" w:rsidR="000F29A7" w:rsidRPr="0088258D" w:rsidRDefault="000F29A7" w:rsidP="00B45B1B">
            <w:pPr>
              <w:pStyle w:val="TableCellGeneralText"/>
              <w:numPr>
                <w:ilvl w:val="0"/>
                <w:numId w:val="13"/>
              </w:numPr>
              <w:spacing w:before="60"/>
              <w:ind w:left="648"/>
              <w:rPr>
                <w:rFonts w:cs="Times New Roman"/>
                <w:szCs w:val="22"/>
              </w:rPr>
            </w:pPr>
            <w:r w:rsidRPr="0088258D">
              <w:rPr>
                <w:rFonts w:cs="Times New Roman"/>
                <w:szCs w:val="22"/>
              </w:rPr>
              <w:t>All necessary personal property</w:t>
            </w:r>
          </w:p>
          <w:p w14:paraId="1AE4842D" w14:textId="77777777" w:rsidR="000F29A7" w:rsidRPr="0088258D" w:rsidRDefault="000F29A7" w:rsidP="00B45B1B">
            <w:pPr>
              <w:pStyle w:val="TableCellGeneralText"/>
              <w:numPr>
                <w:ilvl w:val="0"/>
                <w:numId w:val="13"/>
              </w:numPr>
              <w:spacing w:before="60"/>
              <w:ind w:left="648"/>
              <w:rPr>
                <w:rFonts w:cs="Times New Roman"/>
                <w:szCs w:val="22"/>
              </w:rPr>
            </w:pPr>
            <w:r w:rsidRPr="0088258D">
              <w:rPr>
                <w:rFonts w:cs="Times New Roman"/>
                <w:szCs w:val="22"/>
              </w:rPr>
              <w:t>401(k) and other retirement accounts</w:t>
            </w:r>
          </w:p>
          <w:p w14:paraId="4BAF5F87" w14:textId="77777777" w:rsidR="000F29A7" w:rsidRPr="0088258D" w:rsidRDefault="000F29A7" w:rsidP="00B45B1B">
            <w:pPr>
              <w:pStyle w:val="TableCellGeneralText"/>
              <w:numPr>
                <w:ilvl w:val="0"/>
                <w:numId w:val="13"/>
              </w:numPr>
              <w:spacing w:before="60"/>
              <w:ind w:left="648"/>
              <w:rPr>
                <w:rFonts w:cs="Times New Roman"/>
                <w:szCs w:val="22"/>
              </w:rPr>
            </w:pPr>
            <w:r w:rsidRPr="0088258D">
              <w:rPr>
                <w:rFonts w:cs="Times New Roman"/>
                <w:szCs w:val="22"/>
              </w:rPr>
              <w:t>Federal tax refunds and credits</w:t>
            </w:r>
          </w:p>
        </w:tc>
      </w:tr>
      <w:tr w:rsidR="000F29A7" w:rsidRPr="0088258D" w14:paraId="3C6A3CC5" w14:textId="77777777" w:rsidTr="1281F8EE">
        <w:trPr>
          <w:trHeight w:val="20"/>
        </w:trPr>
        <w:tc>
          <w:tcPr>
            <w:tcW w:w="720" w:type="dxa"/>
          </w:tcPr>
          <w:p w14:paraId="290A87BA" w14:textId="3AB8CB60" w:rsidR="000F29A7" w:rsidRPr="0088258D" w:rsidRDefault="000F29A7" w:rsidP="000F29A7">
            <w:pPr>
              <w:pStyle w:val="TableCellYear"/>
              <w:rPr>
                <w:rFonts w:cs="Times New Roman"/>
                <w:szCs w:val="22"/>
              </w:rPr>
            </w:pPr>
            <w:r w:rsidRPr="0088258D">
              <w:rPr>
                <w:rFonts w:cs="Times New Roman"/>
                <w:szCs w:val="22"/>
              </w:rPr>
              <w:t>25</w:t>
            </w:r>
          </w:p>
        </w:tc>
        <w:tc>
          <w:tcPr>
            <w:tcW w:w="2160" w:type="dxa"/>
          </w:tcPr>
          <w:p w14:paraId="1405BFB1" w14:textId="77777777" w:rsidR="000F29A7" w:rsidRPr="0088258D" w:rsidRDefault="000F29A7" w:rsidP="000F29A7">
            <w:pPr>
              <w:pStyle w:val="TableCellGeneralText"/>
              <w:rPr>
                <w:rFonts w:cs="Times New Roman"/>
                <w:szCs w:val="22"/>
              </w:rPr>
            </w:pPr>
            <w:r w:rsidRPr="0088258D">
              <w:rPr>
                <w:rFonts w:cs="Times New Roman"/>
                <w:szCs w:val="22"/>
              </w:rPr>
              <w:t>Knowledge Check</w:t>
            </w:r>
          </w:p>
        </w:tc>
        <w:tc>
          <w:tcPr>
            <w:tcW w:w="10080" w:type="dxa"/>
          </w:tcPr>
          <w:p w14:paraId="3B97A9F7" w14:textId="7F0D6EE7" w:rsidR="000F29A7" w:rsidRPr="0088258D" w:rsidRDefault="000F29A7" w:rsidP="000F29A7">
            <w:pPr>
              <w:pStyle w:val="TableCellGeneralText"/>
              <w:rPr>
                <w:rFonts w:cs="Times New Roman"/>
                <w:szCs w:val="22"/>
              </w:rPr>
            </w:pPr>
            <w:r w:rsidRPr="0088258D">
              <w:rPr>
                <w:rFonts w:cs="Times New Roman"/>
                <w:szCs w:val="22"/>
              </w:rPr>
              <w:t xml:space="preserve">The answers are: </w:t>
            </w:r>
          </w:p>
          <w:p w14:paraId="44603934" w14:textId="77777777" w:rsidR="000F29A7" w:rsidRPr="0088258D" w:rsidRDefault="000F29A7" w:rsidP="00B45B1B">
            <w:pPr>
              <w:pStyle w:val="TableCellGeneralText"/>
              <w:numPr>
                <w:ilvl w:val="0"/>
                <w:numId w:val="14"/>
              </w:numPr>
              <w:spacing w:before="60"/>
              <w:ind w:left="648"/>
              <w:rPr>
                <w:rFonts w:cs="Times New Roman"/>
                <w:szCs w:val="22"/>
              </w:rPr>
            </w:pPr>
            <w:r w:rsidRPr="0088258D">
              <w:rPr>
                <w:rFonts w:cs="Times New Roman"/>
                <w:szCs w:val="22"/>
              </w:rPr>
              <w:t>All necessary personal property</w:t>
            </w:r>
          </w:p>
          <w:p w14:paraId="3A7F5CE1" w14:textId="77777777" w:rsidR="000F29A7" w:rsidRPr="0088258D" w:rsidRDefault="000F29A7" w:rsidP="00B45B1B">
            <w:pPr>
              <w:pStyle w:val="TableCellGeneralText"/>
              <w:numPr>
                <w:ilvl w:val="0"/>
                <w:numId w:val="14"/>
              </w:numPr>
              <w:spacing w:before="60"/>
              <w:ind w:left="648"/>
              <w:rPr>
                <w:rFonts w:cs="Times New Roman"/>
                <w:szCs w:val="22"/>
              </w:rPr>
            </w:pPr>
            <w:r w:rsidRPr="0088258D">
              <w:rPr>
                <w:rFonts w:cs="Times New Roman"/>
                <w:szCs w:val="22"/>
              </w:rPr>
              <w:t>401(k) and other retirement accounts</w:t>
            </w:r>
          </w:p>
          <w:p w14:paraId="7A236F1A" w14:textId="35B0F1E2" w:rsidR="000F29A7" w:rsidRPr="0088258D" w:rsidRDefault="000F29A7" w:rsidP="00B45B1B">
            <w:pPr>
              <w:pStyle w:val="TableCellGeneralText"/>
              <w:numPr>
                <w:ilvl w:val="0"/>
                <w:numId w:val="14"/>
              </w:numPr>
              <w:spacing w:before="60"/>
              <w:ind w:left="648"/>
              <w:rPr>
                <w:rFonts w:cs="Times New Roman"/>
                <w:szCs w:val="22"/>
              </w:rPr>
            </w:pPr>
            <w:r w:rsidRPr="0088258D">
              <w:rPr>
                <w:rFonts w:cs="Times New Roman"/>
                <w:szCs w:val="22"/>
              </w:rPr>
              <w:t>Federal tax refunds and credits</w:t>
            </w:r>
          </w:p>
        </w:tc>
      </w:tr>
      <w:tr w:rsidR="000F29A7" w:rsidRPr="0088258D" w14:paraId="2A6F2D8D" w14:textId="77777777" w:rsidTr="1281F8EE">
        <w:trPr>
          <w:trHeight w:val="20"/>
        </w:trPr>
        <w:tc>
          <w:tcPr>
            <w:tcW w:w="720" w:type="dxa"/>
          </w:tcPr>
          <w:p w14:paraId="52AA2303" w14:textId="7C953107" w:rsidR="000F29A7" w:rsidRPr="0088258D" w:rsidRDefault="000F29A7" w:rsidP="000F29A7">
            <w:pPr>
              <w:pStyle w:val="TableCellYear"/>
              <w:rPr>
                <w:rFonts w:cs="Times New Roman"/>
                <w:szCs w:val="22"/>
              </w:rPr>
            </w:pPr>
            <w:r w:rsidRPr="0088258D">
              <w:rPr>
                <w:rFonts w:cs="Times New Roman"/>
                <w:szCs w:val="22"/>
              </w:rPr>
              <w:t>26</w:t>
            </w:r>
          </w:p>
        </w:tc>
        <w:tc>
          <w:tcPr>
            <w:tcW w:w="2160" w:type="dxa"/>
          </w:tcPr>
          <w:p w14:paraId="640E14F0" w14:textId="0E40D542" w:rsidR="000F29A7" w:rsidRPr="0088258D" w:rsidRDefault="000F29A7" w:rsidP="000F29A7">
            <w:pPr>
              <w:pStyle w:val="TableCellGeneralText"/>
              <w:rPr>
                <w:rFonts w:cs="Times New Roman"/>
                <w:szCs w:val="22"/>
              </w:rPr>
            </w:pPr>
            <w:r w:rsidRPr="0088258D">
              <w:rPr>
                <w:rFonts w:cs="Times New Roman"/>
                <w:szCs w:val="22"/>
              </w:rPr>
              <w:t>Trusts as Net Family Assets</w:t>
            </w:r>
          </w:p>
        </w:tc>
        <w:tc>
          <w:tcPr>
            <w:tcW w:w="10080" w:type="dxa"/>
          </w:tcPr>
          <w:p w14:paraId="0B4615C8" w14:textId="4164874F" w:rsidR="000F29A7" w:rsidRPr="0088258D" w:rsidRDefault="000F29A7" w:rsidP="000F29A7">
            <w:pPr>
              <w:pStyle w:val="TableCellText-Spaced"/>
              <w:rPr>
                <w:rFonts w:cs="Times New Roman"/>
                <w:szCs w:val="22"/>
              </w:rPr>
            </w:pPr>
            <w:r w:rsidRPr="0088258D">
              <w:rPr>
                <w:rFonts w:cs="Times New Roman"/>
                <w:szCs w:val="22"/>
              </w:rPr>
              <w:t>The value of irrevocable trusts and revocable trusts that are not under the control of the family are excluded from Net Family Assets. Therefore, you would not calculate or include asset income from these items in the family’s annual income.</w:t>
            </w:r>
          </w:p>
          <w:p w14:paraId="0F5A5D48" w14:textId="48A7B10C" w:rsidR="000F29A7" w:rsidRPr="0088258D" w:rsidRDefault="000F29A7" w:rsidP="000F29A7">
            <w:pPr>
              <w:pStyle w:val="TableCellText-Spaced"/>
              <w:rPr>
                <w:rFonts w:cs="Times New Roman"/>
                <w:szCs w:val="22"/>
              </w:rPr>
            </w:pPr>
            <w:r w:rsidRPr="0088258D">
              <w:rPr>
                <w:rFonts w:cs="Times New Roman"/>
                <w:szCs w:val="22"/>
              </w:rPr>
              <w:t xml:space="preserve">However, revocable trusts that </w:t>
            </w:r>
            <w:r w:rsidRPr="0088258D">
              <w:rPr>
                <w:rFonts w:cs="Times New Roman"/>
                <w:b/>
                <w:bCs w:val="0"/>
                <w:szCs w:val="22"/>
              </w:rPr>
              <w:t>are</w:t>
            </w:r>
            <w:r w:rsidRPr="0088258D">
              <w:rPr>
                <w:rFonts w:cs="Times New Roman"/>
                <w:szCs w:val="22"/>
              </w:rPr>
              <w:t xml:space="preserve"> under the family’s control (that is, the grantor is a member of the household) are included in Net Family Assets. </w:t>
            </w:r>
          </w:p>
          <w:p w14:paraId="15A9B41B" w14:textId="30AB8B33" w:rsidR="000F29A7" w:rsidRPr="0088258D" w:rsidRDefault="000F29A7" w:rsidP="000F29A7">
            <w:pPr>
              <w:pStyle w:val="TableCellGeneralText"/>
              <w:rPr>
                <w:rFonts w:cs="Times New Roman"/>
                <w:szCs w:val="22"/>
              </w:rPr>
            </w:pPr>
            <w:r w:rsidRPr="0088258D">
              <w:rPr>
                <w:rFonts w:cs="Times New Roman"/>
                <w:b/>
                <w:bCs w:val="0"/>
                <w:szCs w:val="22"/>
              </w:rPr>
              <w:t>Note:</w:t>
            </w:r>
            <w:r w:rsidRPr="0088258D">
              <w:rPr>
                <w:rFonts w:cs="Times New Roman"/>
                <w:szCs w:val="22"/>
              </w:rPr>
              <w:t xml:space="preserve"> For this calculation, asset income is based only on the </w:t>
            </w:r>
            <w:r w:rsidRPr="0088258D">
              <w:rPr>
                <w:rFonts w:cs="Times New Roman"/>
                <w:i/>
                <w:iCs/>
                <w:szCs w:val="22"/>
              </w:rPr>
              <w:t>actual interest earned on the trust,</w:t>
            </w:r>
            <w:r w:rsidRPr="0088258D">
              <w:rPr>
                <w:rFonts w:cs="Times New Roman"/>
                <w:szCs w:val="22"/>
              </w:rPr>
              <w:t xml:space="preserve"> </w:t>
            </w:r>
            <w:r w:rsidRPr="0088258D">
              <w:rPr>
                <w:rFonts w:cs="Times New Roman"/>
                <w:b/>
                <w:bCs w:val="0"/>
                <w:szCs w:val="22"/>
              </w:rPr>
              <w:t>not</w:t>
            </w:r>
            <w:r w:rsidRPr="0088258D">
              <w:rPr>
                <w:rFonts w:cs="Times New Roman"/>
                <w:szCs w:val="22"/>
              </w:rPr>
              <w:t xml:space="preserve"> on the distributions of interest earned on the trust’s principal. </w:t>
            </w:r>
          </w:p>
        </w:tc>
      </w:tr>
      <w:tr w:rsidR="000F29A7" w:rsidRPr="0088258D" w14:paraId="183F975C" w14:textId="77777777" w:rsidTr="1281F8EE">
        <w:trPr>
          <w:trHeight w:val="20"/>
        </w:trPr>
        <w:tc>
          <w:tcPr>
            <w:tcW w:w="720" w:type="dxa"/>
          </w:tcPr>
          <w:p w14:paraId="0633477A" w14:textId="0B92B82B" w:rsidR="000F29A7" w:rsidRPr="0088258D" w:rsidRDefault="000F29A7" w:rsidP="000F29A7">
            <w:pPr>
              <w:pStyle w:val="TableCellYear"/>
              <w:rPr>
                <w:rFonts w:cs="Times New Roman"/>
                <w:szCs w:val="22"/>
              </w:rPr>
            </w:pPr>
            <w:r w:rsidRPr="0088258D">
              <w:rPr>
                <w:rFonts w:cs="Times New Roman"/>
                <w:szCs w:val="22"/>
              </w:rPr>
              <w:lastRenderedPageBreak/>
              <w:t>27</w:t>
            </w:r>
          </w:p>
        </w:tc>
        <w:tc>
          <w:tcPr>
            <w:tcW w:w="2160" w:type="dxa"/>
          </w:tcPr>
          <w:p w14:paraId="7849D135" w14:textId="77777777" w:rsidR="000F29A7" w:rsidRPr="0088258D" w:rsidRDefault="000F29A7" w:rsidP="000F29A7">
            <w:pPr>
              <w:pStyle w:val="TableCellGeneralText"/>
              <w:rPr>
                <w:rFonts w:cs="Times New Roman"/>
                <w:szCs w:val="22"/>
              </w:rPr>
            </w:pPr>
            <w:r w:rsidRPr="0088258D">
              <w:rPr>
                <w:rFonts w:cs="Times New Roman"/>
                <w:szCs w:val="22"/>
              </w:rPr>
              <w:t>Trust Distributions and Net Family Assets</w:t>
            </w:r>
          </w:p>
        </w:tc>
        <w:tc>
          <w:tcPr>
            <w:tcW w:w="10080" w:type="dxa"/>
          </w:tcPr>
          <w:p w14:paraId="42EBDFCE" w14:textId="644000E9" w:rsidR="000F29A7" w:rsidRPr="0088258D" w:rsidRDefault="000F29A7" w:rsidP="000F29A7">
            <w:pPr>
              <w:pStyle w:val="TableCellGeneralText"/>
              <w:rPr>
                <w:rFonts w:cs="Times New Roman"/>
                <w:szCs w:val="22"/>
              </w:rPr>
            </w:pPr>
            <w:r w:rsidRPr="0088258D">
              <w:rPr>
                <w:rFonts w:cs="Times New Roman"/>
                <w:szCs w:val="22"/>
              </w:rPr>
              <w:t xml:space="preserve">Regarding trusts: </w:t>
            </w:r>
          </w:p>
          <w:p w14:paraId="6DF5BDEC" w14:textId="08F9D8E9" w:rsidR="000F29A7" w:rsidRPr="0088258D" w:rsidRDefault="000F29A7" w:rsidP="000F29A7">
            <w:pPr>
              <w:pStyle w:val="TableBullet1"/>
              <w:rPr>
                <w:rFonts w:cs="Times New Roman"/>
                <w:szCs w:val="22"/>
              </w:rPr>
            </w:pPr>
            <w:r w:rsidRPr="0088258D">
              <w:rPr>
                <w:rFonts w:cs="Times New Roman"/>
                <w:szCs w:val="22"/>
              </w:rPr>
              <w:t xml:space="preserve">If the value of a revocable trust is considered part of Net Family Assets, </w:t>
            </w:r>
          </w:p>
          <w:p w14:paraId="0783E9A5" w14:textId="77777777" w:rsidR="000F29A7" w:rsidRPr="0088258D" w:rsidRDefault="000F29A7" w:rsidP="000F29A7">
            <w:pPr>
              <w:pStyle w:val="TableBullet2"/>
              <w:rPr>
                <w:rFonts w:cs="Times New Roman"/>
                <w:szCs w:val="22"/>
              </w:rPr>
            </w:pPr>
            <w:r w:rsidRPr="0088258D">
              <w:rPr>
                <w:rFonts w:cs="Times New Roman"/>
                <w:szCs w:val="22"/>
              </w:rPr>
              <w:t>Then distributions from the trust are not considered income.</w:t>
            </w:r>
          </w:p>
          <w:p w14:paraId="6AA7096C" w14:textId="740328B3" w:rsidR="000F29A7" w:rsidRPr="0088258D" w:rsidRDefault="000F29A7" w:rsidP="000F29A7">
            <w:pPr>
              <w:pStyle w:val="TableBullet1"/>
              <w:rPr>
                <w:rFonts w:cs="Times New Roman"/>
                <w:szCs w:val="22"/>
              </w:rPr>
            </w:pPr>
            <w:r w:rsidRPr="0088258D">
              <w:rPr>
                <w:rFonts w:cs="Times New Roman"/>
                <w:szCs w:val="22"/>
              </w:rPr>
              <w:t>However, for revocable or irrevocable trusts that are not considered part of Net Family Assets,</w:t>
            </w:r>
          </w:p>
          <w:p w14:paraId="25217410" w14:textId="383D54DD" w:rsidR="000F29A7" w:rsidRPr="0088258D" w:rsidRDefault="000F29A7" w:rsidP="000F29A7">
            <w:pPr>
              <w:pStyle w:val="TableBullet2"/>
              <w:rPr>
                <w:rFonts w:cs="Times New Roman"/>
                <w:szCs w:val="22"/>
              </w:rPr>
            </w:pPr>
            <w:r w:rsidRPr="0088258D">
              <w:rPr>
                <w:rFonts w:cs="Times New Roman"/>
                <w:szCs w:val="22"/>
              </w:rPr>
              <w:t>Distributions from the trust’s principal are excluded from income,</w:t>
            </w:r>
          </w:p>
          <w:p w14:paraId="0F6E5F02" w14:textId="187D4E4D" w:rsidR="000F29A7" w:rsidRPr="0088258D" w:rsidRDefault="000F29A7" w:rsidP="000F29A7">
            <w:pPr>
              <w:pStyle w:val="TableBullet2"/>
              <w:rPr>
                <w:rFonts w:cs="Times New Roman"/>
                <w:szCs w:val="22"/>
              </w:rPr>
            </w:pPr>
            <w:r w:rsidRPr="0088258D">
              <w:rPr>
                <w:rFonts w:cs="Times New Roman"/>
                <w:szCs w:val="22"/>
              </w:rPr>
              <w:t>But distributions of income earned by the trust (that is, interest, dividends, realized gains, or other earnings on the trust’s principle) are included as income, unless the distribution is used to pay for the health and medical expenses of a minor.</w:t>
            </w:r>
          </w:p>
        </w:tc>
      </w:tr>
      <w:tr w:rsidR="000F29A7" w:rsidRPr="0088258D" w14:paraId="3E1BB0FD" w14:textId="77777777" w:rsidTr="1281F8EE">
        <w:trPr>
          <w:trHeight w:val="20"/>
        </w:trPr>
        <w:tc>
          <w:tcPr>
            <w:tcW w:w="720" w:type="dxa"/>
          </w:tcPr>
          <w:p w14:paraId="5A9E70C6" w14:textId="7BD20B1C" w:rsidR="000F29A7" w:rsidRPr="0088258D" w:rsidRDefault="000F29A7" w:rsidP="000F29A7">
            <w:pPr>
              <w:pStyle w:val="TableCellYear"/>
              <w:rPr>
                <w:rFonts w:cs="Times New Roman"/>
                <w:szCs w:val="22"/>
              </w:rPr>
            </w:pPr>
            <w:r w:rsidRPr="0088258D">
              <w:rPr>
                <w:rFonts w:cs="Times New Roman"/>
                <w:szCs w:val="22"/>
              </w:rPr>
              <w:t>28</w:t>
            </w:r>
          </w:p>
        </w:tc>
        <w:tc>
          <w:tcPr>
            <w:tcW w:w="2160" w:type="dxa"/>
          </w:tcPr>
          <w:p w14:paraId="0B59394B" w14:textId="77777777" w:rsidR="000F29A7" w:rsidRPr="0088258D" w:rsidRDefault="000F29A7" w:rsidP="000F29A7">
            <w:pPr>
              <w:pStyle w:val="TableCellGeneralText"/>
              <w:rPr>
                <w:rFonts w:cs="Times New Roman"/>
                <w:szCs w:val="22"/>
              </w:rPr>
            </w:pPr>
            <w:r w:rsidRPr="0088258D">
              <w:rPr>
                <w:rFonts w:cs="Times New Roman"/>
                <w:szCs w:val="22"/>
              </w:rPr>
              <w:t>Lump Sum Payments</w:t>
            </w:r>
          </w:p>
        </w:tc>
        <w:tc>
          <w:tcPr>
            <w:tcW w:w="10080" w:type="dxa"/>
          </w:tcPr>
          <w:p w14:paraId="78F7B228" w14:textId="7D903650" w:rsidR="000F29A7" w:rsidRPr="0088258D" w:rsidRDefault="000F29A7" w:rsidP="000F29A7">
            <w:pPr>
              <w:pStyle w:val="TableCellText-Spaced"/>
              <w:rPr>
                <w:rFonts w:cs="Times New Roman"/>
                <w:szCs w:val="22"/>
              </w:rPr>
            </w:pPr>
            <w:r w:rsidRPr="0088258D">
              <w:rPr>
                <w:rFonts w:cs="Times New Roman"/>
                <w:szCs w:val="22"/>
              </w:rPr>
              <w:t>A civil rights settlement, regardless of how the settlement is paid (that is, lump sum or several distributions), is excluded from annual income; however, the amounts would be considered part of Net Family Assets if they are held in a savings account, revocable trust, or some other asset that is included in Net Family Assets.</w:t>
            </w:r>
          </w:p>
          <w:p w14:paraId="517AA669" w14:textId="0094F43F" w:rsidR="000F29A7" w:rsidRPr="0088258D" w:rsidRDefault="000F29A7" w:rsidP="000F29A7">
            <w:pPr>
              <w:pStyle w:val="TableCellText-Spaced"/>
              <w:rPr>
                <w:rFonts w:cs="Times New Roman"/>
                <w:szCs w:val="22"/>
              </w:rPr>
            </w:pPr>
            <w:r w:rsidRPr="0088258D">
              <w:rPr>
                <w:rFonts w:cs="Times New Roman"/>
                <w:szCs w:val="22"/>
              </w:rPr>
              <w:t>The cash value of life insurance policies that are available to the participant before death are included in Net Family Assets (for example, the surrender value of a whole life policy or a universal life policy). Net Family Assets do not include the value of term life insurance, which has no cash value to the individual before death.</w:t>
            </w:r>
          </w:p>
          <w:p w14:paraId="137301E0" w14:textId="04C6006A" w:rsidR="000F29A7" w:rsidRPr="0088258D" w:rsidRDefault="000F29A7" w:rsidP="000F29A7">
            <w:pPr>
              <w:pStyle w:val="TableCellGeneralText"/>
              <w:rPr>
                <w:rFonts w:cs="Times New Roman"/>
                <w:szCs w:val="22"/>
              </w:rPr>
            </w:pPr>
            <w:r w:rsidRPr="0088258D">
              <w:rPr>
                <w:rFonts w:cs="Times New Roman"/>
                <w:szCs w:val="22"/>
              </w:rPr>
              <w:t>In some cases, disbursements—or periodic payments made on an asset, such as an IRA or other retirement plan, that is excluded from Net Family Assets under HOTMA—are counted as annual income.</w:t>
            </w:r>
          </w:p>
        </w:tc>
      </w:tr>
      <w:tr w:rsidR="000F29A7" w:rsidRPr="0088258D" w14:paraId="0A852CC2" w14:textId="77777777" w:rsidTr="1281F8EE">
        <w:trPr>
          <w:trHeight w:val="20"/>
        </w:trPr>
        <w:tc>
          <w:tcPr>
            <w:tcW w:w="720" w:type="dxa"/>
          </w:tcPr>
          <w:p w14:paraId="47619FBE" w14:textId="7D5B6B4F" w:rsidR="000F29A7" w:rsidRPr="0088258D" w:rsidRDefault="000F29A7" w:rsidP="000F29A7">
            <w:pPr>
              <w:pStyle w:val="TableCellYear"/>
              <w:rPr>
                <w:rFonts w:cs="Times New Roman"/>
                <w:szCs w:val="22"/>
              </w:rPr>
            </w:pPr>
            <w:r w:rsidRPr="0088258D">
              <w:rPr>
                <w:rFonts w:cs="Times New Roman"/>
                <w:szCs w:val="22"/>
              </w:rPr>
              <w:t>29</w:t>
            </w:r>
          </w:p>
        </w:tc>
        <w:tc>
          <w:tcPr>
            <w:tcW w:w="2160" w:type="dxa"/>
          </w:tcPr>
          <w:p w14:paraId="073A20F5" w14:textId="77777777" w:rsidR="000F29A7" w:rsidRPr="0088258D" w:rsidRDefault="000F29A7" w:rsidP="000F29A7">
            <w:pPr>
              <w:pStyle w:val="TableCellGeneralText"/>
              <w:rPr>
                <w:rFonts w:cs="Times New Roman"/>
                <w:szCs w:val="22"/>
              </w:rPr>
            </w:pPr>
            <w:r w:rsidRPr="0088258D">
              <w:rPr>
                <w:rFonts w:cs="Times New Roman"/>
                <w:szCs w:val="22"/>
              </w:rPr>
              <w:t>Federal Tax Refunds or Refundable Tax Credits</w:t>
            </w:r>
          </w:p>
        </w:tc>
        <w:tc>
          <w:tcPr>
            <w:tcW w:w="10080" w:type="dxa"/>
          </w:tcPr>
          <w:p w14:paraId="5C0EFDD1" w14:textId="02365399" w:rsidR="000F29A7" w:rsidRPr="0088258D" w:rsidRDefault="000F29A7" w:rsidP="000F29A7">
            <w:pPr>
              <w:pStyle w:val="TableCellGeneralText"/>
              <w:rPr>
                <w:rFonts w:cs="Times New Roman"/>
                <w:szCs w:val="22"/>
              </w:rPr>
            </w:pPr>
            <w:r w:rsidRPr="0088258D">
              <w:rPr>
                <w:rFonts w:cs="Times New Roman"/>
                <w:szCs w:val="22"/>
              </w:rPr>
              <w:t>All amounts received by a family in the form of federal tax refunds or refundable tax credits are excluded from their Net Family Assets for 12 months after receipt by the family.</w:t>
            </w:r>
          </w:p>
          <w:p w14:paraId="462C1836" w14:textId="7931B612" w:rsidR="000F29A7" w:rsidRPr="0088258D" w:rsidRDefault="000F29A7" w:rsidP="000F29A7">
            <w:pPr>
              <w:pStyle w:val="TableBullet1"/>
              <w:rPr>
                <w:rFonts w:cs="Times New Roman"/>
                <w:szCs w:val="22"/>
              </w:rPr>
            </w:pPr>
            <w:r w:rsidRPr="0088258D">
              <w:rPr>
                <w:rFonts w:cs="Times New Roman"/>
                <w:szCs w:val="22"/>
              </w:rPr>
              <w:t xml:space="preserve">However, any anticipated income earned by the asset into which they have been deposited is counted. </w:t>
            </w:r>
          </w:p>
          <w:p w14:paraId="24A9AEEE" w14:textId="77777777" w:rsidR="000F29A7" w:rsidRPr="0088258D" w:rsidRDefault="000F29A7" w:rsidP="000F29A7">
            <w:pPr>
              <w:pStyle w:val="TableBullet1"/>
              <w:rPr>
                <w:rFonts w:cs="Times New Roman"/>
                <w:szCs w:val="22"/>
              </w:rPr>
            </w:pPr>
            <w:r w:rsidRPr="0088258D">
              <w:rPr>
                <w:rFonts w:cs="Times New Roman"/>
                <w:szCs w:val="22"/>
              </w:rPr>
              <w:t>Only the amount the family receives is excluded from net family assets.</w:t>
            </w:r>
          </w:p>
          <w:p w14:paraId="1CA895BD" w14:textId="6805EEC6" w:rsidR="000F29A7" w:rsidRPr="0088258D" w:rsidRDefault="00A149A0" w:rsidP="000F29A7">
            <w:pPr>
              <w:pStyle w:val="TableCellGeneralText"/>
              <w:spacing w:before="120"/>
              <w:rPr>
                <w:rFonts w:cs="Times New Roman"/>
                <w:szCs w:val="22"/>
              </w:rPr>
            </w:pPr>
            <w:r>
              <w:rPr>
                <w:rFonts w:cs="Times New Roman"/>
                <w:szCs w:val="22"/>
              </w:rPr>
              <w:t>Owners</w:t>
            </w:r>
            <w:r w:rsidR="000F29A7" w:rsidRPr="0088258D">
              <w:rPr>
                <w:rFonts w:cs="Times New Roman"/>
                <w:szCs w:val="22"/>
              </w:rPr>
              <w:t xml:space="preserve"> are not required to verify the amount of the family’s federal tax refund or refundable tax credit(s) if the family’s net assets are equal to or below $50,000 (adjusted annually for inflation), even in years when full verification of assets is required or if the </w:t>
            </w:r>
            <w:r w:rsidR="00927369">
              <w:rPr>
                <w:rFonts w:cs="Times New Roman"/>
                <w:szCs w:val="22"/>
              </w:rPr>
              <w:t>Owner</w:t>
            </w:r>
            <w:r w:rsidR="000F29A7" w:rsidRPr="0088258D">
              <w:rPr>
                <w:rFonts w:cs="Times New Roman"/>
                <w:szCs w:val="22"/>
              </w:rPr>
              <w:t xml:space="preserve"> does not accept self-certification of assets. The </w:t>
            </w:r>
            <w:r w:rsidR="00927369">
              <w:rPr>
                <w:rFonts w:cs="Times New Roman"/>
                <w:szCs w:val="22"/>
              </w:rPr>
              <w:t>Owner</w:t>
            </w:r>
            <w:r w:rsidR="000F29A7" w:rsidRPr="0088258D">
              <w:rPr>
                <w:rFonts w:cs="Times New Roman"/>
                <w:szCs w:val="22"/>
              </w:rPr>
              <w:t xml:space="preserve"> must verify the amount of the family’s federal tax refund or refundable tax credits only if the family’s net assets are greater than $50,000.</w:t>
            </w:r>
          </w:p>
        </w:tc>
      </w:tr>
      <w:tr w:rsidR="000F29A7" w:rsidRPr="0088258D" w14:paraId="2AE95611" w14:textId="77777777" w:rsidTr="1281F8EE">
        <w:trPr>
          <w:trHeight w:val="20"/>
        </w:trPr>
        <w:tc>
          <w:tcPr>
            <w:tcW w:w="720" w:type="dxa"/>
          </w:tcPr>
          <w:p w14:paraId="3212D1B0" w14:textId="61FE9941" w:rsidR="000F29A7" w:rsidRPr="0088258D" w:rsidRDefault="000F29A7" w:rsidP="000F29A7">
            <w:pPr>
              <w:pStyle w:val="TableCellYear"/>
              <w:rPr>
                <w:rFonts w:cs="Times New Roman"/>
                <w:szCs w:val="22"/>
              </w:rPr>
            </w:pPr>
            <w:r w:rsidRPr="0088258D">
              <w:rPr>
                <w:rFonts w:cs="Times New Roman"/>
                <w:szCs w:val="22"/>
              </w:rPr>
              <w:lastRenderedPageBreak/>
              <w:t>30</w:t>
            </w:r>
          </w:p>
        </w:tc>
        <w:tc>
          <w:tcPr>
            <w:tcW w:w="2160" w:type="dxa"/>
          </w:tcPr>
          <w:p w14:paraId="17032428" w14:textId="77777777" w:rsidR="000F29A7" w:rsidRPr="0088258D" w:rsidRDefault="000F29A7" w:rsidP="000F29A7">
            <w:pPr>
              <w:pStyle w:val="TableCellGeneralText"/>
              <w:rPr>
                <w:rFonts w:cs="Times New Roman"/>
                <w:szCs w:val="22"/>
              </w:rPr>
            </w:pPr>
            <w:r w:rsidRPr="0088258D">
              <w:rPr>
                <w:rFonts w:cs="Times New Roman"/>
                <w:szCs w:val="22"/>
              </w:rPr>
              <w:t>Assets Disposed of for Less Than Market Value</w:t>
            </w:r>
          </w:p>
        </w:tc>
        <w:tc>
          <w:tcPr>
            <w:tcW w:w="10080" w:type="dxa"/>
          </w:tcPr>
          <w:p w14:paraId="6E8ED67D" w14:textId="357B453B" w:rsidR="000F29A7" w:rsidRPr="0088258D" w:rsidRDefault="00A149A0" w:rsidP="000F29A7">
            <w:pPr>
              <w:pStyle w:val="TableCellGeneralText"/>
              <w:rPr>
                <w:rFonts w:cs="Times New Roman"/>
                <w:szCs w:val="22"/>
              </w:rPr>
            </w:pPr>
            <w:r>
              <w:rPr>
                <w:rFonts w:cs="Times New Roman"/>
                <w:szCs w:val="22"/>
              </w:rPr>
              <w:t>Owners</w:t>
            </w:r>
            <w:r w:rsidR="000F29A7" w:rsidRPr="0088258D">
              <w:rPr>
                <w:rFonts w:cs="Times New Roman"/>
                <w:szCs w:val="22"/>
              </w:rPr>
              <w:t xml:space="preserve"> must include the value </w:t>
            </w:r>
            <w:r w:rsidR="000F29A7" w:rsidRPr="0088258D">
              <w:rPr>
                <w:rFonts w:cs="Times New Roman"/>
                <w:i/>
                <w:iCs/>
                <w:szCs w:val="22"/>
              </w:rPr>
              <w:t>exceeding the amount received in compensation</w:t>
            </w:r>
            <w:r w:rsidR="000F29A7" w:rsidRPr="0088258D">
              <w:rPr>
                <w:rFonts w:cs="Times New Roman"/>
                <w:szCs w:val="22"/>
              </w:rPr>
              <w:t xml:space="preserve"> from any business of family asset disposed of for less than fair market value during the two years preceding the application or reexamination. </w:t>
            </w:r>
          </w:p>
          <w:p w14:paraId="78C76FF2" w14:textId="32A11EF1" w:rsidR="000F29A7" w:rsidRPr="0088258D" w:rsidRDefault="000F29A7" w:rsidP="000F29A7">
            <w:pPr>
              <w:pStyle w:val="TableBullet1"/>
              <w:rPr>
                <w:rFonts w:cs="Times New Roman"/>
                <w:szCs w:val="22"/>
              </w:rPr>
            </w:pPr>
            <w:r w:rsidRPr="0088258D">
              <w:rPr>
                <w:rFonts w:cs="Times New Roman"/>
                <w:szCs w:val="22"/>
              </w:rPr>
              <w:t>This includes disposition in a trust, but not in a foreclosure or bankruptcy sale.</w:t>
            </w:r>
          </w:p>
          <w:p w14:paraId="161E7E8B" w14:textId="31996C7B" w:rsidR="000F29A7" w:rsidRPr="0088258D" w:rsidRDefault="000F29A7" w:rsidP="000F29A7">
            <w:pPr>
              <w:pStyle w:val="TableCellGeneralText"/>
              <w:spacing w:before="120"/>
              <w:rPr>
                <w:rFonts w:cs="Times New Roman"/>
                <w:szCs w:val="22"/>
              </w:rPr>
            </w:pPr>
            <w:r w:rsidRPr="0088258D">
              <w:rPr>
                <w:rFonts w:eastAsiaTheme="minorEastAsia" w:cs="Times New Roman"/>
                <w:szCs w:val="22"/>
              </w:rPr>
              <w:t>The disposition is not considered less than fair market value if it was part of a separation or divorce settlement, or if the resident or applicant receives compensation that is not measurable in dollar terms.</w:t>
            </w:r>
          </w:p>
        </w:tc>
      </w:tr>
      <w:tr w:rsidR="000F29A7" w:rsidRPr="0088258D" w14:paraId="66405D86" w14:textId="77777777" w:rsidTr="1281F8EE">
        <w:trPr>
          <w:trHeight w:val="20"/>
        </w:trPr>
        <w:tc>
          <w:tcPr>
            <w:tcW w:w="720" w:type="dxa"/>
          </w:tcPr>
          <w:p w14:paraId="54978D29" w14:textId="5CA94386" w:rsidR="000F29A7" w:rsidRPr="0088258D" w:rsidRDefault="000F29A7" w:rsidP="000F29A7">
            <w:pPr>
              <w:pStyle w:val="TableCellYear"/>
              <w:rPr>
                <w:rFonts w:cs="Times New Roman"/>
                <w:szCs w:val="22"/>
              </w:rPr>
            </w:pPr>
            <w:r w:rsidRPr="0088258D">
              <w:rPr>
                <w:rFonts w:cs="Times New Roman"/>
                <w:szCs w:val="22"/>
              </w:rPr>
              <w:t>31</w:t>
            </w:r>
          </w:p>
        </w:tc>
        <w:tc>
          <w:tcPr>
            <w:tcW w:w="2160" w:type="dxa"/>
          </w:tcPr>
          <w:p w14:paraId="550F4692" w14:textId="77777777" w:rsidR="000F29A7" w:rsidRPr="0088258D" w:rsidRDefault="000F29A7" w:rsidP="000F29A7">
            <w:pPr>
              <w:pStyle w:val="TableCellGeneralText"/>
              <w:rPr>
                <w:rFonts w:cs="Times New Roman"/>
                <w:szCs w:val="22"/>
              </w:rPr>
            </w:pPr>
            <w:r w:rsidRPr="0088258D">
              <w:rPr>
                <w:rFonts w:cs="Times New Roman"/>
                <w:szCs w:val="22"/>
              </w:rPr>
              <w:t>Negative Equity</w:t>
            </w:r>
          </w:p>
        </w:tc>
        <w:tc>
          <w:tcPr>
            <w:tcW w:w="10080" w:type="dxa"/>
          </w:tcPr>
          <w:p w14:paraId="46131F5D" w14:textId="77777777" w:rsidR="000F29A7" w:rsidRPr="0088258D" w:rsidRDefault="000F29A7" w:rsidP="000F29A7">
            <w:pPr>
              <w:pStyle w:val="TableCellGeneralText"/>
              <w:rPr>
                <w:rFonts w:cs="Times New Roman"/>
                <w:szCs w:val="22"/>
              </w:rPr>
            </w:pPr>
            <w:r w:rsidRPr="0088258D">
              <w:rPr>
                <w:rFonts w:cs="Times New Roman"/>
                <w:szCs w:val="22"/>
              </w:rPr>
              <w:t>Negative equity occurs when the value of real property or other assets is less than the outstanding balance owed on that asset.</w:t>
            </w:r>
          </w:p>
          <w:p w14:paraId="66A701D5" w14:textId="6B9B4500" w:rsidR="000F29A7" w:rsidRPr="0088258D" w:rsidRDefault="000F29A7" w:rsidP="000F29A7">
            <w:pPr>
              <w:pStyle w:val="TableBullet1"/>
              <w:rPr>
                <w:rFonts w:cs="Times New Roman"/>
                <w:szCs w:val="22"/>
              </w:rPr>
            </w:pPr>
            <w:r w:rsidRPr="0088258D">
              <w:rPr>
                <w:rFonts w:cs="Times New Roman"/>
                <w:szCs w:val="22"/>
              </w:rPr>
              <w:t xml:space="preserve">Negative equity does not prohibit the </w:t>
            </w:r>
            <w:r w:rsidR="00927369">
              <w:rPr>
                <w:rFonts w:cs="Times New Roman"/>
                <w:szCs w:val="22"/>
              </w:rPr>
              <w:t>Owner</w:t>
            </w:r>
            <w:r w:rsidRPr="0088258D">
              <w:rPr>
                <w:rFonts w:cs="Times New Roman"/>
                <w:szCs w:val="22"/>
              </w:rPr>
              <w:t xml:space="preserve"> from selling that asset.</w:t>
            </w:r>
          </w:p>
          <w:p w14:paraId="2FFE3A6C" w14:textId="0F7E3A1E" w:rsidR="000F29A7" w:rsidRPr="0088258D" w:rsidRDefault="000F29A7" w:rsidP="000F29A7">
            <w:pPr>
              <w:pStyle w:val="TableBullet1"/>
              <w:rPr>
                <w:rFonts w:cs="Times New Roman"/>
                <w:szCs w:val="22"/>
              </w:rPr>
            </w:pPr>
            <w:r w:rsidRPr="0088258D">
              <w:rPr>
                <w:rFonts w:cs="Times New Roman"/>
                <w:szCs w:val="22"/>
              </w:rPr>
              <w:t xml:space="preserve">Nor is it a basis for exclusion from Net Family </w:t>
            </w:r>
            <w:r w:rsidR="003425FF" w:rsidRPr="0088258D">
              <w:rPr>
                <w:rFonts w:cs="Times New Roman"/>
                <w:szCs w:val="22"/>
              </w:rPr>
              <w:t>Assets because</w:t>
            </w:r>
            <w:r w:rsidRPr="0088258D">
              <w:rPr>
                <w:rFonts w:cs="Times New Roman"/>
                <w:szCs w:val="22"/>
              </w:rPr>
              <w:t xml:space="preserve"> that asset can still be sold or exchanged for some monetary value. </w:t>
            </w:r>
          </w:p>
          <w:p w14:paraId="4714063E" w14:textId="190484E6" w:rsidR="000F29A7" w:rsidRPr="0088258D" w:rsidRDefault="000F29A7" w:rsidP="000F29A7">
            <w:pPr>
              <w:pStyle w:val="TableCellGeneralText"/>
              <w:spacing w:before="120"/>
              <w:rPr>
                <w:rFonts w:cs="Times New Roman"/>
                <w:szCs w:val="22"/>
              </w:rPr>
            </w:pPr>
            <w:r w:rsidRPr="0088258D">
              <w:rPr>
                <w:rFonts w:cs="Times New Roman"/>
                <w:szCs w:val="22"/>
              </w:rPr>
              <w:t>This means that assets with negative equity must be included when determining the Net Family Assets in order to calculate asset income.</w:t>
            </w:r>
          </w:p>
        </w:tc>
      </w:tr>
      <w:tr w:rsidR="000F29A7" w:rsidRPr="0088258D" w14:paraId="5A4147BA" w14:textId="77777777" w:rsidTr="1281F8EE">
        <w:trPr>
          <w:trHeight w:val="20"/>
        </w:trPr>
        <w:tc>
          <w:tcPr>
            <w:tcW w:w="720" w:type="dxa"/>
          </w:tcPr>
          <w:p w14:paraId="4E50D830" w14:textId="124B5D01" w:rsidR="000F29A7" w:rsidRPr="0088258D" w:rsidRDefault="000F29A7" w:rsidP="000F29A7">
            <w:pPr>
              <w:pStyle w:val="TableCellYear"/>
              <w:rPr>
                <w:rFonts w:cs="Times New Roman"/>
                <w:szCs w:val="22"/>
              </w:rPr>
            </w:pPr>
            <w:r w:rsidRPr="0088258D">
              <w:rPr>
                <w:rFonts w:cs="Times New Roman"/>
                <w:szCs w:val="22"/>
              </w:rPr>
              <w:t>32</w:t>
            </w:r>
          </w:p>
        </w:tc>
        <w:tc>
          <w:tcPr>
            <w:tcW w:w="2160" w:type="dxa"/>
          </w:tcPr>
          <w:p w14:paraId="0E82829B" w14:textId="77777777" w:rsidR="000F29A7" w:rsidRPr="0088258D" w:rsidRDefault="000F29A7" w:rsidP="000F29A7">
            <w:pPr>
              <w:pStyle w:val="TableCellGeneralText"/>
              <w:rPr>
                <w:rFonts w:cs="Times New Roman"/>
                <w:szCs w:val="22"/>
              </w:rPr>
            </w:pPr>
            <w:r w:rsidRPr="0088258D">
              <w:rPr>
                <w:rFonts w:cs="Times New Roman"/>
                <w:szCs w:val="22"/>
              </w:rPr>
              <w:t>Summary: Determining Net Family Assets</w:t>
            </w:r>
          </w:p>
        </w:tc>
        <w:tc>
          <w:tcPr>
            <w:tcW w:w="10080" w:type="dxa"/>
          </w:tcPr>
          <w:p w14:paraId="2616F13C" w14:textId="5D6B289F" w:rsidR="000F29A7" w:rsidRPr="0088258D" w:rsidRDefault="000F29A7" w:rsidP="000F29A7">
            <w:pPr>
              <w:pStyle w:val="TableCellGeneralText"/>
              <w:rPr>
                <w:rFonts w:cs="Times New Roman"/>
                <w:szCs w:val="22"/>
              </w:rPr>
            </w:pPr>
            <w:r w:rsidRPr="0088258D">
              <w:rPr>
                <w:rFonts w:cs="Times New Roman"/>
                <w:szCs w:val="22"/>
              </w:rPr>
              <w:t xml:space="preserve">Let’s recap this section on determining Net Family Assets. </w:t>
            </w:r>
          </w:p>
          <w:p w14:paraId="3FD92DA1" w14:textId="36423C7A" w:rsidR="000F29A7" w:rsidRPr="0088258D" w:rsidRDefault="000F29A7" w:rsidP="000F29A7">
            <w:pPr>
              <w:pStyle w:val="TableBullet1"/>
              <w:rPr>
                <w:rFonts w:cs="Times New Roman"/>
                <w:szCs w:val="22"/>
              </w:rPr>
            </w:pPr>
            <w:r w:rsidRPr="0088258D">
              <w:rPr>
                <w:rFonts w:cs="Times New Roman"/>
                <w:szCs w:val="22"/>
              </w:rPr>
              <w:t xml:space="preserve">Assets fall into two categories: real property and personal property. </w:t>
            </w:r>
          </w:p>
          <w:p w14:paraId="09B8519C" w14:textId="3DFA3CC1" w:rsidR="000F29A7" w:rsidRPr="0088258D" w:rsidRDefault="000F29A7" w:rsidP="000F29A7">
            <w:pPr>
              <w:pStyle w:val="TableBullet1"/>
              <w:rPr>
                <w:rFonts w:cs="Times New Roman"/>
                <w:szCs w:val="22"/>
              </w:rPr>
            </w:pPr>
            <w:r w:rsidRPr="0088258D">
              <w:rPr>
                <w:rFonts w:cs="Times New Roman"/>
                <w:szCs w:val="22"/>
              </w:rPr>
              <w:t>The value of real property, unless it is excluded under C.F.R. 5.603, is always counted in Net Family Assets.</w:t>
            </w:r>
          </w:p>
          <w:p w14:paraId="746B7A57" w14:textId="3705C429" w:rsidR="000F29A7" w:rsidRPr="0088258D" w:rsidRDefault="000F29A7" w:rsidP="000F29A7">
            <w:pPr>
              <w:pStyle w:val="TableBullet1"/>
              <w:rPr>
                <w:rFonts w:cs="Times New Roman"/>
                <w:szCs w:val="22"/>
              </w:rPr>
            </w:pPr>
            <w:r w:rsidRPr="0088258D">
              <w:rPr>
                <w:rFonts w:cs="Times New Roman"/>
                <w:szCs w:val="22"/>
              </w:rPr>
              <w:t>Personal property is considered to be either necessary or non-necessary. Necessary personal property is always excluded from Net Family Assets. Non-necessary personal property is only included in Net Family Assets when its total value exceeds $50,000, adjusted annually for inflation.</w:t>
            </w:r>
          </w:p>
        </w:tc>
      </w:tr>
      <w:tr w:rsidR="000F29A7" w:rsidRPr="0088258D" w14:paraId="653FC772" w14:textId="77777777" w:rsidTr="1281F8EE">
        <w:trPr>
          <w:trHeight w:val="20"/>
        </w:trPr>
        <w:tc>
          <w:tcPr>
            <w:tcW w:w="720" w:type="dxa"/>
          </w:tcPr>
          <w:p w14:paraId="1569889C" w14:textId="39C370B6" w:rsidR="000F29A7" w:rsidRPr="0088258D" w:rsidRDefault="000F29A7" w:rsidP="000F29A7">
            <w:pPr>
              <w:pStyle w:val="TableCellYear"/>
              <w:rPr>
                <w:rFonts w:cs="Times New Roman"/>
                <w:szCs w:val="22"/>
              </w:rPr>
            </w:pPr>
            <w:r w:rsidRPr="0088258D">
              <w:rPr>
                <w:rFonts w:cs="Times New Roman"/>
                <w:szCs w:val="22"/>
              </w:rPr>
              <w:t>33</w:t>
            </w:r>
          </w:p>
        </w:tc>
        <w:tc>
          <w:tcPr>
            <w:tcW w:w="2160" w:type="dxa"/>
          </w:tcPr>
          <w:p w14:paraId="0CAA7A94" w14:textId="77777777" w:rsidR="000F29A7" w:rsidRPr="0088258D" w:rsidRDefault="000F29A7" w:rsidP="000F29A7">
            <w:pPr>
              <w:pStyle w:val="TableCellGeneralText"/>
              <w:rPr>
                <w:rFonts w:cs="Times New Roman"/>
                <w:szCs w:val="22"/>
              </w:rPr>
            </w:pPr>
            <w:r w:rsidRPr="0088258D">
              <w:rPr>
                <w:rFonts w:cs="Times New Roman"/>
                <w:szCs w:val="22"/>
              </w:rPr>
              <w:t>Example List of Net Family Assets</w:t>
            </w:r>
          </w:p>
        </w:tc>
        <w:tc>
          <w:tcPr>
            <w:tcW w:w="10080" w:type="dxa"/>
          </w:tcPr>
          <w:p w14:paraId="032D3232" w14:textId="45296D53" w:rsidR="000F29A7" w:rsidRPr="0088258D" w:rsidRDefault="000F29A7" w:rsidP="000F29A7">
            <w:pPr>
              <w:pStyle w:val="TableCellGeneralText"/>
              <w:rPr>
                <w:rFonts w:cs="Times New Roman"/>
                <w:szCs w:val="22"/>
              </w:rPr>
            </w:pPr>
            <w:r w:rsidRPr="0088258D">
              <w:rPr>
                <w:rFonts w:cs="Times New Roman"/>
                <w:szCs w:val="22"/>
              </w:rPr>
              <w:t>Let’s look at a few examples of assets to identify whether they should be considered when determining the value of Net Family Assets.</w:t>
            </w:r>
          </w:p>
          <w:p w14:paraId="77EB6501" w14:textId="6CC75E75" w:rsidR="000F29A7" w:rsidRPr="0088258D" w:rsidRDefault="000F29A7" w:rsidP="000F29A7">
            <w:pPr>
              <w:pStyle w:val="TableBullet1"/>
              <w:rPr>
                <w:rFonts w:cs="Times New Roman"/>
                <w:szCs w:val="22"/>
              </w:rPr>
            </w:pPr>
            <w:r w:rsidRPr="0088258D">
              <w:rPr>
                <w:rFonts w:cs="Times New Roman"/>
                <w:szCs w:val="22"/>
              </w:rPr>
              <w:t>A checking account is considered non-necessary personal property and is included in Net Family Assets only if the total combined value of non-necessary personal property is more than $50,000, adjusted for inflation.</w:t>
            </w:r>
          </w:p>
          <w:p w14:paraId="1C8EC417" w14:textId="77777777" w:rsidR="000F29A7" w:rsidRPr="0088258D" w:rsidRDefault="000F29A7" w:rsidP="000F29A7">
            <w:pPr>
              <w:pStyle w:val="TableBullet1"/>
              <w:rPr>
                <w:rFonts w:cs="Times New Roman"/>
                <w:szCs w:val="22"/>
              </w:rPr>
            </w:pPr>
            <w:r w:rsidRPr="0088258D">
              <w:rPr>
                <w:rFonts w:cs="Times New Roman"/>
                <w:szCs w:val="22"/>
              </w:rPr>
              <w:t>An engagement ring is considered necessary personal property and is excluded from Net Family Assets.</w:t>
            </w:r>
          </w:p>
          <w:p w14:paraId="2C055FFA" w14:textId="65F40035" w:rsidR="000F29A7" w:rsidRPr="0088258D" w:rsidRDefault="000F29A7" w:rsidP="000F29A7">
            <w:pPr>
              <w:pStyle w:val="TableBullet1"/>
              <w:rPr>
                <w:rFonts w:cs="Times New Roman"/>
                <w:szCs w:val="22"/>
              </w:rPr>
            </w:pPr>
            <w:r w:rsidRPr="0088258D">
              <w:rPr>
                <w:rFonts w:cs="Times New Roman"/>
                <w:szCs w:val="22"/>
              </w:rPr>
              <w:t>A parcel of land is considered real property and is included in Net Family Assets.</w:t>
            </w:r>
          </w:p>
        </w:tc>
      </w:tr>
      <w:tr w:rsidR="000F29A7" w:rsidRPr="0088258D" w14:paraId="60CFF999" w14:textId="77777777" w:rsidTr="1281F8EE">
        <w:trPr>
          <w:trHeight w:val="20"/>
        </w:trPr>
        <w:tc>
          <w:tcPr>
            <w:tcW w:w="720" w:type="dxa"/>
          </w:tcPr>
          <w:p w14:paraId="5AD34125" w14:textId="1FFACD44" w:rsidR="000F29A7" w:rsidRPr="0088258D" w:rsidRDefault="000F29A7" w:rsidP="000F29A7">
            <w:pPr>
              <w:pStyle w:val="TableCellYear"/>
              <w:rPr>
                <w:rFonts w:cs="Times New Roman"/>
                <w:szCs w:val="22"/>
              </w:rPr>
            </w:pPr>
            <w:r w:rsidRPr="0088258D">
              <w:rPr>
                <w:rFonts w:cs="Times New Roman"/>
                <w:szCs w:val="22"/>
              </w:rPr>
              <w:t>34</w:t>
            </w:r>
          </w:p>
        </w:tc>
        <w:tc>
          <w:tcPr>
            <w:tcW w:w="2160" w:type="dxa"/>
          </w:tcPr>
          <w:p w14:paraId="75771562" w14:textId="77777777" w:rsidR="000F29A7" w:rsidRPr="0088258D" w:rsidRDefault="000F29A7" w:rsidP="000F29A7">
            <w:pPr>
              <w:pStyle w:val="TableCellGeneralText"/>
              <w:rPr>
                <w:rFonts w:cs="Times New Roman"/>
                <w:szCs w:val="22"/>
              </w:rPr>
            </w:pPr>
            <w:r w:rsidRPr="0088258D">
              <w:rPr>
                <w:rFonts w:cs="Times New Roman"/>
                <w:szCs w:val="22"/>
              </w:rPr>
              <w:t>Example List of Net Family Assets</w:t>
            </w:r>
          </w:p>
        </w:tc>
        <w:tc>
          <w:tcPr>
            <w:tcW w:w="10080" w:type="dxa"/>
          </w:tcPr>
          <w:p w14:paraId="747C54D9" w14:textId="60C6B784" w:rsidR="000F29A7" w:rsidRPr="0088258D" w:rsidRDefault="000F29A7" w:rsidP="000F29A7">
            <w:pPr>
              <w:pStyle w:val="TableCellGeneralText"/>
              <w:rPr>
                <w:rFonts w:cs="Times New Roman"/>
                <w:szCs w:val="22"/>
              </w:rPr>
            </w:pPr>
            <w:r w:rsidRPr="0088258D">
              <w:rPr>
                <w:rFonts w:cs="Times New Roman"/>
                <w:szCs w:val="22"/>
              </w:rPr>
              <w:t>Here are some additional items, the type of asset it is considered, and whether it should be considered when determining the value of Net Family Assets.</w:t>
            </w:r>
          </w:p>
        </w:tc>
      </w:tr>
      <w:tr w:rsidR="000F29A7" w:rsidRPr="0088258D" w14:paraId="094D503D" w14:textId="77777777" w:rsidTr="1281F8EE">
        <w:trPr>
          <w:trHeight w:val="20"/>
        </w:trPr>
        <w:tc>
          <w:tcPr>
            <w:tcW w:w="720" w:type="dxa"/>
          </w:tcPr>
          <w:p w14:paraId="25A74AA9" w14:textId="13F017D0" w:rsidR="000F29A7" w:rsidRPr="0088258D" w:rsidRDefault="000F29A7" w:rsidP="000F29A7">
            <w:pPr>
              <w:pStyle w:val="TableCellYear"/>
              <w:rPr>
                <w:rFonts w:cs="Times New Roman"/>
                <w:szCs w:val="22"/>
              </w:rPr>
            </w:pPr>
            <w:r w:rsidRPr="0088258D">
              <w:rPr>
                <w:rFonts w:cs="Times New Roman"/>
                <w:szCs w:val="22"/>
              </w:rPr>
              <w:lastRenderedPageBreak/>
              <w:t>35</w:t>
            </w:r>
          </w:p>
        </w:tc>
        <w:tc>
          <w:tcPr>
            <w:tcW w:w="2160" w:type="dxa"/>
          </w:tcPr>
          <w:p w14:paraId="1DE7F456" w14:textId="77777777" w:rsidR="000F29A7" w:rsidRPr="0088258D" w:rsidRDefault="000F29A7" w:rsidP="000F29A7">
            <w:pPr>
              <w:pStyle w:val="TableCellGeneralText"/>
              <w:rPr>
                <w:rFonts w:cs="Times New Roman"/>
                <w:szCs w:val="22"/>
              </w:rPr>
            </w:pPr>
            <w:r w:rsidRPr="0088258D">
              <w:rPr>
                <w:rFonts w:cs="Times New Roman"/>
                <w:szCs w:val="22"/>
              </w:rPr>
              <w:t>Example List of Net Family Assets</w:t>
            </w:r>
          </w:p>
        </w:tc>
        <w:tc>
          <w:tcPr>
            <w:tcW w:w="10080" w:type="dxa"/>
          </w:tcPr>
          <w:p w14:paraId="669550E5" w14:textId="77777777" w:rsidR="000F29A7" w:rsidRPr="0088258D" w:rsidRDefault="000F29A7" w:rsidP="000F29A7">
            <w:pPr>
              <w:pStyle w:val="TableCellGeneralText"/>
              <w:rPr>
                <w:rFonts w:cs="Times New Roman"/>
                <w:szCs w:val="22"/>
              </w:rPr>
            </w:pPr>
            <w:r w:rsidRPr="0088258D">
              <w:rPr>
                <w:rFonts w:cs="Times New Roman"/>
                <w:szCs w:val="22"/>
              </w:rPr>
              <w:t>And here are a few more items.</w:t>
            </w:r>
          </w:p>
        </w:tc>
      </w:tr>
      <w:tr w:rsidR="000F29A7" w:rsidRPr="0088258D" w14:paraId="2CFEA42F" w14:textId="77777777" w:rsidTr="1281F8EE">
        <w:trPr>
          <w:trHeight w:val="20"/>
        </w:trPr>
        <w:tc>
          <w:tcPr>
            <w:tcW w:w="720" w:type="dxa"/>
          </w:tcPr>
          <w:p w14:paraId="760BEEFA" w14:textId="0F41DB8C" w:rsidR="000F29A7" w:rsidRPr="0088258D" w:rsidRDefault="000F29A7" w:rsidP="000F29A7">
            <w:pPr>
              <w:pStyle w:val="TableCellYear"/>
              <w:rPr>
                <w:rFonts w:cs="Times New Roman"/>
                <w:szCs w:val="22"/>
              </w:rPr>
            </w:pPr>
            <w:r w:rsidRPr="0088258D">
              <w:rPr>
                <w:rFonts w:cs="Times New Roman"/>
                <w:szCs w:val="22"/>
              </w:rPr>
              <w:t>36</w:t>
            </w:r>
          </w:p>
        </w:tc>
        <w:tc>
          <w:tcPr>
            <w:tcW w:w="2160" w:type="dxa"/>
          </w:tcPr>
          <w:p w14:paraId="42DBDD37" w14:textId="77777777" w:rsidR="000F29A7" w:rsidRPr="0088258D" w:rsidRDefault="000F29A7" w:rsidP="000F29A7">
            <w:pPr>
              <w:pStyle w:val="TableCellGeneralText"/>
              <w:rPr>
                <w:rFonts w:cs="Times New Roman"/>
                <w:szCs w:val="22"/>
              </w:rPr>
            </w:pPr>
            <w:r w:rsidRPr="0088258D">
              <w:rPr>
                <w:rFonts w:cs="Times New Roman"/>
                <w:szCs w:val="22"/>
              </w:rPr>
              <w:t>Knowledge Check</w:t>
            </w:r>
          </w:p>
        </w:tc>
        <w:tc>
          <w:tcPr>
            <w:tcW w:w="10080" w:type="dxa"/>
          </w:tcPr>
          <w:p w14:paraId="07C24C25" w14:textId="3B8EA3BB" w:rsidR="000F29A7" w:rsidRPr="0088258D" w:rsidRDefault="000F29A7" w:rsidP="000F29A7">
            <w:pPr>
              <w:pStyle w:val="TableCellText-Spaced"/>
              <w:rPr>
                <w:rFonts w:cs="Times New Roman"/>
                <w:szCs w:val="22"/>
              </w:rPr>
            </w:pPr>
            <w:r w:rsidRPr="0088258D">
              <w:rPr>
                <w:rFonts w:cs="Times New Roman"/>
                <w:szCs w:val="22"/>
              </w:rPr>
              <w:t>Now let’s test our knowledge.</w:t>
            </w:r>
          </w:p>
          <w:p w14:paraId="61B171EF" w14:textId="16F6BBBE" w:rsidR="000F29A7" w:rsidRPr="0088258D" w:rsidRDefault="000F29A7" w:rsidP="000F29A7">
            <w:pPr>
              <w:pStyle w:val="TableCellGeneralText"/>
              <w:rPr>
                <w:rFonts w:cs="Times New Roman"/>
                <w:szCs w:val="22"/>
              </w:rPr>
            </w:pPr>
            <w:r w:rsidRPr="0088258D">
              <w:rPr>
                <w:rFonts w:cs="Times New Roman"/>
                <w:szCs w:val="22"/>
              </w:rPr>
              <w:t xml:space="preserve">Which of the following are </w:t>
            </w:r>
            <w:r w:rsidRPr="0088258D">
              <w:rPr>
                <w:rFonts w:cs="Times New Roman"/>
                <w:b/>
                <w:bCs w:val="0"/>
                <w:szCs w:val="22"/>
              </w:rPr>
              <w:t>necessary personal property</w:t>
            </w:r>
            <w:r w:rsidRPr="0088258D">
              <w:rPr>
                <w:rFonts w:cs="Times New Roman"/>
                <w:szCs w:val="22"/>
              </w:rPr>
              <w:t xml:space="preserve"> and, therefore, are not included in </w:t>
            </w:r>
            <w:r w:rsidRPr="0088258D">
              <w:rPr>
                <w:rFonts w:cs="Times New Roman"/>
                <w:b/>
                <w:bCs w:val="0"/>
                <w:szCs w:val="22"/>
              </w:rPr>
              <w:t xml:space="preserve">Net Family Assets </w:t>
            </w:r>
            <w:r w:rsidRPr="0088258D">
              <w:rPr>
                <w:rFonts w:cs="Times New Roman"/>
                <w:szCs w:val="22"/>
              </w:rPr>
              <w:t>calculations?</w:t>
            </w:r>
          </w:p>
          <w:p w14:paraId="38D1A64D" w14:textId="3969B07B" w:rsidR="000F29A7" w:rsidRPr="0088258D" w:rsidRDefault="000F29A7" w:rsidP="00B45B1B">
            <w:pPr>
              <w:pStyle w:val="TableCellGeneralText"/>
              <w:numPr>
                <w:ilvl w:val="0"/>
                <w:numId w:val="15"/>
              </w:numPr>
              <w:spacing w:before="60"/>
              <w:ind w:left="648"/>
              <w:rPr>
                <w:rFonts w:cs="Times New Roman"/>
                <w:szCs w:val="22"/>
              </w:rPr>
            </w:pPr>
            <w:r w:rsidRPr="0088258D">
              <w:rPr>
                <w:rFonts w:cs="Times New Roman"/>
                <w:szCs w:val="22"/>
              </w:rPr>
              <w:t>Each family member’s personal smartphone</w:t>
            </w:r>
          </w:p>
          <w:p w14:paraId="5DE5AD51" w14:textId="03A94EE9" w:rsidR="000F29A7" w:rsidRPr="0088258D" w:rsidRDefault="000F29A7" w:rsidP="00B45B1B">
            <w:pPr>
              <w:pStyle w:val="TableCellGeneralText"/>
              <w:numPr>
                <w:ilvl w:val="0"/>
                <w:numId w:val="15"/>
              </w:numPr>
              <w:spacing w:before="60"/>
              <w:ind w:left="648"/>
              <w:rPr>
                <w:rFonts w:cs="Times New Roman"/>
                <w:szCs w:val="22"/>
              </w:rPr>
            </w:pPr>
            <w:r w:rsidRPr="0088258D">
              <w:rPr>
                <w:rFonts w:cs="Times New Roman"/>
                <w:szCs w:val="22"/>
              </w:rPr>
              <w:t>Each family member’s personal checking or savings bank account</w:t>
            </w:r>
          </w:p>
          <w:p w14:paraId="4F36D1FE" w14:textId="77777777" w:rsidR="000F29A7" w:rsidRPr="0088258D" w:rsidRDefault="000F29A7" w:rsidP="00B45B1B">
            <w:pPr>
              <w:pStyle w:val="TableCellGeneralText"/>
              <w:numPr>
                <w:ilvl w:val="0"/>
                <w:numId w:val="15"/>
              </w:numPr>
              <w:spacing w:before="60"/>
              <w:ind w:left="648"/>
              <w:rPr>
                <w:rFonts w:cs="Times New Roman"/>
                <w:szCs w:val="22"/>
              </w:rPr>
            </w:pPr>
            <w:r w:rsidRPr="0088258D">
              <w:rPr>
                <w:rFonts w:cs="Times New Roman"/>
                <w:szCs w:val="22"/>
              </w:rPr>
              <w:t>Stamps that are displayed or stored away as collectibles</w:t>
            </w:r>
          </w:p>
          <w:p w14:paraId="0522E7C0" w14:textId="77777777" w:rsidR="000F29A7" w:rsidRPr="0088258D" w:rsidRDefault="000F29A7" w:rsidP="00B45B1B">
            <w:pPr>
              <w:pStyle w:val="TableCellGeneralText"/>
              <w:numPr>
                <w:ilvl w:val="0"/>
                <w:numId w:val="15"/>
              </w:numPr>
              <w:spacing w:before="60"/>
              <w:ind w:left="648"/>
              <w:rPr>
                <w:rFonts w:cs="Times New Roman"/>
                <w:szCs w:val="22"/>
              </w:rPr>
            </w:pPr>
            <w:r w:rsidRPr="0088258D">
              <w:rPr>
                <w:rFonts w:cs="Times New Roman"/>
                <w:szCs w:val="22"/>
              </w:rPr>
              <w:t>A motorcycle that is used only for recreation, not day-to-day transportation</w:t>
            </w:r>
          </w:p>
          <w:p w14:paraId="47B2AF5F" w14:textId="45E965C4" w:rsidR="000F29A7" w:rsidRPr="0088258D" w:rsidRDefault="000F29A7" w:rsidP="00B45B1B">
            <w:pPr>
              <w:pStyle w:val="TableCellGeneralText"/>
              <w:numPr>
                <w:ilvl w:val="0"/>
                <w:numId w:val="15"/>
              </w:numPr>
              <w:spacing w:before="60"/>
              <w:ind w:left="648"/>
              <w:rPr>
                <w:rFonts w:cs="Times New Roman"/>
                <w:szCs w:val="22"/>
              </w:rPr>
            </w:pPr>
            <w:r w:rsidRPr="0088258D">
              <w:rPr>
                <w:rFonts w:cs="Times New Roman"/>
                <w:szCs w:val="22"/>
              </w:rPr>
              <w:t>A laptop used for personal tasks</w:t>
            </w:r>
          </w:p>
        </w:tc>
      </w:tr>
      <w:tr w:rsidR="000F29A7" w:rsidRPr="0088258D" w14:paraId="7B18CCC7" w14:textId="77777777" w:rsidTr="1281F8EE">
        <w:trPr>
          <w:trHeight w:val="20"/>
        </w:trPr>
        <w:tc>
          <w:tcPr>
            <w:tcW w:w="720" w:type="dxa"/>
          </w:tcPr>
          <w:p w14:paraId="3FED5C4A" w14:textId="77B2B9B3" w:rsidR="000F29A7" w:rsidRPr="0088258D" w:rsidRDefault="000F29A7" w:rsidP="000F29A7">
            <w:pPr>
              <w:pStyle w:val="TableCellYear"/>
              <w:rPr>
                <w:rFonts w:cs="Times New Roman"/>
                <w:szCs w:val="22"/>
              </w:rPr>
            </w:pPr>
            <w:r w:rsidRPr="0088258D">
              <w:rPr>
                <w:rFonts w:cs="Times New Roman"/>
                <w:szCs w:val="22"/>
              </w:rPr>
              <w:t>37</w:t>
            </w:r>
          </w:p>
        </w:tc>
        <w:tc>
          <w:tcPr>
            <w:tcW w:w="2160" w:type="dxa"/>
          </w:tcPr>
          <w:p w14:paraId="0FFA6C16" w14:textId="77777777" w:rsidR="000F29A7" w:rsidRPr="0088258D" w:rsidRDefault="000F29A7" w:rsidP="000F29A7">
            <w:pPr>
              <w:pStyle w:val="TableCellGeneralText"/>
              <w:rPr>
                <w:rFonts w:cs="Times New Roman"/>
                <w:szCs w:val="22"/>
              </w:rPr>
            </w:pPr>
            <w:r w:rsidRPr="0088258D">
              <w:rPr>
                <w:rFonts w:cs="Times New Roman"/>
                <w:szCs w:val="22"/>
              </w:rPr>
              <w:t xml:space="preserve">Knowledge Check </w:t>
            </w:r>
          </w:p>
        </w:tc>
        <w:tc>
          <w:tcPr>
            <w:tcW w:w="10080" w:type="dxa"/>
          </w:tcPr>
          <w:p w14:paraId="3F3D2897" w14:textId="77777777" w:rsidR="000F29A7" w:rsidRPr="0088258D" w:rsidRDefault="000F29A7" w:rsidP="000F29A7">
            <w:pPr>
              <w:pStyle w:val="TableCellGeneralText"/>
              <w:rPr>
                <w:rFonts w:cs="Times New Roman"/>
                <w:szCs w:val="22"/>
              </w:rPr>
            </w:pPr>
            <w:r w:rsidRPr="0088258D">
              <w:rPr>
                <w:rFonts w:cs="Times New Roman"/>
                <w:szCs w:val="22"/>
              </w:rPr>
              <w:t xml:space="preserve">The answers are: </w:t>
            </w:r>
          </w:p>
          <w:p w14:paraId="30F1401A" w14:textId="6C278210" w:rsidR="000F29A7" w:rsidRPr="0088258D" w:rsidRDefault="000F29A7" w:rsidP="00B45B1B">
            <w:pPr>
              <w:pStyle w:val="TableCellGeneralText"/>
              <w:numPr>
                <w:ilvl w:val="0"/>
                <w:numId w:val="16"/>
              </w:numPr>
              <w:spacing w:before="60"/>
              <w:ind w:left="648"/>
              <w:rPr>
                <w:rFonts w:cs="Times New Roman"/>
                <w:szCs w:val="22"/>
              </w:rPr>
            </w:pPr>
            <w:r w:rsidRPr="0088258D">
              <w:rPr>
                <w:rFonts w:cs="Times New Roman"/>
                <w:szCs w:val="22"/>
              </w:rPr>
              <w:t xml:space="preserve">Each family member’s personal smartphone, and </w:t>
            </w:r>
          </w:p>
          <w:p w14:paraId="4DE51899" w14:textId="194208A1" w:rsidR="000F29A7" w:rsidRPr="0088258D" w:rsidRDefault="000F29A7" w:rsidP="00B45B1B">
            <w:pPr>
              <w:pStyle w:val="TableCellGeneralText"/>
              <w:numPr>
                <w:ilvl w:val="0"/>
                <w:numId w:val="17"/>
              </w:numPr>
              <w:spacing w:before="60"/>
              <w:ind w:left="648"/>
              <w:rPr>
                <w:rFonts w:cs="Times New Roman"/>
                <w:szCs w:val="22"/>
              </w:rPr>
            </w:pPr>
            <w:r w:rsidRPr="0088258D">
              <w:rPr>
                <w:rFonts w:cs="Times New Roman"/>
                <w:szCs w:val="22"/>
              </w:rPr>
              <w:t>A laptop used for personal tasks</w:t>
            </w:r>
          </w:p>
          <w:p w14:paraId="5145BAB7" w14:textId="2B5B410F" w:rsidR="000F29A7" w:rsidRPr="0088258D" w:rsidRDefault="000F29A7" w:rsidP="000F29A7">
            <w:pPr>
              <w:pStyle w:val="TableCellGeneralText"/>
              <w:spacing w:before="120"/>
              <w:rPr>
                <w:rFonts w:cs="Times New Roman"/>
                <w:szCs w:val="22"/>
              </w:rPr>
            </w:pPr>
            <w:r w:rsidRPr="0088258D">
              <w:rPr>
                <w:rFonts w:cs="Times New Roman"/>
                <w:szCs w:val="22"/>
              </w:rPr>
              <w:t>These items are excluded from Net Family Assets.</w:t>
            </w:r>
          </w:p>
        </w:tc>
      </w:tr>
      <w:tr w:rsidR="000F29A7" w:rsidRPr="0088258D" w14:paraId="0524645C" w14:textId="77777777" w:rsidTr="1281F8EE">
        <w:trPr>
          <w:trHeight w:val="20"/>
        </w:trPr>
        <w:tc>
          <w:tcPr>
            <w:tcW w:w="720" w:type="dxa"/>
          </w:tcPr>
          <w:p w14:paraId="0174E762" w14:textId="564916DF" w:rsidR="000F29A7" w:rsidRPr="0088258D" w:rsidRDefault="000F29A7" w:rsidP="000F29A7">
            <w:pPr>
              <w:pStyle w:val="TableCellYear"/>
              <w:rPr>
                <w:rFonts w:cs="Times New Roman"/>
                <w:szCs w:val="22"/>
              </w:rPr>
            </w:pPr>
            <w:r w:rsidRPr="0088258D">
              <w:rPr>
                <w:rFonts w:cs="Times New Roman"/>
                <w:szCs w:val="22"/>
              </w:rPr>
              <w:t>38</w:t>
            </w:r>
          </w:p>
        </w:tc>
        <w:tc>
          <w:tcPr>
            <w:tcW w:w="2160" w:type="dxa"/>
          </w:tcPr>
          <w:p w14:paraId="7CDD3C17" w14:textId="77777777" w:rsidR="000F29A7" w:rsidRPr="0088258D" w:rsidRDefault="000F29A7" w:rsidP="000F29A7">
            <w:pPr>
              <w:pStyle w:val="TableCellGeneralText"/>
              <w:rPr>
                <w:rFonts w:cs="Times New Roman"/>
                <w:szCs w:val="22"/>
              </w:rPr>
            </w:pPr>
            <w:r w:rsidRPr="0088258D">
              <w:rPr>
                <w:rFonts w:cs="Times New Roman"/>
                <w:szCs w:val="22"/>
              </w:rPr>
              <w:t>Divider Slide</w:t>
            </w:r>
          </w:p>
        </w:tc>
        <w:tc>
          <w:tcPr>
            <w:tcW w:w="10080" w:type="dxa"/>
          </w:tcPr>
          <w:p w14:paraId="4E5745FA" w14:textId="77777777" w:rsidR="000F29A7" w:rsidRPr="0088258D" w:rsidRDefault="000F29A7" w:rsidP="000F29A7">
            <w:pPr>
              <w:pStyle w:val="TableCellGeneralText"/>
              <w:rPr>
                <w:rFonts w:cs="Times New Roman"/>
                <w:szCs w:val="22"/>
              </w:rPr>
            </w:pPr>
            <w:r w:rsidRPr="0088258D">
              <w:rPr>
                <w:rFonts w:cs="Times New Roman"/>
                <w:szCs w:val="22"/>
              </w:rPr>
              <w:t>Now we will discuss tallying the value of Net Family Assets.</w:t>
            </w:r>
          </w:p>
        </w:tc>
      </w:tr>
      <w:tr w:rsidR="000F29A7" w:rsidRPr="0088258D" w14:paraId="61DFD2C7" w14:textId="77777777" w:rsidTr="1281F8EE">
        <w:trPr>
          <w:trHeight w:val="20"/>
        </w:trPr>
        <w:tc>
          <w:tcPr>
            <w:tcW w:w="720" w:type="dxa"/>
          </w:tcPr>
          <w:p w14:paraId="602ADD69" w14:textId="771C1DB8" w:rsidR="000F29A7" w:rsidRPr="0088258D" w:rsidRDefault="000F29A7" w:rsidP="000F29A7">
            <w:pPr>
              <w:pStyle w:val="TableCellYear"/>
              <w:rPr>
                <w:rFonts w:cs="Times New Roman"/>
                <w:szCs w:val="22"/>
              </w:rPr>
            </w:pPr>
            <w:r w:rsidRPr="0088258D">
              <w:rPr>
                <w:rFonts w:cs="Times New Roman"/>
                <w:szCs w:val="22"/>
              </w:rPr>
              <w:lastRenderedPageBreak/>
              <w:t>39</w:t>
            </w:r>
          </w:p>
        </w:tc>
        <w:tc>
          <w:tcPr>
            <w:tcW w:w="2160" w:type="dxa"/>
          </w:tcPr>
          <w:p w14:paraId="677CE3A1" w14:textId="77777777" w:rsidR="000F29A7" w:rsidRPr="0088258D" w:rsidRDefault="000F29A7" w:rsidP="000F29A7">
            <w:pPr>
              <w:pStyle w:val="TableCellGeneralText"/>
              <w:rPr>
                <w:rFonts w:cs="Times New Roman"/>
                <w:szCs w:val="22"/>
              </w:rPr>
            </w:pPr>
            <w:r w:rsidRPr="0088258D">
              <w:rPr>
                <w:rFonts w:cs="Times New Roman"/>
                <w:szCs w:val="22"/>
              </w:rPr>
              <w:t xml:space="preserve">Calculating Net Cash Value </w:t>
            </w:r>
          </w:p>
        </w:tc>
        <w:tc>
          <w:tcPr>
            <w:tcW w:w="10080" w:type="dxa"/>
          </w:tcPr>
          <w:p w14:paraId="3D357333" w14:textId="7AD93D08" w:rsidR="000F29A7" w:rsidRPr="0088258D" w:rsidRDefault="000F29A7" w:rsidP="000F29A7">
            <w:pPr>
              <w:pStyle w:val="TableCellGeneralText"/>
              <w:rPr>
                <w:rFonts w:cs="Times New Roman"/>
                <w:szCs w:val="22"/>
              </w:rPr>
            </w:pPr>
            <w:r w:rsidRPr="0088258D">
              <w:rPr>
                <w:rFonts w:cs="Times New Roman"/>
                <w:szCs w:val="22"/>
              </w:rPr>
              <w:t>Under HOTMA’s new definition,</w:t>
            </w:r>
          </w:p>
          <w:p w14:paraId="5001E318" w14:textId="606A5C2F" w:rsidR="000F29A7" w:rsidRPr="0088258D" w:rsidRDefault="000F29A7" w:rsidP="000F29A7">
            <w:pPr>
              <w:pStyle w:val="TableCellGeneralText"/>
              <w:spacing w:before="60" w:after="120"/>
              <w:ind w:left="720" w:right="720"/>
              <w:rPr>
                <w:rFonts w:cs="Times New Roman"/>
                <w:i/>
                <w:iCs/>
                <w:szCs w:val="22"/>
              </w:rPr>
            </w:pPr>
            <w:r w:rsidRPr="0088258D">
              <w:rPr>
                <w:rFonts w:cs="Times New Roman"/>
                <w:i/>
                <w:iCs/>
                <w:szCs w:val="22"/>
              </w:rPr>
              <w:t xml:space="preserve">“Net family assets” is the </w:t>
            </w:r>
            <w:r w:rsidRPr="0088258D">
              <w:rPr>
                <w:rFonts w:cs="Times New Roman"/>
                <w:b/>
                <w:bCs w:val="0"/>
                <w:i/>
                <w:iCs/>
                <w:szCs w:val="22"/>
              </w:rPr>
              <w:t xml:space="preserve">net cash value of all assets owned by the family, </w:t>
            </w:r>
            <w:r w:rsidRPr="0088258D">
              <w:rPr>
                <w:rFonts w:cs="Times New Roman"/>
                <w:i/>
                <w:iCs/>
                <w:szCs w:val="22"/>
              </w:rPr>
              <w:t>after deducting reasonable costs that would be incurred in disposing real property, savings, stocks, bonds, and other forms of capital investment.</w:t>
            </w:r>
          </w:p>
          <w:p w14:paraId="73C3A87F" w14:textId="77777777" w:rsidR="000F29A7" w:rsidRPr="0088258D" w:rsidRDefault="000F29A7" w:rsidP="000F29A7">
            <w:pPr>
              <w:pStyle w:val="TableCellText-Spaced"/>
              <w:rPr>
                <w:rFonts w:cs="Times New Roman"/>
                <w:szCs w:val="22"/>
              </w:rPr>
            </w:pPr>
            <w:r w:rsidRPr="0088258D">
              <w:rPr>
                <w:rFonts w:cs="Times New Roman"/>
                <w:szCs w:val="22"/>
              </w:rPr>
              <w:t>This means that we must calculate the net cash value for all assets before we can calculate asset income. This process has not changed with HOTMA.</w:t>
            </w:r>
          </w:p>
          <w:p w14:paraId="67CA1D62" w14:textId="7CBE48B5" w:rsidR="000F29A7" w:rsidRPr="0088258D" w:rsidRDefault="000F29A7" w:rsidP="000F29A7">
            <w:pPr>
              <w:pStyle w:val="TableCellText-Spaced"/>
              <w:rPr>
                <w:rFonts w:cs="Times New Roman"/>
                <w:szCs w:val="22"/>
              </w:rPr>
            </w:pPr>
            <w:r w:rsidRPr="0088258D">
              <w:rPr>
                <w:rFonts w:cs="Times New Roman"/>
                <w:szCs w:val="22"/>
              </w:rPr>
              <w:t>Once we determine the net cash value of assets, we always include the combined net cash value of real property that is not otherwise excluded under HOTMA in Net Family Assets.</w:t>
            </w:r>
          </w:p>
          <w:p w14:paraId="65D2C516" w14:textId="029E5931" w:rsidR="000F29A7" w:rsidRPr="0088258D" w:rsidRDefault="000F29A7" w:rsidP="000F29A7">
            <w:pPr>
              <w:pStyle w:val="TableCellGeneralText"/>
              <w:rPr>
                <w:rFonts w:cs="Times New Roman"/>
                <w:szCs w:val="22"/>
              </w:rPr>
            </w:pPr>
            <w:r w:rsidRPr="0088258D">
              <w:rPr>
                <w:rFonts w:cs="Times New Roman"/>
                <w:szCs w:val="22"/>
              </w:rPr>
              <w:t xml:space="preserve">Then, we compare the combined net cash value of all non-necessary personal property up to the $50,000, adjusted annually for inflation, threshold to determine whether it is included in Net Family Assets. If the total non-necessary personal property exceeds $50,000, adjusted </w:t>
            </w:r>
            <w:r w:rsidR="00995031" w:rsidRPr="0088258D">
              <w:rPr>
                <w:rFonts w:cs="Times New Roman"/>
                <w:szCs w:val="22"/>
              </w:rPr>
              <w:t xml:space="preserve">annually </w:t>
            </w:r>
            <w:r w:rsidRPr="0088258D">
              <w:rPr>
                <w:rFonts w:cs="Times New Roman"/>
                <w:szCs w:val="22"/>
              </w:rPr>
              <w:t>for inflation, then it is included in Net Family Assets. If it does not, then it is not included in Net Family Assets.</w:t>
            </w:r>
          </w:p>
        </w:tc>
      </w:tr>
      <w:tr w:rsidR="000F29A7" w:rsidRPr="0088258D" w14:paraId="53B8DEA4" w14:textId="77777777" w:rsidTr="1281F8EE">
        <w:trPr>
          <w:trHeight w:val="20"/>
        </w:trPr>
        <w:tc>
          <w:tcPr>
            <w:tcW w:w="720" w:type="dxa"/>
          </w:tcPr>
          <w:p w14:paraId="62A60ACF" w14:textId="66453F1C" w:rsidR="000F29A7" w:rsidRPr="0088258D" w:rsidRDefault="000F29A7" w:rsidP="000F29A7">
            <w:pPr>
              <w:pStyle w:val="TableCellYear"/>
              <w:rPr>
                <w:rFonts w:cs="Times New Roman"/>
                <w:szCs w:val="22"/>
              </w:rPr>
            </w:pPr>
            <w:r w:rsidRPr="0088258D">
              <w:rPr>
                <w:rFonts w:cs="Times New Roman"/>
                <w:szCs w:val="22"/>
              </w:rPr>
              <w:t>40</w:t>
            </w:r>
          </w:p>
        </w:tc>
        <w:tc>
          <w:tcPr>
            <w:tcW w:w="2160" w:type="dxa"/>
          </w:tcPr>
          <w:p w14:paraId="16F9A455" w14:textId="77777777" w:rsidR="000F29A7" w:rsidRPr="0088258D" w:rsidRDefault="000F29A7" w:rsidP="000F29A7">
            <w:pPr>
              <w:pStyle w:val="TableCellGeneralText"/>
              <w:rPr>
                <w:rFonts w:cs="Times New Roman"/>
                <w:szCs w:val="22"/>
              </w:rPr>
            </w:pPr>
            <w:r w:rsidRPr="0088258D">
              <w:rPr>
                <w:rFonts w:cs="Times New Roman"/>
                <w:szCs w:val="22"/>
              </w:rPr>
              <w:t>Calculating Net Cash Value</w:t>
            </w:r>
          </w:p>
        </w:tc>
        <w:tc>
          <w:tcPr>
            <w:tcW w:w="10080" w:type="dxa"/>
          </w:tcPr>
          <w:p w14:paraId="02221165" w14:textId="023A05D1" w:rsidR="000F29A7" w:rsidRPr="0088258D" w:rsidRDefault="000F29A7" w:rsidP="000F29A7">
            <w:pPr>
              <w:pStyle w:val="TableCellText-Spaced"/>
              <w:rPr>
                <w:rFonts w:cs="Times New Roman"/>
                <w:szCs w:val="22"/>
              </w:rPr>
            </w:pPr>
            <w:r w:rsidRPr="0088258D">
              <w:rPr>
                <w:rFonts w:cs="Times New Roman"/>
                <w:szCs w:val="22"/>
              </w:rPr>
              <w:t xml:space="preserve">The “cash value” of an asset is the market value less reasonable expenses that would be incurred in selling or converting the asset to cash, such as: (1) Penalties for premature withdrawal; (2) Broker and legal fees; and (3) Settlement costs for real estate transactions. </w:t>
            </w:r>
          </w:p>
          <w:p w14:paraId="1A82204E" w14:textId="61D69F4C" w:rsidR="000F29A7" w:rsidRPr="0088258D" w:rsidRDefault="000F29A7" w:rsidP="000F29A7">
            <w:pPr>
              <w:pStyle w:val="TableCellText-Spaced"/>
              <w:rPr>
                <w:rFonts w:cs="Times New Roman"/>
                <w:szCs w:val="22"/>
              </w:rPr>
            </w:pPr>
            <w:r w:rsidRPr="0088258D">
              <w:rPr>
                <w:rFonts w:cs="Times New Roman"/>
                <w:szCs w:val="22"/>
              </w:rPr>
              <w:t>The cash value is the amount that the family could receive in cash if they converted an asset to cash.</w:t>
            </w:r>
          </w:p>
          <w:p w14:paraId="537F547E" w14:textId="3B70C182" w:rsidR="000F29A7" w:rsidRPr="0088258D" w:rsidRDefault="000F29A7" w:rsidP="000F29A7">
            <w:pPr>
              <w:pStyle w:val="TableCellGeneralText"/>
              <w:rPr>
                <w:rFonts w:cs="Times New Roman"/>
                <w:szCs w:val="22"/>
              </w:rPr>
            </w:pPr>
            <w:r w:rsidRPr="0088258D">
              <w:rPr>
                <w:rFonts w:cs="Times New Roman"/>
                <w:szCs w:val="22"/>
              </w:rPr>
              <w:t xml:space="preserve">In this example: </w:t>
            </w:r>
          </w:p>
          <w:p w14:paraId="68952E41" w14:textId="2C28BF93" w:rsidR="000F29A7" w:rsidRPr="0088258D" w:rsidRDefault="000F29A7" w:rsidP="000F29A7">
            <w:pPr>
              <w:pStyle w:val="TableBullet1"/>
              <w:rPr>
                <w:rFonts w:cs="Times New Roman"/>
                <w:szCs w:val="22"/>
              </w:rPr>
            </w:pPr>
            <w:r w:rsidRPr="0088258D">
              <w:rPr>
                <w:rFonts w:cs="Times New Roman"/>
                <w:szCs w:val="22"/>
              </w:rPr>
              <w:t xml:space="preserve">A family has a certificate of deposit in the amount of $5,000 that is paying interest at 4 percent. The penalty for early withdrawal is three months of interest. </w:t>
            </w:r>
          </w:p>
          <w:p w14:paraId="3E1C6CC6" w14:textId="77777777" w:rsidR="000F29A7" w:rsidRPr="0088258D" w:rsidRDefault="000F29A7" w:rsidP="000F29A7">
            <w:pPr>
              <w:pStyle w:val="TableBullet1"/>
              <w:rPr>
                <w:rFonts w:cs="Times New Roman"/>
                <w:szCs w:val="22"/>
              </w:rPr>
            </w:pPr>
            <w:r w:rsidRPr="0088258D">
              <w:rPr>
                <w:rFonts w:cs="Times New Roman"/>
                <w:szCs w:val="22"/>
              </w:rPr>
              <w:t xml:space="preserve">$5,000 x 0.04 = $200 in annual income </w:t>
            </w:r>
          </w:p>
          <w:p w14:paraId="6385B6C1" w14:textId="4478FDF0" w:rsidR="000F29A7" w:rsidRPr="0088258D" w:rsidRDefault="000F29A7" w:rsidP="000F29A7">
            <w:pPr>
              <w:pStyle w:val="TableBullet1"/>
              <w:rPr>
                <w:rFonts w:cs="Times New Roman"/>
                <w:szCs w:val="22"/>
              </w:rPr>
            </w:pPr>
            <w:r w:rsidRPr="0088258D">
              <w:rPr>
                <w:rFonts w:cs="Times New Roman"/>
                <w:szCs w:val="22"/>
              </w:rPr>
              <w:t xml:space="preserve">$200 / 12 months = $16.67 interest per month </w:t>
            </w:r>
          </w:p>
          <w:p w14:paraId="1BC0E740" w14:textId="77777777" w:rsidR="000F29A7" w:rsidRPr="0088258D" w:rsidRDefault="000F29A7" w:rsidP="000F29A7">
            <w:pPr>
              <w:pStyle w:val="TableBullet1"/>
              <w:rPr>
                <w:rFonts w:cs="Times New Roman"/>
                <w:szCs w:val="22"/>
              </w:rPr>
            </w:pPr>
            <w:r w:rsidRPr="0088258D">
              <w:rPr>
                <w:rFonts w:cs="Times New Roman"/>
                <w:szCs w:val="22"/>
              </w:rPr>
              <w:t xml:space="preserve">$16.67 x 3 months = $50.01 </w:t>
            </w:r>
          </w:p>
          <w:p w14:paraId="5274539F" w14:textId="324A2260" w:rsidR="000F29A7" w:rsidRPr="0088258D" w:rsidRDefault="000F29A7" w:rsidP="000F29A7">
            <w:pPr>
              <w:pStyle w:val="TableBullet1"/>
              <w:rPr>
                <w:rFonts w:cs="Times New Roman"/>
                <w:szCs w:val="22"/>
              </w:rPr>
            </w:pPr>
            <w:r w:rsidRPr="0088258D">
              <w:rPr>
                <w:rFonts w:cs="Times New Roman"/>
                <w:szCs w:val="22"/>
              </w:rPr>
              <w:t>$5,000 – $50 = $4,950, the cash value of the CD</w:t>
            </w:r>
          </w:p>
        </w:tc>
      </w:tr>
      <w:tr w:rsidR="000F29A7" w:rsidRPr="0088258D" w14:paraId="46A0EFBF" w14:textId="77777777" w:rsidTr="1281F8EE">
        <w:trPr>
          <w:trHeight w:val="20"/>
        </w:trPr>
        <w:tc>
          <w:tcPr>
            <w:tcW w:w="720" w:type="dxa"/>
          </w:tcPr>
          <w:p w14:paraId="76421849" w14:textId="67C516C8" w:rsidR="000F29A7" w:rsidRPr="0088258D" w:rsidRDefault="000F29A7" w:rsidP="000F29A7">
            <w:pPr>
              <w:pStyle w:val="TableCellYear"/>
              <w:rPr>
                <w:rFonts w:cs="Times New Roman"/>
                <w:szCs w:val="22"/>
              </w:rPr>
            </w:pPr>
            <w:r w:rsidRPr="0088258D">
              <w:rPr>
                <w:rFonts w:cs="Times New Roman"/>
                <w:szCs w:val="22"/>
              </w:rPr>
              <w:lastRenderedPageBreak/>
              <w:t>41</w:t>
            </w:r>
          </w:p>
        </w:tc>
        <w:tc>
          <w:tcPr>
            <w:tcW w:w="2160" w:type="dxa"/>
          </w:tcPr>
          <w:p w14:paraId="60AA9923" w14:textId="77777777" w:rsidR="000F29A7" w:rsidRPr="0088258D" w:rsidRDefault="000F29A7" w:rsidP="000F29A7">
            <w:pPr>
              <w:pStyle w:val="TableCellGeneralText"/>
              <w:rPr>
                <w:rFonts w:cs="Times New Roman"/>
                <w:szCs w:val="22"/>
              </w:rPr>
            </w:pPr>
            <w:r w:rsidRPr="0088258D">
              <w:rPr>
                <w:rFonts w:cs="Times New Roman"/>
                <w:szCs w:val="22"/>
              </w:rPr>
              <w:t>Tallying Net Cash Value</w:t>
            </w:r>
          </w:p>
        </w:tc>
        <w:tc>
          <w:tcPr>
            <w:tcW w:w="10080" w:type="dxa"/>
          </w:tcPr>
          <w:p w14:paraId="0BC1ADDB" w14:textId="2B4D652A" w:rsidR="000F29A7" w:rsidRPr="0088258D" w:rsidRDefault="000F29A7" w:rsidP="000F29A7">
            <w:pPr>
              <w:pStyle w:val="TableCellGeneralText"/>
              <w:rPr>
                <w:rFonts w:cs="Times New Roman"/>
                <w:szCs w:val="22"/>
              </w:rPr>
            </w:pPr>
            <w:r w:rsidRPr="0088258D">
              <w:rPr>
                <w:rFonts w:cs="Times New Roman"/>
                <w:szCs w:val="22"/>
              </w:rPr>
              <w:t>Once you have determined the net cash value of all the assets, you can categorize the assets into the following categories:</w:t>
            </w:r>
          </w:p>
          <w:p w14:paraId="0A134EEF" w14:textId="7818CC7C" w:rsidR="000F29A7" w:rsidRPr="0088258D" w:rsidRDefault="000F29A7" w:rsidP="000F29A7">
            <w:pPr>
              <w:pStyle w:val="TableBullet1"/>
              <w:rPr>
                <w:rFonts w:cs="Times New Roman"/>
                <w:szCs w:val="22"/>
              </w:rPr>
            </w:pPr>
            <w:r w:rsidRPr="0088258D">
              <w:rPr>
                <w:rFonts w:cs="Times New Roman"/>
                <w:szCs w:val="22"/>
              </w:rPr>
              <w:t>Real property, both the property that is now excluded under HOTMA and the property that is included.</w:t>
            </w:r>
          </w:p>
          <w:p w14:paraId="21C7D030" w14:textId="6FDC42CC" w:rsidR="000F29A7" w:rsidRPr="0088258D" w:rsidRDefault="000F29A7" w:rsidP="000F29A7">
            <w:pPr>
              <w:pStyle w:val="TableBullet1"/>
              <w:rPr>
                <w:rFonts w:cs="Times New Roman"/>
                <w:szCs w:val="22"/>
              </w:rPr>
            </w:pPr>
            <w:r w:rsidRPr="0088258D">
              <w:rPr>
                <w:rFonts w:cs="Times New Roman"/>
                <w:szCs w:val="22"/>
              </w:rPr>
              <w:t>Non-necessary personal property, which will be compared to the $50,000 threshold (adjusted annually for inflation).</w:t>
            </w:r>
          </w:p>
          <w:p w14:paraId="21097534" w14:textId="6F294458" w:rsidR="000F29A7" w:rsidRPr="00FC1862" w:rsidRDefault="000F29A7" w:rsidP="00FC1862">
            <w:pPr>
              <w:pStyle w:val="TableCellText-Spaced"/>
              <w:spacing w:before="120"/>
              <w:rPr>
                <w:rFonts w:cs="Times New Roman"/>
                <w:szCs w:val="22"/>
              </w:rPr>
            </w:pPr>
            <w:r w:rsidRPr="0088258D">
              <w:rPr>
                <w:rFonts w:cs="Times New Roman"/>
                <w:szCs w:val="22"/>
              </w:rPr>
              <w:t>You can then calculate the total Net Family Assets.</w:t>
            </w:r>
          </w:p>
          <w:p w14:paraId="4C89F215" w14:textId="77777777" w:rsidR="007D4099" w:rsidRPr="0088258D" w:rsidRDefault="007D4099" w:rsidP="000F29A7">
            <w:pPr>
              <w:pStyle w:val="TableCellGeneralText"/>
              <w:rPr>
                <w:rFonts w:cs="Times New Roman"/>
                <w:i/>
                <w:iCs/>
                <w:szCs w:val="22"/>
              </w:rPr>
            </w:pPr>
          </w:p>
          <w:p w14:paraId="18CF6F4A" w14:textId="30581308" w:rsidR="007D4099" w:rsidRPr="0088258D" w:rsidRDefault="007D4099" w:rsidP="000F29A7">
            <w:pPr>
              <w:pStyle w:val="TableCellGeneralText"/>
              <w:rPr>
                <w:rFonts w:cs="Times New Roman"/>
                <w:i/>
                <w:iCs/>
                <w:szCs w:val="22"/>
              </w:rPr>
            </w:pPr>
            <w:r w:rsidRPr="0088258D">
              <w:rPr>
                <w:rFonts w:cs="Times New Roman"/>
                <w:i/>
                <w:iCs/>
                <w:szCs w:val="22"/>
              </w:rPr>
              <w:t xml:space="preserve">In this example, </w:t>
            </w:r>
            <w:r w:rsidR="00537355" w:rsidRPr="0088258D">
              <w:rPr>
                <w:rFonts w:cs="Times New Roman"/>
                <w:i/>
                <w:iCs/>
                <w:szCs w:val="22"/>
              </w:rPr>
              <w:t>a</w:t>
            </w:r>
            <w:r w:rsidR="00E97B09" w:rsidRPr="0088258D">
              <w:rPr>
                <w:rFonts w:cs="Times New Roman"/>
                <w:i/>
                <w:iCs/>
                <w:szCs w:val="22"/>
              </w:rPr>
              <w:t xml:space="preserve"> family</w:t>
            </w:r>
            <w:r w:rsidR="009F2BC2" w:rsidRPr="0088258D">
              <w:rPr>
                <w:rFonts w:cs="Times New Roman"/>
                <w:i/>
                <w:iCs/>
                <w:szCs w:val="22"/>
              </w:rPr>
              <w:t xml:space="preserve"> has two real property assets. The</w:t>
            </w:r>
            <w:r w:rsidR="00E97B09" w:rsidRPr="0088258D">
              <w:rPr>
                <w:rFonts w:cs="Times New Roman"/>
                <w:i/>
                <w:iCs/>
                <w:szCs w:val="22"/>
              </w:rPr>
              <w:t xml:space="preserve"> </w:t>
            </w:r>
            <w:r w:rsidR="001F6636" w:rsidRPr="0088258D">
              <w:rPr>
                <w:rFonts w:cs="Times New Roman"/>
                <w:i/>
                <w:iCs/>
                <w:szCs w:val="22"/>
              </w:rPr>
              <w:t>parcel of land</w:t>
            </w:r>
            <w:r w:rsidR="0036531C" w:rsidRPr="0088258D">
              <w:rPr>
                <w:rFonts w:cs="Times New Roman"/>
                <w:i/>
                <w:iCs/>
                <w:szCs w:val="22"/>
              </w:rPr>
              <w:t xml:space="preserve"> is included in </w:t>
            </w:r>
            <w:r w:rsidR="00817B25" w:rsidRPr="0088258D">
              <w:rPr>
                <w:rFonts w:cs="Times New Roman"/>
                <w:i/>
                <w:iCs/>
                <w:szCs w:val="22"/>
              </w:rPr>
              <w:t>N</w:t>
            </w:r>
            <w:r w:rsidR="0036531C" w:rsidRPr="0088258D">
              <w:rPr>
                <w:rFonts w:cs="Times New Roman"/>
                <w:i/>
                <w:iCs/>
                <w:szCs w:val="22"/>
              </w:rPr>
              <w:t xml:space="preserve">et </w:t>
            </w:r>
            <w:r w:rsidR="00817B25" w:rsidRPr="0088258D">
              <w:rPr>
                <w:rFonts w:cs="Times New Roman"/>
                <w:i/>
                <w:iCs/>
                <w:szCs w:val="22"/>
              </w:rPr>
              <w:t>F</w:t>
            </w:r>
            <w:r w:rsidR="0036531C" w:rsidRPr="0088258D">
              <w:rPr>
                <w:rFonts w:cs="Times New Roman"/>
                <w:i/>
                <w:iCs/>
                <w:szCs w:val="22"/>
              </w:rPr>
              <w:t xml:space="preserve">amily </w:t>
            </w:r>
            <w:r w:rsidR="00817B25" w:rsidRPr="0088258D">
              <w:rPr>
                <w:rFonts w:cs="Times New Roman"/>
                <w:i/>
                <w:iCs/>
                <w:szCs w:val="22"/>
              </w:rPr>
              <w:t>A</w:t>
            </w:r>
            <w:r w:rsidR="0036531C" w:rsidRPr="0088258D">
              <w:rPr>
                <w:rFonts w:cs="Times New Roman"/>
                <w:i/>
                <w:iCs/>
                <w:szCs w:val="22"/>
              </w:rPr>
              <w:t>ssets, while the home unsu</w:t>
            </w:r>
            <w:r w:rsidR="00214BCF" w:rsidRPr="0088258D">
              <w:rPr>
                <w:rFonts w:cs="Times New Roman"/>
                <w:i/>
                <w:iCs/>
                <w:szCs w:val="22"/>
              </w:rPr>
              <w:t xml:space="preserve">itable for residence is not. </w:t>
            </w:r>
          </w:p>
          <w:p w14:paraId="6DD95BBA" w14:textId="007ED3F2" w:rsidR="00537355" w:rsidRPr="0088258D" w:rsidRDefault="00537355" w:rsidP="000F29A7">
            <w:pPr>
              <w:pStyle w:val="TableCellGeneralText"/>
              <w:rPr>
                <w:rFonts w:cs="Times New Roman"/>
                <w:i/>
                <w:iCs/>
                <w:szCs w:val="22"/>
              </w:rPr>
            </w:pPr>
            <w:r w:rsidRPr="0088258D">
              <w:rPr>
                <w:rFonts w:cs="Times New Roman"/>
                <w:i/>
                <w:iCs/>
                <w:szCs w:val="22"/>
              </w:rPr>
              <w:t xml:space="preserve">The have several </w:t>
            </w:r>
            <w:r w:rsidR="005A672C" w:rsidRPr="0088258D">
              <w:rPr>
                <w:rFonts w:cs="Times New Roman"/>
                <w:i/>
                <w:iCs/>
                <w:szCs w:val="22"/>
              </w:rPr>
              <w:t>assets considered non-necessary personal property</w:t>
            </w:r>
            <w:r w:rsidR="00C21725" w:rsidRPr="0088258D">
              <w:rPr>
                <w:rFonts w:cs="Times New Roman"/>
                <w:i/>
                <w:iCs/>
                <w:szCs w:val="22"/>
              </w:rPr>
              <w:t xml:space="preserve">, all of which are included in Net Family Assets, except their IRA account. </w:t>
            </w:r>
            <w:r w:rsidR="005C1067" w:rsidRPr="0088258D">
              <w:rPr>
                <w:rFonts w:cs="Times New Roman"/>
                <w:i/>
                <w:iCs/>
                <w:szCs w:val="22"/>
              </w:rPr>
              <w:t xml:space="preserve">For this family, the net cash value of </w:t>
            </w:r>
            <w:r w:rsidR="00817B25" w:rsidRPr="0088258D">
              <w:rPr>
                <w:rFonts w:cs="Times New Roman"/>
                <w:i/>
                <w:iCs/>
                <w:szCs w:val="22"/>
              </w:rPr>
              <w:t>their Net Family Assets includes the $30,000 from real property and the $60,000 from non-necessary personal property, for a total of $90,000 in Net Family Assets.</w:t>
            </w:r>
          </w:p>
        </w:tc>
      </w:tr>
      <w:tr w:rsidR="000F29A7" w:rsidRPr="0088258D" w14:paraId="6476B120" w14:textId="77777777" w:rsidTr="1281F8EE">
        <w:trPr>
          <w:trHeight w:val="20"/>
        </w:trPr>
        <w:tc>
          <w:tcPr>
            <w:tcW w:w="720" w:type="dxa"/>
          </w:tcPr>
          <w:p w14:paraId="271A51EC" w14:textId="3D43225D" w:rsidR="000F29A7" w:rsidRPr="0088258D" w:rsidRDefault="000F29A7" w:rsidP="000F29A7">
            <w:pPr>
              <w:pStyle w:val="TableCellYear"/>
              <w:rPr>
                <w:rFonts w:cs="Times New Roman"/>
                <w:szCs w:val="22"/>
              </w:rPr>
            </w:pPr>
            <w:r w:rsidRPr="0088258D">
              <w:rPr>
                <w:rFonts w:cs="Times New Roman"/>
                <w:szCs w:val="22"/>
              </w:rPr>
              <w:t>42</w:t>
            </w:r>
          </w:p>
        </w:tc>
        <w:tc>
          <w:tcPr>
            <w:tcW w:w="2160" w:type="dxa"/>
          </w:tcPr>
          <w:p w14:paraId="37C594EA" w14:textId="77777777" w:rsidR="000F29A7" w:rsidRPr="0088258D" w:rsidRDefault="000F29A7" w:rsidP="000F29A7">
            <w:pPr>
              <w:pStyle w:val="TableCellGeneralText"/>
              <w:rPr>
                <w:rFonts w:cs="Times New Roman"/>
                <w:szCs w:val="22"/>
              </w:rPr>
            </w:pPr>
            <w:r w:rsidRPr="0088258D">
              <w:rPr>
                <w:rFonts w:cs="Times New Roman"/>
                <w:szCs w:val="22"/>
              </w:rPr>
              <w:t>Knowledge Check</w:t>
            </w:r>
          </w:p>
        </w:tc>
        <w:tc>
          <w:tcPr>
            <w:tcW w:w="10080" w:type="dxa"/>
          </w:tcPr>
          <w:p w14:paraId="31EEA81B" w14:textId="1C06FBA4" w:rsidR="000F29A7" w:rsidRPr="0088258D" w:rsidRDefault="000F29A7" w:rsidP="000F29A7">
            <w:pPr>
              <w:pStyle w:val="TableCellText-Spaced"/>
              <w:rPr>
                <w:rFonts w:cs="Times New Roman"/>
                <w:szCs w:val="22"/>
              </w:rPr>
            </w:pPr>
            <w:r w:rsidRPr="0088258D">
              <w:rPr>
                <w:rFonts w:cs="Times New Roman"/>
                <w:szCs w:val="22"/>
              </w:rPr>
              <w:t>Let’s look at what we’ve learned so far.</w:t>
            </w:r>
          </w:p>
          <w:p w14:paraId="2D77D018" w14:textId="2B98257E" w:rsidR="000F29A7" w:rsidRPr="0088258D" w:rsidRDefault="000F29A7" w:rsidP="000F29A7">
            <w:pPr>
              <w:pStyle w:val="TableCellGeneralText"/>
              <w:rPr>
                <w:rFonts w:cs="Times New Roman"/>
                <w:szCs w:val="22"/>
              </w:rPr>
            </w:pPr>
            <w:r w:rsidRPr="0088258D">
              <w:rPr>
                <w:rFonts w:cs="Times New Roman"/>
                <w:szCs w:val="22"/>
              </w:rPr>
              <w:t xml:space="preserve">What is the </w:t>
            </w:r>
            <w:r w:rsidRPr="0088258D">
              <w:rPr>
                <w:rFonts w:cs="Times New Roman"/>
                <w:b/>
                <w:bCs w:val="0"/>
                <w:szCs w:val="22"/>
              </w:rPr>
              <w:t>net cash value</w:t>
            </w:r>
            <w:r w:rsidRPr="0088258D">
              <w:rPr>
                <w:rFonts w:cs="Times New Roman"/>
                <w:szCs w:val="22"/>
              </w:rPr>
              <w:t xml:space="preserve"> of the following non-necessary </w:t>
            </w:r>
            <w:r w:rsidR="31E47B7B" w:rsidRPr="0088258D">
              <w:rPr>
                <w:rFonts w:cs="Times New Roman"/>
                <w:szCs w:val="22"/>
              </w:rPr>
              <w:t xml:space="preserve">personal </w:t>
            </w:r>
            <w:r w:rsidRPr="0088258D">
              <w:rPr>
                <w:rFonts w:cs="Times New Roman"/>
                <w:szCs w:val="22"/>
              </w:rPr>
              <w:t>property?</w:t>
            </w:r>
          </w:p>
          <w:p w14:paraId="458CDB7F" w14:textId="77777777" w:rsidR="000F29A7" w:rsidRPr="0088258D" w:rsidRDefault="000F29A7" w:rsidP="000F29A7">
            <w:pPr>
              <w:pStyle w:val="TableBullet1"/>
              <w:rPr>
                <w:rFonts w:cs="Times New Roman"/>
                <w:b/>
                <w:bCs w:val="0"/>
                <w:szCs w:val="22"/>
              </w:rPr>
            </w:pPr>
            <w:r w:rsidRPr="0088258D">
              <w:rPr>
                <w:rFonts w:cs="Times New Roman"/>
                <w:b/>
                <w:bCs w:val="0"/>
                <w:szCs w:val="22"/>
              </w:rPr>
              <w:t xml:space="preserve">Diamond bracelet </w:t>
            </w:r>
          </w:p>
          <w:p w14:paraId="379EA5A6" w14:textId="5178A273" w:rsidR="000F29A7" w:rsidRPr="0088258D" w:rsidRDefault="000F29A7" w:rsidP="000F29A7">
            <w:pPr>
              <w:pStyle w:val="TableBullet2"/>
              <w:rPr>
                <w:rFonts w:cs="Times New Roman"/>
                <w:szCs w:val="22"/>
              </w:rPr>
            </w:pPr>
            <w:r w:rsidRPr="0088258D">
              <w:rPr>
                <w:rFonts w:cs="Times New Roman"/>
                <w:szCs w:val="22"/>
              </w:rPr>
              <w:t>Appraised at $8,000 for insurance.</w:t>
            </w:r>
          </w:p>
          <w:p w14:paraId="5C45AA51" w14:textId="7F5CCB1F" w:rsidR="000F29A7" w:rsidRPr="0088258D" w:rsidRDefault="000F29A7" w:rsidP="000F29A7">
            <w:pPr>
              <w:pStyle w:val="TableBullet2"/>
              <w:rPr>
                <w:rFonts w:cs="Times New Roman"/>
                <w:szCs w:val="22"/>
              </w:rPr>
            </w:pPr>
            <w:r w:rsidRPr="0088258D">
              <w:rPr>
                <w:rFonts w:cs="Times New Roman"/>
                <w:szCs w:val="22"/>
              </w:rPr>
              <w:t>Similar pieces sell for $5,000 through a broker.</w:t>
            </w:r>
          </w:p>
          <w:p w14:paraId="77A3DD88" w14:textId="52F096B9" w:rsidR="000F29A7" w:rsidRPr="0088258D" w:rsidRDefault="000F29A7" w:rsidP="000F29A7">
            <w:pPr>
              <w:pStyle w:val="TableBullet2"/>
              <w:rPr>
                <w:rFonts w:cs="Times New Roman"/>
                <w:szCs w:val="22"/>
              </w:rPr>
            </w:pPr>
            <w:r w:rsidRPr="0088258D">
              <w:rPr>
                <w:rFonts w:cs="Times New Roman"/>
                <w:szCs w:val="22"/>
              </w:rPr>
              <w:t>The broker charges a 20-percent fee.</w:t>
            </w:r>
          </w:p>
        </w:tc>
      </w:tr>
      <w:tr w:rsidR="000F29A7" w:rsidRPr="0088258D" w14:paraId="3CD38CAF" w14:textId="77777777" w:rsidTr="1281F8EE">
        <w:trPr>
          <w:trHeight w:val="20"/>
        </w:trPr>
        <w:tc>
          <w:tcPr>
            <w:tcW w:w="720" w:type="dxa"/>
          </w:tcPr>
          <w:p w14:paraId="3876093E" w14:textId="76D013EC" w:rsidR="000F29A7" w:rsidRPr="0088258D" w:rsidRDefault="000F29A7" w:rsidP="000F29A7">
            <w:pPr>
              <w:pStyle w:val="TableCellYear"/>
              <w:rPr>
                <w:rFonts w:cs="Times New Roman"/>
                <w:szCs w:val="22"/>
              </w:rPr>
            </w:pPr>
            <w:r w:rsidRPr="0088258D">
              <w:rPr>
                <w:rFonts w:cs="Times New Roman"/>
                <w:szCs w:val="22"/>
              </w:rPr>
              <w:t>43</w:t>
            </w:r>
          </w:p>
        </w:tc>
        <w:tc>
          <w:tcPr>
            <w:tcW w:w="2160" w:type="dxa"/>
          </w:tcPr>
          <w:p w14:paraId="234D6997" w14:textId="77777777" w:rsidR="000F29A7" w:rsidRPr="0088258D" w:rsidRDefault="000F29A7" w:rsidP="000F29A7">
            <w:pPr>
              <w:pStyle w:val="TableCellGeneralText"/>
              <w:rPr>
                <w:rFonts w:cs="Times New Roman"/>
                <w:szCs w:val="22"/>
              </w:rPr>
            </w:pPr>
            <w:r w:rsidRPr="0088258D">
              <w:rPr>
                <w:rFonts w:cs="Times New Roman"/>
                <w:szCs w:val="22"/>
              </w:rPr>
              <w:t>Knowledge Check</w:t>
            </w:r>
          </w:p>
        </w:tc>
        <w:tc>
          <w:tcPr>
            <w:tcW w:w="10080" w:type="dxa"/>
          </w:tcPr>
          <w:p w14:paraId="70F5458B" w14:textId="77777777" w:rsidR="000F29A7" w:rsidRPr="0088258D" w:rsidRDefault="000F29A7" w:rsidP="000F29A7">
            <w:pPr>
              <w:pStyle w:val="TableCellGeneralText"/>
              <w:rPr>
                <w:rFonts w:cs="Times New Roman"/>
                <w:szCs w:val="22"/>
              </w:rPr>
            </w:pPr>
            <w:r w:rsidRPr="0088258D">
              <w:rPr>
                <w:rFonts w:cs="Times New Roman"/>
                <w:szCs w:val="22"/>
              </w:rPr>
              <w:t xml:space="preserve">The answer is: </w:t>
            </w:r>
          </w:p>
          <w:p w14:paraId="6BD88611" w14:textId="2627EC32" w:rsidR="000F29A7" w:rsidRPr="0088258D" w:rsidRDefault="000F29A7" w:rsidP="00B45B1B">
            <w:pPr>
              <w:pStyle w:val="TableCellText-Spaced"/>
              <w:numPr>
                <w:ilvl w:val="0"/>
                <w:numId w:val="18"/>
              </w:numPr>
              <w:spacing w:before="60"/>
              <w:ind w:left="648"/>
              <w:rPr>
                <w:rFonts w:cs="Times New Roman"/>
                <w:szCs w:val="22"/>
              </w:rPr>
            </w:pPr>
            <w:r w:rsidRPr="0088258D">
              <w:rPr>
                <w:rFonts w:cs="Times New Roman"/>
                <w:szCs w:val="22"/>
              </w:rPr>
              <w:t>$4,000</w:t>
            </w:r>
          </w:p>
          <w:p w14:paraId="3E8CE306" w14:textId="449FE510" w:rsidR="000F29A7" w:rsidRPr="0088258D" w:rsidRDefault="000F29A7" w:rsidP="000F29A7">
            <w:pPr>
              <w:pStyle w:val="TableCellText-Spaced"/>
              <w:rPr>
                <w:rFonts w:cs="Times New Roman"/>
                <w:szCs w:val="22"/>
              </w:rPr>
            </w:pPr>
            <w:r w:rsidRPr="0088258D">
              <w:rPr>
                <w:rFonts w:cs="Times New Roman"/>
                <w:szCs w:val="22"/>
              </w:rPr>
              <w:t>In this instance, the insurance appraiser’s value, $8,000, does not matter, because the family would likely only receive the $5,000 price if the item were sold through a broker.</w:t>
            </w:r>
          </w:p>
          <w:p w14:paraId="78D274B0" w14:textId="7E6E6843" w:rsidR="000F29A7" w:rsidRPr="0088258D" w:rsidRDefault="000F29A7" w:rsidP="000F29A7">
            <w:pPr>
              <w:pStyle w:val="TableCellGeneralText"/>
              <w:rPr>
                <w:rFonts w:cs="Times New Roman"/>
                <w:szCs w:val="22"/>
              </w:rPr>
            </w:pPr>
            <w:r w:rsidRPr="0088258D">
              <w:rPr>
                <w:rFonts w:cs="Times New Roman"/>
                <w:szCs w:val="22"/>
              </w:rPr>
              <w:t>Therefore, we use the $5,000 broker’s value and subtract from that the broker’s fee of 20 percent, or $1,000, which gives us a total net cash value of $4,000.</w:t>
            </w:r>
          </w:p>
        </w:tc>
      </w:tr>
      <w:tr w:rsidR="000F29A7" w:rsidRPr="0088258D" w14:paraId="5099E45B" w14:textId="77777777" w:rsidTr="1281F8EE">
        <w:trPr>
          <w:trHeight w:val="20"/>
        </w:trPr>
        <w:tc>
          <w:tcPr>
            <w:tcW w:w="720" w:type="dxa"/>
          </w:tcPr>
          <w:p w14:paraId="1AC8DC16" w14:textId="3BDCF50B" w:rsidR="000F29A7" w:rsidRPr="0088258D" w:rsidRDefault="000F29A7" w:rsidP="000F29A7">
            <w:pPr>
              <w:pStyle w:val="TableCellYear"/>
              <w:rPr>
                <w:rFonts w:cs="Times New Roman"/>
                <w:szCs w:val="22"/>
              </w:rPr>
            </w:pPr>
            <w:r w:rsidRPr="0088258D">
              <w:rPr>
                <w:rFonts w:cs="Times New Roman"/>
                <w:szCs w:val="22"/>
              </w:rPr>
              <w:lastRenderedPageBreak/>
              <w:t>44</w:t>
            </w:r>
          </w:p>
        </w:tc>
        <w:tc>
          <w:tcPr>
            <w:tcW w:w="2160" w:type="dxa"/>
          </w:tcPr>
          <w:p w14:paraId="26AFE88C" w14:textId="1DE462EE" w:rsidR="000F29A7" w:rsidRPr="0088258D" w:rsidRDefault="000F29A7" w:rsidP="000F29A7">
            <w:pPr>
              <w:pStyle w:val="TableCellGeneralText"/>
              <w:rPr>
                <w:rFonts w:cs="Times New Roman"/>
                <w:i/>
                <w:iCs/>
                <w:szCs w:val="22"/>
              </w:rPr>
            </w:pPr>
            <w:r w:rsidRPr="0088258D">
              <w:rPr>
                <w:rFonts w:cs="Times New Roman"/>
                <w:i/>
                <w:iCs/>
                <w:szCs w:val="22"/>
              </w:rPr>
              <w:t>Divider slide</w:t>
            </w:r>
          </w:p>
        </w:tc>
        <w:tc>
          <w:tcPr>
            <w:tcW w:w="10080" w:type="dxa"/>
          </w:tcPr>
          <w:p w14:paraId="4579114F" w14:textId="3F739939" w:rsidR="000F29A7" w:rsidRPr="0088258D" w:rsidRDefault="000F29A7" w:rsidP="000F29A7">
            <w:pPr>
              <w:pStyle w:val="TableCellGeneralText"/>
              <w:rPr>
                <w:rFonts w:cs="Times New Roman"/>
                <w:szCs w:val="22"/>
              </w:rPr>
            </w:pPr>
            <w:r w:rsidRPr="0088258D">
              <w:rPr>
                <w:rFonts w:cs="Times New Roman"/>
                <w:szCs w:val="22"/>
              </w:rPr>
              <w:t xml:space="preserve">Now that we know how to determine Net Family Income and have calculated its net cash value, we will discuss calculating anticipated income from Net Family Assets. </w:t>
            </w:r>
          </w:p>
        </w:tc>
      </w:tr>
      <w:tr w:rsidR="000F29A7" w:rsidRPr="0088258D" w14:paraId="0F0C046A" w14:textId="77777777" w:rsidTr="1281F8EE">
        <w:trPr>
          <w:trHeight w:val="20"/>
        </w:trPr>
        <w:tc>
          <w:tcPr>
            <w:tcW w:w="720" w:type="dxa"/>
          </w:tcPr>
          <w:p w14:paraId="3ADA5D09" w14:textId="03187E60" w:rsidR="000F29A7" w:rsidRPr="0088258D" w:rsidRDefault="000F29A7" w:rsidP="000F29A7">
            <w:pPr>
              <w:pStyle w:val="TableCellYear"/>
              <w:rPr>
                <w:rFonts w:cs="Times New Roman"/>
                <w:szCs w:val="22"/>
              </w:rPr>
            </w:pPr>
            <w:r w:rsidRPr="0088258D">
              <w:rPr>
                <w:rFonts w:cs="Times New Roman"/>
                <w:szCs w:val="22"/>
              </w:rPr>
              <w:t>45</w:t>
            </w:r>
          </w:p>
        </w:tc>
        <w:tc>
          <w:tcPr>
            <w:tcW w:w="2160" w:type="dxa"/>
          </w:tcPr>
          <w:p w14:paraId="66300446" w14:textId="77777777" w:rsidR="000F29A7" w:rsidRPr="0088258D" w:rsidRDefault="000F29A7" w:rsidP="000F29A7">
            <w:pPr>
              <w:pStyle w:val="TableCellGeneralText"/>
              <w:rPr>
                <w:rFonts w:cs="Times New Roman"/>
                <w:szCs w:val="22"/>
              </w:rPr>
            </w:pPr>
            <w:r w:rsidRPr="0088258D">
              <w:rPr>
                <w:rFonts w:cs="Times New Roman"/>
                <w:szCs w:val="22"/>
              </w:rPr>
              <w:t>Asset Income to Be Counted</w:t>
            </w:r>
          </w:p>
        </w:tc>
        <w:tc>
          <w:tcPr>
            <w:tcW w:w="10080" w:type="dxa"/>
          </w:tcPr>
          <w:p w14:paraId="5B20E1BF" w14:textId="2C4238BD" w:rsidR="000F29A7" w:rsidRPr="0088258D" w:rsidRDefault="000F29A7" w:rsidP="000F29A7">
            <w:pPr>
              <w:pStyle w:val="TableCellGeneralText"/>
              <w:rPr>
                <w:rFonts w:cs="Times New Roman"/>
                <w:szCs w:val="22"/>
              </w:rPr>
            </w:pPr>
            <w:r w:rsidRPr="0088258D">
              <w:rPr>
                <w:rFonts w:cs="Times New Roman"/>
                <w:szCs w:val="22"/>
              </w:rPr>
              <w:t>When calculating income from assets to be included in a family’s annual income:</w:t>
            </w:r>
          </w:p>
          <w:p w14:paraId="54A52E3F" w14:textId="77777777" w:rsidR="000F29A7" w:rsidRPr="0088258D" w:rsidRDefault="000F29A7" w:rsidP="000F29A7">
            <w:pPr>
              <w:pStyle w:val="TableBullet1"/>
              <w:rPr>
                <w:rFonts w:cs="Times New Roman"/>
                <w:szCs w:val="22"/>
              </w:rPr>
            </w:pPr>
            <w:r w:rsidRPr="0088258D">
              <w:rPr>
                <w:rFonts w:cs="Times New Roman"/>
                <w:szCs w:val="22"/>
              </w:rPr>
              <w:t>Actual income earned from assets is always counted.</w:t>
            </w:r>
          </w:p>
          <w:p w14:paraId="5FEC18C7" w14:textId="6FC1FE2B" w:rsidR="000F29A7" w:rsidRPr="0088258D" w:rsidRDefault="000F29A7" w:rsidP="000F29A7">
            <w:pPr>
              <w:pStyle w:val="TableBullet1"/>
              <w:rPr>
                <w:rFonts w:cs="Times New Roman"/>
                <w:szCs w:val="22"/>
              </w:rPr>
            </w:pPr>
            <w:r w:rsidRPr="0088258D">
              <w:rPr>
                <w:rFonts w:cs="Times New Roman"/>
                <w:szCs w:val="22"/>
              </w:rPr>
              <w:t>Imputed returns on Net Family Assets over $50,000 (adjusted annually for inflation) are used when actual income cannot be determined.</w:t>
            </w:r>
          </w:p>
          <w:p w14:paraId="7F7F67BA" w14:textId="77777777" w:rsidR="000F29A7" w:rsidRPr="0088258D" w:rsidRDefault="000F29A7" w:rsidP="000F29A7">
            <w:pPr>
              <w:pStyle w:val="TableCellGeneralText"/>
              <w:spacing w:before="120"/>
              <w:rPr>
                <w:rFonts w:cs="Times New Roman"/>
                <w:b/>
                <w:bCs w:val="0"/>
                <w:szCs w:val="22"/>
              </w:rPr>
            </w:pPr>
            <w:r w:rsidRPr="0088258D">
              <w:rPr>
                <w:rFonts w:cs="Times New Roman"/>
                <w:b/>
                <w:bCs w:val="0"/>
                <w:szCs w:val="22"/>
              </w:rPr>
              <w:t>Note the following:</w:t>
            </w:r>
          </w:p>
          <w:p w14:paraId="0A592079" w14:textId="77777777" w:rsidR="000F29A7" w:rsidRPr="0088258D" w:rsidRDefault="000F29A7" w:rsidP="000F29A7">
            <w:pPr>
              <w:pStyle w:val="TableBullet1"/>
              <w:rPr>
                <w:rFonts w:cs="Times New Roman"/>
                <w:szCs w:val="22"/>
              </w:rPr>
            </w:pPr>
            <w:r w:rsidRPr="0088258D">
              <w:rPr>
                <w:rFonts w:cs="Times New Roman"/>
                <w:szCs w:val="22"/>
              </w:rPr>
              <w:t>The previous threshold for imputing assets was $5,000.</w:t>
            </w:r>
          </w:p>
          <w:p w14:paraId="183F89BE" w14:textId="551BC079" w:rsidR="000F29A7" w:rsidRPr="0088258D" w:rsidRDefault="000F29A7" w:rsidP="000F29A7">
            <w:pPr>
              <w:pStyle w:val="TableBullet1"/>
              <w:rPr>
                <w:rFonts w:cs="Times New Roman"/>
                <w:szCs w:val="22"/>
              </w:rPr>
            </w:pPr>
            <w:r w:rsidRPr="0088258D">
              <w:rPr>
                <w:rFonts w:cs="Times New Roman"/>
                <w:szCs w:val="22"/>
              </w:rPr>
              <w:t xml:space="preserve">Whenever possible, property </w:t>
            </w:r>
            <w:r w:rsidR="00A149A0">
              <w:rPr>
                <w:rFonts w:cs="Times New Roman"/>
                <w:szCs w:val="22"/>
              </w:rPr>
              <w:t>Owners</w:t>
            </w:r>
            <w:r w:rsidRPr="0088258D">
              <w:rPr>
                <w:rFonts w:cs="Times New Roman"/>
                <w:szCs w:val="22"/>
              </w:rPr>
              <w:t xml:space="preserve"> should calculate and use actual returns (income) from an asset.</w:t>
            </w:r>
          </w:p>
          <w:p w14:paraId="5893F1F3" w14:textId="2C953808" w:rsidR="000F29A7" w:rsidRPr="0088258D" w:rsidRDefault="000F29A7" w:rsidP="000F29A7">
            <w:pPr>
              <w:pStyle w:val="TableBullet1"/>
              <w:rPr>
                <w:rFonts w:cs="Times New Roman"/>
                <w:szCs w:val="22"/>
              </w:rPr>
            </w:pPr>
            <w:r w:rsidRPr="0088258D">
              <w:rPr>
                <w:rFonts w:cs="Times New Roman"/>
                <w:szCs w:val="22"/>
              </w:rPr>
              <w:t xml:space="preserve">When imputing asset income, use HUD’s most recent passbook savings rate, which can be found on HUD’s website here: </w:t>
            </w:r>
          </w:p>
          <w:p w14:paraId="3EB5CC65" w14:textId="77610120" w:rsidR="000F29A7" w:rsidRPr="0088258D" w:rsidRDefault="00DA569F" w:rsidP="000F29A7">
            <w:pPr>
              <w:pStyle w:val="TableBullet2"/>
              <w:rPr>
                <w:rFonts w:cs="Times New Roman"/>
                <w:szCs w:val="22"/>
              </w:rPr>
            </w:pPr>
            <w:hyperlink r:id="rId12" w:history="1">
              <w:r w:rsidR="000F29A7" w:rsidRPr="0088258D">
                <w:rPr>
                  <w:rStyle w:val="Hyperlink"/>
                  <w:rFonts w:cs="Times New Roman"/>
                  <w:szCs w:val="22"/>
                </w:rPr>
                <w:t>https://www.huduser.gov/portal/datasets/inflationary-adjustments-notifications.html</w:t>
              </w:r>
            </w:hyperlink>
          </w:p>
          <w:p w14:paraId="4606D451" w14:textId="77777777" w:rsidR="000F29A7" w:rsidRPr="0088258D" w:rsidRDefault="000F29A7" w:rsidP="000F29A7">
            <w:pPr>
              <w:pStyle w:val="TableBullet1"/>
              <w:rPr>
                <w:rFonts w:cs="Times New Roman"/>
                <w:szCs w:val="22"/>
              </w:rPr>
            </w:pPr>
            <w:r w:rsidRPr="0088258D">
              <w:rPr>
                <w:rFonts w:cs="Times New Roman"/>
                <w:szCs w:val="22"/>
              </w:rPr>
              <w:t>The value included in Net Family Assets must be confirmed via third-party verification when Net Family Assets exceed $50,000, adjusted for inflation.</w:t>
            </w:r>
          </w:p>
        </w:tc>
      </w:tr>
      <w:tr w:rsidR="000F29A7" w:rsidRPr="0088258D" w14:paraId="20E2A2C2" w14:textId="77777777" w:rsidTr="1281F8EE">
        <w:trPr>
          <w:trHeight w:val="20"/>
        </w:trPr>
        <w:tc>
          <w:tcPr>
            <w:tcW w:w="720" w:type="dxa"/>
          </w:tcPr>
          <w:p w14:paraId="5B1219F1" w14:textId="7D4E27B0" w:rsidR="000F29A7" w:rsidRPr="0088258D" w:rsidRDefault="000F29A7" w:rsidP="000F29A7">
            <w:pPr>
              <w:pStyle w:val="TableCellYear"/>
              <w:rPr>
                <w:rFonts w:cs="Times New Roman"/>
                <w:szCs w:val="22"/>
              </w:rPr>
            </w:pPr>
            <w:r w:rsidRPr="0088258D">
              <w:rPr>
                <w:rFonts w:cs="Times New Roman"/>
                <w:szCs w:val="22"/>
              </w:rPr>
              <w:t>46</w:t>
            </w:r>
          </w:p>
        </w:tc>
        <w:tc>
          <w:tcPr>
            <w:tcW w:w="2160" w:type="dxa"/>
          </w:tcPr>
          <w:p w14:paraId="607A1EAC" w14:textId="77777777" w:rsidR="000F29A7" w:rsidRPr="0088258D" w:rsidRDefault="000F29A7" w:rsidP="000F29A7">
            <w:pPr>
              <w:pStyle w:val="TableCellGeneralText"/>
              <w:rPr>
                <w:rFonts w:cs="Times New Roman"/>
                <w:szCs w:val="22"/>
              </w:rPr>
            </w:pPr>
            <w:r w:rsidRPr="0088258D">
              <w:rPr>
                <w:rFonts w:cs="Times New Roman"/>
                <w:szCs w:val="22"/>
              </w:rPr>
              <w:t>Actual Income from Assets</w:t>
            </w:r>
          </w:p>
        </w:tc>
        <w:tc>
          <w:tcPr>
            <w:tcW w:w="10080" w:type="dxa"/>
          </w:tcPr>
          <w:p w14:paraId="47F78A72" w14:textId="7069C08F" w:rsidR="000F29A7" w:rsidRPr="0088258D" w:rsidRDefault="000F29A7" w:rsidP="000F29A7">
            <w:pPr>
              <w:pStyle w:val="TableCellText-Spaced"/>
              <w:rPr>
                <w:rFonts w:cs="Times New Roman"/>
                <w:szCs w:val="22"/>
              </w:rPr>
            </w:pPr>
            <w:r w:rsidRPr="0088258D">
              <w:rPr>
                <w:rFonts w:cs="Times New Roman"/>
                <w:szCs w:val="22"/>
              </w:rPr>
              <w:t xml:space="preserve">Actual income from assets is </w:t>
            </w:r>
            <w:r w:rsidRPr="0088258D">
              <w:rPr>
                <w:rFonts w:cs="Times New Roman"/>
                <w:b/>
                <w:bCs w:val="0"/>
                <w:szCs w:val="22"/>
              </w:rPr>
              <w:t>always</w:t>
            </w:r>
            <w:r w:rsidRPr="0088258D">
              <w:rPr>
                <w:rFonts w:cs="Times New Roman"/>
                <w:szCs w:val="22"/>
              </w:rPr>
              <w:t xml:space="preserve"> included in a family’s annual income, regardless of the total value of Net Family Assets or whether the asset itself is included in Net Family Assets, unless that income is specifically excluded by </w:t>
            </w:r>
            <w:r w:rsidR="005F6219" w:rsidRPr="0088258D">
              <w:rPr>
                <w:rFonts w:cs="Times New Roman"/>
                <w:szCs w:val="22"/>
              </w:rPr>
              <w:t>HOTMA</w:t>
            </w:r>
            <w:r w:rsidRPr="0088258D">
              <w:rPr>
                <w:rFonts w:cs="Times New Roman"/>
                <w:szCs w:val="22"/>
              </w:rPr>
              <w:t>.</w:t>
            </w:r>
          </w:p>
          <w:p w14:paraId="7E8708B5" w14:textId="1C791D77" w:rsidR="000F29A7" w:rsidRPr="0088258D" w:rsidRDefault="000F29A7" w:rsidP="000F29A7">
            <w:pPr>
              <w:pStyle w:val="TableCellText-Spaced"/>
              <w:rPr>
                <w:rFonts w:cs="Times New Roman"/>
                <w:szCs w:val="22"/>
              </w:rPr>
            </w:pPr>
            <w:r w:rsidRPr="0088258D">
              <w:rPr>
                <w:rFonts w:cs="Times New Roman"/>
                <w:szCs w:val="22"/>
              </w:rPr>
              <w:t xml:space="preserve">This is true for annual reexaminations, which under HOTMA now use the previous year’s income, and initial examinations and interim reexaminations, which now project income for the coming year. </w:t>
            </w:r>
          </w:p>
          <w:p w14:paraId="6EC1EE5F" w14:textId="654FB8F0" w:rsidR="000F29A7" w:rsidRPr="0088258D" w:rsidRDefault="000F29A7" w:rsidP="000F29A7">
            <w:pPr>
              <w:pStyle w:val="TableCellGeneralText"/>
              <w:rPr>
                <w:rFonts w:cs="Times New Roman"/>
                <w:szCs w:val="22"/>
              </w:rPr>
            </w:pPr>
            <w:r w:rsidRPr="0088258D">
              <w:rPr>
                <w:rFonts w:cs="Times New Roman"/>
                <w:szCs w:val="22"/>
              </w:rPr>
              <w:t xml:space="preserve">Income from assets is generally considered to be interest, dividends payments, and other actual income earned on that asset. </w:t>
            </w:r>
          </w:p>
        </w:tc>
      </w:tr>
      <w:tr w:rsidR="000F29A7" w:rsidRPr="0088258D" w14:paraId="27E1EA5E" w14:textId="77777777" w:rsidTr="1281F8EE">
        <w:trPr>
          <w:trHeight w:val="20"/>
        </w:trPr>
        <w:tc>
          <w:tcPr>
            <w:tcW w:w="720" w:type="dxa"/>
          </w:tcPr>
          <w:p w14:paraId="318AA3DA" w14:textId="7CC80CD7" w:rsidR="000F29A7" w:rsidRPr="0088258D" w:rsidRDefault="000F29A7" w:rsidP="000F29A7">
            <w:pPr>
              <w:pStyle w:val="TableCellYear"/>
              <w:rPr>
                <w:rFonts w:cs="Times New Roman"/>
                <w:szCs w:val="22"/>
              </w:rPr>
            </w:pPr>
            <w:r w:rsidRPr="0088258D">
              <w:rPr>
                <w:rFonts w:cs="Times New Roman"/>
                <w:szCs w:val="22"/>
              </w:rPr>
              <w:lastRenderedPageBreak/>
              <w:t>47</w:t>
            </w:r>
          </w:p>
        </w:tc>
        <w:tc>
          <w:tcPr>
            <w:tcW w:w="2160" w:type="dxa"/>
          </w:tcPr>
          <w:p w14:paraId="2EBC9E97" w14:textId="77777777" w:rsidR="000F29A7" w:rsidRPr="0088258D" w:rsidRDefault="000F29A7" w:rsidP="000F29A7">
            <w:pPr>
              <w:pStyle w:val="TableCellGeneralText"/>
              <w:rPr>
                <w:rFonts w:cs="Times New Roman"/>
                <w:szCs w:val="22"/>
              </w:rPr>
            </w:pPr>
            <w:r w:rsidRPr="0088258D">
              <w:rPr>
                <w:rFonts w:cs="Times New Roman"/>
                <w:szCs w:val="22"/>
              </w:rPr>
              <w:t>Imputed Income</w:t>
            </w:r>
          </w:p>
        </w:tc>
        <w:tc>
          <w:tcPr>
            <w:tcW w:w="10080" w:type="dxa"/>
          </w:tcPr>
          <w:p w14:paraId="151CC9C5" w14:textId="6599E24E" w:rsidR="000F29A7" w:rsidRPr="0088258D" w:rsidRDefault="000F29A7" w:rsidP="000F29A7">
            <w:pPr>
              <w:pStyle w:val="TableCellGeneralText"/>
              <w:rPr>
                <w:rFonts w:cs="Times New Roman"/>
                <w:szCs w:val="22"/>
              </w:rPr>
            </w:pPr>
            <w:r w:rsidRPr="0088258D">
              <w:rPr>
                <w:rFonts w:cs="Times New Roman"/>
                <w:szCs w:val="22"/>
              </w:rPr>
              <w:t>The income from assets is no longer determined based on the greater of actual or imputed income from those assets. Instead, imputed asset income must be calculated for specific assets when three conditions are met:</w:t>
            </w:r>
          </w:p>
          <w:p w14:paraId="0C7545EA" w14:textId="5EF5EEBA" w:rsidR="000F29A7" w:rsidRPr="0088258D" w:rsidRDefault="000F29A7" w:rsidP="000F29A7">
            <w:pPr>
              <w:pStyle w:val="TableBullet1"/>
              <w:rPr>
                <w:rFonts w:cs="Times New Roman"/>
                <w:szCs w:val="22"/>
              </w:rPr>
            </w:pPr>
            <w:r w:rsidRPr="0088258D">
              <w:rPr>
                <w:rFonts w:cs="Times New Roman"/>
                <w:szCs w:val="22"/>
              </w:rPr>
              <w:t>The value of Net Family Assets exceeds $50,000, adjusted annually for inflation,</w:t>
            </w:r>
          </w:p>
          <w:p w14:paraId="0A07D018" w14:textId="5B8BAC44" w:rsidR="000F29A7" w:rsidRPr="0088258D" w:rsidRDefault="000F29A7" w:rsidP="000F29A7">
            <w:pPr>
              <w:pStyle w:val="TableBullet1"/>
              <w:rPr>
                <w:rFonts w:cs="Times New Roman"/>
                <w:szCs w:val="22"/>
              </w:rPr>
            </w:pPr>
            <w:r w:rsidRPr="0088258D">
              <w:rPr>
                <w:rFonts w:cs="Times New Roman"/>
                <w:szCs w:val="22"/>
              </w:rPr>
              <w:t>The specific assets are included in Net Family Assets, and</w:t>
            </w:r>
          </w:p>
          <w:p w14:paraId="68C6D107" w14:textId="77777777" w:rsidR="000F29A7" w:rsidRPr="0088258D" w:rsidRDefault="000F29A7" w:rsidP="000F29A7">
            <w:pPr>
              <w:pStyle w:val="TableBullet1"/>
              <w:rPr>
                <w:rFonts w:cs="Times New Roman"/>
                <w:szCs w:val="22"/>
              </w:rPr>
            </w:pPr>
            <w:r w:rsidRPr="0088258D">
              <w:rPr>
                <w:rFonts w:cs="Times New Roman"/>
                <w:szCs w:val="22"/>
              </w:rPr>
              <w:t>Actual asset income cannot be calculated for a specific asset.</w:t>
            </w:r>
          </w:p>
          <w:p w14:paraId="2E4DEF1B" w14:textId="185C960E" w:rsidR="000F29A7" w:rsidRPr="0088258D" w:rsidRDefault="000F29A7" w:rsidP="000F29A7">
            <w:pPr>
              <w:pStyle w:val="TableCellText-Spaced"/>
              <w:spacing w:before="120"/>
              <w:rPr>
                <w:rFonts w:cs="Times New Roman"/>
                <w:szCs w:val="22"/>
              </w:rPr>
            </w:pPr>
            <w:r w:rsidRPr="0088258D">
              <w:rPr>
                <w:rFonts w:cs="Times New Roman"/>
                <w:szCs w:val="22"/>
              </w:rPr>
              <w:t>If actual income can be calculated for some of the assets, use actual income first, then calculate imputed income for the remainder of assets.</w:t>
            </w:r>
          </w:p>
          <w:p w14:paraId="7EDAB86B" w14:textId="77777777" w:rsidR="000F29A7" w:rsidRPr="0088258D" w:rsidRDefault="000F29A7" w:rsidP="000F29A7">
            <w:pPr>
              <w:pStyle w:val="TableCellGeneralText"/>
              <w:rPr>
                <w:rFonts w:cs="Times New Roman"/>
                <w:szCs w:val="22"/>
              </w:rPr>
            </w:pPr>
            <w:r w:rsidRPr="0088258D">
              <w:rPr>
                <w:rFonts w:cs="Times New Roman"/>
                <w:szCs w:val="22"/>
              </w:rPr>
              <w:t>Imputed income is never calculated on assets that are excluded from Net Family Assets.</w:t>
            </w:r>
          </w:p>
        </w:tc>
      </w:tr>
      <w:tr w:rsidR="000F29A7" w:rsidRPr="0088258D" w14:paraId="6575A1F3" w14:textId="77777777" w:rsidTr="1281F8EE">
        <w:trPr>
          <w:trHeight w:val="20"/>
        </w:trPr>
        <w:tc>
          <w:tcPr>
            <w:tcW w:w="720" w:type="dxa"/>
          </w:tcPr>
          <w:p w14:paraId="20E8D79D" w14:textId="506FB91A" w:rsidR="000F29A7" w:rsidRPr="0088258D" w:rsidRDefault="000F29A7" w:rsidP="000F29A7">
            <w:pPr>
              <w:pStyle w:val="TableCellYear"/>
              <w:rPr>
                <w:rFonts w:cs="Times New Roman"/>
                <w:szCs w:val="22"/>
              </w:rPr>
            </w:pPr>
            <w:r w:rsidRPr="0088258D">
              <w:rPr>
                <w:rFonts w:cs="Times New Roman"/>
                <w:szCs w:val="22"/>
              </w:rPr>
              <w:t>48</w:t>
            </w:r>
          </w:p>
        </w:tc>
        <w:tc>
          <w:tcPr>
            <w:tcW w:w="2160" w:type="dxa"/>
          </w:tcPr>
          <w:p w14:paraId="1FA4761B" w14:textId="77777777" w:rsidR="000F29A7" w:rsidRPr="0088258D" w:rsidRDefault="000F29A7" w:rsidP="000F29A7">
            <w:pPr>
              <w:pStyle w:val="TableCellGeneralText"/>
              <w:rPr>
                <w:rFonts w:cs="Times New Roman"/>
                <w:szCs w:val="22"/>
              </w:rPr>
            </w:pPr>
            <w:r w:rsidRPr="0088258D">
              <w:rPr>
                <w:rFonts w:cs="Times New Roman"/>
                <w:szCs w:val="22"/>
              </w:rPr>
              <w:t>Asset Income Calculation Decision Chart</w:t>
            </w:r>
          </w:p>
        </w:tc>
        <w:tc>
          <w:tcPr>
            <w:tcW w:w="10080" w:type="dxa"/>
          </w:tcPr>
          <w:p w14:paraId="0353BC02" w14:textId="2C5E4E4A" w:rsidR="000F29A7" w:rsidRPr="0088258D" w:rsidRDefault="000F29A7" w:rsidP="000F29A7">
            <w:pPr>
              <w:pStyle w:val="TableCellGeneralText"/>
              <w:rPr>
                <w:rFonts w:cs="Times New Roman"/>
                <w:szCs w:val="22"/>
              </w:rPr>
            </w:pPr>
            <w:r w:rsidRPr="0088258D">
              <w:rPr>
                <w:rFonts w:cs="Times New Roman"/>
                <w:szCs w:val="22"/>
              </w:rPr>
              <w:t>This asset income calculation decision chart walks you through when to use actual asset income and when to use imputed asset income.</w:t>
            </w:r>
          </w:p>
          <w:p w14:paraId="3E60562B" w14:textId="24B3CC35" w:rsidR="000F29A7" w:rsidRPr="0088258D" w:rsidRDefault="000F29A7" w:rsidP="000F29A7">
            <w:pPr>
              <w:pStyle w:val="TableBullet1"/>
              <w:rPr>
                <w:rFonts w:cs="Times New Roman"/>
                <w:szCs w:val="22"/>
              </w:rPr>
            </w:pPr>
            <w:r w:rsidRPr="0088258D">
              <w:rPr>
                <w:rFonts w:cs="Times New Roman"/>
                <w:szCs w:val="22"/>
              </w:rPr>
              <w:t xml:space="preserve">If the family’s Net Family Assets do not exceed $50,000, adjusted </w:t>
            </w:r>
            <w:r w:rsidR="00676B05" w:rsidRPr="0088258D">
              <w:rPr>
                <w:rFonts w:cs="Times New Roman"/>
                <w:szCs w:val="22"/>
              </w:rPr>
              <w:t xml:space="preserve">annually </w:t>
            </w:r>
            <w:r w:rsidRPr="0088258D">
              <w:rPr>
                <w:rFonts w:cs="Times New Roman"/>
                <w:szCs w:val="22"/>
              </w:rPr>
              <w:t xml:space="preserve">for inflation, then </w:t>
            </w:r>
            <w:r w:rsidR="00A149A0">
              <w:rPr>
                <w:rFonts w:cs="Times New Roman"/>
                <w:szCs w:val="22"/>
              </w:rPr>
              <w:t>Owners</w:t>
            </w:r>
            <w:r w:rsidRPr="0088258D">
              <w:rPr>
                <w:rFonts w:cs="Times New Roman"/>
                <w:szCs w:val="22"/>
              </w:rPr>
              <w:t xml:space="preserve"> count any actual income received.</w:t>
            </w:r>
          </w:p>
          <w:p w14:paraId="10D6875E" w14:textId="3135657E" w:rsidR="000F29A7" w:rsidRPr="0088258D" w:rsidRDefault="000F29A7" w:rsidP="000F29A7">
            <w:pPr>
              <w:pStyle w:val="TableBullet1"/>
              <w:rPr>
                <w:rFonts w:cs="Times New Roman"/>
                <w:szCs w:val="22"/>
              </w:rPr>
            </w:pPr>
            <w:r w:rsidRPr="0088258D">
              <w:rPr>
                <w:rFonts w:cs="Times New Roman"/>
                <w:szCs w:val="22"/>
              </w:rPr>
              <w:t>If the family’s Net Family Assets exceed $50,000, adjusted</w:t>
            </w:r>
            <w:r w:rsidR="00DF7C5A" w:rsidRPr="0088258D">
              <w:rPr>
                <w:rFonts w:cs="Times New Roman"/>
                <w:szCs w:val="22"/>
              </w:rPr>
              <w:t xml:space="preserve"> annually</w:t>
            </w:r>
            <w:r w:rsidRPr="0088258D">
              <w:rPr>
                <w:rFonts w:cs="Times New Roman"/>
                <w:szCs w:val="22"/>
              </w:rPr>
              <w:t xml:space="preserve"> for inflation, then there are two options:</w:t>
            </w:r>
          </w:p>
          <w:p w14:paraId="1113E02B" w14:textId="731892B5" w:rsidR="000F29A7" w:rsidRPr="0088258D" w:rsidRDefault="000F29A7" w:rsidP="000F29A7">
            <w:pPr>
              <w:pStyle w:val="TableBullet2"/>
              <w:rPr>
                <w:rFonts w:cs="Times New Roman"/>
                <w:szCs w:val="22"/>
              </w:rPr>
            </w:pPr>
            <w:r w:rsidRPr="0088258D">
              <w:rPr>
                <w:rFonts w:cs="Times New Roman"/>
                <w:szCs w:val="22"/>
              </w:rPr>
              <w:t xml:space="preserve">First, if the </w:t>
            </w:r>
            <w:r w:rsidR="00927369">
              <w:rPr>
                <w:rFonts w:cs="Times New Roman"/>
                <w:szCs w:val="22"/>
              </w:rPr>
              <w:t>Owner</w:t>
            </w:r>
            <w:r w:rsidRPr="0088258D">
              <w:rPr>
                <w:rFonts w:cs="Times New Roman"/>
                <w:szCs w:val="22"/>
              </w:rPr>
              <w:t xml:space="preserve"> can calculate actual income for </w:t>
            </w:r>
            <w:r w:rsidRPr="0088258D">
              <w:rPr>
                <w:rFonts w:cs="Times New Roman"/>
                <w:b/>
                <w:bCs/>
                <w:szCs w:val="22"/>
              </w:rPr>
              <w:t>all</w:t>
            </w:r>
            <w:r w:rsidRPr="0088258D">
              <w:rPr>
                <w:rFonts w:cs="Times New Roman"/>
                <w:szCs w:val="22"/>
              </w:rPr>
              <w:t xml:space="preserve"> assets, then this income is </w:t>
            </w:r>
            <w:r w:rsidR="002022C7" w:rsidRPr="0088258D">
              <w:rPr>
                <w:rFonts w:cs="Times New Roman"/>
                <w:szCs w:val="22"/>
              </w:rPr>
              <w:t>counted,</w:t>
            </w:r>
            <w:r w:rsidRPr="0088258D">
              <w:rPr>
                <w:rFonts w:cs="Times New Roman"/>
                <w:szCs w:val="22"/>
              </w:rPr>
              <w:t xml:space="preserve"> and no imputing is necessary.</w:t>
            </w:r>
          </w:p>
          <w:p w14:paraId="428B7BE1" w14:textId="5A06B545" w:rsidR="000F29A7" w:rsidRPr="0088258D" w:rsidRDefault="000F29A7" w:rsidP="000F29A7">
            <w:pPr>
              <w:pStyle w:val="TableBullet2"/>
              <w:rPr>
                <w:rFonts w:cs="Times New Roman"/>
                <w:szCs w:val="22"/>
              </w:rPr>
            </w:pPr>
            <w:r w:rsidRPr="0088258D">
              <w:rPr>
                <w:rFonts w:cs="Times New Roman"/>
                <w:szCs w:val="22"/>
              </w:rPr>
              <w:t xml:space="preserve">Second, if the </w:t>
            </w:r>
            <w:r w:rsidR="00927369">
              <w:rPr>
                <w:rFonts w:cs="Times New Roman"/>
                <w:szCs w:val="22"/>
              </w:rPr>
              <w:t>Owner</w:t>
            </w:r>
            <w:r w:rsidRPr="0088258D">
              <w:rPr>
                <w:rFonts w:cs="Times New Roman"/>
                <w:szCs w:val="22"/>
              </w:rPr>
              <w:t xml:space="preserve"> cannot calculate actual income for </w:t>
            </w:r>
            <w:r w:rsidRPr="0088258D">
              <w:rPr>
                <w:rFonts w:cs="Times New Roman"/>
                <w:b/>
                <w:bCs/>
                <w:szCs w:val="22"/>
              </w:rPr>
              <w:t>all</w:t>
            </w:r>
            <w:r w:rsidRPr="0088258D">
              <w:rPr>
                <w:rFonts w:cs="Times New Roman"/>
                <w:szCs w:val="22"/>
              </w:rPr>
              <w:t xml:space="preserve"> assets, then they use any actual income that is available and impute the asset income of the remaining assets.</w:t>
            </w:r>
          </w:p>
          <w:p w14:paraId="7C1C51A8" w14:textId="124ABB53" w:rsidR="000F29A7" w:rsidRPr="0088258D" w:rsidRDefault="000F29A7" w:rsidP="000F29A7">
            <w:pPr>
              <w:pStyle w:val="TableBullet1"/>
              <w:rPr>
                <w:rFonts w:cs="Times New Roman"/>
                <w:szCs w:val="22"/>
              </w:rPr>
            </w:pPr>
            <w:r w:rsidRPr="0088258D">
              <w:rPr>
                <w:rFonts w:cs="Times New Roman"/>
                <w:szCs w:val="22"/>
              </w:rPr>
              <w:t xml:space="preserve">In both instances, since the assets exceed the $50,000 threshold, then the </w:t>
            </w:r>
            <w:r w:rsidR="00927369">
              <w:rPr>
                <w:rFonts w:cs="Times New Roman"/>
                <w:szCs w:val="22"/>
              </w:rPr>
              <w:t>Owner</w:t>
            </w:r>
            <w:r w:rsidRPr="0088258D">
              <w:rPr>
                <w:rFonts w:cs="Times New Roman"/>
                <w:szCs w:val="22"/>
              </w:rPr>
              <w:t xml:space="preserve"> must verify the assets through a third party.</w:t>
            </w:r>
          </w:p>
        </w:tc>
      </w:tr>
      <w:tr w:rsidR="000F29A7" w:rsidRPr="0088258D" w14:paraId="1903B83C" w14:textId="77777777" w:rsidTr="1281F8EE">
        <w:trPr>
          <w:trHeight w:val="20"/>
        </w:trPr>
        <w:tc>
          <w:tcPr>
            <w:tcW w:w="720" w:type="dxa"/>
          </w:tcPr>
          <w:p w14:paraId="6CD2D44C" w14:textId="16BA875C" w:rsidR="000F29A7" w:rsidRPr="0088258D" w:rsidRDefault="000F29A7" w:rsidP="000F29A7">
            <w:pPr>
              <w:pStyle w:val="TableCellYear"/>
              <w:rPr>
                <w:rFonts w:cs="Times New Roman"/>
                <w:szCs w:val="22"/>
              </w:rPr>
            </w:pPr>
            <w:r w:rsidRPr="0088258D">
              <w:rPr>
                <w:rFonts w:cs="Times New Roman"/>
                <w:szCs w:val="22"/>
              </w:rPr>
              <w:lastRenderedPageBreak/>
              <w:t>49</w:t>
            </w:r>
          </w:p>
        </w:tc>
        <w:tc>
          <w:tcPr>
            <w:tcW w:w="2160" w:type="dxa"/>
          </w:tcPr>
          <w:p w14:paraId="6F274C76" w14:textId="77777777" w:rsidR="000F29A7" w:rsidRPr="0088258D" w:rsidRDefault="000F29A7" w:rsidP="000F29A7">
            <w:pPr>
              <w:pStyle w:val="TableCellGeneralText"/>
              <w:rPr>
                <w:rFonts w:cs="Times New Roman"/>
                <w:szCs w:val="22"/>
              </w:rPr>
            </w:pPr>
            <w:r w:rsidRPr="0088258D">
              <w:rPr>
                <w:rFonts w:cs="Times New Roman"/>
                <w:szCs w:val="22"/>
              </w:rPr>
              <w:t>Passbook Rate</w:t>
            </w:r>
          </w:p>
        </w:tc>
        <w:tc>
          <w:tcPr>
            <w:tcW w:w="10080" w:type="dxa"/>
          </w:tcPr>
          <w:p w14:paraId="51AD3796" w14:textId="20ADD676" w:rsidR="000F29A7" w:rsidRPr="0088258D" w:rsidRDefault="000F29A7" w:rsidP="000F29A7">
            <w:pPr>
              <w:pStyle w:val="TableCellGeneralText"/>
              <w:rPr>
                <w:rFonts w:cs="Times New Roman"/>
                <w:szCs w:val="22"/>
              </w:rPr>
            </w:pPr>
            <w:r w:rsidRPr="0088258D">
              <w:rPr>
                <w:rFonts w:cs="Times New Roman"/>
                <w:szCs w:val="22"/>
              </w:rPr>
              <w:t xml:space="preserve">HUD publishes an annual passbook rate based on the FDIC’s National Deposit Rate for savings accounts. </w:t>
            </w:r>
            <w:r w:rsidR="00A149A0">
              <w:rPr>
                <w:rFonts w:cs="Times New Roman"/>
                <w:szCs w:val="22"/>
              </w:rPr>
              <w:t>Owners</w:t>
            </w:r>
            <w:r w:rsidRPr="0088258D">
              <w:rPr>
                <w:rFonts w:cs="Times New Roman"/>
                <w:szCs w:val="22"/>
              </w:rPr>
              <w:t xml:space="preserve"> must use HUD’s passbook rate when calculating the imputed income from Net Family Assets that exceed $50,000, updated annually for inflation. </w:t>
            </w:r>
          </w:p>
          <w:p w14:paraId="7D3A64E8" w14:textId="77777777" w:rsidR="000F29A7" w:rsidRPr="0088258D" w:rsidRDefault="000F29A7" w:rsidP="000F29A7">
            <w:pPr>
              <w:pStyle w:val="TableBullet1"/>
              <w:rPr>
                <w:rFonts w:cs="Times New Roman"/>
                <w:szCs w:val="22"/>
              </w:rPr>
            </w:pPr>
            <w:r w:rsidRPr="0088258D">
              <w:rPr>
                <w:rFonts w:cs="Times New Roman"/>
                <w:szCs w:val="22"/>
              </w:rPr>
              <w:t xml:space="preserve">The passbook rate will be published on the HUDUser website. </w:t>
            </w:r>
          </w:p>
          <w:p w14:paraId="443E1C4E" w14:textId="5CFB91E4" w:rsidR="000F29A7" w:rsidRPr="0088258D" w:rsidRDefault="000F29A7" w:rsidP="000F29A7">
            <w:pPr>
              <w:pStyle w:val="TableCellGeneralText"/>
              <w:spacing w:before="120"/>
              <w:rPr>
                <w:rFonts w:cs="Times New Roman"/>
                <w:szCs w:val="22"/>
              </w:rPr>
            </w:pPr>
            <w:r w:rsidRPr="0088258D">
              <w:rPr>
                <w:rFonts w:cs="Times New Roman"/>
                <w:szCs w:val="22"/>
              </w:rPr>
              <w:t xml:space="preserve">For 2024, the passbook rate will be 0.40 percent. </w:t>
            </w:r>
          </w:p>
          <w:p w14:paraId="1DD0B846" w14:textId="4809321A" w:rsidR="000F29A7" w:rsidRPr="0088258D" w:rsidRDefault="00A149A0" w:rsidP="000F29A7">
            <w:pPr>
              <w:pStyle w:val="TableBullet1"/>
              <w:rPr>
                <w:rFonts w:cs="Times New Roman"/>
                <w:szCs w:val="22"/>
              </w:rPr>
            </w:pPr>
            <w:r>
              <w:rPr>
                <w:rFonts w:cs="Times New Roman"/>
                <w:szCs w:val="22"/>
              </w:rPr>
              <w:t>Owners</w:t>
            </w:r>
            <w:r w:rsidR="000F29A7" w:rsidRPr="0088258D">
              <w:rPr>
                <w:rFonts w:cs="Times New Roman"/>
                <w:szCs w:val="22"/>
              </w:rPr>
              <w:t xml:space="preserve"> will use the 2024 passbook rate once they have implemented the use of passbook rate</w:t>
            </w:r>
          </w:p>
          <w:p w14:paraId="6B3A2A65" w14:textId="3FF1B118" w:rsidR="000F29A7" w:rsidRPr="0088258D" w:rsidRDefault="000F29A7" w:rsidP="000F29A7">
            <w:pPr>
              <w:pStyle w:val="TableCellText-Spaced"/>
              <w:spacing w:before="120"/>
              <w:rPr>
                <w:rFonts w:cs="Times New Roman"/>
                <w:szCs w:val="22"/>
              </w:rPr>
            </w:pPr>
            <w:r w:rsidRPr="0088258D">
              <w:rPr>
                <w:rFonts w:cs="Times New Roman"/>
                <w:szCs w:val="22"/>
              </w:rPr>
              <w:t xml:space="preserve">For reexaminations with effective dates before January 1, 2024, </w:t>
            </w:r>
            <w:r w:rsidR="00A149A0">
              <w:rPr>
                <w:rFonts w:cs="Times New Roman"/>
                <w:szCs w:val="22"/>
              </w:rPr>
              <w:t>Owners</w:t>
            </w:r>
            <w:r w:rsidRPr="0088258D">
              <w:rPr>
                <w:rFonts w:cs="Times New Roman"/>
                <w:szCs w:val="22"/>
              </w:rPr>
              <w:t xml:space="preserve"> must continue to use the 0.06 percent passbook rate. Similarly, for reexaminations after January 1, 2024, but prior to an </w:t>
            </w:r>
            <w:r w:rsidR="00927369">
              <w:rPr>
                <w:rFonts w:cs="Times New Roman"/>
                <w:szCs w:val="22"/>
              </w:rPr>
              <w:t>Owner</w:t>
            </w:r>
            <w:r w:rsidRPr="0088258D">
              <w:rPr>
                <w:rFonts w:cs="Times New Roman"/>
                <w:szCs w:val="22"/>
              </w:rPr>
              <w:t xml:space="preserve">’s implementation of the new passbook rate, </w:t>
            </w:r>
            <w:r w:rsidR="00A149A0">
              <w:rPr>
                <w:rFonts w:cs="Times New Roman"/>
                <w:szCs w:val="22"/>
              </w:rPr>
              <w:t>Owners</w:t>
            </w:r>
            <w:r w:rsidRPr="0088258D">
              <w:rPr>
                <w:rFonts w:cs="Times New Roman"/>
                <w:szCs w:val="22"/>
              </w:rPr>
              <w:t xml:space="preserve"> may continue to use the 0.0</w:t>
            </w:r>
            <w:r w:rsidR="00E55D06" w:rsidRPr="0088258D">
              <w:rPr>
                <w:rFonts w:cs="Times New Roman"/>
                <w:szCs w:val="22"/>
              </w:rPr>
              <w:t>6</w:t>
            </w:r>
            <w:r w:rsidRPr="0088258D">
              <w:rPr>
                <w:rFonts w:cs="Times New Roman"/>
                <w:szCs w:val="22"/>
              </w:rPr>
              <w:t xml:space="preserve"> percent rate.</w:t>
            </w:r>
          </w:p>
          <w:p w14:paraId="31796425" w14:textId="1229307A" w:rsidR="000F29A7" w:rsidRPr="0088258D" w:rsidRDefault="000F29A7" w:rsidP="000F29A7">
            <w:pPr>
              <w:pStyle w:val="TableCellGeneralText"/>
              <w:rPr>
                <w:rFonts w:cs="Times New Roman"/>
                <w:szCs w:val="22"/>
              </w:rPr>
            </w:pPr>
            <w:r w:rsidRPr="0088258D">
              <w:rPr>
                <w:rFonts w:cs="Times New Roman"/>
                <w:szCs w:val="22"/>
              </w:rPr>
              <w:t>Note that the HOTMA final rule supersedes Notice H 2016-01, Passbook Savings Rate, effective February 1, 2016.</w:t>
            </w:r>
          </w:p>
        </w:tc>
      </w:tr>
      <w:tr w:rsidR="000F29A7" w:rsidRPr="0088258D" w14:paraId="1AAA9088" w14:textId="77777777" w:rsidTr="1281F8EE">
        <w:trPr>
          <w:trHeight w:val="20"/>
        </w:trPr>
        <w:tc>
          <w:tcPr>
            <w:tcW w:w="720" w:type="dxa"/>
          </w:tcPr>
          <w:p w14:paraId="3EBF92A4" w14:textId="29133734" w:rsidR="000F29A7" w:rsidRPr="0088258D" w:rsidRDefault="000F29A7" w:rsidP="000F29A7">
            <w:pPr>
              <w:pStyle w:val="TableCellYear"/>
              <w:rPr>
                <w:rFonts w:cs="Times New Roman"/>
                <w:szCs w:val="22"/>
              </w:rPr>
            </w:pPr>
            <w:r w:rsidRPr="0088258D">
              <w:rPr>
                <w:rFonts w:cs="Times New Roman"/>
                <w:szCs w:val="22"/>
              </w:rPr>
              <w:t>50</w:t>
            </w:r>
          </w:p>
        </w:tc>
        <w:tc>
          <w:tcPr>
            <w:tcW w:w="2160" w:type="dxa"/>
          </w:tcPr>
          <w:p w14:paraId="566963EF" w14:textId="77777777" w:rsidR="000F29A7" w:rsidRPr="0088258D" w:rsidRDefault="000F29A7" w:rsidP="000F29A7">
            <w:pPr>
              <w:pStyle w:val="TableCellGeneralText"/>
              <w:rPr>
                <w:rFonts w:cs="Times New Roman"/>
                <w:szCs w:val="22"/>
              </w:rPr>
            </w:pPr>
            <w:r w:rsidRPr="0088258D">
              <w:rPr>
                <w:rFonts w:cs="Times New Roman"/>
                <w:szCs w:val="22"/>
              </w:rPr>
              <w:t>Inflationary Adjustment</w:t>
            </w:r>
          </w:p>
        </w:tc>
        <w:tc>
          <w:tcPr>
            <w:tcW w:w="10080" w:type="dxa"/>
          </w:tcPr>
          <w:p w14:paraId="242BB72B" w14:textId="77777777" w:rsidR="000F29A7" w:rsidRPr="0088258D" w:rsidRDefault="000F29A7" w:rsidP="000F29A7">
            <w:pPr>
              <w:pStyle w:val="TableCellText-Spaced"/>
              <w:rPr>
                <w:rFonts w:cs="Times New Roman"/>
                <w:szCs w:val="22"/>
              </w:rPr>
            </w:pPr>
            <w:r w:rsidRPr="0088258D">
              <w:rPr>
                <w:rFonts w:cs="Times New Roman"/>
                <w:szCs w:val="22"/>
              </w:rPr>
              <w:t>HUD will also annually update the $50,000 threshold above which imputed income must be calculated on Net Family Assets.</w:t>
            </w:r>
          </w:p>
          <w:p w14:paraId="0337B3FA" w14:textId="51358306" w:rsidR="000F29A7" w:rsidRPr="0088258D" w:rsidRDefault="000F29A7" w:rsidP="000F29A7">
            <w:pPr>
              <w:pStyle w:val="TableCellText-Spaced"/>
              <w:rPr>
                <w:rFonts w:cs="Times New Roman"/>
                <w:szCs w:val="22"/>
              </w:rPr>
            </w:pPr>
            <w:r w:rsidRPr="0088258D">
              <w:rPr>
                <w:rFonts w:cs="Times New Roman"/>
                <w:szCs w:val="22"/>
              </w:rPr>
              <w:t xml:space="preserve">The update will be published each year no later than September 1, to be effective January 1 of the following calendar year. </w:t>
            </w:r>
          </w:p>
          <w:p w14:paraId="1E902365" w14:textId="0CF05AB2" w:rsidR="000F29A7" w:rsidRPr="0088258D" w:rsidRDefault="000F29A7" w:rsidP="000F29A7">
            <w:pPr>
              <w:pStyle w:val="TableCellGeneralText"/>
              <w:rPr>
                <w:rFonts w:cs="Times New Roman"/>
                <w:szCs w:val="22"/>
              </w:rPr>
            </w:pPr>
            <w:r w:rsidRPr="0088258D">
              <w:rPr>
                <w:rFonts w:cs="Times New Roman"/>
                <w:szCs w:val="22"/>
              </w:rPr>
              <w:t>It will be posted, along with other inflationary adjustments, on the HUDUser website. The first adjustment for inflation will be made effective January 1, 2025.</w:t>
            </w:r>
          </w:p>
        </w:tc>
      </w:tr>
      <w:tr w:rsidR="000F29A7" w:rsidRPr="0088258D" w14:paraId="1CE74F33" w14:textId="77777777" w:rsidTr="1281F8EE">
        <w:trPr>
          <w:trHeight w:val="20"/>
        </w:trPr>
        <w:tc>
          <w:tcPr>
            <w:tcW w:w="720" w:type="dxa"/>
          </w:tcPr>
          <w:p w14:paraId="1C777A80" w14:textId="77955E6D" w:rsidR="000F29A7" w:rsidRPr="0088258D" w:rsidRDefault="000F29A7" w:rsidP="000F29A7">
            <w:pPr>
              <w:pStyle w:val="TableCellYear"/>
              <w:rPr>
                <w:rFonts w:cs="Times New Roman"/>
                <w:szCs w:val="22"/>
              </w:rPr>
            </w:pPr>
            <w:r w:rsidRPr="0088258D">
              <w:rPr>
                <w:rFonts w:cs="Times New Roman"/>
                <w:szCs w:val="22"/>
              </w:rPr>
              <w:t>51</w:t>
            </w:r>
          </w:p>
        </w:tc>
        <w:tc>
          <w:tcPr>
            <w:tcW w:w="2160" w:type="dxa"/>
          </w:tcPr>
          <w:p w14:paraId="2EA34E77" w14:textId="77777777" w:rsidR="000F29A7" w:rsidRPr="0088258D" w:rsidRDefault="000F29A7" w:rsidP="000F29A7">
            <w:pPr>
              <w:pStyle w:val="TableCellGeneralText"/>
              <w:rPr>
                <w:rFonts w:cs="Times New Roman"/>
                <w:szCs w:val="22"/>
              </w:rPr>
            </w:pPr>
            <w:r w:rsidRPr="0088258D">
              <w:rPr>
                <w:rFonts w:cs="Times New Roman"/>
                <w:szCs w:val="22"/>
              </w:rPr>
              <w:t>Asset Income Calculation Scenarios</w:t>
            </w:r>
          </w:p>
        </w:tc>
        <w:tc>
          <w:tcPr>
            <w:tcW w:w="10080" w:type="dxa"/>
          </w:tcPr>
          <w:p w14:paraId="3B4BFCEC" w14:textId="4D969BEA" w:rsidR="000F29A7" w:rsidRPr="0088258D" w:rsidRDefault="1C11DB36" w:rsidP="189CA5E0">
            <w:pPr>
              <w:pStyle w:val="TableCellText-Spaced"/>
              <w:spacing w:line="259" w:lineRule="auto"/>
              <w:rPr>
                <w:rFonts w:cs="Times New Roman"/>
                <w:szCs w:val="22"/>
              </w:rPr>
            </w:pPr>
            <w:r w:rsidRPr="0088258D">
              <w:rPr>
                <w:rFonts w:cs="Times New Roman"/>
                <w:szCs w:val="22"/>
              </w:rPr>
              <w:t>Here we illustrate three scenarios in which the value of non-necessary personal property is $50,00</w:t>
            </w:r>
            <w:r w:rsidR="2460DC23" w:rsidRPr="0088258D">
              <w:rPr>
                <w:rFonts w:cs="Times New Roman"/>
                <w:szCs w:val="22"/>
              </w:rPr>
              <w:t>0 or less.</w:t>
            </w:r>
          </w:p>
          <w:p w14:paraId="0C6D45F0" w14:textId="15B7B445" w:rsidR="000F29A7" w:rsidRPr="0088258D" w:rsidRDefault="00BF2B5F" w:rsidP="3379D4ED">
            <w:pPr>
              <w:pStyle w:val="TableCellText-Spaced"/>
              <w:spacing w:line="259" w:lineRule="auto"/>
              <w:rPr>
                <w:rFonts w:cs="Times New Roman"/>
                <w:szCs w:val="22"/>
              </w:rPr>
            </w:pPr>
            <w:r w:rsidRPr="0088258D">
              <w:rPr>
                <w:rFonts w:cs="Times New Roman"/>
                <w:szCs w:val="22"/>
              </w:rPr>
              <w:t>Scenario 1.</w:t>
            </w:r>
            <w:r w:rsidR="212FEB28" w:rsidRPr="0088258D">
              <w:rPr>
                <w:rFonts w:cs="Times New Roman"/>
                <w:szCs w:val="22"/>
              </w:rPr>
              <w:t>A</w:t>
            </w:r>
            <w:r w:rsidR="2460DC23" w:rsidRPr="0088258D">
              <w:rPr>
                <w:rFonts w:cs="Times New Roman"/>
                <w:szCs w:val="22"/>
              </w:rPr>
              <w:t xml:space="preserve"> family owns a savings account worth $5,000 which earns 1% annually and no other assets.</w:t>
            </w:r>
            <w:r w:rsidR="3715D4C8" w:rsidRPr="0088258D">
              <w:rPr>
                <w:rFonts w:cs="Times New Roman"/>
                <w:szCs w:val="22"/>
              </w:rPr>
              <w:t xml:space="preserve"> Under this scenario, the </w:t>
            </w:r>
            <w:r w:rsidR="00927369">
              <w:rPr>
                <w:rFonts w:cs="Times New Roman"/>
                <w:szCs w:val="22"/>
              </w:rPr>
              <w:t>Owner</w:t>
            </w:r>
            <w:r w:rsidR="3715D4C8" w:rsidRPr="0088258D">
              <w:rPr>
                <w:rFonts w:cs="Times New Roman"/>
                <w:szCs w:val="22"/>
              </w:rPr>
              <w:t xml:space="preserve"> must use only the actual income of the asset only, which is $50.</w:t>
            </w:r>
          </w:p>
          <w:p w14:paraId="214F4CD0" w14:textId="577B77E6" w:rsidR="000F29A7" w:rsidRPr="0088258D" w:rsidRDefault="34E39D7D" w:rsidP="1C9AD942">
            <w:pPr>
              <w:pStyle w:val="TableCellText-Spaced"/>
              <w:spacing w:line="259" w:lineRule="auto"/>
              <w:rPr>
                <w:rFonts w:cs="Times New Roman"/>
                <w:szCs w:val="22"/>
              </w:rPr>
            </w:pPr>
            <w:r w:rsidRPr="0088258D">
              <w:rPr>
                <w:rFonts w:cs="Times New Roman"/>
                <w:szCs w:val="22"/>
              </w:rPr>
              <w:t>Scenario 2.</w:t>
            </w:r>
            <w:r w:rsidR="3715D4C8" w:rsidRPr="0088258D">
              <w:rPr>
                <w:rFonts w:cs="Times New Roman"/>
                <w:szCs w:val="22"/>
              </w:rPr>
              <w:t xml:space="preserve"> </w:t>
            </w:r>
            <w:r w:rsidR="37487875" w:rsidRPr="0088258D">
              <w:rPr>
                <w:rFonts w:cs="Times New Roman"/>
                <w:szCs w:val="22"/>
              </w:rPr>
              <w:t>A</w:t>
            </w:r>
            <w:r w:rsidR="3715D4C8" w:rsidRPr="0088258D">
              <w:rPr>
                <w:rFonts w:cs="Times New Roman"/>
                <w:szCs w:val="22"/>
              </w:rPr>
              <w:t xml:space="preserve"> family owns the same savings account but also owns a $15,000 recreational boat. Again, the </w:t>
            </w:r>
            <w:r w:rsidR="00927369">
              <w:rPr>
                <w:rFonts w:cs="Times New Roman"/>
                <w:szCs w:val="22"/>
              </w:rPr>
              <w:t>Owner</w:t>
            </w:r>
            <w:r w:rsidR="3715D4C8" w:rsidRPr="0088258D">
              <w:rPr>
                <w:rFonts w:cs="Times New Roman"/>
                <w:szCs w:val="22"/>
              </w:rPr>
              <w:t xml:space="preserve"> must use only the $50 actual income derived from the savings account</w:t>
            </w:r>
            <w:r w:rsidR="42D0A1E6" w:rsidRPr="0088258D">
              <w:rPr>
                <w:rFonts w:cs="Times New Roman"/>
                <w:szCs w:val="22"/>
              </w:rPr>
              <w:t xml:space="preserve">, and must not impute income for the boat. </w:t>
            </w:r>
          </w:p>
          <w:p w14:paraId="61192683" w14:textId="571DCA02" w:rsidR="000F29A7" w:rsidRPr="0088258D" w:rsidRDefault="518F6F78" w:rsidP="60AF2AAB">
            <w:pPr>
              <w:pStyle w:val="TableCellText-Spaced"/>
              <w:spacing w:line="259" w:lineRule="auto"/>
              <w:rPr>
                <w:rFonts w:cs="Times New Roman"/>
                <w:szCs w:val="22"/>
              </w:rPr>
            </w:pPr>
            <w:r w:rsidRPr="0088258D">
              <w:rPr>
                <w:rFonts w:cs="Times New Roman"/>
                <w:szCs w:val="22"/>
              </w:rPr>
              <w:t xml:space="preserve">Scenario 3. </w:t>
            </w:r>
            <w:r w:rsidR="42D0A1E6" w:rsidRPr="0088258D">
              <w:rPr>
                <w:rFonts w:cs="Times New Roman"/>
                <w:szCs w:val="22"/>
              </w:rPr>
              <w:t xml:space="preserve"> </w:t>
            </w:r>
            <w:r w:rsidR="13E3BD7C" w:rsidRPr="0088258D">
              <w:rPr>
                <w:rFonts w:cs="Times New Roman"/>
                <w:szCs w:val="22"/>
              </w:rPr>
              <w:t>A</w:t>
            </w:r>
            <w:r w:rsidR="42D0A1E6" w:rsidRPr="0088258D">
              <w:rPr>
                <w:rFonts w:cs="Times New Roman"/>
                <w:szCs w:val="22"/>
              </w:rPr>
              <w:t xml:space="preserve"> family owns only the $15,000 recreational boat. Since the boat is an asset that is worth less than $50,000, and actual </w:t>
            </w:r>
            <w:r w:rsidR="24793845" w:rsidRPr="0088258D">
              <w:rPr>
                <w:rFonts w:cs="Times New Roman"/>
                <w:szCs w:val="22"/>
              </w:rPr>
              <w:t>income cannot be computed, the family’s income from assets zero.</w:t>
            </w:r>
          </w:p>
        </w:tc>
      </w:tr>
      <w:tr w:rsidR="000F29A7" w:rsidRPr="0088258D" w14:paraId="440F005D" w14:textId="77777777" w:rsidTr="1281F8EE">
        <w:trPr>
          <w:trHeight w:val="20"/>
        </w:trPr>
        <w:tc>
          <w:tcPr>
            <w:tcW w:w="720" w:type="dxa"/>
          </w:tcPr>
          <w:p w14:paraId="70D628AC" w14:textId="1AA5AA17" w:rsidR="000F29A7" w:rsidRPr="0088258D" w:rsidRDefault="000F29A7" w:rsidP="000F29A7">
            <w:pPr>
              <w:pStyle w:val="TableCellYear"/>
              <w:rPr>
                <w:rFonts w:cs="Times New Roman"/>
                <w:szCs w:val="22"/>
              </w:rPr>
            </w:pPr>
            <w:r w:rsidRPr="0088258D">
              <w:rPr>
                <w:rFonts w:cs="Times New Roman"/>
                <w:szCs w:val="22"/>
              </w:rPr>
              <w:lastRenderedPageBreak/>
              <w:t>52</w:t>
            </w:r>
          </w:p>
        </w:tc>
        <w:tc>
          <w:tcPr>
            <w:tcW w:w="2160" w:type="dxa"/>
          </w:tcPr>
          <w:p w14:paraId="62E343D2" w14:textId="77777777" w:rsidR="000F29A7" w:rsidRPr="0088258D" w:rsidRDefault="000F29A7" w:rsidP="000F29A7">
            <w:pPr>
              <w:pStyle w:val="TableCellGeneralText"/>
              <w:rPr>
                <w:rFonts w:cs="Times New Roman"/>
                <w:szCs w:val="22"/>
              </w:rPr>
            </w:pPr>
            <w:r w:rsidRPr="0088258D">
              <w:rPr>
                <w:rFonts w:cs="Times New Roman"/>
                <w:szCs w:val="22"/>
              </w:rPr>
              <w:t>Asset Income Calculation Scenarios</w:t>
            </w:r>
          </w:p>
        </w:tc>
        <w:tc>
          <w:tcPr>
            <w:tcW w:w="10080" w:type="dxa"/>
          </w:tcPr>
          <w:p w14:paraId="397E1EAC" w14:textId="75CE8CDA" w:rsidR="000F29A7" w:rsidRPr="0088258D" w:rsidRDefault="1A7CBC16" w:rsidP="60AF2AAB">
            <w:pPr>
              <w:pStyle w:val="TableCellText-Spaced"/>
              <w:spacing w:line="259" w:lineRule="auto"/>
              <w:rPr>
                <w:rFonts w:cs="Times New Roman"/>
                <w:szCs w:val="22"/>
              </w:rPr>
            </w:pPr>
            <w:r w:rsidRPr="0088258D">
              <w:rPr>
                <w:rFonts w:cs="Times New Roman"/>
                <w:szCs w:val="22"/>
              </w:rPr>
              <w:t>Next, we</w:t>
            </w:r>
            <w:r w:rsidR="0FDBFCB9" w:rsidRPr="0088258D">
              <w:rPr>
                <w:rFonts w:cs="Times New Roman"/>
                <w:szCs w:val="22"/>
              </w:rPr>
              <w:t xml:space="preserve"> will</w:t>
            </w:r>
            <w:r w:rsidRPr="0088258D">
              <w:rPr>
                <w:rFonts w:cs="Times New Roman"/>
                <w:szCs w:val="22"/>
              </w:rPr>
              <w:t xml:space="preserve"> go over three scenarios in which a family’s non-necessary personal assets exceed the $50,000 threshold.</w:t>
            </w:r>
            <w:r w:rsidR="2D927FE8" w:rsidRPr="0088258D">
              <w:rPr>
                <w:rFonts w:cs="Times New Roman"/>
                <w:szCs w:val="22"/>
              </w:rPr>
              <w:t xml:space="preserve"> </w:t>
            </w:r>
          </w:p>
          <w:p w14:paraId="4AFAC60B" w14:textId="19DA8F19" w:rsidR="000F29A7" w:rsidRPr="0088258D" w:rsidRDefault="63B53B71" w:rsidP="60AF2AAB">
            <w:pPr>
              <w:pStyle w:val="TableCellText-Spaced"/>
              <w:spacing w:line="259" w:lineRule="auto"/>
              <w:rPr>
                <w:rFonts w:cs="Times New Roman"/>
                <w:szCs w:val="22"/>
              </w:rPr>
            </w:pPr>
            <w:r w:rsidRPr="0088258D">
              <w:rPr>
                <w:rFonts w:cs="Times New Roman"/>
                <w:szCs w:val="22"/>
              </w:rPr>
              <w:t xml:space="preserve">Scenario 1. </w:t>
            </w:r>
            <w:r w:rsidR="41A0FA76" w:rsidRPr="0088258D">
              <w:rPr>
                <w:rFonts w:cs="Times New Roman"/>
                <w:szCs w:val="22"/>
              </w:rPr>
              <w:t>A</w:t>
            </w:r>
            <w:r w:rsidR="2D927FE8" w:rsidRPr="0088258D">
              <w:rPr>
                <w:rFonts w:cs="Times New Roman"/>
                <w:szCs w:val="22"/>
              </w:rPr>
              <w:t xml:space="preserve"> family owns a savings account </w:t>
            </w:r>
            <w:r w:rsidR="6CF29EE5" w:rsidRPr="0088258D">
              <w:rPr>
                <w:rFonts w:cs="Times New Roman"/>
                <w:szCs w:val="22"/>
              </w:rPr>
              <w:t xml:space="preserve">worth $35,000 </w:t>
            </w:r>
            <w:r w:rsidR="2D927FE8" w:rsidRPr="0088258D">
              <w:rPr>
                <w:rFonts w:cs="Times New Roman"/>
                <w:szCs w:val="22"/>
              </w:rPr>
              <w:t>that earn</w:t>
            </w:r>
            <w:r w:rsidR="3A50BA40" w:rsidRPr="0088258D">
              <w:rPr>
                <w:rFonts w:cs="Times New Roman"/>
                <w:szCs w:val="22"/>
              </w:rPr>
              <w:t>ed</w:t>
            </w:r>
            <w:r w:rsidR="2D927FE8" w:rsidRPr="0088258D">
              <w:rPr>
                <w:rFonts w:cs="Times New Roman"/>
                <w:szCs w:val="22"/>
              </w:rPr>
              <w:t xml:space="preserve"> $350, and a checking </w:t>
            </w:r>
            <w:r w:rsidR="281DD4E3" w:rsidRPr="0088258D">
              <w:rPr>
                <w:rFonts w:cs="Times New Roman"/>
                <w:szCs w:val="22"/>
              </w:rPr>
              <w:t>account worth $20,000 that earned $600. In this example, the family’s actual asset income is calculated,</w:t>
            </w:r>
            <w:r w:rsidR="053FA985" w:rsidRPr="0088258D">
              <w:rPr>
                <w:rFonts w:cs="Times New Roman"/>
                <w:szCs w:val="22"/>
              </w:rPr>
              <w:t xml:space="preserve"> and imputing is not necessary.</w:t>
            </w:r>
          </w:p>
          <w:p w14:paraId="2B8D79A1" w14:textId="23AA5302" w:rsidR="000F29A7" w:rsidRPr="0088258D" w:rsidRDefault="57F605DC" w:rsidP="60AF2AAB">
            <w:pPr>
              <w:pStyle w:val="TableCellText-Spaced"/>
              <w:spacing w:line="259" w:lineRule="auto"/>
              <w:rPr>
                <w:rFonts w:cs="Times New Roman"/>
                <w:szCs w:val="22"/>
              </w:rPr>
            </w:pPr>
            <w:r w:rsidRPr="0088258D">
              <w:rPr>
                <w:rFonts w:cs="Times New Roman"/>
                <w:szCs w:val="22"/>
              </w:rPr>
              <w:t xml:space="preserve">Scenario 2. </w:t>
            </w:r>
            <w:r w:rsidR="053FA985" w:rsidRPr="0088258D">
              <w:rPr>
                <w:rFonts w:cs="Times New Roman"/>
                <w:szCs w:val="22"/>
              </w:rPr>
              <w:t xml:space="preserve"> </w:t>
            </w:r>
            <w:r w:rsidR="662F9E71" w:rsidRPr="0088258D">
              <w:rPr>
                <w:rFonts w:cs="Times New Roman"/>
                <w:szCs w:val="22"/>
              </w:rPr>
              <w:t>A</w:t>
            </w:r>
            <w:r w:rsidR="053FA985" w:rsidRPr="0088258D">
              <w:rPr>
                <w:rFonts w:cs="Times New Roman"/>
                <w:szCs w:val="22"/>
              </w:rPr>
              <w:t xml:space="preserve"> family owns the same two bank accounts but also owns a $15,000 recreational boat. Because the net family assets exceeds $50,000, the </w:t>
            </w:r>
            <w:r w:rsidR="00927369">
              <w:rPr>
                <w:rFonts w:cs="Times New Roman"/>
                <w:szCs w:val="22"/>
              </w:rPr>
              <w:t>Owner</w:t>
            </w:r>
            <w:r w:rsidR="053FA985" w:rsidRPr="0088258D">
              <w:rPr>
                <w:rFonts w:cs="Times New Roman"/>
                <w:szCs w:val="22"/>
              </w:rPr>
              <w:t xml:space="preserve"> must use the actual asset income fr</w:t>
            </w:r>
            <w:r w:rsidR="5D94C24F" w:rsidRPr="0088258D">
              <w:rPr>
                <w:rFonts w:cs="Times New Roman"/>
                <w:szCs w:val="22"/>
              </w:rPr>
              <w:t xml:space="preserve">om the bank </w:t>
            </w:r>
            <w:r w:rsidR="01CD2AAF" w:rsidRPr="0088258D">
              <w:rPr>
                <w:rFonts w:cs="Times New Roman"/>
                <w:szCs w:val="22"/>
              </w:rPr>
              <w:t>accounts</w:t>
            </w:r>
            <w:r w:rsidR="5D94C24F" w:rsidRPr="0088258D">
              <w:rPr>
                <w:rFonts w:cs="Times New Roman"/>
                <w:szCs w:val="22"/>
              </w:rPr>
              <w:t>, plus the imputed asset income from the boat. To calculate the imputed income, multiply the passbook rate of 0.4% by the net cash value of the boat--$15,000, which equals an imput</w:t>
            </w:r>
            <w:r w:rsidR="2225B112" w:rsidRPr="0088258D">
              <w:rPr>
                <w:rFonts w:cs="Times New Roman"/>
                <w:szCs w:val="22"/>
              </w:rPr>
              <w:t>ed income from the bot of $60.</w:t>
            </w:r>
          </w:p>
          <w:p w14:paraId="737AAB6A" w14:textId="0D47FF9B" w:rsidR="000F29A7" w:rsidRPr="0088258D" w:rsidRDefault="0A61A458" w:rsidP="60AF2AAB">
            <w:pPr>
              <w:pStyle w:val="TableCellText-Spaced"/>
              <w:spacing w:line="259" w:lineRule="auto"/>
              <w:rPr>
                <w:rFonts w:cs="Times New Roman"/>
                <w:szCs w:val="22"/>
              </w:rPr>
            </w:pPr>
            <w:r w:rsidRPr="0088258D">
              <w:rPr>
                <w:rFonts w:cs="Times New Roman"/>
                <w:szCs w:val="22"/>
              </w:rPr>
              <w:t xml:space="preserve">Scenario 3. </w:t>
            </w:r>
            <w:r w:rsidR="705F246C" w:rsidRPr="0088258D">
              <w:rPr>
                <w:rFonts w:cs="Times New Roman"/>
                <w:szCs w:val="22"/>
              </w:rPr>
              <w:t xml:space="preserve"> </w:t>
            </w:r>
            <w:r w:rsidR="5BF93F8A" w:rsidRPr="0088258D">
              <w:rPr>
                <w:rFonts w:cs="Times New Roman"/>
                <w:szCs w:val="22"/>
              </w:rPr>
              <w:t>A</w:t>
            </w:r>
            <w:r w:rsidR="705F246C" w:rsidRPr="0088258D">
              <w:rPr>
                <w:rFonts w:cs="Times New Roman"/>
                <w:szCs w:val="22"/>
              </w:rPr>
              <w:t xml:space="preserve"> family owns a $15,000 recreational boat and luxury jewelry with net cash value of $40,000. Since the actual income cannot be calculated for e</w:t>
            </w:r>
            <w:r w:rsidR="66C9EA72" w:rsidRPr="0088258D">
              <w:rPr>
                <w:rFonts w:cs="Times New Roman"/>
                <w:szCs w:val="22"/>
              </w:rPr>
              <w:t xml:space="preserve">ither asset, the </w:t>
            </w:r>
            <w:r w:rsidR="00927369">
              <w:rPr>
                <w:rFonts w:cs="Times New Roman"/>
                <w:szCs w:val="22"/>
              </w:rPr>
              <w:t>Owner</w:t>
            </w:r>
            <w:r w:rsidR="66C9EA72" w:rsidRPr="0088258D">
              <w:rPr>
                <w:rFonts w:cs="Times New Roman"/>
                <w:szCs w:val="22"/>
              </w:rPr>
              <w:t xml:space="preserve"> must impute income. Multiply the net cash value of the assets by the passbook rate to </w:t>
            </w:r>
            <w:r w:rsidR="5F1156D8" w:rsidRPr="0088258D">
              <w:rPr>
                <w:rFonts w:cs="Times New Roman"/>
                <w:szCs w:val="22"/>
              </w:rPr>
              <w:t>find the imputed cash value: $55,000 x 0.4% equals $220.</w:t>
            </w:r>
          </w:p>
        </w:tc>
      </w:tr>
      <w:tr w:rsidR="000F29A7" w:rsidRPr="0088258D" w14:paraId="680219EB" w14:textId="77777777" w:rsidTr="1281F8EE">
        <w:trPr>
          <w:trHeight w:val="20"/>
        </w:trPr>
        <w:tc>
          <w:tcPr>
            <w:tcW w:w="720" w:type="dxa"/>
          </w:tcPr>
          <w:p w14:paraId="0E8DB732" w14:textId="6675C40A" w:rsidR="000F29A7" w:rsidRPr="0088258D" w:rsidRDefault="000F29A7" w:rsidP="000F29A7">
            <w:pPr>
              <w:pStyle w:val="TableCellYear"/>
              <w:rPr>
                <w:rFonts w:cs="Times New Roman"/>
                <w:szCs w:val="22"/>
              </w:rPr>
            </w:pPr>
            <w:r w:rsidRPr="0088258D">
              <w:rPr>
                <w:rFonts w:cs="Times New Roman"/>
                <w:szCs w:val="22"/>
              </w:rPr>
              <w:t>53</w:t>
            </w:r>
          </w:p>
        </w:tc>
        <w:tc>
          <w:tcPr>
            <w:tcW w:w="2160" w:type="dxa"/>
          </w:tcPr>
          <w:p w14:paraId="6DB9B09C" w14:textId="77777777" w:rsidR="000F29A7" w:rsidRPr="0088258D" w:rsidRDefault="000F29A7" w:rsidP="000F29A7">
            <w:pPr>
              <w:pStyle w:val="TableCellGeneralText"/>
              <w:rPr>
                <w:rFonts w:cs="Times New Roman"/>
                <w:szCs w:val="22"/>
              </w:rPr>
            </w:pPr>
            <w:r w:rsidRPr="0088258D">
              <w:rPr>
                <w:rFonts w:cs="Times New Roman"/>
                <w:szCs w:val="22"/>
              </w:rPr>
              <w:t>When Net Family Assets Do Not Exceed Threshold</w:t>
            </w:r>
          </w:p>
        </w:tc>
        <w:tc>
          <w:tcPr>
            <w:tcW w:w="10080" w:type="dxa"/>
          </w:tcPr>
          <w:p w14:paraId="2E225023" w14:textId="7ED99795" w:rsidR="000F29A7" w:rsidRPr="0088258D" w:rsidRDefault="183174AE" w:rsidP="09B22373">
            <w:pPr>
              <w:pStyle w:val="TableCellGeneralText"/>
              <w:spacing w:line="259" w:lineRule="auto"/>
              <w:rPr>
                <w:rFonts w:cs="Times New Roman"/>
                <w:szCs w:val="22"/>
              </w:rPr>
            </w:pPr>
            <w:r w:rsidRPr="0088258D">
              <w:rPr>
                <w:rFonts w:cs="Times New Roman"/>
                <w:szCs w:val="22"/>
              </w:rPr>
              <w:t>Let’s go over a detailed example and analysis of a scenario where net family assets do not exceed the $50,000 threshold.</w:t>
            </w:r>
          </w:p>
          <w:p w14:paraId="07B93A66" w14:textId="3F88DE5B" w:rsidR="000F29A7" w:rsidRPr="0088258D" w:rsidRDefault="183174AE" w:rsidP="60AF2AAB">
            <w:pPr>
              <w:pStyle w:val="TableCellGeneralText"/>
              <w:spacing w:line="259" w:lineRule="auto"/>
              <w:rPr>
                <w:rFonts w:cs="Times New Roman"/>
                <w:szCs w:val="22"/>
              </w:rPr>
            </w:pPr>
            <w:r w:rsidRPr="0088258D">
              <w:rPr>
                <w:rFonts w:cs="Times New Roman"/>
                <w:noProof/>
                <w:szCs w:val="22"/>
              </w:rPr>
              <w:drawing>
                <wp:inline distT="0" distB="0" distL="0" distR="0" wp14:anchorId="082569B0" wp14:editId="0DA55B86">
                  <wp:extent cx="5457825" cy="2428875"/>
                  <wp:effectExtent l="0" t="0" r="0" b="0"/>
                  <wp:docPr id="1896952955" name="Picture 189695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57825" cy="2428875"/>
                          </a:xfrm>
                          <a:prstGeom prst="rect">
                            <a:avLst/>
                          </a:prstGeom>
                        </pic:spPr>
                      </pic:pic>
                    </a:graphicData>
                  </a:graphic>
                </wp:inline>
              </w:drawing>
            </w:r>
          </w:p>
        </w:tc>
      </w:tr>
      <w:tr w:rsidR="000F29A7" w:rsidRPr="0088258D" w14:paraId="225AC3D2" w14:textId="77777777" w:rsidTr="1281F8EE">
        <w:trPr>
          <w:trHeight w:val="20"/>
        </w:trPr>
        <w:tc>
          <w:tcPr>
            <w:tcW w:w="720" w:type="dxa"/>
          </w:tcPr>
          <w:p w14:paraId="33A9356C" w14:textId="347EE10C" w:rsidR="000F29A7" w:rsidRPr="0088258D" w:rsidRDefault="000F29A7" w:rsidP="000F29A7">
            <w:pPr>
              <w:pStyle w:val="TableCellYear"/>
              <w:rPr>
                <w:rFonts w:cs="Times New Roman"/>
                <w:szCs w:val="22"/>
              </w:rPr>
            </w:pPr>
            <w:r w:rsidRPr="0088258D">
              <w:rPr>
                <w:rFonts w:cs="Times New Roman"/>
                <w:szCs w:val="22"/>
              </w:rPr>
              <w:lastRenderedPageBreak/>
              <w:t>54</w:t>
            </w:r>
          </w:p>
        </w:tc>
        <w:tc>
          <w:tcPr>
            <w:tcW w:w="2160" w:type="dxa"/>
          </w:tcPr>
          <w:p w14:paraId="7D733D08" w14:textId="77777777" w:rsidR="000F29A7" w:rsidRPr="0088258D" w:rsidRDefault="000F29A7" w:rsidP="000F29A7">
            <w:pPr>
              <w:pStyle w:val="TableCellGeneralText"/>
              <w:rPr>
                <w:rFonts w:cs="Times New Roman"/>
                <w:szCs w:val="22"/>
              </w:rPr>
            </w:pPr>
            <w:r w:rsidRPr="0088258D">
              <w:rPr>
                <w:rFonts w:cs="Times New Roman"/>
                <w:szCs w:val="22"/>
              </w:rPr>
              <w:t>When Net Family Assets Do Not Exceed Threshold</w:t>
            </w:r>
          </w:p>
        </w:tc>
        <w:tc>
          <w:tcPr>
            <w:tcW w:w="10080" w:type="dxa"/>
          </w:tcPr>
          <w:p w14:paraId="4C6F318B" w14:textId="1F5C5D29" w:rsidR="000F29A7" w:rsidRPr="0088258D" w:rsidRDefault="0A967CD2" w:rsidP="01725957">
            <w:pPr>
              <w:pStyle w:val="TableCellGeneralText"/>
              <w:rPr>
                <w:rFonts w:cs="Times New Roman"/>
                <w:szCs w:val="22"/>
              </w:rPr>
            </w:pPr>
            <w:r w:rsidRPr="0088258D">
              <w:rPr>
                <w:rFonts w:cs="Times New Roman"/>
                <w:szCs w:val="22"/>
              </w:rPr>
              <w:t>First, let’s calculate the family’s net family assets. Since the total value of all non-necessary personal property is less than $50,000</w:t>
            </w:r>
            <w:r w:rsidR="610987A1" w:rsidRPr="0088258D">
              <w:rPr>
                <w:rFonts w:cs="Times New Roman"/>
                <w:szCs w:val="22"/>
              </w:rPr>
              <w:t>, it is not included in net family assets and therefore the net family assets is $0.</w:t>
            </w:r>
          </w:p>
          <w:p w14:paraId="49B771B2" w14:textId="4A406FD8" w:rsidR="000F29A7" w:rsidRPr="0088258D" w:rsidRDefault="000F29A7" w:rsidP="55CB1077">
            <w:pPr>
              <w:pStyle w:val="TableCellGeneralText"/>
              <w:rPr>
                <w:rFonts w:cs="Times New Roman"/>
                <w:szCs w:val="22"/>
              </w:rPr>
            </w:pPr>
          </w:p>
          <w:p w14:paraId="48F96314" w14:textId="16B6387A" w:rsidR="000F29A7" w:rsidRPr="0088258D" w:rsidRDefault="47A154F0" w:rsidP="000F29A7">
            <w:pPr>
              <w:pStyle w:val="TableCellGeneralText"/>
              <w:rPr>
                <w:rFonts w:cs="Times New Roman"/>
                <w:szCs w:val="22"/>
              </w:rPr>
            </w:pPr>
            <w:r w:rsidRPr="0088258D">
              <w:rPr>
                <w:rFonts w:cs="Times New Roman"/>
                <w:szCs w:val="22"/>
              </w:rPr>
              <w:t xml:space="preserve">Next, we calculate </w:t>
            </w:r>
            <w:r w:rsidR="760F8C2A" w:rsidRPr="0088258D">
              <w:rPr>
                <w:rFonts w:cs="Times New Roman"/>
                <w:szCs w:val="22"/>
              </w:rPr>
              <w:t>income from assets</w:t>
            </w:r>
            <w:r w:rsidR="157C85F4" w:rsidRPr="0088258D">
              <w:rPr>
                <w:rFonts w:cs="Times New Roman"/>
                <w:szCs w:val="22"/>
              </w:rPr>
              <w:t>. Since the savings account is the only account that generated income, the $500 from this account is the only amount included in income from assets.</w:t>
            </w:r>
          </w:p>
        </w:tc>
      </w:tr>
      <w:tr w:rsidR="000F29A7" w:rsidRPr="0088258D" w14:paraId="1009193B" w14:textId="77777777" w:rsidTr="1281F8EE">
        <w:trPr>
          <w:trHeight w:val="20"/>
        </w:trPr>
        <w:tc>
          <w:tcPr>
            <w:tcW w:w="720" w:type="dxa"/>
          </w:tcPr>
          <w:p w14:paraId="0F1702B1" w14:textId="5D8D1B4B" w:rsidR="000F29A7" w:rsidRPr="0088258D" w:rsidRDefault="000F29A7" w:rsidP="000F29A7">
            <w:pPr>
              <w:pStyle w:val="TableCellYear"/>
              <w:rPr>
                <w:rFonts w:cs="Times New Roman"/>
                <w:szCs w:val="22"/>
              </w:rPr>
            </w:pPr>
            <w:r w:rsidRPr="0088258D">
              <w:rPr>
                <w:rFonts w:cs="Times New Roman"/>
                <w:szCs w:val="22"/>
              </w:rPr>
              <w:t>55</w:t>
            </w:r>
          </w:p>
        </w:tc>
        <w:tc>
          <w:tcPr>
            <w:tcW w:w="2160" w:type="dxa"/>
          </w:tcPr>
          <w:p w14:paraId="00CF0B02" w14:textId="77777777" w:rsidR="000F29A7" w:rsidRPr="0088258D" w:rsidRDefault="000F29A7" w:rsidP="000F29A7">
            <w:pPr>
              <w:pStyle w:val="TableCellGeneralText"/>
              <w:rPr>
                <w:rFonts w:cs="Times New Roman"/>
                <w:szCs w:val="22"/>
              </w:rPr>
            </w:pPr>
            <w:r w:rsidRPr="0088258D">
              <w:rPr>
                <w:rFonts w:cs="Times New Roman"/>
                <w:szCs w:val="22"/>
              </w:rPr>
              <w:t>When Net Family Assets Exceed Threshold</w:t>
            </w:r>
          </w:p>
        </w:tc>
        <w:tc>
          <w:tcPr>
            <w:tcW w:w="10080" w:type="dxa"/>
          </w:tcPr>
          <w:p w14:paraId="20269F12" w14:textId="13E24A0E" w:rsidR="014897B2" w:rsidRPr="0088258D" w:rsidRDefault="014897B2" w:rsidP="014897B2">
            <w:pPr>
              <w:pStyle w:val="TableCellGeneralText"/>
              <w:rPr>
                <w:rFonts w:cs="Times New Roman"/>
                <w:szCs w:val="22"/>
              </w:rPr>
            </w:pPr>
          </w:p>
          <w:p w14:paraId="35C11B52" w14:textId="5A3C712C" w:rsidR="000F29A7" w:rsidRPr="0088258D" w:rsidRDefault="74463744" w:rsidP="000F29A7">
            <w:pPr>
              <w:pStyle w:val="TableCellGeneralText"/>
              <w:rPr>
                <w:rFonts w:cs="Times New Roman"/>
                <w:szCs w:val="22"/>
              </w:rPr>
            </w:pPr>
            <w:r w:rsidRPr="0088258D">
              <w:rPr>
                <w:rFonts w:cs="Times New Roman"/>
                <w:szCs w:val="22"/>
              </w:rPr>
              <w:t xml:space="preserve">On this slide we go over </w:t>
            </w:r>
            <w:r w:rsidR="6490ABB5" w:rsidRPr="0088258D">
              <w:rPr>
                <w:rFonts w:cs="Times New Roman"/>
                <w:szCs w:val="22"/>
              </w:rPr>
              <w:t>an</w:t>
            </w:r>
            <w:r w:rsidR="1FE78E0D" w:rsidRPr="0088258D">
              <w:rPr>
                <w:rFonts w:cs="Times New Roman"/>
                <w:szCs w:val="22"/>
              </w:rPr>
              <w:t>other</w:t>
            </w:r>
            <w:r w:rsidRPr="0088258D">
              <w:rPr>
                <w:rFonts w:cs="Times New Roman"/>
                <w:szCs w:val="22"/>
              </w:rPr>
              <w:t xml:space="preserve"> example</w:t>
            </w:r>
            <w:r w:rsidR="314F923E" w:rsidRPr="0088258D">
              <w:rPr>
                <w:rFonts w:cs="Times New Roman"/>
                <w:szCs w:val="22"/>
              </w:rPr>
              <w:t>, this time</w:t>
            </w:r>
            <w:r w:rsidRPr="0088258D">
              <w:rPr>
                <w:rFonts w:cs="Times New Roman"/>
                <w:szCs w:val="22"/>
              </w:rPr>
              <w:t xml:space="preserve"> of a family whose net family assets exceed the $50,000 threshold.</w:t>
            </w:r>
          </w:p>
          <w:p w14:paraId="21E602E0" w14:textId="2B016BF4" w:rsidR="000F29A7" w:rsidRPr="0088258D" w:rsidRDefault="00B113E3" w:rsidP="000F29A7">
            <w:pPr>
              <w:pStyle w:val="TableCellGeneralText"/>
              <w:rPr>
                <w:rFonts w:cs="Times New Roman"/>
                <w:szCs w:val="22"/>
              </w:rPr>
            </w:pPr>
            <w:r w:rsidRPr="0088258D">
              <w:rPr>
                <w:rFonts w:cs="Times New Roman"/>
                <w:noProof/>
                <w:szCs w:val="22"/>
              </w:rPr>
              <w:t xml:space="preserve"> </w:t>
            </w:r>
            <w:r w:rsidRPr="0088258D">
              <w:rPr>
                <w:rFonts w:cs="Times New Roman"/>
                <w:noProof/>
                <w:szCs w:val="22"/>
              </w:rPr>
              <w:drawing>
                <wp:inline distT="0" distB="0" distL="0" distR="0" wp14:anchorId="3537A8F3" wp14:editId="75066BA4">
                  <wp:extent cx="5250817" cy="2362184"/>
                  <wp:effectExtent l="0" t="0" r="0" b="2540"/>
                  <wp:docPr id="1493040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250817" cy="2362184"/>
                          </a:xfrm>
                          <a:prstGeom prst="rect">
                            <a:avLst/>
                          </a:prstGeom>
                        </pic:spPr>
                      </pic:pic>
                    </a:graphicData>
                  </a:graphic>
                </wp:inline>
              </w:drawing>
            </w:r>
          </w:p>
        </w:tc>
      </w:tr>
      <w:tr w:rsidR="000F29A7" w:rsidRPr="0088258D" w14:paraId="65E1BD9E" w14:textId="77777777" w:rsidTr="1281F8EE">
        <w:trPr>
          <w:trHeight w:val="20"/>
        </w:trPr>
        <w:tc>
          <w:tcPr>
            <w:tcW w:w="720" w:type="dxa"/>
          </w:tcPr>
          <w:p w14:paraId="4819A0D9" w14:textId="4FF5F47F" w:rsidR="000F29A7" w:rsidRPr="0088258D" w:rsidRDefault="000F29A7" w:rsidP="000F29A7">
            <w:pPr>
              <w:pStyle w:val="TableCellYear"/>
              <w:rPr>
                <w:rFonts w:cs="Times New Roman"/>
                <w:szCs w:val="22"/>
              </w:rPr>
            </w:pPr>
            <w:r w:rsidRPr="0088258D">
              <w:rPr>
                <w:rFonts w:cs="Times New Roman"/>
                <w:szCs w:val="22"/>
              </w:rPr>
              <w:lastRenderedPageBreak/>
              <w:t>56</w:t>
            </w:r>
          </w:p>
        </w:tc>
        <w:tc>
          <w:tcPr>
            <w:tcW w:w="2160" w:type="dxa"/>
          </w:tcPr>
          <w:p w14:paraId="1A3C6DB4" w14:textId="77777777" w:rsidR="000F29A7" w:rsidRPr="0088258D" w:rsidRDefault="000F29A7" w:rsidP="000F29A7">
            <w:pPr>
              <w:pStyle w:val="TableCellGeneralText"/>
              <w:rPr>
                <w:rFonts w:cs="Times New Roman"/>
                <w:szCs w:val="22"/>
              </w:rPr>
            </w:pPr>
            <w:r w:rsidRPr="0088258D">
              <w:rPr>
                <w:rFonts w:cs="Times New Roman"/>
                <w:szCs w:val="22"/>
              </w:rPr>
              <w:t>When Net Family Assets Exceed Threshold</w:t>
            </w:r>
          </w:p>
        </w:tc>
        <w:tc>
          <w:tcPr>
            <w:tcW w:w="10080" w:type="dxa"/>
          </w:tcPr>
          <w:p w14:paraId="2E09A6BA" w14:textId="286B2BB8" w:rsidR="000F29A7" w:rsidRPr="0088258D" w:rsidRDefault="33E1C339" w:rsidP="014897B2">
            <w:pPr>
              <w:pStyle w:val="TableCellGeneralText"/>
              <w:spacing w:line="259" w:lineRule="auto"/>
              <w:rPr>
                <w:rFonts w:cs="Times New Roman"/>
                <w:szCs w:val="22"/>
              </w:rPr>
            </w:pPr>
            <w:r w:rsidRPr="0088258D">
              <w:rPr>
                <w:rFonts w:cs="Times New Roman"/>
                <w:szCs w:val="22"/>
              </w:rPr>
              <w:t xml:space="preserve">First we calculate net family assets. The family has a real property parcel of land whose net cash value is </w:t>
            </w:r>
            <w:r w:rsidR="23F0A797" w:rsidRPr="0088258D">
              <w:rPr>
                <w:rFonts w:cs="Times New Roman"/>
                <w:szCs w:val="22"/>
              </w:rPr>
              <w:t>$25,000. The family also has a savings account wo</w:t>
            </w:r>
            <w:r w:rsidR="3B8168FD" w:rsidRPr="0088258D">
              <w:rPr>
                <w:rFonts w:cs="Times New Roman"/>
                <w:szCs w:val="22"/>
              </w:rPr>
              <w:t xml:space="preserve">rth $15,000 and a stock portfolio whose net cash value is $45,000. The total </w:t>
            </w:r>
            <w:r w:rsidR="359F04BB" w:rsidRPr="0088258D">
              <w:rPr>
                <w:rFonts w:cs="Times New Roman"/>
                <w:szCs w:val="22"/>
              </w:rPr>
              <w:t>value for all net family assets is $85,000.</w:t>
            </w:r>
          </w:p>
          <w:p w14:paraId="460087A7" w14:textId="584FCAAE" w:rsidR="000F29A7" w:rsidRPr="0088258D" w:rsidRDefault="000F29A7" w:rsidP="014897B2">
            <w:pPr>
              <w:pStyle w:val="TableCellGeneralText"/>
              <w:spacing w:line="259" w:lineRule="auto"/>
              <w:rPr>
                <w:rFonts w:cs="Times New Roman"/>
                <w:szCs w:val="22"/>
              </w:rPr>
            </w:pPr>
          </w:p>
          <w:p w14:paraId="7DA75504" w14:textId="2FA88D17" w:rsidR="000F29A7" w:rsidRPr="0088258D" w:rsidRDefault="359F04BB" w:rsidP="014897B2">
            <w:pPr>
              <w:pStyle w:val="TableCellGeneralText"/>
              <w:spacing w:line="259" w:lineRule="auto"/>
              <w:rPr>
                <w:rFonts w:cs="Times New Roman"/>
                <w:szCs w:val="22"/>
              </w:rPr>
            </w:pPr>
            <w:r w:rsidRPr="0088258D">
              <w:rPr>
                <w:rFonts w:cs="Times New Roman"/>
                <w:szCs w:val="22"/>
              </w:rPr>
              <w:t xml:space="preserve">Next we calculate income from assets. The parcel of land has no actual income, so we calculate its imputed income by multiplying the passbook rate (0.4%) times </w:t>
            </w:r>
            <w:r w:rsidR="7443E9EC" w:rsidRPr="0088258D">
              <w:rPr>
                <w:rFonts w:cs="Times New Roman"/>
                <w:szCs w:val="22"/>
              </w:rPr>
              <w:t>its value of $25,000, which equals $100.</w:t>
            </w:r>
          </w:p>
          <w:p w14:paraId="371326E1" w14:textId="6D526CF4" w:rsidR="000F29A7" w:rsidRPr="0088258D" w:rsidRDefault="000F29A7" w:rsidP="014897B2">
            <w:pPr>
              <w:pStyle w:val="TableCellGeneralText"/>
              <w:spacing w:line="259" w:lineRule="auto"/>
              <w:rPr>
                <w:rFonts w:cs="Times New Roman"/>
                <w:szCs w:val="22"/>
              </w:rPr>
            </w:pPr>
          </w:p>
          <w:p w14:paraId="1B494B7D" w14:textId="4574F04E" w:rsidR="000F29A7" w:rsidRPr="0088258D" w:rsidRDefault="7443E9EC" w:rsidP="014897B2">
            <w:pPr>
              <w:pStyle w:val="TableCellGeneralText"/>
              <w:spacing w:line="259" w:lineRule="auto"/>
              <w:rPr>
                <w:rFonts w:cs="Times New Roman"/>
                <w:szCs w:val="22"/>
              </w:rPr>
            </w:pPr>
            <w:r w:rsidRPr="0088258D">
              <w:rPr>
                <w:rFonts w:cs="Times New Roman"/>
                <w:szCs w:val="22"/>
              </w:rPr>
              <w:t>For the savings account, the actual asset income is zero, and for the stock portfolio the actual asset income is $450. So the total income from all assets is $100 + $450 = $550.</w:t>
            </w:r>
          </w:p>
        </w:tc>
      </w:tr>
      <w:tr w:rsidR="000F29A7" w:rsidRPr="0088258D" w14:paraId="1F3D1E58" w14:textId="77777777" w:rsidTr="1281F8EE">
        <w:trPr>
          <w:trHeight w:val="20"/>
        </w:trPr>
        <w:tc>
          <w:tcPr>
            <w:tcW w:w="720" w:type="dxa"/>
          </w:tcPr>
          <w:p w14:paraId="203453FB" w14:textId="1CBDBEDA" w:rsidR="000F29A7" w:rsidRPr="0088258D" w:rsidRDefault="000F29A7" w:rsidP="000F29A7">
            <w:pPr>
              <w:pStyle w:val="TableCellYear"/>
              <w:rPr>
                <w:rFonts w:cs="Times New Roman"/>
                <w:szCs w:val="22"/>
              </w:rPr>
            </w:pPr>
            <w:r w:rsidRPr="0088258D">
              <w:rPr>
                <w:rFonts w:cs="Times New Roman"/>
                <w:szCs w:val="22"/>
              </w:rPr>
              <w:lastRenderedPageBreak/>
              <w:t>57</w:t>
            </w:r>
          </w:p>
        </w:tc>
        <w:tc>
          <w:tcPr>
            <w:tcW w:w="2160" w:type="dxa"/>
          </w:tcPr>
          <w:p w14:paraId="12868826" w14:textId="77777777" w:rsidR="000F29A7" w:rsidRPr="0088258D" w:rsidRDefault="000F29A7" w:rsidP="000F29A7">
            <w:pPr>
              <w:pStyle w:val="TableCellGeneralText"/>
              <w:rPr>
                <w:rFonts w:cs="Times New Roman"/>
                <w:szCs w:val="22"/>
              </w:rPr>
            </w:pPr>
            <w:r w:rsidRPr="0088258D">
              <w:rPr>
                <w:rFonts w:cs="Times New Roman"/>
                <w:szCs w:val="22"/>
              </w:rPr>
              <w:t>Knowledge Check</w:t>
            </w:r>
          </w:p>
        </w:tc>
        <w:tc>
          <w:tcPr>
            <w:tcW w:w="10080" w:type="dxa"/>
          </w:tcPr>
          <w:p w14:paraId="4E21C39D" w14:textId="77777777" w:rsidR="000F29A7" w:rsidRPr="0088258D" w:rsidRDefault="000F29A7" w:rsidP="000F29A7">
            <w:pPr>
              <w:pStyle w:val="TableCellText-Spaced"/>
              <w:rPr>
                <w:rFonts w:cs="Times New Roman"/>
                <w:szCs w:val="22"/>
              </w:rPr>
            </w:pPr>
            <w:r w:rsidRPr="0088258D">
              <w:rPr>
                <w:rFonts w:cs="Times New Roman"/>
                <w:szCs w:val="22"/>
              </w:rPr>
              <w:t>Now for our final knowledge check.</w:t>
            </w:r>
          </w:p>
          <w:p w14:paraId="22298683" w14:textId="77777777" w:rsidR="000F29A7" w:rsidRPr="0088258D" w:rsidRDefault="000F29A7" w:rsidP="000F29A7">
            <w:pPr>
              <w:pStyle w:val="TableCellText-Spaced"/>
              <w:rPr>
                <w:rFonts w:cs="Times New Roman"/>
                <w:szCs w:val="22"/>
              </w:rPr>
            </w:pPr>
            <w:r w:rsidRPr="0088258D">
              <w:rPr>
                <w:rFonts w:cs="Times New Roman"/>
                <w:szCs w:val="22"/>
              </w:rPr>
              <w:t xml:space="preserve">What would be the </w:t>
            </w:r>
            <w:r w:rsidRPr="0088258D">
              <w:rPr>
                <w:rFonts w:cs="Times New Roman"/>
                <w:b/>
                <w:bCs w:val="0"/>
                <w:szCs w:val="22"/>
              </w:rPr>
              <w:t>asset income calculation</w:t>
            </w:r>
            <w:r w:rsidRPr="0088258D">
              <w:rPr>
                <w:rFonts w:cs="Times New Roman"/>
                <w:szCs w:val="22"/>
              </w:rPr>
              <w:t xml:space="preserve"> for the following situation?</w:t>
            </w:r>
          </w:p>
          <w:p w14:paraId="39786644" w14:textId="77777777" w:rsidR="000F29A7" w:rsidRPr="0088258D" w:rsidRDefault="000F29A7" w:rsidP="000F29A7">
            <w:pPr>
              <w:pStyle w:val="TableCellGeneralText"/>
              <w:rPr>
                <w:rFonts w:cs="Times New Roman"/>
                <w:szCs w:val="22"/>
              </w:rPr>
            </w:pPr>
            <w:r w:rsidRPr="0088258D">
              <w:rPr>
                <w:rFonts w:cs="Times New Roman"/>
                <w:szCs w:val="22"/>
              </w:rPr>
              <w:t>The family has the following assets:</w:t>
            </w:r>
          </w:p>
          <w:p w14:paraId="79AD2B5B" w14:textId="644E0F65" w:rsidR="000F29A7" w:rsidRPr="0088258D" w:rsidRDefault="000F29A7" w:rsidP="000F29A7">
            <w:pPr>
              <w:pStyle w:val="TableBullet1"/>
              <w:rPr>
                <w:rFonts w:cs="Times New Roman"/>
                <w:szCs w:val="22"/>
              </w:rPr>
            </w:pPr>
            <w:r w:rsidRPr="0088258D">
              <w:rPr>
                <w:rFonts w:cs="Times New Roman"/>
                <w:szCs w:val="22"/>
              </w:rPr>
              <w:t>A money market account with $20,000, earning $500 interest each year,</w:t>
            </w:r>
          </w:p>
          <w:p w14:paraId="0365402B" w14:textId="196387C4" w:rsidR="000F29A7" w:rsidRPr="0088258D" w:rsidRDefault="000F29A7" w:rsidP="000F29A7">
            <w:pPr>
              <w:pStyle w:val="TableBullet1"/>
              <w:rPr>
                <w:rFonts w:cs="Times New Roman"/>
                <w:szCs w:val="22"/>
              </w:rPr>
            </w:pPr>
            <w:r w:rsidRPr="0088258D">
              <w:rPr>
                <w:rFonts w:cs="Times New Roman"/>
                <w:szCs w:val="22"/>
              </w:rPr>
              <w:t xml:space="preserve">A parcel of land worth $50,000 (real property), and </w:t>
            </w:r>
          </w:p>
          <w:p w14:paraId="3A24D128" w14:textId="67B2A20E" w:rsidR="000F29A7" w:rsidRPr="0088258D" w:rsidRDefault="000F29A7" w:rsidP="000F29A7">
            <w:pPr>
              <w:pStyle w:val="TableBullet1"/>
              <w:rPr>
                <w:rFonts w:cs="Times New Roman"/>
                <w:szCs w:val="22"/>
              </w:rPr>
            </w:pPr>
            <w:r w:rsidRPr="0088258D">
              <w:rPr>
                <w:rFonts w:cs="Times New Roman"/>
                <w:szCs w:val="22"/>
              </w:rPr>
              <w:t xml:space="preserve">A recreational boat valued at $30,000 (non-necessary personal property), </w:t>
            </w:r>
          </w:p>
          <w:p w14:paraId="33BE49C4" w14:textId="77777777" w:rsidR="000F29A7" w:rsidRPr="0088258D" w:rsidRDefault="000F29A7" w:rsidP="000F29A7">
            <w:pPr>
              <w:pStyle w:val="TableCellGeneralText"/>
              <w:spacing w:before="120"/>
              <w:rPr>
                <w:rFonts w:cs="Times New Roman"/>
                <w:szCs w:val="22"/>
              </w:rPr>
            </w:pPr>
            <w:r w:rsidRPr="0088258D">
              <w:rPr>
                <w:rFonts w:cs="Times New Roman"/>
                <w:szCs w:val="22"/>
              </w:rPr>
              <w:t>For total Net Family Assets of $100,000.</w:t>
            </w:r>
          </w:p>
          <w:p w14:paraId="579E67CB" w14:textId="77777777" w:rsidR="009C5F58" w:rsidRPr="0088258D" w:rsidRDefault="009C5F58" w:rsidP="000F29A7">
            <w:pPr>
              <w:pStyle w:val="TableCellGeneralText"/>
              <w:spacing w:before="120"/>
              <w:rPr>
                <w:rFonts w:cs="Times New Roman"/>
                <w:szCs w:val="22"/>
              </w:rPr>
            </w:pPr>
          </w:p>
          <w:p w14:paraId="0C00988F" w14:textId="77777777" w:rsidR="009C5F58" w:rsidRPr="0088258D" w:rsidRDefault="009C5F58" w:rsidP="00B45B1B">
            <w:pPr>
              <w:pStyle w:val="TableCellGeneralText"/>
              <w:numPr>
                <w:ilvl w:val="0"/>
                <w:numId w:val="19"/>
              </w:numPr>
              <w:spacing w:before="120"/>
              <w:rPr>
                <w:rFonts w:cs="Times New Roman"/>
                <w:szCs w:val="22"/>
              </w:rPr>
            </w:pPr>
            <w:r w:rsidRPr="0088258D">
              <w:rPr>
                <w:rFonts w:cs="Times New Roman"/>
                <w:szCs w:val="22"/>
              </w:rPr>
              <w:t>$200</w:t>
            </w:r>
            <w:r w:rsidRPr="0088258D">
              <w:rPr>
                <w:rFonts w:cs="Times New Roman"/>
                <w:szCs w:val="22"/>
              </w:rPr>
              <w:br/>
              <w:t>imputed income for real property ($50,000 * 0.004 = $200)</w:t>
            </w:r>
          </w:p>
          <w:p w14:paraId="0DE95E60" w14:textId="77777777" w:rsidR="009C5F58" w:rsidRPr="0088258D" w:rsidRDefault="009C5F58" w:rsidP="00B45B1B">
            <w:pPr>
              <w:pStyle w:val="TableCellGeneralText"/>
              <w:numPr>
                <w:ilvl w:val="0"/>
                <w:numId w:val="19"/>
              </w:numPr>
              <w:spacing w:before="120"/>
              <w:rPr>
                <w:rFonts w:cs="Times New Roman"/>
                <w:szCs w:val="22"/>
              </w:rPr>
            </w:pPr>
            <w:r w:rsidRPr="0088258D">
              <w:rPr>
                <w:rFonts w:cs="Times New Roman"/>
                <w:szCs w:val="22"/>
              </w:rPr>
              <w:t xml:space="preserve">$500 </w:t>
            </w:r>
            <w:r w:rsidRPr="0088258D">
              <w:rPr>
                <w:rFonts w:cs="Times New Roman"/>
                <w:szCs w:val="22"/>
              </w:rPr>
              <w:br/>
              <w:t>actual interest income earned</w:t>
            </w:r>
          </w:p>
          <w:p w14:paraId="4CD64ABA" w14:textId="77777777" w:rsidR="009C5F58" w:rsidRPr="0088258D" w:rsidRDefault="009C5F58" w:rsidP="00B45B1B">
            <w:pPr>
              <w:pStyle w:val="TableCellGeneralText"/>
              <w:numPr>
                <w:ilvl w:val="0"/>
                <w:numId w:val="19"/>
              </w:numPr>
              <w:spacing w:before="120"/>
              <w:rPr>
                <w:rFonts w:cs="Times New Roman"/>
                <w:szCs w:val="22"/>
              </w:rPr>
            </w:pPr>
            <w:r w:rsidRPr="0088258D">
              <w:rPr>
                <w:rFonts w:cs="Times New Roman"/>
                <w:szCs w:val="22"/>
              </w:rPr>
              <w:t>$700</w:t>
            </w:r>
            <w:r w:rsidRPr="0088258D">
              <w:rPr>
                <w:rFonts w:cs="Times New Roman"/>
                <w:szCs w:val="22"/>
              </w:rPr>
              <w:br/>
              <w:t xml:space="preserve">actual income ($500) </w:t>
            </w:r>
            <w:r w:rsidRPr="0088258D">
              <w:rPr>
                <w:rFonts w:cs="Times New Roman"/>
                <w:szCs w:val="22"/>
              </w:rPr>
              <w:br/>
              <w:t>+ imputed income for land ($200)</w:t>
            </w:r>
          </w:p>
          <w:p w14:paraId="53FDA590" w14:textId="77777777" w:rsidR="009C5F58" w:rsidRPr="0088258D" w:rsidRDefault="009C5F58" w:rsidP="00B45B1B">
            <w:pPr>
              <w:pStyle w:val="TableCellGeneralText"/>
              <w:numPr>
                <w:ilvl w:val="0"/>
                <w:numId w:val="19"/>
              </w:numPr>
              <w:spacing w:before="120"/>
              <w:rPr>
                <w:rFonts w:cs="Times New Roman"/>
                <w:szCs w:val="22"/>
              </w:rPr>
            </w:pPr>
            <w:r w:rsidRPr="0088258D">
              <w:rPr>
                <w:rFonts w:cs="Times New Roman"/>
                <w:szCs w:val="22"/>
              </w:rPr>
              <w:t xml:space="preserve">$850 </w:t>
            </w:r>
            <w:r w:rsidRPr="0088258D">
              <w:rPr>
                <w:rFonts w:cs="Times New Roman"/>
                <w:szCs w:val="22"/>
              </w:rPr>
              <w:br/>
              <w:t xml:space="preserve">actual income ($500) </w:t>
            </w:r>
            <w:r w:rsidRPr="0088258D">
              <w:rPr>
                <w:rFonts w:cs="Times New Roman"/>
                <w:szCs w:val="22"/>
              </w:rPr>
              <w:br/>
              <w:t>+ imputed income for land ($200)</w:t>
            </w:r>
            <w:r w:rsidRPr="0088258D">
              <w:rPr>
                <w:rFonts w:cs="Times New Roman"/>
                <w:szCs w:val="22"/>
              </w:rPr>
              <w:br/>
              <w:t>+ imputed income for boat ($150)</w:t>
            </w:r>
          </w:p>
          <w:p w14:paraId="5612831F" w14:textId="52657CE0" w:rsidR="009C5F58" w:rsidRPr="0088258D" w:rsidRDefault="009C5F58" w:rsidP="000F29A7">
            <w:pPr>
              <w:pStyle w:val="TableCellGeneralText"/>
              <w:spacing w:before="120"/>
              <w:rPr>
                <w:rFonts w:cs="Times New Roman"/>
                <w:szCs w:val="22"/>
              </w:rPr>
            </w:pPr>
          </w:p>
        </w:tc>
      </w:tr>
      <w:tr w:rsidR="000F29A7" w:rsidRPr="0088258D" w14:paraId="12B91C1C" w14:textId="77777777" w:rsidTr="1281F8EE">
        <w:trPr>
          <w:trHeight w:val="20"/>
        </w:trPr>
        <w:tc>
          <w:tcPr>
            <w:tcW w:w="720" w:type="dxa"/>
          </w:tcPr>
          <w:p w14:paraId="06C1E6E5" w14:textId="23C6B341" w:rsidR="000F29A7" w:rsidRPr="0088258D" w:rsidRDefault="000F29A7" w:rsidP="000F29A7">
            <w:pPr>
              <w:pStyle w:val="TableCellYear"/>
              <w:rPr>
                <w:rFonts w:cs="Times New Roman"/>
                <w:szCs w:val="22"/>
              </w:rPr>
            </w:pPr>
            <w:r w:rsidRPr="0088258D">
              <w:rPr>
                <w:rFonts w:cs="Times New Roman"/>
                <w:szCs w:val="22"/>
              </w:rPr>
              <w:lastRenderedPageBreak/>
              <w:t>58</w:t>
            </w:r>
          </w:p>
        </w:tc>
        <w:tc>
          <w:tcPr>
            <w:tcW w:w="2160" w:type="dxa"/>
          </w:tcPr>
          <w:p w14:paraId="57C39942" w14:textId="77777777" w:rsidR="000F29A7" w:rsidRPr="0088258D" w:rsidRDefault="000F29A7" w:rsidP="000F29A7">
            <w:pPr>
              <w:pStyle w:val="TableCellGeneralText"/>
              <w:rPr>
                <w:rFonts w:cs="Times New Roman"/>
                <w:szCs w:val="22"/>
              </w:rPr>
            </w:pPr>
            <w:r w:rsidRPr="0088258D">
              <w:rPr>
                <w:rFonts w:cs="Times New Roman"/>
                <w:szCs w:val="22"/>
              </w:rPr>
              <w:t>Knowledge Check</w:t>
            </w:r>
          </w:p>
        </w:tc>
        <w:tc>
          <w:tcPr>
            <w:tcW w:w="10080" w:type="dxa"/>
          </w:tcPr>
          <w:p w14:paraId="05DB706B" w14:textId="714B1122" w:rsidR="000F29A7" w:rsidRPr="0088258D" w:rsidRDefault="000F29A7" w:rsidP="000F29A7">
            <w:pPr>
              <w:pStyle w:val="TableCellText-Spaced"/>
              <w:rPr>
                <w:rFonts w:cs="Times New Roman"/>
                <w:szCs w:val="22"/>
              </w:rPr>
            </w:pPr>
            <w:r w:rsidRPr="0088258D">
              <w:rPr>
                <w:rFonts w:cs="Times New Roman"/>
                <w:szCs w:val="22"/>
              </w:rPr>
              <w:t xml:space="preserve">The answer is D. $850, which includes actual income of $500 from the money market account, plus $200 in imputed income from the parcel of land, plus $150 in imputed income from the boat. </w:t>
            </w:r>
          </w:p>
          <w:p w14:paraId="60C142C8" w14:textId="77777777" w:rsidR="000F29A7" w:rsidRPr="0088258D" w:rsidRDefault="000F29A7" w:rsidP="000F29A7">
            <w:pPr>
              <w:pStyle w:val="TableCellText-Spaced"/>
              <w:rPr>
                <w:rFonts w:cs="Times New Roman"/>
                <w:szCs w:val="22"/>
              </w:rPr>
            </w:pPr>
            <w:r w:rsidRPr="0088258D">
              <w:rPr>
                <w:rFonts w:cs="Times New Roman"/>
                <w:szCs w:val="22"/>
              </w:rPr>
              <w:t>To explain further, actual income is always included ($500 from the money market).</w:t>
            </w:r>
          </w:p>
          <w:p w14:paraId="3B815115" w14:textId="390531D3" w:rsidR="000F29A7" w:rsidRPr="0088258D" w:rsidRDefault="000F29A7" w:rsidP="000F29A7">
            <w:pPr>
              <w:pStyle w:val="TableCellText-Spaced"/>
              <w:rPr>
                <w:rFonts w:cs="Times New Roman"/>
                <w:szCs w:val="22"/>
              </w:rPr>
            </w:pPr>
            <w:r w:rsidRPr="0088258D">
              <w:rPr>
                <w:rFonts w:cs="Times New Roman"/>
                <w:szCs w:val="22"/>
              </w:rPr>
              <w:t xml:space="preserve">Real property asset income is always included, and since there is no actual income here, it is imputed </w:t>
            </w:r>
            <w:r w:rsidR="00E248C5" w:rsidRPr="0088258D">
              <w:rPr>
                <w:rFonts w:cs="Times New Roman"/>
                <w:szCs w:val="22"/>
              </w:rPr>
              <w:t xml:space="preserve"> by calculating </w:t>
            </w:r>
            <w:r w:rsidRPr="0088258D">
              <w:rPr>
                <w:rFonts w:cs="Times New Roman"/>
                <w:szCs w:val="22"/>
              </w:rPr>
              <w:t>(</w:t>
            </w:r>
            <w:r w:rsidR="007563A6" w:rsidRPr="0088258D">
              <w:rPr>
                <w:rFonts w:cs="Times New Roman"/>
                <w:szCs w:val="22"/>
              </w:rPr>
              <w:t xml:space="preserve">the </w:t>
            </w:r>
            <w:r w:rsidRPr="0088258D">
              <w:rPr>
                <w:rFonts w:cs="Times New Roman"/>
                <w:szCs w:val="22"/>
              </w:rPr>
              <w:t>value</w:t>
            </w:r>
            <w:r w:rsidR="007563A6" w:rsidRPr="0088258D">
              <w:rPr>
                <w:rFonts w:cs="Times New Roman"/>
                <w:szCs w:val="22"/>
              </w:rPr>
              <w:t xml:space="preserve"> of an asset</w:t>
            </w:r>
            <w:r w:rsidRPr="0088258D">
              <w:rPr>
                <w:rFonts w:cs="Times New Roman"/>
                <w:szCs w:val="22"/>
              </w:rPr>
              <w:t> x 0.4</w:t>
            </w:r>
            <w:r w:rsidR="006F06FC" w:rsidRPr="0088258D">
              <w:rPr>
                <w:rFonts w:cs="Times New Roman"/>
                <w:szCs w:val="22"/>
              </w:rPr>
              <w:t xml:space="preserve"> , which is the </w:t>
            </w:r>
            <w:r w:rsidRPr="0088258D">
              <w:rPr>
                <w:rFonts w:cs="Times New Roman"/>
                <w:szCs w:val="22"/>
              </w:rPr>
              <w:t>percent passbook rate)</w:t>
            </w:r>
          </w:p>
          <w:p w14:paraId="6D272B68" w14:textId="34583979" w:rsidR="000F29A7" w:rsidRPr="0088258D" w:rsidRDefault="000F29A7" w:rsidP="000F29A7">
            <w:pPr>
              <w:pStyle w:val="TableCellGeneralText"/>
              <w:rPr>
                <w:rFonts w:cs="Times New Roman"/>
                <w:szCs w:val="22"/>
              </w:rPr>
            </w:pPr>
            <w:r w:rsidRPr="0088258D">
              <w:rPr>
                <w:rFonts w:cs="Times New Roman"/>
                <w:szCs w:val="22"/>
              </w:rPr>
              <w:t>Because the family is over the $50,000 threshold, non-necessary personal property asset income is also included and also must be imputed.</w:t>
            </w:r>
          </w:p>
        </w:tc>
      </w:tr>
      <w:tr w:rsidR="000F29A7" w:rsidRPr="0088258D" w14:paraId="160EF622" w14:textId="77777777" w:rsidTr="1281F8EE">
        <w:trPr>
          <w:trHeight w:val="20"/>
        </w:trPr>
        <w:tc>
          <w:tcPr>
            <w:tcW w:w="720" w:type="dxa"/>
          </w:tcPr>
          <w:p w14:paraId="6278243A" w14:textId="214E6C2E" w:rsidR="000F29A7" w:rsidRPr="0088258D" w:rsidRDefault="000F29A7" w:rsidP="000F29A7">
            <w:pPr>
              <w:pStyle w:val="TableCellYear"/>
              <w:rPr>
                <w:rFonts w:cs="Times New Roman"/>
                <w:szCs w:val="22"/>
              </w:rPr>
            </w:pPr>
            <w:r w:rsidRPr="0088258D">
              <w:rPr>
                <w:rFonts w:cs="Times New Roman"/>
                <w:szCs w:val="22"/>
              </w:rPr>
              <w:t>59</w:t>
            </w:r>
          </w:p>
        </w:tc>
        <w:tc>
          <w:tcPr>
            <w:tcW w:w="2160" w:type="dxa"/>
          </w:tcPr>
          <w:p w14:paraId="3612BEE8" w14:textId="77777777" w:rsidR="000F29A7" w:rsidRPr="0088258D" w:rsidRDefault="000F29A7" w:rsidP="000F29A7">
            <w:pPr>
              <w:pStyle w:val="TableCellGeneralText"/>
              <w:rPr>
                <w:rFonts w:cs="Times New Roman"/>
                <w:szCs w:val="22"/>
              </w:rPr>
            </w:pPr>
            <w:r w:rsidRPr="0088258D">
              <w:rPr>
                <w:rFonts w:cs="Times New Roman"/>
                <w:szCs w:val="22"/>
              </w:rPr>
              <w:t>Resources</w:t>
            </w:r>
          </w:p>
        </w:tc>
        <w:tc>
          <w:tcPr>
            <w:tcW w:w="10080" w:type="dxa"/>
          </w:tcPr>
          <w:p w14:paraId="33696BFD" w14:textId="05BB72A2" w:rsidR="002B1BD2" w:rsidRPr="0088258D" w:rsidRDefault="002B1BD2" w:rsidP="002B1BD2">
            <w:pPr>
              <w:pStyle w:val="TableCellGeneralText"/>
              <w:spacing w:after="120"/>
              <w:rPr>
                <w:rFonts w:cs="Times New Roman"/>
                <w:szCs w:val="22"/>
              </w:rPr>
            </w:pPr>
            <w:r w:rsidRPr="0088258D">
              <w:rPr>
                <w:rFonts w:cs="Times New Roman"/>
                <w:szCs w:val="22"/>
              </w:rPr>
              <w:t xml:space="preserve">For additional information, the following resources can be found on HUDs </w:t>
            </w:r>
            <w:r w:rsidR="00617E08" w:rsidRPr="0088258D">
              <w:rPr>
                <w:rFonts w:cs="Times New Roman"/>
                <w:szCs w:val="22"/>
              </w:rPr>
              <w:t>website:</w:t>
            </w:r>
          </w:p>
          <w:p w14:paraId="6E60853A" w14:textId="77777777" w:rsidR="002B1BD2" w:rsidRPr="0088258D" w:rsidRDefault="002B1BD2" w:rsidP="002B1BD2">
            <w:pPr>
              <w:pStyle w:val="TableBullet1"/>
              <w:spacing w:before="0" w:after="120"/>
              <w:rPr>
                <w:rFonts w:cs="Times New Roman"/>
                <w:szCs w:val="22"/>
              </w:rPr>
            </w:pPr>
            <w:r w:rsidRPr="0088258D">
              <w:rPr>
                <w:rFonts w:cs="Times New Roman"/>
                <w:szCs w:val="22"/>
              </w:rPr>
              <w:t xml:space="preserve"> HOTMA Final Rule, </w:t>
            </w:r>
            <w:r w:rsidRPr="0088258D">
              <w:rPr>
                <w:rFonts w:cs="Times New Roman"/>
                <w:strike/>
                <w:szCs w:val="22"/>
              </w:rPr>
              <w:t xml:space="preserve">which </w:t>
            </w:r>
            <w:r w:rsidRPr="0088258D">
              <w:rPr>
                <w:rFonts w:cs="Times New Roman"/>
                <w:szCs w:val="22"/>
              </w:rPr>
              <w:t xml:space="preserve">can be found at </w:t>
            </w:r>
            <w:hyperlink r:id="rId15" w:history="1">
              <w:r w:rsidRPr="0088258D">
                <w:rPr>
                  <w:rStyle w:val="Hyperlink"/>
                  <w:rFonts w:cs="Times New Roman"/>
                  <w:szCs w:val="22"/>
                </w:rPr>
                <w:t>https://www.hud.gov/sites/dfiles/OCHCO/documents/2023-10hsgn.pdf</w:t>
              </w:r>
            </w:hyperlink>
            <w:r w:rsidRPr="0088258D">
              <w:rPr>
                <w:rFonts w:cs="Times New Roman"/>
                <w:szCs w:val="22"/>
              </w:rPr>
              <w:t>.</w:t>
            </w:r>
          </w:p>
          <w:p w14:paraId="07E3E461" w14:textId="77777777" w:rsidR="002B1BD2" w:rsidRPr="0088258D" w:rsidRDefault="002B1BD2" w:rsidP="002B1BD2">
            <w:pPr>
              <w:pStyle w:val="TableBullet1"/>
              <w:spacing w:before="0" w:after="120"/>
              <w:rPr>
                <w:rFonts w:cs="Times New Roman"/>
                <w:szCs w:val="22"/>
              </w:rPr>
            </w:pPr>
            <w:r w:rsidRPr="0088258D">
              <w:rPr>
                <w:rFonts w:cs="Times New Roman"/>
                <w:bCs w:val="0"/>
                <w:szCs w:val="22"/>
              </w:rPr>
              <w:t xml:space="preserve">Notice H 2023-10, which you can locate at </w:t>
            </w:r>
            <w:hyperlink r:id="rId16" w:history="1">
              <w:r w:rsidRPr="0088258D">
                <w:rPr>
                  <w:rStyle w:val="Hyperlink"/>
                  <w:rFonts w:cs="Times New Roman"/>
                  <w:szCs w:val="22"/>
                </w:rPr>
                <w:t>https://www.hud.gov/sites/dfiles/OCHCO/documents/2023-10hsgn.pdf</w:t>
              </w:r>
            </w:hyperlink>
            <w:r w:rsidRPr="0088258D">
              <w:rPr>
                <w:rFonts w:cs="Times New Roman"/>
                <w:szCs w:val="22"/>
              </w:rPr>
              <w:t>.</w:t>
            </w:r>
          </w:p>
          <w:p w14:paraId="4CBD1CB4" w14:textId="06D8EFBB" w:rsidR="002B1BD2" w:rsidRPr="0088258D" w:rsidRDefault="002B1BD2" w:rsidP="002B1BD2">
            <w:pPr>
              <w:pStyle w:val="TableBullet1"/>
              <w:spacing w:before="0" w:after="120"/>
              <w:rPr>
                <w:rFonts w:cs="Times New Roman"/>
                <w:szCs w:val="22"/>
              </w:rPr>
            </w:pPr>
            <w:r w:rsidRPr="0088258D">
              <w:rPr>
                <w:rFonts w:cs="Times New Roman"/>
                <w:szCs w:val="22"/>
              </w:rPr>
              <w:t xml:space="preserve">HUD Multifamily </w:t>
            </w:r>
            <w:r w:rsidR="008024CE" w:rsidRPr="0088258D">
              <w:rPr>
                <w:rFonts w:cs="Times New Roman"/>
                <w:szCs w:val="22"/>
              </w:rPr>
              <w:t xml:space="preserve">Housing </w:t>
            </w:r>
            <w:r w:rsidRPr="0088258D">
              <w:rPr>
                <w:rFonts w:cs="Times New Roman"/>
                <w:szCs w:val="22"/>
              </w:rPr>
              <w:t xml:space="preserve">HOTMA Page, which you will find at </w:t>
            </w:r>
            <w:hyperlink r:id="rId17" w:history="1">
              <w:r w:rsidRPr="0088258D">
                <w:rPr>
                  <w:rStyle w:val="Hyperlink"/>
                  <w:rFonts w:cs="Times New Roman"/>
                  <w:szCs w:val="22"/>
                </w:rPr>
                <w:t>https://www.hud.gov/program_offices/‌housing/‌mfh/‌hotma</w:t>
              </w:r>
            </w:hyperlink>
            <w:r w:rsidRPr="0088258D">
              <w:rPr>
                <w:rFonts w:cs="Times New Roman"/>
                <w:szCs w:val="22"/>
              </w:rPr>
              <w:t>.</w:t>
            </w:r>
          </w:p>
          <w:p w14:paraId="0E02F977" w14:textId="77777777" w:rsidR="002B1BD2" w:rsidRPr="0088258D" w:rsidRDefault="002B1BD2" w:rsidP="002B1BD2">
            <w:pPr>
              <w:pStyle w:val="TableBullet1"/>
              <w:spacing w:before="0" w:after="120"/>
              <w:rPr>
                <w:rFonts w:cs="Times New Roman"/>
                <w:szCs w:val="22"/>
              </w:rPr>
            </w:pPr>
            <w:r w:rsidRPr="0088258D">
              <w:rPr>
                <w:rFonts w:cs="Times New Roman"/>
                <w:szCs w:val="22"/>
              </w:rPr>
              <w:t xml:space="preserve">Summary of Key HOTMA Changes, available at </w:t>
            </w:r>
            <w:hyperlink r:id="rId18" w:history="1">
              <w:r w:rsidRPr="0088258D">
                <w:rPr>
                  <w:rStyle w:val="Hyperlink"/>
                  <w:rFonts w:cs="Times New Roman"/>
                  <w:szCs w:val="22"/>
                </w:rPr>
                <w:t>https://www.hud.gov/sites/dfiles/Housing/documents/‌HOTMA_‌One_‌pager.pdf</w:t>
              </w:r>
            </w:hyperlink>
            <w:r w:rsidRPr="0088258D">
              <w:rPr>
                <w:rFonts w:cs="Times New Roman"/>
                <w:szCs w:val="22"/>
              </w:rPr>
              <w:t>.</w:t>
            </w:r>
          </w:p>
          <w:p w14:paraId="72BEF9E1" w14:textId="77777777" w:rsidR="00AD3B74" w:rsidRPr="0088258D" w:rsidRDefault="002B1BD2" w:rsidP="00AD3B74">
            <w:pPr>
              <w:pStyle w:val="TableBullet1"/>
              <w:spacing w:before="0" w:after="120"/>
              <w:rPr>
                <w:rFonts w:cs="Times New Roman"/>
                <w:i/>
                <w:iCs/>
                <w:szCs w:val="22"/>
              </w:rPr>
            </w:pPr>
            <w:r w:rsidRPr="0088258D">
              <w:rPr>
                <w:rFonts w:cs="Times New Roman"/>
                <w:szCs w:val="22"/>
              </w:rPr>
              <w:t xml:space="preserve">List of Discretionary Policies to Implement HOTMA: </w:t>
            </w:r>
            <w:hyperlink r:id="rId19" w:history="1">
              <w:r w:rsidRPr="0088258D">
                <w:rPr>
                  <w:rStyle w:val="Hyperlink"/>
                  <w:rFonts w:cs="Times New Roman"/>
                  <w:szCs w:val="22"/>
                </w:rPr>
                <w:t>https://www.hud.gov/sites/dfiles/Housing/‌documents/‌MFH_‌List_Discretionary_Policies_Implement_HOTMA.pdf</w:t>
              </w:r>
            </w:hyperlink>
            <w:r w:rsidRPr="0088258D">
              <w:rPr>
                <w:rFonts w:cs="Times New Roman"/>
                <w:szCs w:val="22"/>
              </w:rPr>
              <w:t>.</w:t>
            </w:r>
          </w:p>
          <w:p w14:paraId="08328B19" w14:textId="0A301C6B" w:rsidR="000F29A7" w:rsidRPr="0088258D" w:rsidRDefault="002B1BD2" w:rsidP="00AD3B74">
            <w:pPr>
              <w:pStyle w:val="TableBullet1"/>
              <w:spacing w:before="0" w:after="120"/>
              <w:rPr>
                <w:rFonts w:cs="Times New Roman"/>
                <w:i/>
                <w:iCs/>
                <w:szCs w:val="22"/>
              </w:rPr>
            </w:pPr>
            <w:r w:rsidRPr="0088258D">
              <w:rPr>
                <w:rFonts w:cs="Times New Roman"/>
                <w:szCs w:val="22"/>
              </w:rPr>
              <w:t xml:space="preserve">HUD User Inflationary Adjustment Page, located at </w:t>
            </w:r>
            <w:hyperlink r:id="rId20" w:history="1">
              <w:r w:rsidRPr="0088258D">
                <w:rPr>
                  <w:rStyle w:val="Hyperlink"/>
                  <w:rFonts w:cs="Times New Roman"/>
                  <w:szCs w:val="22"/>
                </w:rPr>
                <w:t>https://www.huduser.gov/portal/datasets/inflationary-adjustments-notifications.html</w:t>
              </w:r>
            </w:hyperlink>
            <w:r w:rsidRPr="0088258D">
              <w:rPr>
                <w:rFonts w:cs="Times New Roman"/>
                <w:szCs w:val="22"/>
              </w:rPr>
              <w:t>.</w:t>
            </w:r>
          </w:p>
        </w:tc>
      </w:tr>
      <w:tr w:rsidR="000F29A7" w:rsidRPr="0088258D" w14:paraId="09BBFBE6" w14:textId="77777777" w:rsidTr="1281F8EE">
        <w:trPr>
          <w:trHeight w:val="20"/>
        </w:trPr>
        <w:tc>
          <w:tcPr>
            <w:tcW w:w="720" w:type="dxa"/>
          </w:tcPr>
          <w:p w14:paraId="570524BB" w14:textId="07FB08DC" w:rsidR="000F29A7" w:rsidRPr="0088258D" w:rsidRDefault="000F29A7" w:rsidP="000F29A7">
            <w:pPr>
              <w:pStyle w:val="TableCellYear"/>
              <w:rPr>
                <w:rFonts w:cs="Times New Roman"/>
                <w:szCs w:val="22"/>
              </w:rPr>
            </w:pPr>
            <w:r w:rsidRPr="0088258D">
              <w:rPr>
                <w:rFonts w:cs="Times New Roman"/>
                <w:szCs w:val="22"/>
              </w:rPr>
              <w:t>60</w:t>
            </w:r>
          </w:p>
        </w:tc>
        <w:tc>
          <w:tcPr>
            <w:tcW w:w="2160" w:type="dxa"/>
          </w:tcPr>
          <w:p w14:paraId="7B5F047A" w14:textId="77777777" w:rsidR="000F29A7" w:rsidRPr="0088258D" w:rsidRDefault="000F29A7" w:rsidP="000F29A7">
            <w:pPr>
              <w:pStyle w:val="TableCellGeneralText"/>
              <w:rPr>
                <w:rFonts w:cs="Times New Roman"/>
                <w:szCs w:val="22"/>
              </w:rPr>
            </w:pPr>
            <w:r w:rsidRPr="0088258D">
              <w:rPr>
                <w:rFonts w:cs="Times New Roman"/>
                <w:szCs w:val="22"/>
              </w:rPr>
              <w:t>Thank You</w:t>
            </w:r>
          </w:p>
        </w:tc>
        <w:tc>
          <w:tcPr>
            <w:tcW w:w="10080" w:type="dxa"/>
          </w:tcPr>
          <w:p w14:paraId="1B6B5F08" w14:textId="18A989E7" w:rsidR="000F29A7" w:rsidRPr="0088258D" w:rsidRDefault="000F29A7" w:rsidP="000F29A7">
            <w:pPr>
              <w:pStyle w:val="TableCellText-Spaced"/>
              <w:rPr>
                <w:rFonts w:cs="Times New Roman"/>
                <w:szCs w:val="22"/>
              </w:rPr>
            </w:pPr>
            <w:r w:rsidRPr="0088258D">
              <w:rPr>
                <w:rFonts w:cs="Times New Roman"/>
                <w:szCs w:val="22"/>
              </w:rPr>
              <w:t>Thank you for attending this session.</w:t>
            </w:r>
            <w:r w:rsidR="0097455B">
              <w:rPr>
                <w:rFonts w:cs="Times New Roman"/>
                <w:szCs w:val="22"/>
              </w:rPr>
              <w:t xml:space="preserve"> </w:t>
            </w:r>
            <w:r w:rsidRPr="0088258D">
              <w:rPr>
                <w:rFonts w:cs="Times New Roman"/>
                <w:szCs w:val="22"/>
              </w:rPr>
              <w:t>For technical assistance or</w:t>
            </w:r>
            <w:r w:rsidR="0097455B">
              <w:rPr>
                <w:rFonts w:cs="Times New Roman"/>
                <w:szCs w:val="22"/>
              </w:rPr>
              <w:t xml:space="preserve"> for</w:t>
            </w:r>
            <w:r w:rsidRPr="0088258D">
              <w:rPr>
                <w:rFonts w:cs="Times New Roman"/>
                <w:szCs w:val="22"/>
              </w:rPr>
              <w:t xml:space="preserve"> additional </w:t>
            </w:r>
            <w:r w:rsidR="0097455B">
              <w:rPr>
                <w:rFonts w:cs="Times New Roman"/>
                <w:szCs w:val="22"/>
              </w:rPr>
              <w:t>information</w:t>
            </w:r>
            <w:r w:rsidRPr="0088258D">
              <w:rPr>
                <w:rFonts w:cs="Times New Roman"/>
                <w:szCs w:val="22"/>
              </w:rPr>
              <w:t xml:space="preserve">, please contact the HOTMA Multifamily </w:t>
            </w:r>
            <w:r w:rsidR="006A5323" w:rsidRPr="0088258D">
              <w:rPr>
                <w:rFonts w:cs="Times New Roman"/>
                <w:szCs w:val="22"/>
              </w:rPr>
              <w:t xml:space="preserve">Housing </w:t>
            </w:r>
            <w:r w:rsidRPr="0088258D">
              <w:rPr>
                <w:rFonts w:cs="Times New Roman"/>
                <w:szCs w:val="22"/>
              </w:rPr>
              <w:t>Help Desk at:</w:t>
            </w:r>
          </w:p>
          <w:p w14:paraId="5A3DA3A6" w14:textId="1D756C68" w:rsidR="000F29A7" w:rsidRPr="0088258D" w:rsidRDefault="00DA569F" w:rsidP="000F29A7">
            <w:pPr>
              <w:pStyle w:val="TableCellGeneralText"/>
              <w:rPr>
                <w:rFonts w:cs="Times New Roman"/>
                <w:szCs w:val="22"/>
              </w:rPr>
            </w:pPr>
            <w:hyperlink r:id="rId21" w:history="1">
              <w:r w:rsidR="006727F9" w:rsidRPr="0005109C">
                <w:rPr>
                  <w:rStyle w:val="Hyperlink"/>
                  <w:rFonts w:cs="Times New Roman"/>
                  <w:szCs w:val="22"/>
                </w:rPr>
                <w:t>MFH_HOTMA@hud.gov</w:t>
              </w:r>
            </w:hyperlink>
          </w:p>
        </w:tc>
      </w:tr>
    </w:tbl>
    <w:p w14:paraId="6E705975" w14:textId="77777777" w:rsidR="00942988" w:rsidRPr="0088258D" w:rsidRDefault="00942988" w:rsidP="00F02640">
      <w:pPr>
        <w:rPr>
          <w:rFonts w:cs="Times New Roman"/>
          <w:sz w:val="22"/>
          <w:szCs w:val="22"/>
        </w:rPr>
      </w:pPr>
      <w:bookmarkStart w:id="0" w:name="lastpage"/>
      <w:bookmarkEnd w:id="0"/>
    </w:p>
    <w:sectPr w:rsidR="00942988" w:rsidRPr="0088258D" w:rsidSect="004C47F5">
      <w:headerReference w:type="default" r:id="rId22"/>
      <w:footerReference w:type="default" r:id="rId23"/>
      <w:headerReference w:type="first" r:id="rId24"/>
      <w:footerReference w:type="first" r:id="rId25"/>
      <w:pgSz w:w="15840" w:h="12240" w:orient="landscape"/>
      <w:pgMar w:top="1440" w:right="1440" w:bottom="1440" w:left="1440" w:header="432" w:footer="533" w:gutter="0"/>
      <w:pgNumType w:start="1" w:chapStyle="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B82F3" w14:textId="77777777" w:rsidR="004C47F5" w:rsidRPr="008C41C5" w:rsidRDefault="004C47F5" w:rsidP="006D441F">
      <w:pPr>
        <w:spacing w:after="0"/>
      </w:pPr>
      <w:r w:rsidRPr="008C41C5">
        <w:separator/>
      </w:r>
    </w:p>
    <w:p w14:paraId="72DB73A0" w14:textId="77777777" w:rsidR="004C47F5" w:rsidRDefault="004C47F5"/>
  </w:endnote>
  <w:endnote w:type="continuationSeparator" w:id="0">
    <w:p w14:paraId="7026CFE2" w14:textId="77777777" w:rsidR="004C47F5" w:rsidRPr="008C41C5" w:rsidRDefault="004C47F5" w:rsidP="006D441F">
      <w:pPr>
        <w:spacing w:after="0"/>
      </w:pPr>
      <w:r w:rsidRPr="008C41C5">
        <w:continuationSeparator/>
      </w:r>
    </w:p>
    <w:p w14:paraId="1C02058B" w14:textId="77777777" w:rsidR="004C47F5" w:rsidRDefault="004C47F5"/>
  </w:endnote>
  <w:endnote w:type="continuationNotice" w:id="1">
    <w:p w14:paraId="28438806" w14:textId="77777777" w:rsidR="004C47F5" w:rsidRDefault="004C47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iryo UI">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cadia Code SemiBold">
    <w:altName w:val="Segoe UI Symbol"/>
    <w:charset w:val="00"/>
    <w:family w:val="modern"/>
    <w:pitch w:val="fixed"/>
    <w:sig w:usb0="A1002AFF" w:usb1="C000F9FB" w:usb2="00040020" w:usb3="00000000" w:csb0="000001FF" w:csb1="00000000"/>
  </w:font>
  <w:font w:name="Arial">
    <w:panose1 w:val="020B0604020202020204"/>
    <w:charset w:val="00"/>
    <w:family w:val="swiss"/>
    <w:pitch w:val="variable"/>
    <w:sig w:usb0="E0002EFF" w:usb1="C000785B" w:usb2="00000009" w:usb3="00000000" w:csb0="000001FF" w:csb1="00000000"/>
  </w:font>
  <w:font w:name="Cascadia Code">
    <w:charset w:val="00"/>
    <w:family w:val="modern"/>
    <w:pitch w:val="fixed"/>
    <w:sig w:usb0="A1002AFF" w:usb1="C000F9FB" w:usb2="00040020"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2652" w14:textId="1C799ABA" w:rsidR="00942988" w:rsidRPr="00A54827" w:rsidRDefault="00942988" w:rsidP="00942988">
    <w:pPr>
      <w:pStyle w:val="Footer-PageNumber"/>
    </w:pPr>
    <w:r>
      <w:rPr>
        <w:color w:val="2B579A"/>
        <w:shd w:val="clear" w:color="auto" w:fill="E6E6E6"/>
      </w:rPr>
      <w:drawing>
        <wp:anchor distT="0" distB="0" distL="114300" distR="114300" simplePos="0" relativeHeight="251658241" behindDoc="1" locked="0" layoutInCell="1" allowOverlap="1" wp14:anchorId="2A806FA5" wp14:editId="1C47C42B">
          <wp:simplePos x="0" y="0"/>
          <wp:positionH relativeFrom="page">
            <wp:align>center</wp:align>
          </wp:positionH>
          <wp:positionV relativeFrom="page">
            <wp:align>bottom</wp:align>
          </wp:positionV>
          <wp:extent cx="9601200" cy="914400"/>
          <wp:effectExtent l="0" t="0" r="0" b="0"/>
          <wp:wrapNone/>
          <wp:docPr id="1525266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color w:val="2B579A"/>
          <w:shd w:val="clear" w:color="auto" w:fill="E6E6E6"/>
        </w:rPr>
        <w:id w:val="2089415284"/>
        <w:docPartObj>
          <w:docPartGallery w:val="Page Numbers (Bottom of Page)"/>
          <w:docPartUnique/>
        </w:docPartObj>
      </w:sdtPr>
      <w:sdtEndPr>
        <w:rPr>
          <w:color w:val="24366F"/>
          <w:shd w:val="clear" w:color="auto" w:fill="auto"/>
        </w:rPr>
      </w:sdtEndPr>
      <w:sdtContent>
        <w:r>
          <w:t xml:space="preserve">Page </w:t>
        </w:r>
        <w:r w:rsidRPr="00A54827">
          <w:rPr>
            <w:color w:val="2B579A"/>
            <w:shd w:val="clear" w:color="auto" w:fill="E6E6E6"/>
          </w:rPr>
          <w:fldChar w:fldCharType="begin"/>
        </w:r>
        <w:r w:rsidRPr="00A54827">
          <w:instrText xml:space="preserve"> PAGE   \* MERGEFORMAT </w:instrText>
        </w:r>
        <w:r w:rsidRPr="00A54827">
          <w:rPr>
            <w:color w:val="2B579A"/>
            <w:shd w:val="clear" w:color="auto" w:fill="E6E6E6"/>
          </w:rPr>
          <w:fldChar w:fldCharType="separate"/>
        </w:r>
        <w:r>
          <w:t>1</w:t>
        </w:r>
        <w:r w:rsidRPr="00A54827">
          <w:rPr>
            <w:color w:val="2B579A"/>
            <w:shd w:val="clear" w:color="auto" w:fill="E6E6E6"/>
          </w:rPr>
          <w:fldChar w:fldCharType="end"/>
        </w:r>
        <w:r>
          <w:t xml:space="preserve"> of </w:t>
        </w:r>
        <w:r>
          <w:rPr>
            <w:color w:val="2B579A"/>
            <w:shd w:val="clear" w:color="auto" w:fill="E6E6E6"/>
          </w:rPr>
          <w:fldChar w:fldCharType="begin"/>
        </w:r>
        <w:r>
          <w:instrText xml:space="preserve"> PAGEREF lastpage \h </w:instrText>
        </w:r>
        <w:r>
          <w:rPr>
            <w:color w:val="2B579A"/>
            <w:shd w:val="clear" w:color="auto" w:fill="E6E6E6"/>
          </w:rPr>
        </w:r>
        <w:r>
          <w:rPr>
            <w:color w:val="2B579A"/>
            <w:shd w:val="clear" w:color="auto" w:fill="E6E6E6"/>
          </w:rPr>
          <w:fldChar w:fldCharType="separate"/>
        </w:r>
        <w:r w:rsidR="00DA569F">
          <w:t>22</w:t>
        </w:r>
        <w:r>
          <w:rPr>
            <w:color w:val="2B579A"/>
            <w:shd w:val="clear" w:color="auto" w:fill="E6E6E6"/>
          </w:rPr>
          <w:fldChar w:fldCharType="end"/>
        </w:r>
        <w:r>
          <w:t xml:space="preserve"> Pages</w:t>
        </w:r>
      </w:sdtContent>
    </w:sdt>
  </w:p>
  <w:p w14:paraId="4B910238" w14:textId="00CBB1A5" w:rsidR="00194864" w:rsidRPr="00942988" w:rsidRDefault="00942988" w:rsidP="00942988">
    <w:pPr>
      <w:pStyle w:val="Footer"/>
    </w:pPr>
    <w:r w:rsidRPr="00183637">
      <w:t>7475 Wisconsin Avenue, Suite 1000 | Bethesda, MD |</w:t>
    </w:r>
    <w:r>
      <w:t xml:space="preserve"> </w:t>
    </w:r>
    <w:hyperlink r:id="rId2" w:history="1">
      <w:r>
        <w:rPr>
          <w:rStyle w:val="Hyperlink"/>
        </w:rPr>
        <w:t>www.EconometricaInc.com</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FE3F" w14:textId="1CFF235F" w:rsidR="00DB45A5" w:rsidRPr="00A54827" w:rsidRDefault="00942988" w:rsidP="00DB45A5">
    <w:pPr>
      <w:pStyle w:val="Footer-PageNumber"/>
    </w:pPr>
    <w:r>
      <w:rPr>
        <w:color w:val="2B579A"/>
        <w:shd w:val="clear" w:color="auto" w:fill="E6E6E6"/>
      </w:rPr>
      <w:drawing>
        <wp:anchor distT="0" distB="0" distL="114300" distR="114300" simplePos="0" relativeHeight="251658240" behindDoc="1" locked="0" layoutInCell="1" allowOverlap="1" wp14:anchorId="150B5AD3" wp14:editId="199A1226">
          <wp:simplePos x="0" y="0"/>
          <wp:positionH relativeFrom="page">
            <wp:align>center</wp:align>
          </wp:positionH>
          <wp:positionV relativeFrom="page">
            <wp:align>bottom</wp:align>
          </wp:positionV>
          <wp:extent cx="9601200" cy="914400"/>
          <wp:effectExtent l="0" t="0" r="0" b="0"/>
          <wp:wrapNone/>
          <wp:docPr id="71178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color w:val="2B579A"/>
          <w:shd w:val="clear" w:color="auto" w:fill="E6E6E6"/>
        </w:rPr>
        <w:id w:val="1857622903"/>
        <w:docPartObj>
          <w:docPartGallery w:val="Page Numbers (Bottom of Page)"/>
          <w:docPartUnique/>
        </w:docPartObj>
      </w:sdtPr>
      <w:sdtEndPr>
        <w:rPr>
          <w:color w:val="24366F"/>
          <w:shd w:val="clear" w:color="auto" w:fill="auto"/>
        </w:rPr>
      </w:sdtEndPr>
      <w:sdtContent>
        <w:r w:rsidR="00DB45A5">
          <w:t xml:space="preserve">Page </w:t>
        </w:r>
        <w:r w:rsidR="00DB45A5" w:rsidRPr="00A54827">
          <w:rPr>
            <w:color w:val="2B579A"/>
            <w:shd w:val="clear" w:color="auto" w:fill="E6E6E6"/>
          </w:rPr>
          <w:fldChar w:fldCharType="begin"/>
        </w:r>
        <w:r w:rsidR="00DB45A5" w:rsidRPr="00A54827">
          <w:instrText xml:space="preserve"> PAGE   \* MERGEFORMAT </w:instrText>
        </w:r>
        <w:r w:rsidR="00DB45A5" w:rsidRPr="00A54827">
          <w:rPr>
            <w:color w:val="2B579A"/>
            <w:shd w:val="clear" w:color="auto" w:fill="E6E6E6"/>
          </w:rPr>
          <w:fldChar w:fldCharType="separate"/>
        </w:r>
        <w:r w:rsidR="00DB45A5">
          <w:t>2</w:t>
        </w:r>
        <w:r w:rsidR="00DB45A5" w:rsidRPr="00A54827">
          <w:rPr>
            <w:color w:val="2B579A"/>
            <w:shd w:val="clear" w:color="auto" w:fill="E6E6E6"/>
          </w:rPr>
          <w:fldChar w:fldCharType="end"/>
        </w:r>
        <w:r w:rsidR="00DB45A5">
          <w:t xml:space="preserve"> of </w:t>
        </w:r>
        <w:r w:rsidR="00DB45A5">
          <w:rPr>
            <w:color w:val="2B579A"/>
            <w:shd w:val="clear" w:color="auto" w:fill="E6E6E6"/>
          </w:rPr>
          <w:fldChar w:fldCharType="begin"/>
        </w:r>
        <w:r w:rsidR="00DB45A5">
          <w:instrText xml:space="preserve"> PAGEREF lastpage \h </w:instrText>
        </w:r>
        <w:r w:rsidR="00DB45A5">
          <w:rPr>
            <w:color w:val="2B579A"/>
            <w:shd w:val="clear" w:color="auto" w:fill="E6E6E6"/>
          </w:rPr>
        </w:r>
        <w:r w:rsidR="00DB45A5">
          <w:rPr>
            <w:color w:val="2B579A"/>
            <w:shd w:val="clear" w:color="auto" w:fill="E6E6E6"/>
          </w:rPr>
          <w:fldChar w:fldCharType="separate"/>
        </w:r>
        <w:r w:rsidR="00DA569F">
          <w:t>22</w:t>
        </w:r>
        <w:r w:rsidR="00DB45A5">
          <w:rPr>
            <w:color w:val="2B579A"/>
            <w:shd w:val="clear" w:color="auto" w:fill="E6E6E6"/>
          </w:rPr>
          <w:fldChar w:fldCharType="end"/>
        </w:r>
        <w:r w:rsidR="00DB45A5">
          <w:t xml:space="preserve"> Pages</w:t>
        </w:r>
      </w:sdtContent>
    </w:sdt>
  </w:p>
  <w:p w14:paraId="6A00400A" w14:textId="65F9C7F4" w:rsidR="00DB45A5" w:rsidRDefault="00183637" w:rsidP="00DB45A5">
    <w:pPr>
      <w:pStyle w:val="Footer"/>
    </w:pPr>
    <w:r w:rsidRPr="00183637">
      <w:t>7475 Wisconsin Avenue, Suite 1000 | Bethesda, MD |</w:t>
    </w:r>
    <w:r>
      <w:t xml:space="preserve"> </w:t>
    </w:r>
    <w:hyperlink r:id="rId2" w:history="1">
      <w:r>
        <w:rPr>
          <w:rStyle w:val="Hyperlink"/>
        </w:rPr>
        <w:t>www.EconometricaInc.com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3EF04" w14:textId="77777777" w:rsidR="004C47F5" w:rsidRDefault="004C47F5" w:rsidP="00127E90">
      <w:pPr>
        <w:pStyle w:val="FootnoteText"/>
      </w:pPr>
      <w:r w:rsidRPr="008C41C5">
        <w:separator/>
      </w:r>
    </w:p>
  </w:footnote>
  <w:footnote w:type="continuationSeparator" w:id="0">
    <w:p w14:paraId="39E00AE3" w14:textId="77777777" w:rsidR="004C47F5" w:rsidRDefault="004C47F5" w:rsidP="001C5163">
      <w:pPr>
        <w:pStyle w:val="FootnoteText"/>
      </w:pPr>
      <w:r w:rsidRPr="008C41C5">
        <w:continuationSeparator/>
      </w:r>
    </w:p>
  </w:footnote>
  <w:footnote w:type="continuationNotice" w:id="1">
    <w:p w14:paraId="3C071CE8" w14:textId="77777777" w:rsidR="004C47F5" w:rsidRPr="001C5163" w:rsidRDefault="004C47F5" w:rsidP="001C5163">
      <w:pPr>
        <w:pStyle w:val="Footer"/>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BEFB" w14:textId="7F675F22" w:rsidR="00DB45A5" w:rsidRPr="00DB45A5" w:rsidRDefault="00942988" w:rsidP="00942988">
    <w:pPr>
      <w:widowControl w:val="0"/>
      <w:pBdr>
        <w:bottom w:val="single" w:sz="12" w:space="1" w:color="00AEEF" w:themeColor="text2"/>
      </w:pBdr>
      <w:tabs>
        <w:tab w:val="right" w:pos="13680"/>
      </w:tabs>
      <w:autoSpaceDE w:val="0"/>
      <w:autoSpaceDN w:val="0"/>
      <w:adjustRightInd w:val="0"/>
      <w:spacing w:after="0"/>
      <w:ind w:left="-720" w:right="-720"/>
      <w:jc w:val="left"/>
      <w:textAlignment w:val="center"/>
      <w:rPr>
        <w:rFonts w:ascii="Arial" w:eastAsiaTheme="minorEastAsia" w:hAnsi="Arial" w:cs="Arial"/>
        <w:bCs/>
        <w:noProof/>
        <w:color w:val="002D73" w:themeColor="accent1"/>
        <w:sz w:val="20"/>
        <w:szCs w:val="20"/>
      </w:rPr>
    </w:pPr>
    <w:r>
      <w:rPr>
        <w:rFonts w:ascii="Arial" w:eastAsiaTheme="minorEastAsia" w:hAnsi="Arial" w:cs="Arial"/>
        <w:b/>
        <w:noProof/>
        <w:color w:val="002D73" w:themeColor="accent1"/>
        <w:sz w:val="20"/>
        <w:szCs w:val="20"/>
      </w:rPr>
      <w:t>HUD</w:t>
    </w:r>
    <w:r w:rsidR="003E2FCC">
      <w:rPr>
        <w:rFonts w:ascii="Arial" w:eastAsiaTheme="minorEastAsia" w:hAnsi="Arial" w:cs="Arial"/>
        <w:b/>
        <w:noProof/>
        <w:color w:val="002D73" w:themeColor="accent1"/>
        <w:sz w:val="20"/>
        <w:szCs w:val="20"/>
      </w:rPr>
      <w:t xml:space="preserve"> </w:t>
    </w:r>
    <w:r w:rsidR="003E2FCC" w:rsidRPr="003E2FCC">
      <w:rPr>
        <w:rFonts w:ascii="Arial" w:eastAsiaTheme="minorEastAsia" w:hAnsi="Arial" w:cs="Arial"/>
        <w:b/>
        <w:noProof/>
        <w:color w:val="002D73" w:themeColor="accent1"/>
        <w:sz w:val="20"/>
        <w:szCs w:val="20"/>
      </w:rPr>
      <w:t>Office of Multifamily Housing</w:t>
    </w:r>
    <w:r w:rsidR="00183637">
      <w:rPr>
        <w:rFonts w:ascii="Arial" w:eastAsiaTheme="minorEastAsia" w:hAnsi="Arial" w:cs="Arial"/>
        <w:b/>
        <w:noProof/>
        <w:color w:val="002D73" w:themeColor="accent1"/>
        <w:sz w:val="20"/>
        <w:szCs w:val="20"/>
      </w:rPr>
      <w:tab/>
    </w:r>
    <w:r w:rsidR="003E2FCC" w:rsidRPr="003E2FCC">
      <w:rPr>
        <w:rFonts w:ascii="Arial" w:eastAsiaTheme="minorEastAsia" w:hAnsi="Arial" w:cs="Arial"/>
        <w:b/>
        <w:noProof/>
        <w:color w:val="002D73" w:themeColor="accent1"/>
        <w:sz w:val="20"/>
        <w:szCs w:val="20"/>
      </w:rPr>
      <w:t>HOTMA Training and Technical Assistance</w:t>
    </w:r>
  </w:p>
  <w:p w14:paraId="40FCFBA4" w14:textId="26F45EEC" w:rsidR="00DB45A5" w:rsidRPr="00DB45A5" w:rsidRDefault="00DB45A5" w:rsidP="00942988">
    <w:pPr>
      <w:widowControl w:val="0"/>
      <w:tabs>
        <w:tab w:val="right" w:pos="13680"/>
      </w:tabs>
      <w:autoSpaceDE w:val="0"/>
      <w:autoSpaceDN w:val="0"/>
      <w:adjustRightInd w:val="0"/>
      <w:spacing w:after="0"/>
      <w:ind w:left="-720" w:right="-720"/>
      <w:jc w:val="left"/>
      <w:textAlignment w:val="center"/>
      <w:rPr>
        <w:rFonts w:ascii="Arial" w:eastAsiaTheme="minorEastAsia" w:hAnsi="Arial" w:cs="Arial"/>
        <w:noProof/>
        <w:color w:val="002D73" w:themeColor="accen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5D50" w14:textId="52CE015C" w:rsidR="00DB45A5" w:rsidRDefault="00DB45A5" w:rsidP="00DB45A5">
    <w:pPr>
      <w:jc w:val="center"/>
    </w:pPr>
    <w:r w:rsidRPr="00392E90">
      <w:rPr>
        <w:noProof/>
        <w:color w:val="2B579A"/>
        <w:shd w:val="clear" w:color="auto" w:fill="E6E6E6"/>
      </w:rPr>
      <w:drawing>
        <wp:inline distT="0" distB="0" distL="0" distR="0" wp14:anchorId="4583DCD1" wp14:editId="6EBB05A1">
          <wp:extent cx="2532888" cy="347472"/>
          <wp:effectExtent l="0" t="0" r="1270" b="0"/>
          <wp:docPr id="1757801281" name="Picture 1757801281" descr="Logo of Econometrica, Inc." title="Logo of Econometrica,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ones\AppData\Local\Microsoft\Windows\Temporary Internet Files\Content.Outlook\KVTU0WB4\Econometrica_Logo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2888" cy="3474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6532"/>
    <w:multiLevelType w:val="hybridMultilevel"/>
    <w:tmpl w:val="DC8ED666"/>
    <w:lvl w:ilvl="0" w:tplc="A2CCDC7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160A9"/>
    <w:multiLevelType w:val="hybridMultilevel"/>
    <w:tmpl w:val="011C052C"/>
    <w:lvl w:ilvl="0" w:tplc="A754CED0">
      <w:start w:val="1"/>
      <w:numFmt w:val="upperLetter"/>
      <w:lvlText w:val="%1."/>
      <w:lvlJc w:val="left"/>
      <w:pPr>
        <w:tabs>
          <w:tab w:val="num" w:pos="720"/>
        </w:tabs>
        <w:ind w:left="720" w:hanging="360"/>
      </w:pPr>
    </w:lvl>
    <w:lvl w:ilvl="1" w:tplc="AC5CB530" w:tentative="1">
      <w:start w:val="1"/>
      <w:numFmt w:val="upperLetter"/>
      <w:lvlText w:val="%2."/>
      <w:lvlJc w:val="left"/>
      <w:pPr>
        <w:tabs>
          <w:tab w:val="num" w:pos="1440"/>
        </w:tabs>
        <w:ind w:left="1440" w:hanging="360"/>
      </w:pPr>
    </w:lvl>
    <w:lvl w:ilvl="2" w:tplc="9B80FCE2" w:tentative="1">
      <w:start w:val="1"/>
      <w:numFmt w:val="upperLetter"/>
      <w:lvlText w:val="%3."/>
      <w:lvlJc w:val="left"/>
      <w:pPr>
        <w:tabs>
          <w:tab w:val="num" w:pos="2160"/>
        </w:tabs>
        <w:ind w:left="2160" w:hanging="360"/>
      </w:pPr>
    </w:lvl>
    <w:lvl w:ilvl="3" w:tplc="F2262CB0" w:tentative="1">
      <w:start w:val="1"/>
      <w:numFmt w:val="upperLetter"/>
      <w:lvlText w:val="%4."/>
      <w:lvlJc w:val="left"/>
      <w:pPr>
        <w:tabs>
          <w:tab w:val="num" w:pos="2880"/>
        </w:tabs>
        <w:ind w:left="2880" w:hanging="360"/>
      </w:pPr>
    </w:lvl>
    <w:lvl w:ilvl="4" w:tplc="B6ECE8E6" w:tentative="1">
      <w:start w:val="1"/>
      <w:numFmt w:val="upperLetter"/>
      <w:lvlText w:val="%5."/>
      <w:lvlJc w:val="left"/>
      <w:pPr>
        <w:tabs>
          <w:tab w:val="num" w:pos="3600"/>
        </w:tabs>
        <w:ind w:left="3600" w:hanging="360"/>
      </w:pPr>
    </w:lvl>
    <w:lvl w:ilvl="5" w:tplc="64EABB54" w:tentative="1">
      <w:start w:val="1"/>
      <w:numFmt w:val="upperLetter"/>
      <w:lvlText w:val="%6."/>
      <w:lvlJc w:val="left"/>
      <w:pPr>
        <w:tabs>
          <w:tab w:val="num" w:pos="4320"/>
        </w:tabs>
        <w:ind w:left="4320" w:hanging="360"/>
      </w:pPr>
    </w:lvl>
    <w:lvl w:ilvl="6" w:tplc="1AAC7F72" w:tentative="1">
      <w:start w:val="1"/>
      <w:numFmt w:val="upperLetter"/>
      <w:lvlText w:val="%7."/>
      <w:lvlJc w:val="left"/>
      <w:pPr>
        <w:tabs>
          <w:tab w:val="num" w:pos="5040"/>
        </w:tabs>
        <w:ind w:left="5040" w:hanging="360"/>
      </w:pPr>
    </w:lvl>
    <w:lvl w:ilvl="7" w:tplc="DBB8A176" w:tentative="1">
      <w:start w:val="1"/>
      <w:numFmt w:val="upperLetter"/>
      <w:lvlText w:val="%8."/>
      <w:lvlJc w:val="left"/>
      <w:pPr>
        <w:tabs>
          <w:tab w:val="num" w:pos="5760"/>
        </w:tabs>
        <w:ind w:left="5760" w:hanging="360"/>
      </w:pPr>
    </w:lvl>
    <w:lvl w:ilvl="8" w:tplc="B80072BC" w:tentative="1">
      <w:start w:val="1"/>
      <w:numFmt w:val="upperLetter"/>
      <w:lvlText w:val="%9."/>
      <w:lvlJc w:val="left"/>
      <w:pPr>
        <w:tabs>
          <w:tab w:val="num" w:pos="6480"/>
        </w:tabs>
        <w:ind w:left="6480" w:hanging="360"/>
      </w:pPr>
    </w:lvl>
  </w:abstractNum>
  <w:abstractNum w:abstractNumId="2" w15:restartNumberingAfterBreak="0">
    <w:nsid w:val="18DA13A3"/>
    <w:multiLevelType w:val="hybridMultilevel"/>
    <w:tmpl w:val="C44E8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60BAA"/>
    <w:multiLevelType w:val="hybridMultilevel"/>
    <w:tmpl w:val="3F3A0FFE"/>
    <w:styleLink w:val="NumberedList"/>
    <w:lvl w:ilvl="0" w:tplc="F202DF68">
      <w:start w:val="1"/>
      <w:numFmt w:val="bullet"/>
      <w:lvlText w:val="✔"/>
      <w:lvlJc w:val="left"/>
      <w:pPr>
        <w:ind w:left="562" w:hanging="360"/>
      </w:pPr>
      <w:rPr>
        <w:rFonts w:ascii="Segoe UI Symbol" w:eastAsia="Meiryo UI" w:hAnsi="Segoe UI Symbol" w:hint="default"/>
        <w:color w:val="00AEEF" w:themeColor="text2"/>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15:restartNumberingAfterBreak="0">
    <w:nsid w:val="223E61B4"/>
    <w:multiLevelType w:val="hybridMultilevel"/>
    <w:tmpl w:val="7C6E2BCE"/>
    <w:lvl w:ilvl="0" w:tplc="FAFE91D4">
      <w:start w:val="1"/>
      <w:numFmt w:val="bullet"/>
      <w:pStyle w:val="TableBullet1"/>
      <w:lvlText w:val="●"/>
      <w:lvlJc w:val="left"/>
      <w:pPr>
        <w:ind w:left="360" w:hanging="360"/>
      </w:pPr>
      <w:rPr>
        <w:rFonts w:ascii="Cascadia Code SemiBold" w:hAnsi="Cascadia Code SemiBold" w:hint="default"/>
        <w:b w:val="0"/>
        <w:bCs w:val="0"/>
        <w:color w:val="00AEEF" w:themeColor="text2"/>
        <w:sz w:val="14"/>
        <w:szCs w:val="14"/>
      </w:rPr>
    </w:lvl>
    <w:lvl w:ilvl="1" w:tplc="4F54B40E">
      <w:start w:val="1"/>
      <w:numFmt w:val="bullet"/>
      <w:lvlText w:val="o"/>
      <w:lvlJc w:val="left"/>
      <w:pPr>
        <w:ind w:left="1440" w:hanging="360"/>
      </w:pPr>
      <w:rPr>
        <w:rFonts w:ascii="Courier New" w:hAnsi="Courier New" w:cs="Courier New" w:hint="default"/>
        <w:color w:val="002D73" w:themeColor="accent1"/>
      </w:rPr>
    </w:lvl>
    <w:lvl w:ilvl="2" w:tplc="B6D456B4">
      <w:start w:val="1"/>
      <w:numFmt w:val="bullet"/>
      <w:lvlText w:val=""/>
      <w:lvlJc w:val="left"/>
      <w:pPr>
        <w:ind w:left="2160" w:hanging="360"/>
      </w:pPr>
      <w:rPr>
        <w:rFonts w:ascii="Wingdings" w:hAnsi="Wingdings" w:hint="default"/>
        <w:color w:val="002D73"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44FE8"/>
    <w:multiLevelType w:val="multilevel"/>
    <w:tmpl w:val="FDF06D06"/>
    <w:lvl w:ilvl="0">
      <w:start w:val="1"/>
      <w:numFmt w:val="decimal"/>
      <w:pStyle w:val="ListNumber"/>
      <w:lvlText w:val="%1."/>
      <w:lvlJc w:val="left"/>
      <w:pPr>
        <w:ind w:left="720" w:hanging="360"/>
      </w:pPr>
      <w:rPr>
        <w:rFonts w:ascii="Arial" w:hAnsi="Arial" w:cs="Arial" w:hint="default"/>
        <w:b w:val="0"/>
        <w:bCs w:val="0"/>
        <w:color w:val="002D73" w:themeColor="accent1"/>
        <w:sz w:val="22"/>
        <w:szCs w:val="22"/>
      </w:rPr>
    </w:lvl>
    <w:lvl w:ilvl="1">
      <w:start w:val="1"/>
      <w:numFmt w:val="lowerLetter"/>
      <w:pStyle w:val="ListNumber2"/>
      <w:lvlText w:val="%2."/>
      <w:lvlJc w:val="left"/>
      <w:pPr>
        <w:ind w:left="1080" w:hanging="360"/>
      </w:pPr>
      <w:rPr>
        <w:rFonts w:ascii="Arial" w:hAnsi="Arial" w:cs="Arial" w:hint="default"/>
        <w:b w:val="0"/>
        <w:bCs w:val="0"/>
        <w:color w:val="002D73" w:themeColor="accent1"/>
        <w:sz w:val="22"/>
        <w:szCs w:val="22"/>
      </w:rPr>
    </w:lvl>
    <w:lvl w:ilvl="2">
      <w:start w:val="1"/>
      <w:numFmt w:val="lowerRoman"/>
      <w:pStyle w:val="ListNumber3"/>
      <w:lvlText w:val="%3."/>
      <w:lvlJc w:val="left"/>
      <w:pPr>
        <w:ind w:left="1440" w:hanging="360"/>
      </w:pPr>
      <w:rPr>
        <w:rFonts w:ascii="Arial" w:hAnsi="Arial" w:cs="Arial" w:hint="default"/>
        <w:b w:val="0"/>
        <w:bCs w:val="0"/>
        <w:color w:val="002D73" w:themeColor="accent1"/>
        <w:sz w:val="22"/>
        <w:szCs w:val="22"/>
      </w:rPr>
    </w:lvl>
    <w:lvl w:ilvl="3">
      <w:start w:val="1"/>
      <w:numFmt w:val="decimal"/>
      <w:pStyle w:val="ListNumber4"/>
      <w:lvlText w:val="%4."/>
      <w:lvlJc w:val="left"/>
      <w:pPr>
        <w:ind w:left="1800" w:hanging="360"/>
      </w:pPr>
      <w:rPr>
        <w:rFonts w:ascii="Arial" w:hAnsi="Arial" w:cs="Arial" w:hint="default"/>
        <w:b w:val="0"/>
        <w:bCs w:val="0"/>
        <w:color w:val="002D73" w:themeColor="accent1"/>
        <w:sz w:val="22"/>
        <w:szCs w:val="22"/>
      </w:rPr>
    </w:lvl>
    <w:lvl w:ilvl="4">
      <w:start w:val="1"/>
      <w:numFmt w:val="lowerLetter"/>
      <w:pStyle w:val="ListNumber5"/>
      <w:lvlText w:val="%5."/>
      <w:lvlJc w:val="left"/>
      <w:pPr>
        <w:ind w:left="2160" w:hanging="360"/>
      </w:pPr>
      <w:rPr>
        <w:rFonts w:ascii="Arial" w:hAnsi="Arial" w:cs="Arial" w:hint="default"/>
        <w:b w:val="0"/>
        <w:bCs w:val="0"/>
        <w:color w:val="002D73" w:themeColor="accent1"/>
        <w:sz w:val="22"/>
        <w:szCs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22240E"/>
    <w:multiLevelType w:val="multilevel"/>
    <w:tmpl w:val="C1243886"/>
    <w:styleLink w:val="ExecutiveSummary"/>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57B2A"/>
    <w:multiLevelType w:val="multilevel"/>
    <w:tmpl w:val="3E245D1C"/>
    <w:lvl w:ilvl="0">
      <w:start w:val="1"/>
      <w:numFmt w:val="bullet"/>
      <w:pStyle w:val="ListBullet"/>
      <w:lvlText w:val="●"/>
      <w:lvlJc w:val="left"/>
      <w:pPr>
        <w:ind w:left="360" w:hanging="360"/>
      </w:pPr>
      <w:rPr>
        <w:rFonts w:ascii="Cascadia Code" w:hAnsi="Cascadia Code" w:hint="default"/>
        <w:b w:val="0"/>
        <w:bCs w:val="0"/>
        <w:color w:val="002D73" w:themeColor="accent1"/>
        <w:position w:val="2"/>
        <w:sz w:val="16"/>
        <w:szCs w:val="16"/>
      </w:rPr>
    </w:lvl>
    <w:lvl w:ilvl="1">
      <w:start w:val="1"/>
      <w:numFmt w:val="bullet"/>
      <w:pStyle w:val="ListBullet2"/>
      <w:lvlText w:val="○"/>
      <w:lvlJc w:val="left"/>
      <w:pPr>
        <w:ind w:left="1080" w:hanging="360"/>
      </w:pPr>
      <w:rPr>
        <w:rFonts w:ascii="Cascadia Code" w:hAnsi="Cascadia Code" w:hint="default"/>
        <w:color w:val="002D73" w:themeColor="accent1"/>
        <w:position w:val="2"/>
        <w:sz w:val="16"/>
        <w:szCs w:val="16"/>
      </w:rPr>
    </w:lvl>
    <w:lvl w:ilvl="2">
      <w:start w:val="1"/>
      <w:numFmt w:val="bullet"/>
      <w:pStyle w:val="ListBullet3"/>
      <w:lvlText w:val="◼"/>
      <w:lvlJc w:val="left"/>
      <w:pPr>
        <w:ind w:left="1440" w:hanging="360"/>
      </w:pPr>
      <w:rPr>
        <w:rFonts w:ascii="Cascadia Code" w:hAnsi="Cascadia Code" w:hint="default"/>
        <w:color w:val="002D73" w:themeColor="accent1"/>
        <w:position w:val="2"/>
        <w:sz w:val="16"/>
        <w:szCs w:val="16"/>
      </w:rPr>
    </w:lvl>
    <w:lvl w:ilvl="3">
      <w:start w:val="1"/>
      <w:numFmt w:val="bullet"/>
      <w:pStyle w:val="ListBullet4"/>
      <w:lvlText w:val="◻"/>
      <w:lvlJc w:val="left"/>
      <w:pPr>
        <w:ind w:left="1800" w:hanging="360"/>
      </w:pPr>
      <w:rPr>
        <w:rFonts w:ascii="Cascadia Code" w:hAnsi="Cascadia Code" w:hint="default"/>
        <w:color w:val="002D73" w:themeColor="accent1"/>
        <w:sz w:val="16"/>
      </w:rPr>
    </w:lvl>
    <w:lvl w:ilvl="4">
      <w:start w:val="1"/>
      <w:numFmt w:val="bullet"/>
      <w:pStyle w:val="ListBullet5"/>
      <w:lvlText w:val="◈"/>
      <w:lvlJc w:val="left"/>
      <w:pPr>
        <w:ind w:left="2160" w:hanging="360"/>
      </w:pPr>
      <w:rPr>
        <w:rFonts w:ascii="Cascadia Code" w:hAnsi="Cascadia Code" w:hint="default"/>
        <w:color w:val="002D73" w:themeColor="accent1"/>
        <w:position w:val="2"/>
        <w:sz w:val="18"/>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3CAA7301"/>
    <w:multiLevelType w:val="hybridMultilevel"/>
    <w:tmpl w:val="8F926FD2"/>
    <w:lvl w:ilvl="0" w:tplc="8EF6F95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D1CDF"/>
    <w:multiLevelType w:val="hybridMultilevel"/>
    <w:tmpl w:val="88245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409D0"/>
    <w:multiLevelType w:val="hybridMultilevel"/>
    <w:tmpl w:val="842E799E"/>
    <w:lvl w:ilvl="0" w:tplc="0C7E8F96">
      <w:start w:val="1"/>
      <w:numFmt w:val="bullet"/>
      <w:pStyle w:val="TableBullet2"/>
      <w:lvlText w:val="○"/>
      <w:lvlJc w:val="left"/>
      <w:pPr>
        <w:ind w:left="1152" w:hanging="360"/>
      </w:pPr>
      <w:rPr>
        <w:rFonts w:ascii="Cascadia Code SemiBold" w:hAnsi="Cascadia Code SemiBold" w:hint="default"/>
        <w:b w:val="0"/>
        <w:bCs w:val="0"/>
        <w:color w:val="00AEEF" w:themeColor="text2"/>
        <w:sz w:val="16"/>
        <w:szCs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3" w15:restartNumberingAfterBreak="0">
    <w:nsid w:val="43F253D2"/>
    <w:multiLevelType w:val="multilevel"/>
    <w:tmpl w:val="74241EF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4" w15:restartNumberingAfterBreak="0">
    <w:nsid w:val="5C2C5092"/>
    <w:multiLevelType w:val="hybridMultilevel"/>
    <w:tmpl w:val="830A854C"/>
    <w:lvl w:ilvl="0" w:tplc="8E4EF37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C5576"/>
    <w:multiLevelType w:val="hybridMultilevel"/>
    <w:tmpl w:val="91865C40"/>
    <w:lvl w:ilvl="0" w:tplc="7A127C66">
      <w:start w:val="1"/>
      <w:numFmt w:val="bullet"/>
      <w:pStyle w:val="TableBullet3"/>
      <w:lvlText w:val="◼"/>
      <w:lvlJc w:val="left"/>
      <w:pPr>
        <w:ind w:left="1584" w:hanging="360"/>
      </w:pPr>
      <w:rPr>
        <w:rFonts w:ascii="Cascadia Code" w:hAnsi="Cascadia Code" w:hint="default"/>
        <w:color w:val="00AEEF" w:themeColor="text2"/>
        <w:sz w:val="14"/>
        <w:szCs w:val="1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65147E0D"/>
    <w:multiLevelType w:val="hybridMultilevel"/>
    <w:tmpl w:val="F0DE3162"/>
    <w:styleLink w:val="ResumeBullets"/>
    <w:lvl w:ilvl="0" w:tplc="C7A4635C">
      <w:start w:val="1"/>
      <w:numFmt w:val="bullet"/>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17" w15:restartNumberingAfterBreak="0">
    <w:nsid w:val="65EA20B0"/>
    <w:multiLevelType w:val="hybridMultilevel"/>
    <w:tmpl w:val="61FC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329A4"/>
    <w:multiLevelType w:val="hybridMultilevel"/>
    <w:tmpl w:val="47E23EAC"/>
    <w:lvl w:ilvl="0" w:tplc="E45E70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893D2E"/>
    <w:multiLevelType w:val="hybridMultilevel"/>
    <w:tmpl w:val="8670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A555D"/>
    <w:multiLevelType w:val="hybridMultilevel"/>
    <w:tmpl w:val="4B207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382843">
    <w:abstractNumId w:val="12"/>
  </w:num>
  <w:num w:numId="2" w16cid:durableId="159201452">
    <w:abstractNumId w:val="8"/>
  </w:num>
  <w:num w:numId="3" w16cid:durableId="1042369282">
    <w:abstractNumId w:val="16"/>
  </w:num>
  <w:num w:numId="4" w16cid:durableId="2038895636">
    <w:abstractNumId w:val="6"/>
  </w:num>
  <w:num w:numId="5" w16cid:durableId="903443976">
    <w:abstractNumId w:val="3"/>
  </w:num>
  <w:num w:numId="6" w16cid:durableId="878006228">
    <w:abstractNumId w:val="7"/>
  </w:num>
  <w:num w:numId="7" w16cid:durableId="907419062">
    <w:abstractNumId w:val="4"/>
  </w:num>
  <w:num w:numId="8" w16cid:durableId="1741782369">
    <w:abstractNumId w:val="11"/>
  </w:num>
  <w:num w:numId="9" w16cid:durableId="1941450030">
    <w:abstractNumId w:val="15"/>
  </w:num>
  <w:num w:numId="10" w16cid:durableId="181433582">
    <w:abstractNumId w:val="13"/>
  </w:num>
  <w:num w:numId="11" w16cid:durableId="1598176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6248400">
    <w:abstractNumId w:val="20"/>
  </w:num>
  <w:num w:numId="13" w16cid:durableId="1270504198">
    <w:abstractNumId w:val="10"/>
  </w:num>
  <w:num w:numId="14" w16cid:durableId="479927132">
    <w:abstractNumId w:val="9"/>
  </w:num>
  <w:num w:numId="15" w16cid:durableId="1758213519">
    <w:abstractNumId w:val="18"/>
  </w:num>
  <w:num w:numId="16" w16cid:durableId="1500581221">
    <w:abstractNumId w:val="2"/>
  </w:num>
  <w:num w:numId="17" w16cid:durableId="683940885">
    <w:abstractNumId w:val="0"/>
  </w:num>
  <w:num w:numId="18" w16cid:durableId="1985811248">
    <w:abstractNumId w:val="14"/>
  </w:num>
  <w:num w:numId="19" w16cid:durableId="492917272">
    <w:abstractNumId w:val="1"/>
  </w:num>
  <w:num w:numId="20" w16cid:durableId="2020304881">
    <w:abstractNumId w:val="17"/>
  </w:num>
  <w:num w:numId="21" w16cid:durableId="101496169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efaultTableStyle w:val="EconometricaTableSty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6B"/>
    <w:rsid w:val="00001443"/>
    <w:rsid w:val="00001500"/>
    <w:rsid w:val="00002936"/>
    <w:rsid w:val="000031FA"/>
    <w:rsid w:val="00003DB3"/>
    <w:rsid w:val="00004240"/>
    <w:rsid w:val="00006095"/>
    <w:rsid w:val="000063AC"/>
    <w:rsid w:val="00006D2E"/>
    <w:rsid w:val="00007D9C"/>
    <w:rsid w:val="000121A1"/>
    <w:rsid w:val="0001228D"/>
    <w:rsid w:val="00012A69"/>
    <w:rsid w:val="000136D9"/>
    <w:rsid w:val="000138E7"/>
    <w:rsid w:val="00013E4F"/>
    <w:rsid w:val="000144BC"/>
    <w:rsid w:val="00014A52"/>
    <w:rsid w:val="00014D20"/>
    <w:rsid w:val="000155BC"/>
    <w:rsid w:val="00016353"/>
    <w:rsid w:val="000177FE"/>
    <w:rsid w:val="00020514"/>
    <w:rsid w:val="000207B8"/>
    <w:rsid w:val="0002268E"/>
    <w:rsid w:val="00024AD7"/>
    <w:rsid w:val="000254A5"/>
    <w:rsid w:val="00025522"/>
    <w:rsid w:val="00025F94"/>
    <w:rsid w:val="00026763"/>
    <w:rsid w:val="000313EE"/>
    <w:rsid w:val="0003196E"/>
    <w:rsid w:val="00032095"/>
    <w:rsid w:val="0003420C"/>
    <w:rsid w:val="000343B5"/>
    <w:rsid w:val="00034770"/>
    <w:rsid w:val="000359C5"/>
    <w:rsid w:val="00035B35"/>
    <w:rsid w:val="000376B0"/>
    <w:rsid w:val="000402C7"/>
    <w:rsid w:val="00040593"/>
    <w:rsid w:val="00041207"/>
    <w:rsid w:val="00041873"/>
    <w:rsid w:val="00042432"/>
    <w:rsid w:val="000427BD"/>
    <w:rsid w:val="0004315A"/>
    <w:rsid w:val="000435E5"/>
    <w:rsid w:val="00043971"/>
    <w:rsid w:val="00044680"/>
    <w:rsid w:val="000446A0"/>
    <w:rsid w:val="0004534B"/>
    <w:rsid w:val="00045A69"/>
    <w:rsid w:val="00046E6D"/>
    <w:rsid w:val="00047047"/>
    <w:rsid w:val="0004750C"/>
    <w:rsid w:val="00050013"/>
    <w:rsid w:val="00050AF2"/>
    <w:rsid w:val="00057185"/>
    <w:rsid w:val="0005749A"/>
    <w:rsid w:val="00057AB1"/>
    <w:rsid w:val="00060CD7"/>
    <w:rsid w:val="00061264"/>
    <w:rsid w:val="0006275A"/>
    <w:rsid w:val="0006570A"/>
    <w:rsid w:val="00075046"/>
    <w:rsid w:val="00076B0F"/>
    <w:rsid w:val="000803A5"/>
    <w:rsid w:val="00081284"/>
    <w:rsid w:val="00081394"/>
    <w:rsid w:val="00082CC1"/>
    <w:rsid w:val="00082F1E"/>
    <w:rsid w:val="00084A67"/>
    <w:rsid w:val="00085B8B"/>
    <w:rsid w:val="00086D36"/>
    <w:rsid w:val="00090F8B"/>
    <w:rsid w:val="000917CF"/>
    <w:rsid w:val="0009199D"/>
    <w:rsid w:val="00091BD8"/>
    <w:rsid w:val="0009239B"/>
    <w:rsid w:val="00092447"/>
    <w:rsid w:val="0009285A"/>
    <w:rsid w:val="00092B9E"/>
    <w:rsid w:val="000937AE"/>
    <w:rsid w:val="00094432"/>
    <w:rsid w:val="0009454D"/>
    <w:rsid w:val="00094721"/>
    <w:rsid w:val="000949AA"/>
    <w:rsid w:val="000966AE"/>
    <w:rsid w:val="000A091C"/>
    <w:rsid w:val="000A0970"/>
    <w:rsid w:val="000A1E31"/>
    <w:rsid w:val="000A24E8"/>
    <w:rsid w:val="000A2F9D"/>
    <w:rsid w:val="000A3099"/>
    <w:rsid w:val="000A3DFB"/>
    <w:rsid w:val="000A4009"/>
    <w:rsid w:val="000A4584"/>
    <w:rsid w:val="000A6270"/>
    <w:rsid w:val="000A6A1C"/>
    <w:rsid w:val="000A6FAA"/>
    <w:rsid w:val="000A79B6"/>
    <w:rsid w:val="000B0782"/>
    <w:rsid w:val="000B123E"/>
    <w:rsid w:val="000B2A3C"/>
    <w:rsid w:val="000B2C5D"/>
    <w:rsid w:val="000B303B"/>
    <w:rsid w:val="000B3AB1"/>
    <w:rsid w:val="000B43A0"/>
    <w:rsid w:val="000B441F"/>
    <w:rsid w:val="000B604E"/>
    <w:rsid w:val="000B7A56"/>
    <w:rsid w:val="000C0202"/>
    <w:rsid w:val="000C0E15"/>
    <w:rsid w:val="000C11B7"/>
    <w:rsid w:val="000C12E4"/>
    <w:rsid w:val="000C18FE"/>
    <w:rsid w:val="000C34F5"/>
    <w:rsid w:val="000C3B7D"/>
    <w:rsid w:val="000C3FEC"/>
    <w:rsid w:val="000C40D9"/>
    <w:rsid w:val="000C4864"/>
    <w:rsid w:val="000C4C3C"/>
    <w:rsid w:val="000C5194"/>
    <w:rsid w:val="000C56D0"/>
    <w:rsid w:val="000D02D2"/>
    <w:rsid w:val="000D0AEB"/>
    <w:rsid w:val="000D0EDC"/>
    <w:rsid w:val="000D19C4"/>
    <w:rsid w:val="000D1FD3"/>
    <w:rsid w:val="000D221D"/>
    <w:rsid w:val="000D2B44"/>
    <w:rsid w:val="000D3763"/>
    <w:rsid w:val="000D50F9"/>
    <w:rsid w:val="000D64C2"/>
    <w:rsid w:val="000D6AD1"/>
    <w:rsid w:val="000D729A"/>
    <w:rsid w:val="000E01B8"/>
    <w:rsid w:val="000E0742"/>
    <w:rsid w:val="000E1D0B"/>
    <w:rsid w:val="000E1FB6"/>
    <w:rsid w:val="000E2010"/>
    <w:rsid w:val="000E24B6"/>
    <w:rsid w:val="000E24B7"/>
    <w:rsid w:val="000E313D"/>
    <w:rsid w:val="000E3B51"/>
    <w:rsid w:val="000E4B02"/>
    <w:rsid w:val="000E4C8D"/>
    <w:rsid w:val="000E4FBF"/>
    <w:rsid w:val="000E573C"/>
    <w:rsid w:val="000E61A9"/>
    <w:rsid w:val="000E65AA"/>
    <w:rsid w:val="000E698E"/>
    <w:rsid w:val="000E6C7A"/>
    <w:rsid w:val="000E6DAC"/>
    <w:rsid w:val="000E7A84"/>
    <w:rsid w:val="000F023F"/>
    <w:rsid w:val="000F1CE4"/>
    <w:rsid w:val="000F2850"/>
    <w:rsid w:val="000F29A7"/>
    <w:rsid w:val="000F3638"/>
    <w:rsid w:val="000F4A5A"/>
    <w:rsid w:val="000F4BF5"/>
    <w:rsid w:val="000F4D39"/>
    <w:rsid w:val="000F528E"/>
    <w:rsid w:val="000F73F2"/>
    <w:rsid w:val="00100ABE"/>
    <w:rsid w:val="0010278A"/>
    <w:rsid w:val="00102A90"/>
    <w:rsid w:val="001043AF"/>
    <w:rsid w:val="00104A57"/>
    <w:rsid w:val="00104BD1"/>
    <w:rsid w:val="00104C83"/>
    <w:rsid w:val="001053DF"/>
    <w:rsid w:val="001056AA"/>
    <w:rsid w:val="001057EF"/>
    <w:rsid w:val="001065E6"/>
    <w:rsid w:val="001077FE"/>
    <w:rsid w:val="00111A2A"/>
    <w:rsid w:val="00111FA5"/>
    <w:rsid w:val="00112657"/>
    <w:rsid w:val="0011323A"/>
    <w:rsid w:val="0011361A"/>
    <w:rsid w:val="00113934"/>
    <w:rsid w:val="00113F8E"/>
    <w:rsid w:val="00114C06"/>
    <w:rsid w:val="00115301"/>
    <w:rsid w:val="00115F29"/>
    <w:rsid w:val="00117DDD"/>
    <w:rsid w:val="00120707"/>
    <w:rsid w:val="0012147E"/>
    <w:rsid w:val="001217B0"/>
    <w:rsid w:val="00121F8C"/>
    <w:rsid w:val="00123420"/>
    <w:rsid w:val="00123963"/>
    <w:rsid w:val="00123AA1"/>
    <w:rsid w:val="00123D92"/>
    <w:rsid w:val="0012466F"/>
    <w:rsid w:val="00125626"/>
    <w:rsid w:val="001258C3"/>
    <w:rsid w:val="001264DB"/>
    <w:rsid w:val="00127726"/>
    <w:rsid w:val="00127D5A"/>
    <w:rsid w:val="00127E90"/>
    <w:rsid w:val="0013191E"/>
    <w:rsid w:val="00132B87"/>
    <w:rsid w:val="00133210"/>
    <w:rsid w:val="00133312"/>
    <w:rsid w:val="0013340A"/>
    <w:rsid w:val="001348A9"/>
    <w:rsid w:val="001351D5"/>
    <w:rsid w:val="0013527F"/>
    <w:rsid w:val="00135709"/>
    <w:rsid w:val="00136025"/>
    <w:rsid w:val="001363B3"/>
    <w:rsid w:val="00137C33"/>
    <w:rsid w:val="00137F3A"/>
    <w:rsid w:val="00140904"/>
    <w:rsid w:val="001418CA"/>
    <w:rsid w:val="0014219C"/>
    <w:rsid w:val="001425F1"/>
    <w:rsid w:val="0014383B"/>
    <w:rsid w:val="00143AE1"/>
    <w:rsid w:val="00144C87"/>
    <w:rsid w:val="0014567D"/>
    <w:rsid w:val="00146172"/>
    <w:rsid w:val="0014655D"/>
    <w:rsid w:val="001468E8"/>
    <w:rsid w:val="00146AF7"/>
    <w:rsid w:val="00146DB7"/>
    <w:rsid w:val="00147851"/>
    <w:rsid w:val="001501C3"/>
    <w:rsid w:val="001506A0"/>
    <w:rsid w:val="00151566"/>
    <w:rsid w:val="00151938"/>
    <w:rsid w:val="00152EC6"/>
    <w:rsid w:val="00153766"/>
    <w:rsid w:val="0015394B"/>
    <w:rsid w:val="00156269"/>
    <w:rsid w:val="00157134"/>
    <w:rsid w:val="001573F8"/>
    <w:rsid w:val="00157A36"/>
    <w:rsid w:val="001605D2"/>
    <w:rsid w:val="001606D2"/>
    <w:rsid w:val="001610D5"/>
    <w:rsid w:val="0016230E"/>
    <w:rsid w:val="00162561"/>
    <w:rsid w:val="00163E46"/>
    <w:rsid w:val="00166E1F"/>
    <w:rsid w:val="00166E4F"/>
    <w:rsid w:val="001701EB"/>
    <w:rsid w:val="001706F5"/>
    <w:rsid w:val="0017171E"/>
    <w:rsid w:val="0017177B"/>
    <w:rsid w:val="00171D2F"/>
    <w:rsid w:val="001723DB"/>
    <w:rsid w:val="00172D4B"/>
    <w:rsid w:val="00173389"/>
    <w:rsid w:val="00174DF4"/>
    <w:rsid w:val="00174F0F"/>
    <w:rsid w:val="00174FC0"/>
    <w:rsid w:val="00176FFC"/>
    <w:rsid w:val="00177009"/>
    <w:rsid w:val="001774F0"/>
    <w:rsid w:val="00177525"/>
    <w:rsid w:val="00177988"/>
    <w:rsid w:val="0018148A"/>
    <w:rsid w:val="0018196D"/>
    <w:rsid w:val="00182C95"/>
    <w:rsid w:val="00183637"/>
    <w:rsid w:val="00184100"/>
    <w:rsid w:val="001842FB"/>
    <w:rsid w:val="001844C2"/>
    <w:rsid w:val="00185EEA"/>
    <w:rsid w:val="00186192"/>
    <w:rsid w:val="00186AA2"/>
    <w:rsid w:val="00186BC2"/>
    <w:rsid w:val="00186FA2"/>
    <w:rsid w:val="001904BA"/>
    <w:rsid w:val="0019136C"/>
    <w:rsid w:val="00191468"/>
    <w:rsid w:val="0019251E"/>
    <w:rsid w:val="00192C3B"/>
    <w:rsid w:val="00192EAB"/>
    <w:rsid w:val="0019330E"/>
    <w:rsid w:val="00194189"/>
    <w:rsid w:val="00194224"/>
    <w:rsid w:val="00194532"/>
    <w:rsid w:val="00194864"/>
    <w:rsid w:val="0019558B"/>
    <w:rsid w:val="00195AE4"/>
    <w:rsid w:val="00197D40"/>
    <w:rsid w:val="001A107A"/>
    <w:rsid w:val="001A2958"/>
    <w:rsid w:val="001A38C8"/>
    <w:rsid w:val="001A40D6"/>
    <w:rsid w:val="001A472E"/>
    <w:rsid w:val="001A4A13"/>
    <w:rsid w:val="001A5AD9"/>
    <w:rsid w:val="001A6581"/>
    <w:rsid w:val="001A692F"/>
    <w:rsid w:val="001A7505"/>
    <w:rsid w:val="001B01FE"/>
    <w:rsid w:val="001B104E"/>
    <w:rsid w:val="001B3D40"/>
    <w:rsid w:val="001B40A8"/>
    <w:rsid w:val="001B43F1"/>
    <w:rsid w:val="001B4E45"/>
    <w:rsid w:val="001B4E6F"/>
    <w:rsid w:val="001B53AD"/>
    <w:rsid w:val="001B5F8F"/>
    <w:rsid w:val="001B682F"/>
    <w:rsid w:val="001C042E"/>
    <w:rsid w:val="001C2319"/>
    <w:rsid w:val="001C34F5"/>
    <w:rsid w:val="001C374E"/>
    <w:rsid w:val="001C3856"/>
    <w:rsid w:val="001C39A8"/>
    <w:rsid w:val="001C5163"/>
    <w:rsid w:val="001C5621"/>
    <w:rsid w:val="001C64D6"/>
    <w:rsid w:val="001D038F"/>
    <w:rsid w:val="001D11D2"/>
    <w:rsid w:val="001D2063"/>
    <w:rsid w:val="001D23FF"/>
    <w:rsid w:val="001D28AA"/>
    <w:rsid w:val="001D28CE"/>
    <w:rsid w:val="001D3936"/>
    <w:rsid w:val="001D4F9E"/>
    <w:rsid w:val="001D6331"/>
    <w:rsid w:val="001D74A8"/>
    <w:rsid w:val="001E0436"/>
    <w:rsid w:val="001E074D"/>
    <w:rsid w:val="001E0FA1"/>
    <w:rsid w:val="001E112A"/>
    <w:rsid w:val="001E1C13"/>
    <w:rsid w:val="001E1EC5"/>
    <w:rsid w:val="001E2808"/>
    <w:rsid w:val="001E3EF8"/>
    <w:rsid w:val="001E446E"/>
    <w:rsid w:val="001E7187"/>
    <w:rsid w:val="001E798C"/>
    <w:rsid w:val="001E7EF8"/>
    <w:rsid w:val="001F1909"/>
    <w:rsid w:val="001F26EE"/>
    <w:rsid w:val="001F4AB1"/>
    <w:rsid w:val="001F5A2F"/>
    <w:rsid w:val="001F5A81"/>
    <w:rsid w:val="001F5A8E"/>
    <w:rsid w:val="001F5BB3"/>
    <w:rsid w:val="001F6636"/>
    <w:rsid w:val="0020084D"/>
    <w:rsid w:val="0020119E"/>
    <w:rsid w:val="00201206"/>
    <w:rsid w:val="002013BD"/>
    <w:rsid w:val="00201BFE"/>
    <w:rsid w:val="002022C7"/>
    <w:rsid w:val="00203E4B"/>
    <w:rsid w:val="002045D5"/>
    <w:rsid w:val="0020547E"/>
    <w:rsid w:val="00205DEB"/>
    <w:rsid w:val="00207B56"/>
    <w:rsid w:val="00211449"/>
    <w:rsid w:val="0021254C"/>
    <w:rsid w:val="00212669"/>
    <w:rsid w:val="00214384"/>
    <w:rsid w:val="00214970"/>
    <w:rsid w:val="00214BCF"/>
    <w:rsid w:val="00214C4B"/>
    <w:rsid w:val="00216D22"/>
    <w:rsid w:val="00217A8A"/>
    <w:rsid w:val="00217E46"/>
    <w:rsid w:val="00220674"/>
    <w:rsid w:val="00220F2C"/>
    <w:rsid w:val="00221522"/>
    <w:rsid w:val="00222393"/>
    <w:rsid w:val="002234C7"/>
    <w:rsid w:val="0022394F"/>
    <w:rsid w:val="00224107"/>
    <w:rsid w:val="002243A5"/>
    <w:rsid w:val="00225059"/>
    <w:rsid w:val="002253DF"/>
    <w:rsid w:val="00225D6A"/>
    <w:rsid w:val="00230ADA"/>
    <w:rsid w:val="00230C91"/>
    <w:rsid w:val="00231487"/>
    <w:rsid w:val="002314DE"/>
    <w:rsid w:val="00231935"/>
    <w:rsid w:val="00232481"/>
    <w:rsid w:val="002326EF"/>
    <w:rsid w:val="00232718"/>
    <w:rsid w:val="0023420E"/>
    <w:rsid w:val="002370F9"/>
    <w:rsid w:val="0024009D"/>
    <w:rsid w:val="00240789"/>
    <w:rsid w:val="002407C1"/>
    <w:rsid w:val="00240C46"/>
    <w:rsid w:val="0024294B"/>
    <w:rsid w:val="00243E10"/>
    <w:rsid w:val="002449CD"/>
    <w:rsid w:val="00244A39"/>
    <w:rsid w:val="00245E32"/>
    <w:rsid w:val="00246F44"/>
    <w:rsid w:val="00247836"/>
    <w:rsid w:val="00252236"/>
    <w:rsid w:val="002522A6"/>
    <w:rsid w:val="0025292F"/>
    <w:rsid w:val="00252C36"/>
    <w:rsid w:val="00252DE6"/>
    <w:rsid w:val="00253269"/>
    <w:rsid w:val="00254033"/>
    <w:rsid w:val="002545D0"/>
    <w:rsid w:val="0025596D"/>
    <w:rsid w:val="002567EA"/>
    <w:rsid w:val="00256988"/>
    <w:rsid w:val="00257BF6"/>
    <w:rsid w:val="00262848"/>
    <w:rsid w:val="0026517C"/>
    <w:rsid w:val="00266A2F"/>
    <w:rsid w:val="00267D73"/>
    <w:rsid w:val="00267D88"/>
    <w:rsid w:val="00267DB8"/>
    <w:rsid w:val="00270030"/>
    <w:rsid w:val="002701AF"/>
    <w:rsid w:val="00270861"/>
    <w:rsid w:val="0027129B"/>
    <w:rsid w:val="00272AD9"/>
    <w:rsid w:val="0027307A"/>
    <w:rsid w:val="00274D3A"/>
    <w:rsid w:val="00275647"/>
    <w:rsid w:val="00277FAF"/>
    <w:rsid w:val="00281981"/>
    <w:rsid w:val="00281B72"/>
    <w:rsid w:val="0028264B"/>
    <w:rsid w:val="00282AB5"/>
    <w:rsid w:val="002837A5"/>
    <w:rsid w:val="00285637"/>
    <w:rsid w:val="002863AC"/>
    <w:rsid w:val="00286945"/>
    <w:rsid w:val="00287ED6"/>
    <w:rsid w:val="00290567"/>
    <w:rsid w:val="00291719"/>
    <w:rsid w:val="00291A5E"/>
    <w:rsid w:val="00293509"/>
    <w:rsid w:val="002938AE"/>
    <w:rsid w:val="00295E98"/>
    <w:rsid w:val="00296695"/>
    <w:rsid w:val="00296DE7"/>
    <w:rsid w:val="002A0C34"/>
    <w:rsid w:val="002A0CFA"/>
    <w:rsid w:val="002A1326"/>
    <w:rsid w:val="002A21FE"/>
    <w:rsid w:val="002A43E8"/>
    <w:rsid w:val="002A48B7"/>
    <w:rsid w:val="002A577A"/>
    <w:rsid w:val="002A597A"/>
    <w:rsid w:val="002A6346"/>
    <w:rsid w:val="002A6C49"/>
    <w:rsid w:val="002A6D5F"/>
    <w:rsid w:val="002A765B"/>
    <w:rsid w:val="002B1A37"/>
    <w:rsid w:val="002B1BD2"/>
    <w:rsid w:val="002B3812"/>
    <w:rsid w:val="002B3913"/>
    <w:rsid w:val="002B5AF8"/>
    <w:rsid w:val="002C1006"/>
    <w:rsid w:val="002C20F9"/>
    <w:rsid w:val="002C3401"/>
    <w:rsid w:val="002C44D3"/>
    <w:rsid w:val="002C4B68"/>
    <w:rsid w:val="002C6111"/>
    <w:rsid w:val="002C78DE"/>
    <w:rsid w:val="002C7C35"/>
    <w:rsid w:val="002D245E"/>
    <w:rsid w:val="002D2878"/>
    <w:rsid w:val="002D2964"/>
    <w:rsid w:val="002D2D0D"/>
    <w:rsid w:val="002D40AD"/>
    <w:rsid w:val="002D58F8"/>
    <w:rsid w:val="002D6184"/>
    <w:rsid w:val="002D738B"/>
    <w:rsid w:val="002D7E35"/>
    <w:rsid w:val="002E01BC"/>
    <w:rsid w:val="002E0C1E"/>
    <w:rsid w:val="002E0DBD"/>
    <w:rsid w:val="002E16A1"/>
    <w:rsid w:val="002E2B57"/>
    <w:rsid w:val="002E3D7F"/>
    <w:rsid w:val="002E5388"/>
    <w:rsid w:val="002F0662"/>
    <w:rsid w:val="002F0D90"/>
    <w:rsid w:val="002F15EB"/>
    <w:rsid w:val="002F1E59"/>
    <w:rsid w:val="002F1F84"/>
    <w:rsid w:val="002F1FE4"/>
    <w:rsid w:val="002F495D"/>
    <w:rsid w:val="002F4E0E"/>
    <w:rsid w:val="002F52AD"/>
    <w:rsid w:val="002F7ABF"/>
    <w:rsid w:val="002F7AFB"/>
    <w:rsid w:val="00300546"/>
    <w:rsid w:val="00300A02"/>
    <w:rsid w:val="0030348F"/>
    <w:rsid w:val="00304089"/>
    <w:rsid w:val="003064FD"/>
    <w:rsid w:val="00307023"/>
    <w:rsid w:val="003075AE"/>
    <w:rsid w:val="00310F14"/>
    <w:rsid w:val="00311613"/>
    <w:rsid w:val="00311FCC"/>
    <w:rsid w:val="00312466"/>
    <w:rsid w:val="00313CFF"/>
    <w:rsid w:val="00314D08"/>
    <w:rsid w:val="00316305"/>
    <w:rsid w:val="00316768"/>
    <w:rsid w:val="00316A2A"/>
    <w:rsid w:val="003170B3"/>
    <w:rsid w:val="003179A8"/>
    <w:rsid w:val="00317A1C"/>
    <w:rsid w:val="00320D90"/>
    <w:rsid w:val="00321705"/>
    <w:rsid w:val="003220CE"/>
    <w:rsid w:val="00323970"/>
    <w:rsid w:val="00324049"/>
    <w:rsid w:val="003245AF"/>
    <w:rsid w:val="00324ECF"/>
    <w:rsid w:val="003252E6"/>
    <w:rsid w:val="00325753"/>
    <w:rsid w:val="00325DA2"/>
    <w:rsid w:val="003273CB"/>
    <w:rsid w:val="00330820"/>
    <w:rsid w:val="00330D78"/>
    <w:rsid w:val="00331811"/>
    <w:rsid w:val="00331FA7"/>
    <w:rsid w:val="00332D14"/>
    <w:rsid w:val="003335B2"/>
    <w:rsid w:val="0033429D"/>
    <w:rsid w:val="00334433"/>
    <w:rsid w:val="0033518A"/>
    <w:rsid w:val="003360EF"/>
    <w:rsid w:val="00336783"/>
    <w:rsid w:val="003369AB"/>
    <w:rsid w:val="00336B17"/>
    <w:rsid w:val="0033744A"/>
    <w:rsid w:val="00340BFD"/>
    <w:rsid w:val="00341426"/>
    <w:rsid w:val="003421C4"/>
    <w:rsid w:val="003425FF"/>
    <w:rsid w:val="00343886"/>
    <w:rsid w:val="00343B23"/>
    <w:rsid w:val="00343B68"/>
    <w:rsid w:val="00345182"/>
    <w:rsid w:val="003452C9"/>
    <w:rsid w:val="00345E63"/>
    <w:rsid w:val="00346BEE"/>
    <w:rsid w:val="00346FC9"/>
    <w:rsid w:val="003500E1"/>
    <w:rsid w:val="00350ACA"/>
    <w:rsid w:val="00351129"/>
    <w:rsid w:val="00351E34"/>
    <w:rsid w:val="0035421F"/>
    <w:rsid w:val="00355971"/>
    <w:rsid w:val="00356781"/>
    <w:rsid w:val="00356C3A"/>
    <w:rsid w:val="00360148"/>
    <w:rsid w:val="00360181"/>
    <w:rsid w:val="0036176F"/>
    <w:rsid w:val="003626F4"/>
    <w:rsid w:val="0036291A"/>
    <w:rsid w:val="0036416D"/>
    <w:rsid w:val="003642FC"/>
    <w:rsid w:val="00364A3F"/>
    <w:rsid w:val="00365297"/>
    <w:rsid w:val="0036531C"/>
    <w:rsid w:val="00365631"/>
    <w:rsid w:val="00365D2F"/>
    <w:rsid w:val="00366234"/>
    <w:rsid w:val="00372353"/>
    <w:rsid w:val="00372A8B"/>
    <w:rsid w:val="0037300F"/>
    <w:rsid w:val="0037408C"/>
    <w:rsid w:val="00374319"/>
    <w:rsid w:val="00374570"/>
    <w:rsid w:val="00374865"/>
    <w:rsid w:val="00374F29"/>
    <w:rsid w:val="00375EF8"/>
    <w:rsid w:val="003772C6"/>
    <w:rsid w:val="003779FE"/>
    <w:rsid w:val="0038080F"/>
    <w:rsid w:val="00381A14"/>
    <w:rsid w:val="00386130"/>
    <w:rsid w:val="00386993"/>
    <w:rsid w:val="00386D14"/>
    <w:rsid w:val="00386FF6"/>
    <w:rsid w:val="0039056D"/>
    <w:rsid w:val="003912A8"/>
    <w:rsid w:val="003913A9"/>
    <w:rsid w:val="0039160A"/>
    <w:rsid w:val="003917E5"/>
    <w:rsid w:val="003920C0"/>
    <w:rsid w:val="0039231E"/>
    <w:rsid w:val="00392E90"/>
    <w:rsid w:val="003934E6"/>
    <w:rsid w:val="003947A7"/>
    <w:rsid w:val="00394BA4"/>
    <w:rsid w:val="0039517D"/>
    <w:rsid w:val="00395740"/>
    <w:rsid w:val="003972AA"/>
    <w:rsid w:val="00397B3C"/>
    <w:rsid w:val="003A0FF2"/>
    <w:rsid w:val="003A2727"/>
    <w:rsid w:val="003A2836"/>
    <w:rsid w:val="003A2F00"/>
    <w:rsid w:val="003A3124"/>
    <w:rsid w:val="003A417F"/>
    <w:rsid w:val="003A442E"/>
    <w:rsid w:val="003A5F22"/>
    <w:rsid w:val="003B1233"/>
    <w:rsid w:val="003B28BF"/>
    <w:rsid w:val="003B297B"/>
    <w:rsid w:val="003B3501"/>
    <w:rsid w:val="003B6072"/>
    <w:rsid w:val="003B6E03"/>
    <w:rsid w:val="003B763B"/>
    <w:rsid w:val="003C121A"/>
    <w:rsid w:val="003C40FD"/>
    <w:rsid w:val="003C44F6"/>
    <w:rsid w:val="003C7D03"/>
    <w:rsid w:val="003D2A8D"/>
    <w:rsid w:val="003D2C5E"/>
    <w:rsid w:val="003D3730"/>
    <w:rsid w:val="003D42A0"/>
    <w:rsid w:val="003D65A8"/>
    <w:rsid w:val="003D6B2E"/>
    <w:rsid w:val="003D6E40"/>
    <w:rsid w:val="003D6EB7"/>
    <w:rsid w:val="003D7189"/>
    <w:rsid w:val="003D7D49"/>
    <w:rsid w:val="003E02CB"/>
    <w:rsid w:val="003E2FCC"/>
    <w:rsid w:val="003E3768"/>
    <w:rsid w:val="003E3AEC"/>
    <w:rsid w:val="003E5097"/>
    <w:rsid w:val="003E6611"/>
    <w:rsid w:val="003E6896"/>
    <w:rsid w:val="003E7087"/>
    <w:rsid w:val="003E70EB"/>
    <w:rsid w:val="003F0C64"/>
    <w:rsid w:val="003F15F1"/>
    <w:rsid w:val="003F2FA5"/>
    <w:rsid w:val="003F330B"/>
    <w:rsid w:val="003F3E72"/>
    <w:rsid w:val="003F4298"/>
    <w:rsid w:val="003F431E"/>
    <w:rsid w:val="003F5DF3"/>
    <w:rsid w:val="0040300B"/>
    <w:rsid w:val="004041BB"/>
    <w:rsid w:val="00404740"/>
    <w:rsid w:val="00404810"/>
    <w:rsid w:val="004059A1"/>
    <w:rsid w:val="00405D68"/>
    <w:rsid w:val="00406911"/>
    <w:rsid w:val="004070EA"/>
    <w:rsid w:val="00407585"/>
    <w:rsid w:val="004075B0"/>
    <w:rsid w:val="00407C9E"/>
    <w:rsid w:val="00410AFF"/>
    <w:rsid w:val="00410EE8"/>
    <w:rsid w:val="004116E8"/>
    <w:rsid w:val="00411B72"/>
    <w:rsid w:val="00413565"/>
    <w:rsid w:val="004154F1"/>
    <w:rsid w:val="0041580B"/>
    <w:rsid w:val="00415991"/>
    <w:rsid w:val="004159BB"/>
    <w:rsid w:val="00415A8F"/>
    <w:rsid w:val="00415D80"/>
    <w:rsid w:val="0041609F"/>
    <w:rsid w:val="004163E9"/>
    <w:rsid w:val="004225A6"/>
    <w:rsid w:val="00423649"/>
    <w:rsid w:val="004239FD"/>
    <w:rsid w:val="004249F0"/>
    <w:rsid w:val="0042643C"/>
    <w:rsid w:val="004264D2"/>
    <w:rsid w:val="0042655F"/>
    <w:rsid w:val="004268FA"/>
    <w:rsid w:val="0043062D"/>
    <w:rsid w:val="00434431"/>
    <w:rsid w:val="0043505A"/>
    <w:rsid w:val="00436FD9"/>
    <w:rsid w:val="00440E9C"/>
    <w:rsid w:val="004416DF"/>
    <w:rsid w:val="004418DB"/>
    <w:rsid w:val="0044285C"/>
    <w:rsid w:val="00443729"/>
    <w:rsid w:val="0044409E"/>
    <w:rsid w:val="00445FC3"/>
    <w:rsid w:val="00450A3E"/>
    <w:rsid w:val="004511C4"/>
    <w:rsid w:val="0045149C"/>
    <w:rsid w:val="00451B6C"/>
    <w:rsid w:val="00452409"/>
    <w:rsid w:val="004526B1"/>
    <w:rsid w:val="00452B11"/>
    <w:rsid w:val="0045507C"/>
    <w:rsid w:val="00456097"/>
    <w:rsid w:val="004560CF"/>
    <w:rsid w:val="004566B0"/>
    <w:rsid w:val="00456E27"/>
    <w:rsid w:val="004601F9"/>
    <w:rsid w:val="00461521"/>
    <w:rsid w:val="004617D7"/>
    <w:rsid w:val="00461AB2"/>
    <w:rsid w:val="00463599"/>
    <w:rsid w:val="00463A52"/>
    <w:rsid w:val="00463E08"/>
    <w:rsid w:val="004668F2"/>
    <w:rsid w:val="004669E8"/>
    <w:rsid w:val="00467647"/>
    <w:rsid w:val="0047128B"/>
    <w:rsid w:val="004712DD"/>
    <w:rsid w:val="004714BE"/>
    <w:rsid w:val="004716C9"/>
    <w:rsid w:val="00472269"/>
    <w:rsid w:val="004734E5"/>
    <w:rsid w:val="00474816"/>
    <w:rsid w:val="004749A5"/>
    <w:rsid w:val="00474B52"/>
    <w:rsid w:val="00474DEE"/>
    <w:rsid w:val="00475F66"/>
    <w:rsid w:val="0047674D"/>
    <w:rsid w:val="0047783A"/>
    <w:rsid w:val="004807A9"/>
    <w:rsid w:val="00481225"/>
    <w:rsid w:val="00481287"/>
    <w:rsid w:val="00481E44"/>
    <w:rsid w:val="004821A5"/>
    <w:rsid w:val="00482CEC"/>
    <w:rsid w:val="00483479"/>
    <w:rsid w:val="004837A9"/>
    <w:rsid w:val="00483BAB"/>
    <w:rsid w:val="00485065"/>
    <w:rsid w:val="00485501"/>
    <w:rsid w:val="00486521"/>
    <w:rsid w:val="004879F4"/>
    <w:rsid w:val="00490320"/>
    <w:rsid w:val="00490503"/>
    <w:rsid w:val="0049107C"/>
    <w:rsid w:val="0049135D"/>
    <w:rsid w:val="00492F71"/>
    <w:rsid w:val="0049331B"/>
    <w:rsid w:val="004945FE"/>
    <w:rsid w:val="0049528E"/>
    <w:rsid w:val="004A0079"/>
    <w:rsid w:val="004A07D4"/>
    <w:rsid w:val="004A0BB0"/>
    <w:rsid w:val="004A0CF3"/>
    <w:rsid w:val="004A12BA"/>
    <w:rsid w:val="004A1BC0"/>
    <w:rsid w:val="004A207D"/>
    <w:rsid w:val="004A20DB"/>
    <w:rsid w:val="004A27F4"/>
    <w:rsid w:val="004A3D2B"/>
    <w:rsid w:val="004A4404"/>
    <w:rsid w:val="004A45DB"/>
    <w:rsid w:val="004A4651"/>
    <w:rsid w:val="004A5117"/>
    <w:rsid w:val="004B17A1"/>
    <w:rsid w:val="004B2F90"/>
    <w:rsid w:val="004B354E"/>
    <w:rsid w:val="004B5398"/>
    <w:rsid w:val="004B5B10"/>
    <w:rsid w:val="004C0216"/>
    <w:rsid w:val="004C0A38"/>
    <w:rsid w:val="004C0A91"/>
    <w:rsid w:val="004C0E42"/>
    <w:rsid w:val="004C1F27"/>
    <w:rsid w:val="004C47F5"/>
    <w:rsid w:val="004C6923"/>
    <w:rsid w:val="004C6B8B"/>
    <w:rsid w:val="004C76D6"/>
    <w:rsid w:val="004C79B2"/>
    <w:rsid w:val="004D0CFE"/>
    <w:rsid w:val="004D10AA"/>
    <w:rsid w:val="004D1E8F"/>
    <w:rsid w:val="004D242D"/>
    <w:rsid w:val="004D36A4"/>
    <w:rsid w:val="004D3E46"/>
    <w:rsid w:val="004D5378"/>
    <w:rsid w:val="004D6753"/>
    <w:rsid w:val="004D7ED4"/>
    <w:rsid w:val="004E05C9"/>
    <w:rsid w:val="004E2303"/>
    <w:rsid w:val="004E3B9A"/>
    <w:rsid w:val="004E3BF9"/>
    <w:rsid w:val="004E43D3"/>
    <w:rsid w:val="004E6689"/>
    <w:rsid w:val="004F0AA4"/>
    <w:rsid w:val="004F19DE"/>
    <w:rsid w:val="004F1D40"/>
    <w:rsid w:val="004F28E9"/>
    <w:rsid w:val="004F2974"/>
    <w:rsid w:val="004F2CC2"/>
    <w:rsid w:val="004F3071"/>
    <w:rsid w:val="004F3402"/>
    <w:rsid w:val="004F5D80"/>
    <w:rsid w:val="004F5FC2"/>
    <w:rsid w:val="00500646"/>
    <w:rsid w:val="0050254A"/>
    <w:rsid w:val="0050311E"/>
    <w:rsid w:val="005033F5"/>
    <w:rsid w:val="00503ACA"/>
    <w:rsid w:val="00503D71"/>
    <w:rsid w:val="0050642B"/>
    <w:rsid w:val="005104F1"/>
    <w:rsid w:val="00510BE3"/>
    <w:rsid w:val="00511313"/>
    <w:rsid w:val="00512703"/>
    <w:rsid w:val="00512DC8"/>
    <w:rsid w:val="00515328"/>
    <w:rsid w:val="00515DCC"/>
    <w:rsid w:val="00517476"/>
    <w:rsid w:val="005178EA"/>
    <w:rsid w:val="00517F2E"/>
    <w:rsid w:val="00521F63"/>
    <w:rsid w:val="005221D6"/>
    <w:rsid w:val="0052248C"/>
    <w:rsid w:val="005236FC"/>
    <w:rsid w:val="00523988"/>
    <w:rsid w:val="005247C3"/>
    <w:rsid w:val="00525BF7"/>
    <w:rsid w:val="00526B0D"/>
    <w:rsid w:val="00527391"/>
    <w:rsid w:val="005301FD"/>
    <w:rsid w:val="00530985"/>
    <w:rsid w:val="005310C6"/>
    <w:rsid w:val="00531B8A"/>
    <w:rsid w:val="00532718"/>
    <w:rsid w:val="00532B8F"/>
    <w:rsid w:val="005332DB"/>
    <w:rsid w:val="0053489A"/>
    <w:rsid w:val="00534F2B"/>
    <w:rsid w:val="00534F8E"/>
    <w:rsid w:val="005350A5"/>
    <w:rsid w:val="0053576E"/>
    <w:rsid w:val="005367E9"/>
    <w:rsid w:val="00537355"/>
    <w:rsid w:val="00537E7D"/>
    <w:rsid w:val="0054226B"/>
    <w:rsid w:val="00542E26"/>
    <w:rsid w:val="005431F6"/>
    <w:rsid w:val="0054335A"/>
    <w:rsid w:val="005445B5"/>
    <w:rsid w:val="005453E1"/>
    <w:rsid w:val="005455D0"/>
    <w:rsid w:val="005462E7"/>
    <w:rsid w:val="0054640D"/>
    <w:rsid w:val="0054646F"/>
    <w:rsid w:val="0054653E"/>
    <w:rsid w:val="00550723"/>
    <w:rsid w:val="00551979"/>
    <w:rsid w:val="00552F6D"/>
    <w:rsid w:val="00553374"/>
    <w:rsid w:val="00553A42"/>
    <w:rsid w:val="005545F6"/>
    <w:rsid w:val="00554E82"/>
    <w:rsid w:val="00556946"/>
    <w:rsid w:val="00557102"/>
    <w:rsid w:val="0055712E"/>
    <w:rsid w:val="00557AC2"/>
    <w:rsid w:val="0056030A"/>
    <w:rsid w:val="005605C0"/>
    <w:rsid w:val="00560F90"/>
    <w:rsid w:val="00560FB4"/>
    <w:rsid w:val="00561311"/>
    <w:rsid w:val="00562AAF"/>
    <w:rsid w:val="00563A0E"/>
    <w:rsid w:val="00563A68"/>
    <w:rsid w:val="00564821"/>
    <w:rsid w:val="00565C76"/>
    <w:rsid w:val="005662DD"/>
    <w:rsid w:val="00566421"/>
    <w:rsid w:val="005706A4"/>
    <w:rsid w:val="005709F9"/>
    <w:rsid w:val="00571351"/>
    <w:rsid w:val="00571CDB"/>
    <w:rsid w:val="005729E2"/>
    <w:rsid w:val="00572DE5"/>
    <w:rsid w:val="00573289"/>
    <w:rsid w:val="0057390D"/>
    <w:rsid w:val="00575425"/>
    <w:rsid w:val="005778D3"/>
    <w:rsid w:val="00577B6B"/>
    <w:rsid w:val="00577BF7"/>
    <w:rsid w:val="005807E6"/>
    <w:rsid w:val="005817B1"/>
    <w:rsid w:val="00582585"/>
    <w:rsid w:val="00583799"/>
    <w:rsid w:val="005862DF"/>
    <w:rsid w:val="00586D9B"/>
    <w:rsid w:val="005870D5"/>
    <w:rsid w:val="00587328"/>
    <w:rsid w:val="00590659"/>
    <w:rsid w:val="0059072C"/>
    <w:rsid w:val="00591B16"/>
    <w:rsid w:val="00591DFE"/>
    <w:rsid w:val="005922A9"/>
    <w:rsid w:val="005925ED"/>
    <w:rsid w:val="00592701"/>
    <w:rsid w:val="00594485"/>
    <w:rsid w:val="0059519C"/>
    <w:rsid w:val="00596635"/>
    <w:rsid w:val="005967FA"/>
    <w:rsid w:val="00596ACC"/>
    <w:rsid w:val="00597138"/>
    <w:rsid w:val="005971DF"/>
    <w:rsid w:val="005975D9"/>
    <w:rsid w:val="00597E3E"/>
    <w:rsid w:val="005A0730"/>
    <w:rsid w:val="005A0D66"/>
    <w:rsid w:val="005A112E"/>
    <w:rsid w:val="005A1800"/>
    <w:rsid w:val="005A672C"/>
    <w:rsid w:val="005A759D"/>
    <w:rsid w:val="005A76BE"/>
    <w:rsid w:val="005A7734"/>
    <w:rsid w:val="005A7B98"/>
    <w:rsid w:val="005B0D31"/>
    <w:rsid w:val="005B1C79"/>
    <w:rsid w:val="005B38A0"/>
    <w:rsid w:val="005B3B58"/>
    <w:rsid w:val="005B3CD5"/>
    <w:rsid w:val="005B4465"/>
    <w:rsid w:val="005B4C43"/>
    <w:rsid w:val="005B566B"/>
    <w:rsid w:val="005B596F"/>
    <w:rsid w:val="005B5F2A"/>
    <w:rsid w:val="005B6F52"/>
    <w:rsid w:val="005B79A5"/>
    <w:rsid w:val="005C03F2"/>
    <w:rsid w:val="005C0E1D"/>
    <w:rsid w:val="005C1067"/>
    <w:rsid w:val="005C2086"/>
    <w:rsid w:val="005C227A"/>
    <w:rsid w:val="005C29BA"/>
    <w:rsid w:val="005C3173"/>
    <w:rsid w:val="005C3C44"/>
    <w:rsid w:val="005C4A97"/>
    <w:rsid w:val="005C5A1D"/>
    <w:rsid w:val="005C5BA3"/>
    <w:rsid w:val="005C7022"/>
    <w:rsid w:val="005C7680"/>
    <w:rsid w:val="005C7D0D"/>
    <w:rsid w:val="005D0848"/>
    <w:rsid w:val="005D0DAE"/>
    <w:rsid w:val="005D1606"/>
    <w:rsid w:val="005D17F1"/>
    <w:rsid w:val="005D188D"/>
    <w:rsid w:val="005D21DA"/>
    <w:rsid w:val="005D255A"/>
    <w:rsid w:val="005D4449"/>
    <w:rsid w:val="005D4639"/>
    <w:rsid w:val="005D4CA0"/>
    <w:rsid w:val="005D50CF"/>
    <w:rsid w:val="005D5CD0"/>
    <w:rsid w:val="005D5DA7"/>
    <w:rsid w:val="005D648F"/>
    <w:rsid w:val="005D6CF0"/>
    <w:rsid w:val="005D745D"/>
    <w:rsid w:val="005D767F"/>
    <w:rsid w:val="005E12E5"/>
    <w:rsid w:val="005E19EF"/>
    <w:rsid w:val="005E1C06"/>
    <w:rsid w:val="005E2C01"/>
    <w:rsid w:val="005E3725"/>
    <w:rsid w:val="005E3DD9"/>
    <w:rsid w:val="005E4A11"/>
    <w:rsid w:val="005E4FFE"/>
    <w:rsid w:val="005E5524"/>
    <w:rsid w:val="005E596B"/>
    <w:rsid w:val="005E5AFA"/>
    <w:rsid w:val="005E63E3"/>
    <w:rsid w:val="005E7C79"/>
    <w:rsid w:val="005F011F"/>
    <w:rsid w:val="005F0263"/>
    <w:rsid w:val="005F0D25"/>
    <w:rsid w:val="005F16FE"/>
    <w:rsid w:val="005F170C"/>
    <w:rsid w:val="005F17EA"/>
    <w:rsid w:val="005F26E3"/>
    <w:rsid w:val="005F27C8"/>
    <w:rsid w:val="005F2D8D"/>
    <w:rsid w:val="005F2F9B"/>
    <w:rsid w:val="005F3884"/>
    <w:rsid w:val="005F50AC"/>
    <w:rsid w:val="005F55B4"/>
    <w:rsid w:val="005F5623"/>
    <w:rsid w:val="005F6219"/>
    <w:rsid w:val="005F660B"/>
    <w:rsid w:val="005F7CD0"/>
    <w:rsid w:val="00600010"/>
    <w:rsid w:val="006008FB"/>
    <w:rsid w:val="006017E2"/>
    <w:rsid w:val="00601AF2"/>
    <w:rsid w:val="006020B3"/>
    <w:rsid w:val="00602E7F"/>
    <w:rsid w:val="00602EAA"/>
    <w:rsid w:val="00604D0A"/>
    <w:rsid w:val="00604FC0"/>
    <w:rsid w:val="00605031"/>
    <w:rsid w:val="00606257"/>
    <w:rsid w:val="006062C3"/>
    <w:rsid w:val="00611690"/>
    <w:rsid w:val="00611943"/>
    <w:rsid w:val="00613792"/>
    <w:rsid w:val="006152DC"/>
    <w:rsid w:val="00615590"/>
    <w:rsid w:val="00615D48"/>
    <w:rsid w:val="00615FCF"/>
    <w:rsid w:val="006177E4"/>
    <w:rsid w:val="00617BD6"/>
    <w:rsid w:val="00617E08"/>
    <w:rsid w:val="00620A7C"/>
    <w:rsid w:val="00622B9C"/>
    <w:rsid w:val="00626FB3"/>
    <w:rsid w:val="0062798D"/>
    <w:rsid w:val="00627EF6"/>
    <w:rsid w:val="00630BE4"/>
    <w:rsid w:val="00630CAD"/>
    <w:rsid w:val="00631419"/>
    <w:rsid w:val="006315B9"/>
    <w:rsid w:val="00631808"/>
    <w:rsid w:val="0063203B"/>
    <w:rsid w:val="00632B07"/>
    <w:rsid w:val="00633209"/>
    <w:rsid w:val="00633FEE"/>
    <w:rsid w:val="006348A5"/>
    <w:rsid w:val="00635046"/>
    <w:rsid w:val="006353C4"/>
    <w:rsid w:val="00635BB8"/>
    <w:rsid w:val="0063682C"/>
    <w:rsid w:val="00637CE9"/>
    <w:rsid w:val="0064124D"/>
    <w:rsid w:val="006420D1"/>
    <w:rsid w:val="00642351"/>
    <w:rsid w:val="00642AA4"/>
    <w:rsid w:val="00642FA1"/>
    <w:rsid w:val="0064447E"/>
    <w:rsid w:val="00646628"/>
    <w:rsid w:val="00646B80"/>
    <w:rsid w:val="00650982"/>
    <w:rsid w:val="00651A82"/>
    <w:rsid w:val="006522A4"/>
    <w:rsid w:val="00652A1B"/>
    <w:rsid w:val="0065364A"/>
    <w:rsid w:val="006537EB"/>
    <w:rsid w:val="00655548"/>
    <w:rsid w:val="0065567E"/>
    <w:rsid w:val="00655903"/>
    <w:rsid w:val="00660120"/>
    <w:rsid w:val="00664172"/>
    <w:rsid w:val="00664CAD"/>
    <w:rsid w:val="00664F7E"/>
    <w:rsid w:val="006651CE"/>
    <w:rsid w:val="00667666"/>
    <w:rsid w:val="00670990"/>
    <w:rsid w:val="00670ADF"/>
    <w:rsid w:val="006712D2"/>
    <w:rsid w:val="006720C8"/>
    <w:rsid w:val="00672729"/>
    <w:rsid w:val="006727AE"/>
    <w:rsid w:val="006727F9"/>
    <w:rsid w:val="00672C61"/>
    <w:rsid w:val="0067318D"/>
    <w:rsid w:val="006732F5"/>
    <w:rsid w:val="00673550"/>
    <w:rsid w:val="00673F91"/>
    <w:rsid w:val="00674E88"/>
    <w:rsid w:val="00675240"/>
    <w:rsid w:val="006757C6"/>
    <w:rsid w:val="00675B96"/>
    <w:rsid w:val="006764DB"/>
    <w:rsid w:val="00676B05"/>
    <w:rsid w:val="0067783F"/>
    <w:rsid w:val="00677B4A"/>
    <w:rsid w:val="00677F4B"/>
    <w:rsid w:val="00680A6A"/>
    <w:rsid w:val="00681F92"/>
    <w:rsid w:val="006824DE"/>
    <w:rsid w:val="0068306A"/>
    <w:rsid w:val="006845B7"/>
    <w:rsid w:val="00687868"/>
    <w:rsid w:val="00687B0E"/>
    <w:rsid w:val="006905E1"/>
    <w:rsid w:val="00691644"/>
    <w:rsid w:val="006922F6"/>
    <w:rsid w:val="00692A0E"/>
    <w:rsid w:val="00692B8C"/>
    <w:rsid w:val="00692CCA"/>
    <w:rsid w:val="006938D3"/>
    <w:rsid w:val="00693A96"/>
    <w:rsid w:val="00693E33"/>
    <w:rsid w:val="0069538E"/>
    <w:rsid w:val="00696015"/>
    <w:rsid w:val="0069685E"/>
    <w:rsid w:val="00696CB6"/>
    <w:rsid w:val="0069747F"/>
    <w:rsid w:val="006A0224"/>
    <w:rsid w:val="006A1C5F"/>
    <w:rsid w:val="006A30D7"/>
    <w:rsid w:val="006A38BF"/>
    <w:rsid w:val="006A3D59"/>
    <w:rsid w:val="006A42DB"/>
    <w:rsid w:val="006A44FF"/>
    <w:rsid w:val="006A5319"/>
    <w:rsid w:val="006A5323"/>
    <w:rsid w:val="006A5FF9"/>
    <w:rsid w:val="006A7B86"/>
    <w:rsid w:val="006B0226"/>
    <w:rsid w:val="006B224E"/>
    <w:rsid w:val="006B2394"/>
    <w:rsid w:val="006B2D96"/>
    <w:rsid w:val="006B4588"/>
    <w:rsid w:val="006B470F"/>
    <w:rsid w:val="006B4D67"/>
    <w:rsid w:val="006B510F"/>
    <w:rsid w:val="006B51F7"/>
    <w:rsid w:val="006B5DC0"/>
    <w:rsid w:val="006B5F8A"/>
    <w:rsid w:val="006B7255"/>
    <w:rsid w:val="006B7462"/>
    <w:rsid w:val="006B7DD5"/>
    <w:rsid w:val="006C0E71"/>
    <w:rsid w:val="006C257B"/>
    <w:rsid w:val="006C425E"/>
    <w:rsid w:val="006C4BEC"/>
    <w:rsid w:val="006C5045"/>
    <w:rsid w:val="006C51A1"/>
    <w:rsid w:val="006C6D4B"/>
    <w:rsid w:val="006C7DCB"/>
    <w:rsid w:val="006C7F44"/>
    <w:rsid w:val="006D00B4"/>
    <w:rsid w:val="006D0705"/>
    <w:rsid w:val="006D16EC"/>
    <w:rsid w:val="006D2492"/>
    <w:rsid w:val="006D2519"/>
    <w:rsid w:val="006D2C22"/>
    <w:rsid w:val="006D2FB8"/>
    <w:rsid w:val="006D32EC"/>
    <w:rsid w:val="006D343D"/>
    <w:rsid w:val="006D3CB4"/>
    <w:rsid w:val="006D441F"/>
    <w:rsid w:val="006D6318"/>
    <w:rsid w:val="006D653C"/>
    <w:rsid w:val="006D6DDE"/>
    <w:rsid w:val="006D7826"/>
    <w:rsid w:val="006E0280"/>
    <w:rsid w:val="006E0809"/>
    <w:rsid w:val="006E23B5"/>
    <w:rsid w:val="006E4D06"/>
    <w:rsid w:val="006E585A"/>
    <w:rsid w:val="006E6377"/>
    <w:rsid w:val="006E6618"/>
    <w:rsid w:val="006E75EA"/>
    <w:rsid w:val="006E7D95"/>
    <w:rsid w:val="006E7E02"/>
    <w:rsid w:val="006F03FD"/>
    <w:rsid w:val="006F05CA"/>
    <w:rsid w:val="006F06FC"/>
    <w:rsid w:val="006F16A0"/>
    <w:rsid w:val="006F1E13"/>
    <w:rsid w:val="006F1F77"/>
    <w:rsid w:val="006F33C1"/>
    <w:rsid w:val="006F3A17"/>
    <w:rsid w:val="006F4873"/>
    <w:rsid w:val="006F54EC"/>
    <w:rsid w:val="006F5807"/>
    <w:rsid w:val="006F61A2"/>
    <w:rsid w:val="006F6237"/>
    <w:rsid w:val="006F65D2"/>
    <w:rsid w:val="006F6839"/>
    <w:rsid w:val="006F6FED"/>
    <w:rsid w:val="006F72DB"/>
    <w:rsid w:val="007008AB"/>
    <w:rsid w:val="0070096A"/>
    <w:rsid w:val="00700BAD"/>
    <w:rsid w:val="0070171F"/>
    <w:rsid w:val="007028CE"/>
    <w:rsid w:val="007038B1"/>
    <w:rsid w:val="00704890"/>
    <w:rsid w:val="00704A54"/>
    <w:rsid w:val="00712717"/>
    <w:rsid w:val="007138AC"/>
    <w:rsid w:val="00714B8E"/>
    <w:rsid w:val="00714CA6"/>
    <w:rsid w:val="007170C3"/>
    <w:rsid w:val="007172A5"/>
    <w:rsid w:val="007206D6"/>
    <w:rsid w:val="007217F5"/>
    <w:rsid w:val="007218FF"/>
    <w:rsid w:val="00723ECB"/>
    <w:rsid w:val="00723F87"/>
    <w:rsid w:val="00724CAA"/>
    <w:rsid w:val="007252DB"/>
    <w:rsid w:val="00727142"/>
    <w:rsid w:val="007303E8"/>
    <w:rsid w:val="00730C5E"/>
    <w:rsid w:val="00730E16"/>
    <w:rsid w:val="00731C2D"/>
    <w:rsid w:val="00732650"/>
    <w:rsid w:val="00732F56"/>
    <w:rsid w:val="00733978"/>
    <w:rsid w:val="00733C93"/>
    <w:rsid w:val="00735093"/>
    <w:rsid w:val="00735635"/>
    <w:rsid w:val="00735895"/>
    <w:rsid w:val="00735A03"/>
    <w:rsid w:val="00736621"/>
    <w:rsid w:val="00737A1E"/>
    <w:rsid w:val="00740D2E"/>
    <w:rsid w:val="00741E32"/>
    <w:rsid w:val="0074202C"/>
    <w:rsid w:val="0074227A"/>
    <w:rsid w:val="00742319"/>
    <w:rsid w:val="00743331"/>
    <w:rsid w:val="0074691F"/>
    <w:rsid w:val="00751A6B"/>
    <w:rsid w:val="007528DC"/>
    <w:rsid w:val="0075379A"/>
    <w:rsid w:val="00755AF8"/>
    <w:rsid w:val="0075628D"/>
    <w:rsid w:val="007563A6"/>
    <w:rsid w:val="0075647C"/>
    <w:rsid w:val="00757DC3"/>
    <w:rsid w:val="007606BC"/>
    <w:rsid w:val="0076240E"/>
    <w:rsid w:val="00762803"/>
    <w:rsid w:val="00764696"/>
    <w:rsid w:val="0076548A"/>
    <w:rsid w:val="00770259"/>
    <w:rsid w:val="00771172"/>
    <w:rsid w:val="0077299B"/>
    <w:rsid w:val="00772C85"/>
    <w:rsid w:val="00774203"/>
    <w:rsid w:val="00776329"/>
    <w:rsid w:val="00777E6D"/>
    <w:rsid w:val="00780EB4"/>
    <w:rsid w:val="0078335F"/>
    <w:rsid w:val="00783FE8"/>
    <w:rsid w:val="00784029"/>
    <w:rsid w:val="0078432A"/>
    <w:rsid w:val="00784724"/>
    <w:rsid w:val="00784972"/>
    <w:rsid w:val="00785709"/>
    <w:rsid w:val="00786090"/>
    <w:rsid w:val="007863D5"/>
    <w:rsid w:val="007864B5"/>
    <w:rsid w:val="00787194"/>
    <w:rsid w:val="007904D2"/>
    <w:rsid w:val="00790DEE"/>
    <w:rsid w:val="00790ED8"/>
    <w:rsid w:val="007912A5"/>
    <w:rsid w:val="00791505"/>
    <w:rsid w:val="00791C7E"/>
    <w:rsid w:val="00791DB4"/>
    <w:rsid w:val="00792014"/>
    <w:rsid w:val="0079204E"/>
    <w:rsid w:val="00792FE9"/>
    <w:rsid w:val="0079362A"/>
    <w:rsid w:val="00793DA1"/>
    <w:rsid w:val="007940FA"/>
    <w:rsid w:val="0079567D"/>
    <w:rsid w:val="00795F36"/>
    <w:rsid w:val="00796446"/>
    <w:rsid w:val="00796DDD"/>
    <w:rsid w:val="007976E1"/>
    <w:rsid w:val="007A02A7"/>
    <w:rsid w:val="007A2822"/>
    <w:rsid w:val="007A2D3D"/>
    <w:rsid w:val="007A2EB6"/>
    <w:rsid w:val="007A339E"/>
    <w:rsid w:val="007A4B1D"/>
    <w:rsid w:val="007A556C"/>
    <w:rsid w:val="007A7E97"/>
    <w:rsid w:val="007B19C3"/>
    <w:rsid w:val="007B2B59"/>
    <w:rsid w:val="007B3502"/>
    <w:rsid w:val="007B39C8"/>
    <w:rsid w:val="007B48FF"/>
    <w:rsid w:val="007B4D9A"/>
    <w:rsid w:val="007B51F2"/>
    <w:rsid w:val="007B7331"/>
    <w:rsid w:val="007C0520"/>
    <w:rsid w:val="007C060D"/>
    <w:rsid w:val="007C0B67"/>
    <w:rsid w:val="007C0B96"/>
    <w:rsid w:val="007C0F2D"/>
    <w:rsid w:val="007C25D8"/>
    <w:rsid w:val="007C3235"/>
    <w:rsid w:val="007C3FF3"/>
    <w:rsid w:val="007C52B2"/>
    <w:rsid w:val="007C6020"/>
    <w:rsid w:val="007C68AE"/>
    <w:rsid w:val="007D0AA3"/>
    <w:rsid w:val="007D1707"/>
    <w:rsid w:val="007D2DB1"/>
    <w:rsid w:val="007D3823"/>
    <w:rsid w:val="007D3E60"/>
    <w:rsid w:val="007D4099"/>
    <w:rsid w:val="007D40F4"/>
    <w:rsid w:val="007D418E"/>
    <w:rsid w:val="007D5878"/>
    <w:rsid w:val="007D5A18"/>
    <w:rsid w:val="007D7640"/>
    <w:rsid w:val="007D7A66"/>
    <w:rsid w:val="007E1372"/>
    <w:rsid w:val="007E1B5A"/>
    <w:rsid w:val="007E2C1D"/>
    <w:rsid w:val="007E4519"/>
    <w:rsid w:val="007E4CD3"/>
    <w:rsid w:val="007E5534"/>
    <w:rsid w:val="007E56B4"/>
    <w:rsid w:val="007E5AAC"/>
    <w:rsid w:val="007E60A6"/>
    <w:rsid w:val="007E6947"/>
    <w:rsid w:val="007E7FB2"/>
    <w:rsid w:val="007F2E64"/>
    <w:rsid w:val="007F3AE0"/>
    <w:rsid w:val="007F3FE0"/>
    <w:rsid w:val="007F5CE3"/>
    <w:rsid w:val="007F61CE"/>
    <w:rsid w:val="007F6F0F"/>
    <w:rsid w:val="007F7D2F"/>
    <w:rsid w:val="00801BDE"/>
    <w:rsid w:val="008024CE"/>
    <w:rsid w:val="008034D7"/>
    <w:rsid w:val="00804B90"/>
    <w:rsid w:val="008052CD"/>
    <w:rsid w:val="008056CA"/>
    <w:rsid w:val="00805B2B"/>
    <w:rsid w:val="00807155"/>
    <w:rsid w:val="00807EF8"/>
    <w:rsid w:val="00811A8B"/>
    <w:rsid w:val="008136FD"/>
    <w:rsid w:val="0081505B"/>
    <w:rsid w:val="00815C45"/>
    <w:rsid w:val="008169EA"/>
    <w:rsid w:val="00817090"/>
    <w:rsid w:val="008170C9"/>
    <w:rsid w:val="008170F4"/>
    <w:rsid w:val="00817117"/>
    <w:rsid w:val="0081786B"/>
    <w:rsid w:val="00817B25"/>
    <w:rsid w:val="00817B71"/>
    <w:rsid w:val="00820526"/>
    <w:rsid w:val="00821834"/>
    <w:rsid w:val="00822445"/>
    <w:rsid w:val="008228A8"/>
    <w:rsid w:val="00822923"/>
    <w:rsid w:val="00823679"/>
    <w:rsid w:val="00824303"/>
    <w:rsid w:val="00825E2B"/>
    <w:rsid w:val="00826544"/>
    <w:rsid w:val="008271D2"/>
    <w:rsid w:val="008303A5"/>
    <w:rsid w:val="008309BC"/>
    <w:rsid w:val="00831024"/>
    <w:rsid w:val="008313D7"/>
    <w:rsid w:val="00831421"/>
    <w:rsid w:val="00831AF5"/>
    <w:rsid w:val="00831FB4"/>
    <w:rsid w:val="008321EC"/>
    <w:rsid w:val="00832A6E"/>
    <w:rsid w:val="00833520"/>
    <w:rsid w:val="00834015"/>
    <w:rsid w:val="00834041"/>
    <w:rsid w:val="0083480E"/>
    <w:rsid w:val="00834A72"/>
    <w:rsid w:val="00837CB4"/>
    <w:rsid w:val="00837CFD"/>
    <w:rsid w:val="0084089B"/>
    <w:rsid w:val="008408B2"/>
    <w:rsid w:val="0084233B"/>
    <w:rsid w:val="00842AFF"/>
    <w:rsid w:val="0084306B"/>
    <w:rsid w:val="00843E87"/>
    <w:rsid w:val="008444E9"/>
    <w:rsid w:val="00846617"/>
    <w:rsid w:val="00846919"/>
    <w:rsid w:val="00846FBA"/>
    <w:rsid w:val="0084740A"/>
    <w:rsid w:val="008510A8"/>
    <w:rsid w:val="00852223"/>
    <w:rsid w:val="0085273E"/>
    <w:rsid w:val="00852985"/>
    <w:rsid w:val="00852E73"/>
    <w:rsid w:val="00853134"/>
    <w:rsid w:val="00853C35"/>
    <w:rsid w:val="00855510"/>
    <w:rsid w:val="00855F8C"/>
    <w:rsid w:val="00856A71"/>
    <w:rsid w:val="008573C9"/>
    <w:rsid w:val="00860D7A"/>
    <w:rsid w:val="00860F0E"/>
    <w:rsid w:val="00862275"/>
    <w:rsid w:val="00862622"/>
    <w:rsid w:val="00862D98"/>
    <w:rsid w:val="00863AD1"/>
    <w:rsid w:val="008647E3"/>
    <w:rsid w:val="00866C1D"/>
    <w:rsid w:val="00867217"/>
    <w:rsid w:val="008674ED"/>
    <w:rsid w:val="00867609"/>
    <w:rsid w:val="00867C69"/>
    <w:rsid w:val="00872C72"/>
    <w:rsid w:val="0087476E"/>
    <w:rsid w:val="00874E0C"/>
    <w:rsid w:val="00876217"/>
    <w:rsid w:val="00876C92"/>
    <w:rsid w:val="00877BFE"/>
    <w:rsid w:val="00880316"/>
    <w:rsid w:val="0088258D"/>
    <w:rsid w:val="0088270E"/>
    <w:rsid w:val="00884C17"/>
    <w:rsid w:val="00884FAF"/>
    <w:rsid w:val="0088538C"/>
    <w:rsid w:val="00885590"/>
    <w:rsid w:val="008855AE"/>
    <w:rsid w:val="00885717"/>
    <w:rsid w:val="00886549"/>
    <w:rsid w:val="00886BF8"/>
    <w:rsid w:val="00887520"/>
    <w:rsid w:val="00887AC8"/>
    <w:rsid w:val="0089015F"/>
    <w:rsid w:val="008916FB"/>
    <w:rsid w:val="0089375E"/>
    <w:rsid w:val="00893778"/>
    <w:rsid w:val="00893D56"/>
    <w:rsid w:val="00894734"/>
    <w:rsid w:val="008953D5"/>
    <w:rsid w:val="00896C67"/>
    <w:rsid w:val="00897673"/>
    <w:rsid w:val="008976B8"/>
    <w:rsid w:val="008A01E6"/>
    <w:rsid w:val="008A03B8"/>
    <w:rsid w:val="008A17B1"/>
    <w:rsid w:val="008A1C55"/>
    <w:rsid w:val="008A2433"/>
    <w:rsid w:val="008A2471"/>
    <w:rsid w:val="008A2AE8"/>
    <w:rsid w:val="008A3C1C"/>
    <w:rsid w:val="008A3F7F"/>
    <w:rsid w:val="008A4C17"/>
    <w:rsid w:val="008A5803"/>
    <w:rsid w:val="008A5BD2"/>
    <w:rsid w:val="008A7729"/>
    <w:rsid w:val="008A7843"/>
    <w:rsid w:val="008A7B4B"/>
    <w:rsid w:val="008B056C"/>
    <w:rsid w:val="008B0BEF"/>
    <w:rsid w:val="008B2169"/>
    <w:rsid w:val="008B2D06"/>
    <w:rsid w:val="008B3250"/>
    <w:rsid w:val="008B4A0C"/>
    <w:rsid w:val="008B50E9"/>
    <w:rsid w:val="008B6E6D"/>
    <w:rsid w:val="008C038A"/>
    <w:rsid w:val="008C2E4F"/>
    <w:rsid w:val="008C4134"/>
    <w:rsid w:val="008C414D"/>
    <w:rsid w:val="008C41C5"/>
    <w:rsid w:val="008C43B7"/>
    <w:rsid w:val="008C48D1"/>
    <w:rsid w:val="008C4F00"/>
    <w:rsid w:val="008C6792"/>
    <w:rsid w:val="008C6969"/>
    <w:rsid w:val="008C6CCB"/>
    <w:rsid w:val="008C6DA1"/>
    <w:rsid w:val="008D0196"/>
    <w:rsid w:val="008D0851"/>
    <w:rsid w:val="008D47EB"/>
    <w:rsid w:val="008D5943"/>
    <w:rsid w:val="008D5B0B"/>
    <w:rsid w:val="008D61C6"/>
    <w:rsid w:val="008D63F4"/>
    <w:rsid w:val="008D66AF"/>
    <w:rsid w:val="008E1232"/>
    <w:rsid w:val="008E1254"/>
    <w:rsid w:val="008E2469"/>
    <w:rsid w:val="008E2704"/>
    <w:rsid w:val="008E2995"/>
    <w:rsid w:val="008E2C83"/>
    <w:rsid w:val="008E3941"/>
    <w:rsid w:val="008E3EEF"/>
    <w:rsid w:val="008E428F"/>
    <w:rsid w:val="008E50E7"/>
    <w:rsid w:val="008E51B9"/>
    <w:rsid w:val="008E5C50"/>
    <w:rsid w:val="008E78E3"/>
    <w:rsid w:val="008E7E34"/>
    <w:rsid w:val="008E7F7B"/>
    <w:rsid w:val="008F15A2"/>
    <w:rsid w:val="008F169D"/>
    <w:rsid w:val="008F2F5E"/>
    <w:rsid w:val="008F3161"/>
    <w:rsid w:val="008F32F8"/>
    <w:rsid w:val="008F395E"/>
    <w:rsid w:val="008F3BA0"/>
    <w:rsid w:val="008F4058"/>
    <w:rsid w:val="008F5755"/>
    <w:rsid w:val="008F5A6C"/>
    <w:rsid w:val="008F5ACE"/>
    <w:rsid w:val="008F6F98"/>
    <w:rsid w:val="008F75A0"/>
    <w:rsid w:val="008F7E1C"/>
    <w:rsid w:val="00901C3B"/>
    <w:rsid w:val="00901EB5"/>
    <w:rsid w:val="0090234A"/>
    <w:rsid w:val="00904B2F"/>
    <w:rsid w:val="00904F67"/>
    <w:rsid w:val="009057ED"/>
    <w:rsid w:val="00910AF8"/>
    <w:rsid w:val="00910BA0"/>
    <w:rsid w:val="00910EAD"/>
    <w:rsid w:val="009113A1"/>
    <w:rsid w:val="0091175E"/>
    <w:rsid w:val="00912694"/>
    <w:rsid w:val="00914D16"/>
    <w:rsid w:val="0091660A"/>
    <w:rsid w:val="009171D0"/>
    <w:rsid w:val="0091775F"/>
    <w:rsid w:val="00917CBF"/>
    <w:rsid w:val="00920088"/>
    <w:rsid w:val="00920AD5"/>
    <w:rsid w:val="009217DE"/>
    <w:rsid w:val="00921AB4"/>
    <w:rsid w:val="00922D9C"/>
    <w:rsid w:val="00922F60"/>
    <w:rsid w:val="00923A5A"/>
    <w:rsid w:val="009241C7"/>
    <w:rsid w:val="009265FF"/>
    <w:rsid w:val="0092671A"/>
    <w:rsid w:val="00927369"/>
    <w:rsid w:val="009273F8"/>
    <w:rsid w:val="00927788"/>
    <w:rsid w:val="00927A2B"/>
    <w:rsid w:val="00927A9B"/>
    <w:rsid w:val="00928AD5"/>
    <w:rsid w:val="0093140B"/>
    <w:rsid w:val="00933C18"/>
    <w:rsid w:val="00934B5B"/>
    <w:rsid w:val="0093559E"/>
    <w:rsid w:val="00935E73"/>
    <w:rsid w:val="00936A35"/>
    <w:rsid w:val="009370D2"/>
    <w:rsid w:val="009376CF"/>
    <w:rsid w:val="009407C1"/>
    <w:rsid w:val="00940AEA"/>
    <w:rsid w:val="00941A3B"/>
    <w:rsid w:val="009428CE"/>
    <w:rsid w:val="00942988"/>
    <w:rsid w:val="00942BD1"/>
    <w:rsid w:val="00942F8E"/>
    <w:rsid w:val="009439EA"/>
    <w:rsid w:val="00944DE4"/>
    <w:rsid w:val="00944F3A"/>
    <w:rsid w:val="00945DA1"/>
    <w:rsid w:val="00946BC1"/>
    <w:rsid w:val="00947695"/>
    <w:rsid w:val="0094794C"/>
    <w:rsid w:val="00947DFD"/>
    <w:rsid w:val="009517A7"/>
    <w:rsid w:val="009527F3"/>
    <w:rsid w:val="00952C43"/>
    <w:rsid w:val="0095396D"/>
    <w:rsid w:val="00954E2B"/>
    <w:rsid w:val="0095515E"/>
    <w:rsid w:val="00955A1A"/>
    <w:rsid w:val="00957FBA"/>
    <w:rsid w:val="00960166"/>
    <w:rsid w:val="00961113"/>
    <w:rsid w:val="00961236"/>
    <w:rsid w:val="00961E61"/>
    <w:rsid w:val="009626AC"/>
    <w:rsid w:val="00962A18"/>
    <w:rsid w:val="00962D16"/>
    <w:rsid w:val="00962F25"/>
    <w:rsid w:val="0096485A"/>
    <w:rsid w:val="00965404"/>
    <w:rsid w:val="00971664"/>
    <w:rsid w:val="00971A55"/>
    <w:rsid w:val="00972597"/>
    <w:rsid w:val="009734D9"/>
    <w:rsid w:val="00973792"/>
    <w:rsid w:val="0097449A"/>
    <w:rsid w:val="0097455B"/>
    <w:rsid w:val="00974B2D"/>
    <w:rsid w:val="00975B08"/>
    <w:rsid w:val="0098179B"/>
    <w:rsid w:val="00984A0B"/>
    <w:rsid w:val="00984F3F"/>
    <w:rsid w:val="00985FB9"/>
    <w:rsid w:val="00986E0F"/>
    <w:rsid w:val="00987909"/>
    <w:rsid w:val="00987DD7"/>
    <w:rsid w:val="0099004A"/>
    <w:rsid w:val="00990743"/>
    <w:rsid w:val="0099279E"/>
    <w:rsid w:val="00993CFB"/>
    <w:rsid w:val="00995031"/>
    <w:rsid w:val="0099536A"/>
    <w:rsid w:val="00995668"/>
    <w:rsid w:val="00996184"/>
    <w:rsid w:val="00996A3A"/>
    <w:rsid w:val="00996A59"/>
    <w:rsid w:val="00996C37"/>
    <w:rsid w:val="00996C79"/>
    <w:rsid w:val="009A0729"/>
    <w:rsid w:val="009A09B8"/>
    <w:rsid w:val="009A2B7C"/>
    <w:rsid w:val="009A2BDA"/>
    <w:rsid w:val="009A2C6C"/>
    <w:rsid w:val="009A44EA"/>
    <w:rsid w:val="009A580E"/>
    <w:rsid w:val="009A587B"/>
    <w:rsid w:val="009A6DCD"/>
    <w:rsid w:val="009B148B"/>
    <w:rsid w:val="009B2459"/>
    <w:rsid w:val="009B43E1"/>
    <w:rsid w:val="009B4A90"/>
    <w:rsid w:val="009B67B4"/>
    <w:rsid w:val="009B69EC"/>
    <w:rsid w:val="009B73B3"/>
    <w:rsid w:val="009C0337"/>
    <w:rsid w:val="009C16F3"/>
    <w:rsid w:val="009C1E89"/>
    <w:rsid w:val="009C2D69"/>
    <w:rsid w:val="009C3C95"/>
    <w:rsid w:val="009C4616"/>
    <w:rsid w:val="009C5F58"/>
    <w:rsid w:val="009C6278"/>
    <w:rsid w:val="009C782E"/>
    <w:rsid w:val="009D0BCC"/>
    <w:rsid w:val="009D0C10"/>
    <w:rsid w:val="009D130B"/>
    <w:rsid w:val="009D1524"/>
    <w:rsid w:val="009D2568"/>
    <w:rsid w:val="009D28C7"/>
    <w:rsid w:val="009D363F"/>
    <w:rsid w:val="009D3E58"/>
    <w:rsid w:val="009D504F"/>
    <w:rsid w:val="009D5273"/>
    <w:rsid w:val="009D586C"/>
    <w:rsid w:val="009E02C9"/>
    <w:rsid w:val="009E03F0"/>
    <w:rsid w:val="009E2902"/>
    <w:rsid w:val="009E2A30"/>
    <w:rsid w:val="009E2E10"/>
    <w:rsid w:val="009E3A27"/>
    <w:rsid w:val="009E4C3E"/>
    <w:rsid w:val="009F12F5"/>
    <w:rsid w:val="009F19B9"/>
    <w:rsid w:val="009F24EA"/>
    <w:rsid w:val="009F2956"/>
    <w:rsid w:val="009F2BC2"/>
    <w:rsid w:val="009F3E2F"/>
    <w:rsid w:val="009F4749"/>
    <w:rsid w:val="009F4BFC"/>
    <w:rsid w:val="009F5244"/>
    <w:rsid w:val="009F53AF"/>
    <w:rsid w:val="009F7636"/>
    <w:rsid w:val="009F7693"/>
    <w:rsid w:val="009F793A"/>
    <w:rsid w:val="009F7B3F"/>
    <w:rsid w:val="00A00D88"/>
    <w:rsid w:val="00A029DD"/>
    <w:rsid w:val="00A02F58"/>
    <w:rsid w:val="00A04327"/>
    <w:rsid w:val="00A048FA"/>
    <w:rsid w:val="00A04F8A"/>
    <w:rsid w:val="00A06E57"/>
    <w:rsid w:val="00A071E6"/>
    <w:rsid w:val="00A0737D"/>
    <w:rsid w:val="00A07FA0"/>
    <w:rsid w:val="00A07FE9"/>
    <w:rsid w:val="00A1038C"/>
    <w:rsid w:val="00A10CE3"/>
    <w:rsid w:val="00A12742"/>
    <w:rsid w:val="00A13266"/>
    <w:rsid w:val="00A13AB8"/>
    <w:rsid w:val="00A140F1"/>
    <w:rsid w:val="00A14671"/>
    <w:rsid w:val="00A149A0"/>
    <w:rsid w:val="00A17513"/>
    <w:rsid w:val="00A17636"/>
    <w:rsid w:val="00A17C45"/>
    <w:rsid w:val="00A17DE1"/>
    <w:rsid w:val="00A204A8"/>
    <w:rsid w:val="00A20CF3"/>
    <w:rsid w:val="00A23874"/>
    <w:rsid w:val="00A252CE"/>
    <w:rsid w:val="00A258ED"/>
    <w:rsid w:val="00A265BF"/>
    <w:rsid w:val="00A27A4C"/>
    <w:rsid w:val="00A31FF8"/>
    <w:rsid w:val="00A33157"/>
    <w:rsid w:val="00A338C9"/>
    <w:rsid w:val="00A348B6"/>
    <w:rsid w:val="00A35B67"/>
    <w:rsid w:val="00A35D92"/>
    <w:rsid w:val="00A36099"/>
    <w:rsid w:val="00A36243"/>
    <w:rsid w:val="00A3663C"/>
    <w:rsid w:val="00A36C14"/>
    <w:rsid w:val="00A36FBC"/>
    <w:rsid w:val="00A3753D"/>
    <w:rsid w:val="00A40095"/>
    <w:rsid w:val="00A400B4"/>
    <w:rsid w:val="00A41542"/>
    <w:rsid w:val="00A41A9D"/>
    <w:rsid w:val="00A44674"/>
    <w:rsid w:val="00A44C80"/>
    <w:rsid w:val="00A45CA2"/>
    <w:rsid w:val="00A4616D"/>
    <w:rsid w:val="00A47C7A"/>
    <w:rsid w:val="00A50D8B"/>
    <w:rsid w:val="00A52459"/>
    <w:rsid w:val="00A545DD"/>
    <w:rsid w:val="00A54827"/>
    <w:rsid w:val="00A54B7F"/>
    <w:rsid w:val="00A54D00"/>
    <w:rsid w:val="00A54F24"/>
    <w:rsid w:val="00A554BB"/>
    <w:rsid w:val="00A556AA"/>
    <w:rsid w:val="00A56161"/>
    <w:rsid w:val="00A56365"/>
    <w:rsid w:val="00A57639"/>
    <w:rsid w:val="00A57CA1"/>
    <w:rsid w:val="00A6072B"/>
    <w:rsid w:val="00A60BFC"/>
    <w:rsid w:val="00A60CC1"/>
    <w:rsid w:val="00A6168A"/>
    <w:rsid w:val="00A61692"/>
    <w:rsid w:val="00A62896"/>
    <w:rsid w:val="00A62A7E"/>
    <w:rsid w:val="00A62D67"/>
    <w:rsid w:val="00A63DD5"/>
    <w:rsid w:val="00A63EA0"/>
    <w:rsid w:val="00A6500E"/>
    <w:rsid w:val="00A6500F"/>
    <w:rsid w:val="00A6547C"/>
    <w:rsid w:val="00A655E4"/>
    <w:rsid w:val="00A713B2"/>
    <w:rsid w:val="00A71AD1"/>
    <w:rsid w:val="00A72B15"/>
    <w:rsid w:val="00A73D97"/>
    <w:rsid w:val="00A76408"/>
    <w:rsid w:val="00A76A57"/>
    <w:rsid w:val="00A77E2A"/>
    <w:rsid w:val="00A80377"/>
    <w:rsid w:val="00A8075C"/>
    <w:rsid w:val="00A80FBD"/>
    <w:rsid w:val="00A811E1"/>
    <w:rsid w:val="00A82EBC"/>
    <w:rsid w:val="00A82EE1"/>
    <w:rsid w:val="00A8609A"/>
    <w:rsid w:val="00A86205"/>
    <w:rsid w:val="00A8655D"/>
    <w:rsid w:val="00A86F3C"/>
    <w:rsid w:val="00A87207"/>
    <w:rsid w:val="00A87467"/>
    <w:rsid w:val="00A917A6"/>
    <w:rsid w:val="00A91C58"/>
    <w:rsid w:val="00A94DDC"/>
    <w:rsid w:val="00A9521D"/>
    <w:rsid w:val="00A96119"/>
    <w:rsid w:val="00A966FB"/>
    <w:rsid w:val="00A96C52"/>
    <w:rsid w:val="00AA28B6"/>
    <w:rsid w:val="00AA404C"/>
    <w:rsid w:val="00AA5059"/>
    <w:rsid w:val="00AA64C8"/>
    <w:rsid w:val="00AA7168"/>
    <w:rsid w:val="00AB05F4"/>
    <w:rsid w:val="00AB108E"/>
    <w:rsid w:val="00AB1C1C"/>
    <w:rsid w:val="00AB216A"/>
    <w:rsid w:val="00AB309F"/>
    <w:rsid w:val="00AB3609"/>
    <w:rsid w:val="00AB4126"/>
    <w:rsid w:val="00AB4F01"/>
    <w:rsid w:val="00AB5FB7"/>
    <w:rsid w:val="00AB68CA"/>
    <w:rsid w:val="00AB69BE"/>
    <w:rsid w:val="00AB7362"/>
    <w:rsid w:val="00AB7648"/>
    <w:rsid w:val="00AB79C0"/>
    <w:rsid w:val="00AB7E4F"/>
    <w:rsid w:val="00AB7F26"/>
    <w:rsid w:val="00AC09B7"/>
    <w:rsid w:val="00AC0D39"/>
    <w:rsid w:val="00AC3418"/>
    <w:rsid w:val="00AC3BC8"/>
    <w:rsid w:val="00AC3F96"/>
    <w:rsid w:val="00AC4255"/>
    <w:rsid w:val="00AC5B8F"/>
    <w:rsid w:val="00AC5C58"/>
    <w:rsid w:val="00AC6079"/>
    <w:rsid w:val="00AC6121"/>
    <w:rsid w:val="00AC6440"/>
    <w:rsid w:val="00AC768D"/>
    <w:rsid w:val="00AD0F34"/>
    <w:rsid w:val="00AD21BD"/>
    <w:rsid w:val="00AD3082"/>
    <w:rsid w:val="00AD398C"/>
    <w:rsid w:val="00AD3B74"/>
    <w:rsid w:val="00AD3C65"/>
    <w:rsid w:val="00AD4D9B"/>
    <w:rsid w:val="00AD5B9F"/>
    <w:rsid w:val="00AD7B3E"/>
    <w:rsid w:val="00AE0082"/>
    <w:rsid w:val="00AE0334"/>
    <w:rsid w:val="00AE0827"/>
    <w:rsid w:val="00AE0A36"/>
    <w:rsid w:val="00AE0B4B"/>
    <w:rsid w:val="00AE333C"/>
    <w:rsid w:val="00AE35B4"/>
    <w:rsid w:val="00AE4BCB"/>
    <w:rsid w:val="00AE5B50"/>
    <w:rsid w:val="00AE6466"/>
    <w:rsid w:val="00AF25E3"/>
    <w:rsid w:val="00AF3414"/>
    <w:rsid w:val="00AF37DB"/>
    <w:rsid w:val="00AF3857"/>
    <w:rsid w:val="00AF4956"/>
    <w:rsid w:val="00AF4E4A"/>
    <w:rsid w:val="00AF54DF"/>
    <w:rsid w:val="00AF583D"/>
    <w:rsid w:val="00B00905"/>
    <w:rsid w:val="00B010EE"/>
    <w:rsid w:val="00B01348"/>
    <w:rsid w:val="00B0287B"/>
    <w:rsid w:val="00B06940"/>
    <w:rsid w:val="00B06D4E"/>
    <w:rsid w:val="00B074D4"/>
    <w:rsid w:val="00B07E85"/>
    <w:rsid w:val="00B10BEE"/>
    <w:rsid w:val="00B113E3"/>
    <w:rsid w:val="00B11754"/>
    <w:rsid w:val="00B12237"/>
    <w:rsid w:val="00B136A3"/>
    <w:rsid w:val="00B147A1"/>
    <w:rsid w:val="00B14AFF"/>
    <w:rsid w:val="00B15B47"/>
    <w:rsid w:val="00B166C9"/>
    <w:rsid w:val="00B169B5"/>
    <w:rsid w:val="00B17736"/>
    <w:rsid w:val="00B17E76"/>
    <w:rsid w:val="00B204B5"/>
    <w:rsid w:val="00B207D4"/>
    <w:rsid w:val="00B2100C"/>
    <w:rsid w:val="00B22C14"/>
    <w:rsid w:val="00B23C95"/>
    <w:rsid w:val="00B242AF"/>
    <w:rsid w:val="00B30CCF"/>
    <w:rsid w:val="00B32001"/>
    <w:rsid w:val="00B32982"/>
    <w:rsid w:val="00B32BE9"/>
    <w:rsid w:val="00B342F6"/>
    <w:rsid w:val="00B352AE"/>
    <w:rsid w:val="00B35671"/>
    <w:rsid w:val="00B35995"/>
    <w:rsid w:val="00B36CE3"/>
    <w:rsid w:val="00B37B8C"/>
    <w:rsid w:val="00B37B8E"/>
    <w:rsid w:val="00B40265"/>
    <w:rsid w:val="00B43ECB"/>
    <w:rsid w:val="00B45717"/>
    <w:rsid w:val="00B45B1B"/>
    <w:rsid w:val="00B45F3C"/>
    <w:rsid w:val="00B46175"/>
    <w:rsid w:val="00B471E8"/>
    <w:rsid w:val="00B47BF7"/>
    <w:rsid w:val="00B50517"/>
    <w:rsid w:val="00B51137"/>
    <w:rsid w:val="00B51D7D"/>
    <w:rsid w:val="00B52599"/>
    <w:rsid w:val="00B531F0"/>
    <w:rsid w:val="00B532AC"/>
    <w:rsid w:val="00B53734"/>
    <w:rsid w:val="00B545FC"/>
    <w:rsid w:val="00B5463C"/>
    <w:rsid w:val="00B55132"/>
    <w:rsid w:val="00B57442"/>
    <w:rsid w:val="00B578E0"/>
    <w:rsid w:val="00B61B3A"/>
    <w:rsid w:val="00B62FD8"/>
    <w:rsid w:val="00B6357D"/>
    <w:rsid w:val="00B63FC4"/>
    <w:rsid w:val="00B64212"/>
    <w:rsid w:val="00B656DE"/>
    <w:rsid w:val="00B66A51"/>
    <w:rsid w:val="00B676C9"/>
    <w:rsid w:val="00B705D8"/>
    <w:rsid w:val="00B71652"/>
    <w:rsid w:val="00B71F0A"/>
    <w:rsid w:val="00B72143"/>
    <w:rsid w:val="00B73F1A"/>
    <w:rsid w:val="00B74032"/>
    <w:rsid w:val="00B76B23"/>
    <w:rsid w:val="00B77FE7"/>
    <w:rsid w:val="00B80760"/>
    <w:rsid w:val="00B816EE"/>
    <w:rsid w:val="00B833E2"/>
    <w:rsid w:val="00B840B2"/>
    <w:rsid w:val="00B84918"/>
    <w:rsid w:val="00B871B0"/>
    <w:rsid w:val="00B874B4"/>
    <w:rsid w:val="00B87C9E"/>
    <w:rsid w:val="00B903A8"/>
    <w:rsid w:val="00B9062D"/>
    <w:rsid w:val="00B90C01"/>
    <w:rsid w:val="00B90EE5"/>
    <w:rsid w:val="00B93340"/>
    <w:rsid w:val="00B93638"/>
    <w:rsid w:val="00B943F9"/>
    <w:rsid w:val="00B949FA"/>
    <w:rsid w:val="00B95238"/>
    <w:rsid w:val="00B972B4"/>
    <w:rsid w:val="00BA0979"/>
    <w:rsid w:val="00BA1E40"/>
    <w:rsid w:val="00BA21E9"/>
    <w:rsid w:val="00BA2F9F"/>
    <w:rsid w:val="00BA33FA"/>
    <w:rsid w:val="00BA44FF"/>
    <w:rsid w:val="00BA450E"/>
    <w:rsid w:val="00BA5883"/>
    <w:rsid w:val="00BA60E8"/>
    <w:rsid w:val="00BA6481"/>
    <w:rsid w:val="00BA6FC7"/>
    <w:rsid w:val="00BA7668"/>
    <w:rsid w:val="00BA7669"/>
    <w:rsid w:val="00BB11F0"/>
    <w:rsid w:val="00BB123C"/>
    <w:rsid w:val="00BB323B"/>
    <w:rsid w:val="00BB32E4"/>
    <w:rsid w:val="00BB42B8"/>
    <w:rsid w:val="00BB435A"/>
    <w:rsid w:val="00BB5ED5"/>
    <w:rsid w:val="00BB61FB"/>
    <w:rsid w:val="00BB6384"/>
    <w:rsid w:val="00BC0896"/>
    <w:rsid w:val="00BC1A5D"/>
    <w:rsid w:val="00BC20EE"/>
    <w:rsid w:val="00BC3F06"/>
    <w:rsid w:val="00BC40AF"/>
    <w:rsid w:val="00BC5AED"/>
    <w:rsid w:val="00BC6215"/>
    <w:rsid w:val="00BC629E"/>
    <w:rsid w:val="00BD2C49"/>
    <w:rsid w:val="00BD2C6A"/>
    <w:rsid w:val="00BD2D6F"/>
    <w:rsid w:val="00BD455B"/>
    <w:rsid w:val="00BD45A4"/>
    <w:rsid w:val="00BD4763"/>
    <w:rsid w:val="00BD50C6"/>
    <w:rsid w:val="00BD6B1B"/>
    <w:rsid w:val="00BD7A0F"/>
    <w:rsid w:val="00BE18E5"/>
    <w:rsid w:val="00BE2C66"/>
    <w:rsid w:val="00BE3A73"/>
    <w:rsid w:val="00BE4F50"/>
    <w:rsid w:val="00BF0641"/>
    <w:rsid w:val="00BF1CB7"/>
    <w:rsid w:val="00BF2761"/>
    <w:rsid w:val="00BF2B5F"/>
    <w:rsid w:val="00BF3276"/>
    <w:rsid w:val="00BF3DF6"/>
    <w:rsid w:val="00BF43E3"/>
    <w:rsid w:val="00BF4527"/>
    <w:rsid w:val="00BF4BD7"/>
    <w:rsid w:val="00BF7B39"/>
    <w:rsid w:val="00C03AB4"/>
    <w:rsid w:val="00C03EF6"/>
    <w:rsid w:val="00C04280"/>
    <w:rsid w:val="00C0507C"/>
    <w:rsid w:val="00C0705D"/>
    <w:rsid w:val="00C102EA"/>
    <w:rsid w:val="00C107D5"/>
    <w:rsid w:val="00C1165E"/>
    <w:rsid w:val="00C1369D"/>
    <w:rsid w:val="00C13704"/>
    <w:rsid w:val="00C137B3"/>
    <w:rsid w:val="00C141B0"/>
    <w:rsid w:val="00C14484"/>
    <w:rsid w:val="00C152DA"/>
    <w:rsid w:val="00C15816"/>
    <w:rsid w:val="00C15869"/>
    <w:rsid w:val="00C16E0B"/>
    <w:rsid w:val="00C1727B"/>
    <w:rsid w:val="00C1A0A8"/>
    <w:rsid w:val="00C209F2"/>
    <w:rsid w:val="00C21725"/>
    <w:rsid w:val="00C22A9D"/>
    <w:rsid w:val="00C22C68"/>
    <w:rsid w:val="00C23EC5"/>
    <w:rsid w:val="00C2517C"/>
    <w:rsid w:val="00C252AA"/>
    <w:rsid w:val="00C25F4B"/>
    <w:rsid w:val="00C26B7B"/>
    <w:rsid w:val="00C26BA8"/>
    <w:rsid w:val="00C26E81"/>
    <w:rsid w:val="00C3082E"/>
    <w:rsid w:val="00C30F3C"/>
    <w:rsid w:val="00C3114C"/>
    <w:rsid w:val="00C31942"/>
    <w:rsid w:val="00C33ADC"/>
    <w:rsid w:val="00C342D9"/>
    <w:rsid w:val="00C34833"/>
    <w:rsid w:val="00C34ACE"/>
    <w:rsid w:val="00C34BAC"/>
    <w:rsid w:val="00C3536E"/>
    <w:rsid w:val="00C36552"/>
    <w:rsid w:val="00C414F9"/>
    <w:rsid w:val="00C41A4D"/>
    <w:rsid w:val="00C4229F"/>
    <w:rsid w:val="00C44144"/>
    <w:rsid w:val="00C44FB9"/>
    <w:rsid w:val="00C45623"/>
    <w:rsid w:val="00C45778"/>
    <w:rsid w:val="00C45E82"/>
    <w:rsid w:val="00C4708C"/>
    <w:rsid w:val="00C4795D"/>
    <w:rsid w:val="00C50BA0"/>
    <w:rsid w:val="00C51327"/>
    <w:rsid w:val="00C515F5"/>
    <w:rsid w:val="00C5218A"/>
    <w:rsid w:val="00C52CEB"/>
    <w:rsid w:val="00C53F5A"/>
    <w:rsid w:val="00C547F5"/>
    <w:rsid w:val="00C54F78"/>
    <w:rsid w:val="00C55AB6"/>
    <w:rsid w:val="00C55BE1"/>
    <w:rsid w:val="00C57016"/>
    <w:rsid w:val="00C57738"/>
    <w:rsid w:val="00C603A0"/>
    <w:rsid w:val="00C606B2"/>
    <w:rsid w:val="00C615EE"/>
    <w:rsid w:val="00C633C5"/>
    <w:rsid w:val="00C636BD"/>
    <w:rsid w:val="00C6454F"/>
    <w:rsid w:val="00C65354"/>
    <w:rsid w:val="00C657EF"/>
    <w:rsid w:val="00C658D1"/>
    <w:rsid w:val="00C65D34"/>
    <w:rsid w:val="00C66EAB"/>
    <w:rsid w:val="00C67DCB"/>
    <w:rsid w:val="00C701CF"/>
    <w:rsid w:val="00C70AC1"/>
    <w:rsid w:val="00C71675"/>
    <w:rsid w:val="00C71C2A"/>
    <w:rsid w:val="00C71DD7"/>
    <w:rsid w:val="00C720E8"/>
    <w:rsid w:val="00C722AA"/>
    <w:rsid w:val="00C7376B"/>
    <w:rsid w:val="00C73CBD"/>
    <w:rsid w:val="00C741E1"/>
    <w:rsid w:val="00C759D3"/>
    <w:rsid w:val="00C7657A"/>
    <w:rsid w:val="00C7723D"/>
    <w:rsid w:val="00C777C6"/>
    <w:rsid w:val="00C77E96"/>
    <w:rsid w:val="00C80ECC"/>
    <w:rsid w:val="00C814CB"/>
    <w:rsid w:val="00C82200"/>
    <w:rsid w:val="00C829F2"/>
    <w:rsid w:val="00C82BF6"/>
    <w:rsid w:val="00C832F4"/>
    <w:rsid w:val="00C83361"/>
    <w:rsid w:val="00C833B8"/>
    <w:rsid w:val="00C83826"/>
    <w:rsid w:val="00C84560"/>
    <w:rsid w:val="00C851C3"/>
    <w:rsid w:val="00C8791A"/>
    <w:rsid w:val="00C879AA"/>
    <w:rsid w:val="00C9049B"/>
    <w:rsid w:val="00C91B0D"/>
    <w:rsid w:val="00C921A8"/>
    <w:rsid w:val="00C94919"/>
    <w:rsid w:val="00C9620D"/>
    <w:rsid w:val="00CA01C4"/>
    <w:rsid w:val="00CA07E7"/>
    <w:rsid w:val="00CA1085"/>
    <w:rsid w:val="00CA119C"/>
    <w:rsid w:val="00CA1269"/>
    <w:rsid w:val="00CA1442"/>
    <w:rsid w:val="00CA14E1"/>
    <w:rsid w:val="00CA1BC5"/>
    <w:rsid w:val="00CA4783"/>
    <w:rsid w:val="00CA4E99"/>
    <w:rsid w:val="00CA5415"/>
    <w:rsid w:val="00CA5BF7"/>
    <w:rsid w:val="00CB0070"/>
    <w:rsid w:val="00CB010A"/>
    <w:rsid w:val="00CB035E"/>
    <w:rsid w:val="00CB2D17"/>
    <w:rsid w:val="00CB39FA"/>
    <w:rsid w:val="00CB454C"/>
    <w:rsid w:val="00CB4E9C"/>
    <w:rsid w:val="00CB634F"/>
    <w:rsid w:val="00CB64E2"/>
    <w:rsid w:val="00CB64E3"/>
    <w:rsid w:val="00CB7C30"/>
    <w:rsid w:val="00CC0E94"/>
    <w:rsid w:val="00CC0FC7"/>
    <w:rsid w:val="00CC1778"/>
    <w:rsid w:val="00CC17AC"/>
    <w:rsid w:val="00CC18A2"/>
    <w:rsid w:val="00CC3FC3"/>
    <w:rsid w:val="00CC61D1"/>
    <w:rsid w:val="00CC64ED"/>
    <w:rsid w:val="00CC6B7B"/>
    <w:rsid w:val="00CC6BB3"/>
    <w:rsid w:val="00CC6CFA"/>
    <w:rsid w:val="00CD1210"/>
    <w:rsid w:val="00CD1896"/>
    <w:rsid w:val="00CD29EB"/>
    <w:rsid w:val="00CD2C84"/>
    <w:rsid w:val="00CD3AF3"/>
    <w:rsid w:val="00CD3F93"/>
    <w:rsid w:val="00CD5AAA"/>
    <w:rsid w:val="00CD5AEE"/>
    <w:rsid w:val="00CD6290"/>
    <w:rsid w:val="00CD679F"/>
    <w:rsid w:val="00CD7C50"/>
    <w:rsid w:val="00CE07DA"/>
    <w:rsid w:val="00CE089B"/>
    <w:rsid w:val="00CE0B31"/>
    <w:rsid w:val="00CE2C63"/>
    <w:rsid w:val="00CE2F6F"/>
    <w:rsid w:val="00CE4A67"/>
    <w:rsid w:val="00CE555E"/>
    <w:rsid w:val="00CE5594"/>
    <w:rsid w:val="00CE618E"/>
    <w:rsid w:val="00CE6ED0"/>
    <w:rsid w:val="00CE74BC"/>
    <w:rsid w:val="00CE76CA"/>
    <w:rsid w:val="00CE7F2F"/>
    <w:rsid w:val="00CF0B2C"/>
    <w:rsid w:val="00CF14A1"/>
    <w:rsid w:val="00CF1661"/>
    <w:rsid w:val="00CF1863"/>
    <w:rsid w:val="00CF3501"/>
    <w:rsid w:val="00CF4322"/>
    <w:rsid w:val="00CF4B30"/>
    <w:rsid w:val="00CF51D2"/>
    <w:rsid w:val="00CF54E4"/>
    <w:rsid w:val="00CF7186"/>
    <w:rsid w:val="00CF79D2"/>
    <w:rsid w:val="00D00819"/>
    <w:rsid w:val="00D00B55"/>
    <w:rsid w:val="00D01476"/>
    <w:rsid w:val="00D036B1"/>
    <w:rsid w:val="00D03F78"/>
    <w:rsid w:val="00D03F7B"/>
    <w:rsid w:val="00D04F3C"/>
    <w:rsid w:val="00D05212"/>
    <w:rsid w:val="00D05C8F"/>
    <w:rsid w:val="00D071A2"/>
    <w:rsid w:val="00D071FF"/>
    <w:rsid w:val="00D07950"/>
    <w:rsid w:val="00D1027C"/>
    <w:rsid w:val="00D11890"/>
    <w:rsid w:val="00D136BA"/>
    <w:rsid w:val="00D13EB6"/>
    <w:rsid w:val="00D14983"/>
    <w:rsid w:val="00D15C52"/>
    <w:rsid w:val="00D168DA"/>
    <w:rsid w:val="00D17B1C"/>
    <w:rsid w:val="00D2084A"/>
    <w:rsid w:val="00D20C7A"/>
    <w:rsid w:val="00D21A90"/>
    <w:rsid w:val="00D261C8"/>
    <w:rsid w:val="00D26431"/>
    <w:rsid w:val="00D2689D"/>
    <w:rsid w:val="00D27254"/>
    <w:rsid w:val="00D27608"/>
    <w:rsid w:val="00D2782E"/>
    <w:rsid w:val="00D27F2F"/>
    <w:rsid w:val="00D30BF4"/>
    <w:rsid w:val="00D31001"/>
    <w:rsid w:val="00D3283F"/>
    <w:rsid w:val="00D32DF0"/>
    <w:rsid w:val="00D33730"/>
    <w:rsid w:val="00D33AE8"/>
    <w:rsid w:val="00D33D4C"/>
    <w:rsid w:val="00D34077"/>
    <w:rsid w:val="00D3429E"/>
    <w:rsid w:val="00D354BA"/>
    <w:rsid w:val="00D3557F"/>
    <w:rsid w:val="00D35652"/>
    <w:rsid w:val="00D36C96"/>
    <w:rsid w:val="00D41970"/>
    <w:rsid w:val="00D423AC"/>
    <w:rsid w:val="00D42A6E"/>
    <w:rsid w:val="00D42B62"/>
    <w:rsid w:val="00D431D3"/>
    <w:rsid w:val="00D437A0"/>
    <w:rsid w:val="00D441C6"/>
    <w:rsid w:val="00D44EB0"/>
    <w:rsid w:val="00D44FAA"/>
    <w:rsid w:val="00D45383"/>
    <w:rsid w:val="00D45C16"/>
    <w:rsid w:val="00D47855"/>
    <w:rsid w:val="00D501BE"/>
    <w:rsid w:val="00D5058F"/>
    <w:rsid w:val="00D515F5"/>
    <w:rsid w:val="00D51C2E"/>
    <w:rsid w:val="00D52028"/>
    <w:rsid w:val="00D52A1E"/>
    <w:rsid w:val="00D52CC5"/>
    <w:rsid w:val="00D52E8E"/>
    <w:rsid w:val="00D539F0"/>
    <w:rsid w:val="00D53C2F"/>
    <w:rsid w:val="00D54640"/>
    <w:rsid w:val="00D54D6B"/>
    <w:rsid w:val="00D55347"/>
    <w:rsid w:val="00D56360"/>
    <w:rsid w:val="00D56ADA"/>
    <w:rsid w:val="00D56F06"/>
    <w:rsid w:val="00D57D5D"/>
    <w:rsid w:val="00D62C2E"/>
    <w:rsid w:val="00D658A2"/>
    <w:rsid w:val="00D66439"/>
    <w:rsid w:val="00D66C1B"/>
    <w:rsid w:val="00D66EBD"/>
    <w:rsid w:val="00D672B5"/>
    <w:rsid w:val="00D67C95"/>
    <w:rsid w:val="00D705A4"/>
    <w:rsid w:val="00D70F01"/>
    <w:rsid w:val="00D7174E"/>
    <w:rsid w:val="00D71A32"/>
    <w:rsid w:val="00D72BDA"/>
    <w:rsid w:val="00D72D17"/>
    <w:rsid w:val="00D73873"/>
    <w:rsid w:val="00D7404A"/>
    <w:rsid w:val="00D76C83"/>
    <w:rsid w:val="00D81305"/>
    <w:rsid w:val="00D82156"/>
    <w:rsid w:val="00D83D5D"/>
    <w:rsid w:val="00D84D7A"/>
    <w:rsid w:val="00D85783"/>
    <w:rsid w:val="00D8742C"/>
    <w:rsid w:val="00D902F9"/>
    <w:rsid w:val="00D90EA8"/>
    <w:rsid w:val="00D90F21"/>
    <w:rsid w:val="00D926C2"/>
    <w:rsid w:val="00D93700"/>
    <w:rsid w:val="00D93A71"/>
    <w:rsid w:val="00D968EF"/>
    <w:rsid w:val="00D9734A"/>
    <w:rsid w:val="00DA0D46"/>
    <w:rsid w:val="00DA3215"/>
    <w:rsid w:val="00DA3AE5"/>
    <w:rsid w:val="00DA3C55"/>
    <w:rsid w:val="00DA4232"/>
    <w:rsid w:val="00DA569F"/>
    <w:rsid w:val="00DA6304"/>
    <w:rsid w:val="00DA6450"/>
    <w:rsid w:val="00DA6562"/>
    <w:rsid w:val="00DA6D5A"/>
    <w:rsid w:val="00DA6EED"/>
    <w:rsid w:val="00DA75B0"/>
    <w:rsid w:val="00DB053A"/>
    <w:rsid w:val="00DB1374"/>
    <w:rsid w:val="00DB273E"/>
    <w:rsid w:val="00DB4174"/>
    <w:rsid w:val="00DB45A5"/>
    <w:rsid w:val="00DB5291"/>
    <w:rsid w:val="00DB605E"/>
    <w:rsid w:val="00DB6A11"/>
    <w:rsid w:val="00DB6AF1"/>
    <w:rsid w:val="00DB7424"/>
    <w:rsid w:val="00DC2EB8"/>
    <w:rsid w:val="00DC4A73"/>
    <w:rsid w:val="00DC647F"/>
    <w:rsid w:val="00DC69BA"/>
    <w:rsid w:val="00DC6F1C"/>
    <w:rsid w:val="00DC751A"/>
    <w:rsid w:val="00DD091E"/>
    <w:rsid w:val="00DD0C89"/>
    <w:rsid w:val="00DD4893"/>
    <w:rsid w:val="00DD5FE9"/>
    <w:rsid w:val="00DD7122"/>
    <w:rsid w:val="00DE04EE"/>
    <w:rsid w:val="00DE06D8"/>
    <w:rsid w:val="00DE1255"/>
    <w:rsid w:val="00DE1BDF"/>
    <w:rsid w:val="00DE215D"/>
    <w:rsid w:val="00DE22DD"/>
    <w:rsid w:val="00DE2990"/>
    <w:rsid w:val="00DE2D3B"/>
    <w:rsid w:val="00DE3A30"/>
    <w:rsid w:val="00DE4640"/>
    <w:rsid w:val="00DE50D0"/>
    <w:rsid w:val="00DE63D3"/>
    <w:rsid w:val="00DE6449"/>
    <w:rsid w:val="00DE6547"/>
    <w:rsid w:val="00DE7143"/>
    <w:rsid w:val="00DF06FA"/>
    <w:rsid w:val="00DF1D48"/>
    <w:rsid w:val="00DF2439"/>
    <w:rsid w:val="00DF2BF2"/>
    <w:rsid w:val="00DF3436"/>
    <w:rsid w:val="00DF3BFD"/>
    <w:rsid w:val="00DF4DFC"/>
    <w:rsid w:val="00DF639E"/>
    <w:rsid w:val="00DF703A"/>
    <w:rsid w:val="00DF7259"/>
    <w:rsid w:val="00DF7813"/>
    <w:rsid w:val="00DF7C5A"/>
    <w:rsid w:val="00E007A4"/>
    <w:rsid w:val="00E036E0"/>
    <w:rsid w:val="00E03751"/>
    <w:rsid w:val="00E039C8"/>
    <w:rsid w:val="00E046E7"/>
    <w:rsid w:val="00E04998"/>
    <w:rsid w:val="00E0528C"/>
    <w:rsid w:val="00E0530F"/>
    <w:rsid w:val="00E05815"/>
    <w:rsid w:val="00E05A10"/>
    <w:rsid w:val="00E061A4"/>
    <w:rsid w:val="00E07DF7"/>
    <w:rsid w:val="00E10EB1"/>
    <w:rsid w:val="00E1182B"/>
    <w:rsid w:val="00E1219B"/>
    <w:rsid w:val="00E1389C"/>
    <w:rsid w:val="00E13A22"/>
    <w:rsid w:val="00E148DB"/>
    <w:rsid w:val="00E1496D"/>
    <w:rsid w:val="00E1513E"/>
    <w:rsid w:val="00E15622"/>
    <w:rsid w:val="00E215B5"/>
    <w:rsid w:val="00E21820"/>
    <w:rsid w:val="00E23853"/>
    <w:rsid w:val="00E23997"/>
    <w:rsid w:val="00E23E99"/>
    <w:rsid w:val="00E24257"/>
    <w:rsid w:val="00E248C5"/>
    <w:rsid w:val="00E248ED"/>
    <w:rsid w:val="00E24B78"/>
    <w:rsid w:val="00E25A18"/>
    <w:rsid w:val="00E26121"/>
    <w:rsid w:val="00E26713"/>
    <w:rsid w:val="00E271E6"/>
    <w:rsid w:val="00E278EC"/>
    <w:rsid w:val="00E27B1E"/>
    <w:rsid w:val="00E30A08"/>
    <w:rsid w:val="00E30F82"/>
    <w:rsid w:val="00E322E2"/>
    <w:rsid w:val="00E32883"/>
    <w:rsid w:val="00E32C0A"/>
    <w:rsid w:val="00E33C2D"/>
    <w:rsid w:val="00E340C8"/>
    <w:rsid w:val="00E35B3F"/>
    <w:rsid w:val="00E36978"/>
    <w:rsid w:val="00E371F0"/>
    <w:rsid w:val="00E37A24"/>
    <w:rsid w:val="00E403DF"/>
    <w:rsid w:val="00E40A58"/>
    <w:rsid w:val="00E41067"/>
    <w:rsid w:val="00E41741"/>
    <w:rsid w:val="00E4214B"/>
    <w:rsid w:val="00E43E8F"/>
    <w:rsid w:val="00E43F30"/>
    <w:rsid w:val="00E44A7C"/>
    <w:rsid w:val="00E4716E"/>
    <w:rsid w:val="00E471E5"/>
    <w:rsid w:val="00E47719"/>
    <w:rsid w:val="00E50623"/>
    <w:rsid w:val="00E512BF"/>
    <w:rsid w:val="00E51A3D"/>
    <w:rsid w:val="00E52674"/>
    <w:rsid w:val="00E52951"/>
    <w:rsid w:val="00E550DC"/>
    <w:rsid w:val="00E5515A"/>
    <w:rsid w:val="00E55D06"/>
    <w:rsid w:val="00E56D3D"/>
    <w:rsid w:val="00E57C38"/>
    <w:rsid w:val="00E6075D"/>
    <w:rsid w:val="00E60A09"/>
    <w:rsid w:val="00E62291"/>
    <w:rsid w:val="00E6249C"/>
    <w:rsid w:val="00E63C38"/>
    <w:rsid w:val="00E63DA7"/>
    <w:rsid w:val="00E642EC"/>
    <w:rsid w:val="00E6569E"/>
    <w:rsid w:val="00E6789D"/>
    <w:rsid w:val="00E70A78"/>
    <w:rsid w:val="00E70F0A"/>
    <w:rsid w:val="00E71311"/>
    <w:rsid w:val="00E72869"/>
    <w:rsid w:val="00E74327"/>
    <w:rsid w:val="00E74A12"/>
    <w:rsid w:val="00E74C8F"/>
    <w:rsid w:val="00E8028F"/>
    <w:rsid w:val="00E82CF7"/>
    <w:rsid w:val="00E82E3F"/>
    <w:rsid w:val="00E82F64"/>
    <w:rsid w:val="00E848D4"/>
    <w:rsid w:val="00E84AFE"/>
    <w:rsid w:val="00E853B5"/>
    <w:rsid w:val="00E86BAD"/>
    <w:rsid w:val="00E86BEE"/>
    <w:rsid w:val="00E9210A"/>
    <w:rsid w:val="00E92D7E"/>
    <w:rsid w:val="00E93237"/>
    <w:rsid w:val="00E942B9"/>
    <w:rsid w:val="00E96796"/>
    <w:rsid w:val="00E96810"/>
    <w:rsid w:val="00E9732F"/>
    <w:rsid w:val="00E9754E"/>
    <w:rsid w:val="00E9791D"/>
    <w:rsid w:val="00E979C7"/>
    <w:rsid w:val="00E97B09"/>
    <w:rsid w:val="00E97C8B"/>
    <w:rsid w:val="00E97D6C"/>
    <w:rsid w:val="00EA1199"/>
    <w:rsid w:val="00EA1512"/>
    <w:rsid w:val="00EA1B90"/>
    <w:rsid w:val="00EA1F78"/>
    <w:rsid w:val="00EA212D"/>
    <w:rsid w:val="00EA22FF"/>
    <w:rsid w:val="00EA3BA3"/>
    <w:rsid w:val="00EA3F5F"/>
    <w:rsid w:val="00EA428B"/>
    <w:rsid w:val="00EA437F"/>
    <w:rsid w:val="00EA54F3"/>
    <w:rsid w:val="00EA7C56"/>
    <w:rsid w:val="00EB00EC"/>
    <w:rsid w:val="00EB17B7"/>
    <w:rsid w:val="00EB2670"/>
    <w:rsid w:val="00EB27F5"/>
    <w:rsid w:val="00EB2EF1"/>
    <w:rsid w:val="00EB3BE4"/>
    <w:rsid w:val="00EB4C06"/>
    <w:rsid w:val="00EB5D23"/>
    <w:rsid w:val="00EB6E37"/>
    <w:rsid w:val="00EB7D28"/>
    <w:rsid w:val="00EC044B"/>
    <w:rsid w:val="00EC059E"/>
    <w:rsid w:val="00EC1A2B"/>
    <w:rsid w:val="00EC21EC"/>
    <w:rsid w:val="00EC22F0"/>
    <w:rsid w:val="00EC2503"/>
    <w:rsid w:val="00EC299E"/>
    <w:rsid w:val="00EC2F21"/>
    <w:rsid w:val="00EC3026"/>
    <w:rsid w:val="00EC41B7"/>
    <w:rsid w:val="00EC6496"/>
    <w:rsid w:val="00EC6DD4"/>
    <w:rsid w:val="00ED052D"/>
    <w:rsid w:val="00ED05EB"/>
    <w:rsid w:val="00ED21FC"/>
    <w:rsid w:val="00ED2549"/>
    <w:rsid w:val="00ED27D3"/>
    <w:rsid w:val="00ED4181"/>
    <w:rsid w:val="00ED4529"/>
    <w:rsid w:val="00ED4854"/>
    <w:rsid w:val="00ED5C52"/>
    <w:rsid w:val="00ED6A06"/>
    <w:rsid w:val="00ED6B48"/>
    <w:rsid w:val="00ED76AE"/>
    <w:rsid w:val="00ED7AF1"/>
    <w:rsid w:val="00EE0765"/>
    <w:rsid w:val="00EE1324"/>
    <w:rsid w:val="00EE14EE"/>
    <w:rsid w:val="00EE163D"/>
    <w:rsid w:val="00EE264D"/>
    <w:rsid w:val="00EE373F"/>
    <w:rsid w:val="00EE3976"/>
    <w:rsid w:val="00EE5E62"/>
    <w:rsid w:val="00EE6B0A"/>
    <w:rsid w:val="00EE6C04"/>
    <w:rsid w:val="00EE6D25"/>
    <w:rsid w:val="00EF005A"/>
    <w:rsid w:val="00EF00F5"/>
    <w:rsid w:val="00EF01A9"/>
    <w:rsid w:val="00EF1ED0"/>
    <w:rsid w:val="00EF3E91"/>
    <w:rsid w:val="00EF3F07"/>
    <w:rsid w:val="00EF4F01"/>
    <w:rsid w:val="00EF4F60"/>
    <w:rsid w:val="00EF5B23"/>
    <w:rsid w:val="00EF7252"/>
    <w:rsid w:val="00EF7518"/>
    <w:rsid w:val="00F00E00"/>
    <w:rsid w:val="00F01C8F"/>
    <w:rsid w:val="00F02640"/>
    <w:rsid w:val="00F026B0"/>
    <w:rsid w:val="00F0397B"/>
    <w:rsid w:val="00F04957"/>
    <w:rsid w:val="00F051DA"/>
    <w:rsid w:val="00F06BE9"/>
    <w:rsid w:val="00F06C4F"/>
    <w:rsid w:val="00F06DC2"/>
    <w:rsid w:val="00F07B2C"/>
    <w:rsid w:val="00F10C80"/>
    <w:rsid w:val="00F1123A"/>
    <w:rsid w:val="00F133F2"/>
    <w:rsid w:val="00F13899"/>
    <w:rsid w:val="00F168A6"/>
    <w:rsid w:val="00F1751E"/>
    <w:rsid w:val="00F20496"/>
    <w:rsid w:val="00F22792"/>
    <w:rsid w:val="00F22D20"/>
    <w:rsid w:val="00F23414"/>
    <w:rsid w:val="00F23655"/>
    <w:rsid w:val="00F23817"/>
    <w:rsid w:val="00F239F2"/>
    <w:rsid w:val="00F23B16"/>
    <w:rsid w:val="00F248D4"/>
    <w:rsid w:val="00F24ED2"/>
    <w:rsid w:val="00F25D4B"/>
    <w:rsid w:val="00F25D75"/>
    <w:rsid w:val="00F26271"/>
    <w:rsid w:val="00F27EFE"/>
    <w:rsid w:val="00F33DD0"/>
    <w:rsid w:val="00F33FE0"/>
    <w:rsid w:val="00F34C72"/>
    <w:rsid w:val="00F37793"/>
    <w:rsid w:val="00F3784F"/>
    <w:rsid w:val="00F40AA9"/>
    <w:rsid w:val="00F40BD6"/>
    <w:rsid w:val="00F4203F"/>
    <w:rsid w:val="00F42459"/>
    <w:rsid w:val="00F42F65"/>
    <w:rsid w:val="00F450CC"/>
    <w:rsid w:val="00F45CA8"/>
    <w:rsid w:val="00F4641F"/>
    <w:rsid w:val="00F46CC7"/>
    <w:rsid w:val="00F47E2A"/>
    <w:rsid w:val="00F47F67"/>
    <w:rsid w:val="00F50079"/>
    <w:rsid w:val="00F504B9"/>
    <w:rsid w:val="00F518CA"/>
    <w:rsid w:val="00F52778"/>
    <w:rsid w:val="00F52829"/>
    <w:rsid w:val="00F549F9"/>
    <w:rsid w:val="00F54ADB"/>
    <w:rsid w:val="00F54FB3"/>
    <w:rsid w:val="00F56CA4"/>
    <w:rsid w:val="00F579DA"/>
    <w:rsid w:val="00F600DD"/>
    <w:rsid w:val="00F613AC"/>
    <w:rsid w:val="00F62507"/>
    <w:rsid w:val="00F62F42"/>
    <w:rsid w:val="00F6335C"/>
    <w:rsid w:val="00F63520"/>
    <w:rsid w:val="00F64543"/>
    <w:rsid w:val="00F66602"/>
    <w:rsid w:val="00F6790E"/>
    <w:rsid w:val="00F70C1C"/>
    <w:rsid w:val="00F72B94"/>
    <w:rsid w:val="00F72C23"/>
    <w:rsid w:val="00F73510"/>
    <w:rsid w:val="00F73A9A"/>
    <w:rsid w:val="00F748CA"/>
    <w:rsid w:val="00F7575C"/>
    <w:rsid w:val="00F762B9"/>
    <w:rsid w:val="00F768A4"/>
    <w:rsid w:val="00F76D94"/>
    <w:rsid w:val="00F77230"/>
    <w:rsid w:val="00F7775F"/>
    <w:rsid w:val="00F800CE"/>
    <w:rsid w:val="00F808F2"/>
    <w:rsid w:val="00F80D8B"/>
    <w:rsid w:val="00F80E52"/>
    <w:rsid w:val="00F81241"/>
    <w:rsid w:val="00F825A0"/>
    <w:rsid w:val="00F835B0"/>
    <w:rsid w:val="00F84B17"/>
    <w:rsid w:val="00F858DE"/>
    <w:rsid w:val="00F87B3D"/>
    <w:rsid w:val="00F87FA6"/>
    <w:rsid w:val="00F87FE0"/>
    <w:rsid w:val="00F9025B"/>
    <w:rsid w:val="00F943C0"/>
    <w:rsid w:val="00F945AE"/>
    <w:rsid w:val="00F9591C"/>
    <w:rsid w:val="00F95E22"/>
    <w:rsid w:val="00F963A8"/>
    <w:rsid w:val="00F9668A"/>
    <w:rsid w:val="00F96FE2"/>
    <w:rsid w:val="00F97434"/>
    <w:rsid w:val="00FA0520"/>
    <w:rsid w:val="00FA061A"/>
    <w:rsid w:val="00FA149F"/>
    <w:rsid w:val="00FA19D9"/>
    <w:rsid w:val="00FA1DAE"/>
    <w:rsid w:val="00FA216F"/>
    <w:rsid w:val="00FA2459"/>
    <w:rsid w:val="00FA3548"/>
    <w:rsid w:val="00FA571F"/>
    <w:rsid w:val="00FA5B1F"/>
    <w:rsid w:val="00FA5CFC"/>
    <w:rsid w:val="00FA6C04"/>
    <w:rsid w:val="00FB138D"/>
    <w:rsid w:val="00FB1C0E"/>
    <w:rsid w:val="00FB2020"/>
    <w:rsid w:val="00FB36AA"/>
    <w:rsid w:val="00FB4095"/>
    <w:rsid w:val="00FB4329"/>
    <w:rsid w:val="00FB5CC6"/>
    <w:rsid w:val="00FB5EED"/>
    <w:rsid w:val="00FB6A62"/>
    <w:rsid w:val="00FB6F1B"/>
    <w:rsid w:val="00FC048F"/>
    <w:rsid w:val="00FC050E"/>
    <w:rsid w:val="00FC0B4C"/>
    <w:rsid w:val="00FC0E59"/>
    <w:rsid w:val="00FC1862"/>
    <w:rsid w:val="00FC2153"/>
    <w:rsid w:val="00FC2517"/>
    <w:rsid w:val="00FC2EAD"/>
    <w:rsid w:val="00FC410C"/>
    <w:rsid w:val="00FC4457"/>
    <w:rsid w:val="00FC4561"/>
    <w:rsid w:val="00FC5DA2"/>
    <w:rsid w:val="00FC70F4"/>
    <w:rsid w:val="00FC728A"/>
    <w:rsid w:val="00FD05A1"/>
    <w:rsid w:val="00FD0A1D"/>
    <w:rsid w:val="00FD16F8"/>
    <w:rsid w:val="00FD344A"/>
    <w:rsid w:val="00FD3565"/>
    <w:rsid w:val="00FD41E7"/>
    <w:rsid w:val="00FD458A"/>
    <w:rsid w:val="00FD53DE"/>
    <w:rsid w:val="00FD5862"/>
    <w:rsid w:val="00FD5CC3"/>
    <w:rsid w:val="00FD65F5"/>
    <w:rsid w:val="00FD6E3E"/>
    <w:rsid w:val="00FD6E6E"/>
    <w:rsid w:val="00FD7597"/>
    <w:rsid w:val="00FD7801"/>
    <w:rsid w:val="00FD7BEA"/>
    <w:rsid w:val="00FD7CD4"/>
    <w:rsid w:val="00FE0085"/>
    <w:rsid w:val="00FE062B"/>
    <w:rsid w:val="00FE1AE5"/>
    <w:rsid w:val="00FE24BE"/>
    <w:rsid w:val="00FE2C07"/>
    <w:rsid w:val="00FE3462"/>
    <w:rsid w:val="00FE49D3"/>
    <w:rsid w:val="00FE71BC"/>
    <w:rsid w:val="00FE7270"/>
    <w:rsid w:val="00FE7F7D"/>
    <w:rsid w:val="00FF0AA6"/>
    <w:rsid w:val="00FF0EDF"/>
    <w:rsid w:val="00FF124A"/>
    <w:rsid w:val="00FF14A4"/>
    <w:rsid w:val="00FF156C"/>
    <w:rsid w:val="00FF2692"/>
    <w:rsid w:val="00FF2EA9"/>
    <w:rsid w:val="00FF313C"/>
    <w:rsid w:val="00FF398A"/>
    <w:rsid w:val="00FF399D"/>
    <w:rsid w:val="00FF40B8"/>
    <w:rsid w:val="00FF446F"/>
    <w:rsid w:val="00FF48D7"/>
    <w:rsid w:val="00FF5338"/>
    <w:rsid w:val="00FF57CD"/>
    <w:rsid w:val="00FF7327"/>
    <w:rsid w:val="00FF7557"/>
    <w:rsid w:val="00FF7F33"/>
    <w:rsid w:val="014897B2"/>
    <w:rsid w:val="01725957"/>
    <w:rsid w:val="01CD2AAF"/>
    <w:rsid w:val="01FAF300"/>
    <w:rsid w:val="026F9D67"/>
    <w:rsid w:val="02C8697B"/>
    <w:rsid w:val="03CC3855"/>
    <w:rsid w:val="04077C51"/>
    <w:rsid w:val="050556DE"/>
    <w:rsid w:val="053FA985"/>
    <w:rsid w:val="0606FAA9"/>
    <w:rsid w:val="062FCA46"/>
    <w:rsid w:val="0672C8F7"/>
    <w:rsid w:val="06E74D1E"/>
    <w:rsid w:val="075F030B"/>
    <w:rsid w:val="08441ADD"/>
    <w:rsid w:val="09B22373"/>
    <w:rsid w:val="09ED676F"/>
    <w:rsid w:val="09EF418B"/>
    <w:rsid w:val="0A61A458"/>
    <w:rsid w:val="0A7E788A"/>
    <w:rsid w:val="0A9478BE"/>
    <w:rsid w:val="0A967CD2"/>
    <w:rsid w:val="0C760A57"/>
    <w:rsid w:val="0C80B2D5"/>
    <w:rsid w:val="0CDAE73E"/>
    <w:rsid w:val="0CFD6784"/>
    <w:rsid w:val="0D8EDD46"/>
    <w:rsid w:val="0DD50325"/>
    <w:rsid w:val="0E15B6F4"/>
    <w:rsid w:val="0E49BA1D"/>
    <w:rsid w:val="0E5440F6"/>
    <w:rsid w:val="0E7D1093"/>
    <w:rsid w:val="0EB9837F"/>
    <w:rsid w:val="0EEE6D8C"/>
    <w:rsid w:val="0EEEA05D"/>
    <w:rsid w:val="0F597191"/>
    <w:rsid w:val="0F72CBC4"/>
    <w:rsid w:val="0F927FE6"/>
    <w:rsid w:val="0FDAA89B"/>
    <w:rsid w:val="0FDBFCB9"/>
    <w:rsid w:val="10239A6E"/>
    <w:rsid w:val="107D2663"/>
    <w:rsid w:val="1091C5D1"/>
    <w:rsid w:val="10B76E40"/>
    <w:rsid w:val="112BBF96"/>
    <w:rsid w:val="1195C77C"/>
    <w:rsid w:val="11F44E6D"/>
    <w:rsid w:val="1207891C"/>
    <w:rsid w:val="1244C60E"/>
    <w:rsid w:val="1281F8EE"/>
    <w:rsid w:val="12E5E353"/>
    <w:rsid w:val="139623D1"/>
    <w:rsid w:val="13E3BD7C"/>
    <w:rsid w:val="1408048E"/>
    <w:rsid w:val="146BE556"/>
    <w:rsid w:val="14A199AC"/>
    <w:rsid w:val="151A19E2"/>
    <w:rsid w:val="154E6C77"/>
    <w:rsid w:val="157C85F4"/>
    <w:rsid w:val="15A20E87"/>
    <w:rsid w:val="168F12E4"/>
    <w:rsid w:val="16A578BA"/>
    <w:rsid w:val="16CC4F1E"/>
    <w:rsid w:val="16F1F78D"/>
    <w:rsid w:val="183174AE"/>
    <w:rsid w:val="183AF027"/>
    <w:rsid w:val="186FA85E"/>
    <w:rsid w:val="189CA5E0"/>
    <w:rsid w:val="18DAAB68"/>
    <w:rsid w:val="1A1B84A6"/>
    <w:rsid w:val="1A397260"/>
    <w:rsid w:val="1A3BFD17"/>
    <w:rsid w:val="1A475338"/>
    <w:rsid w:val="1A7CBC16"/>
    <w:rsid w:val="1A8340C4"/>
    <w:rsid w:val="1AB2246C"/>
    <w:rsid w:val="1B15A08D"/>
    <w:rsid w:val="1B4431A6"/>
    <w:rsid w:val="1BA6B1A8"/>
    <w:rsid w:val="1BD7CD78"/>
    <w:rsid w:val="1BF49141"/>
    <w:rsid w:val="1C11DB36"/>
    <w:rsid w:val="1C184077"/>
    <w:rsid w:val="1C388C11"/>
    <w:rsid w:val="1C71D6D4"/>
    <w:rsid w:val="1C7B89C7"/>
    <w:rsid w:val="1C9AD942"/>
    <w:rsid w:val="1C9DB95F"/>
    <w:rsid w:val="1CB7C9E2"/>
    <w:rsid w:val="1D72A6B9"/>
    <w:rsid w:val="1D78038E"/>
    <w:rsid w:val="1EC06568"/>
    <w:rsid w:val="1EE6A39C"/>
    <w:rsid w:val="1FE78E0D"/>
    <w:rsid w:val="206BDC51"/>
    <w:rsid w:val="20AEA831"/>
    <w:rsid w:val="212FEB28"/>
    <w:rsid w:val="21369CD6"/>
    <w:rsid w:val="2167AC3E"/>
    <w:rsid w:val="21A4C30A"/>
    <w:rsid w:val="21B1481B"/>
    <w:rsid w:val="21E070AC"/>
    <w:rsid w:val="21E7C6BA"/>
    <w:rsid w:val="21FE9137"/>
    <w:rsid w:val="2225B112"/>
    <w:rsid w:val="2262A3D5"/>
    <w:rsid w:val="23022D40"/>
    <w:rsid w:val="23364DFF"/>
    <w:rsid w:val="234033C3"/>
    <w:rsid w:val="23559D7A"/>
    <w:rsid w:val="23F0A797"/>
    <w:rsid w:val="2460DC23"/>
    <w:rsid w:val="24793845"/>
    <w:rsid w:val="248F20AA"/>
    <w:rsid w:val="248F8551"/>
    <w:rsid w:val="24A48966"/>
    <w:rsid w:val="25359A81"/>
    <w:rsid w:val="255C1FF2"/>
    <w:rsid w:val="2612C4CD"/>
    <w:rsid w:val="2641ED5E"/>
    <w:rsid w:val="264A3F8B"/>
    <w:rsid w:val="2664FF88"/>
    <w:rsid w:val="270A7937"/>
    <w:rsid w:val="272F575D"/>
    <w:rsid w:val="2796371A"/>
    <w:rsid w:val="27DB92B0"/>
    <w:rsid w:val="27E402AF"/>
    <w:rsid w:val="281DD4E3"/>
    <w:rsid w:val="284E1F51"/>
    <w:rsid w:val="290E8B16"/>
    <w:rsid w:val="2935617A"/>
    <w:rsid w:val="2944A413"/>
    <w:rsid w:val="2967572A"/>
    <w:rsid w:val="29BB5DE1"/>
    <w:rsid w:val="2A4E0293"/>
    <w:rsid w:val="2A5C163C"/>
    <w:rsid w:val="2AAAC01E"/>
    <w:rsid w:val="2AF04E85"/>
    <w:rsid w:val="2B675732"/>
    <w:rsid w:val="2BE80C8C"/>
    <w:rsid w:val="2BE96E4D"/>
    <w:rsid w:val="2CE4EAFA"/>
    <w:rsid w:val="2D02D8B4"/>
    <w:rsid w:val="2D927FE8"/>
    <w:rsid w:val="2DE1FC39"/>
    <w:rsid w:val="2E16819F"/>
    <w:rsid w:val="2E6EB63B"/>
    <w:rsid w:val="2E88A7E6"/>
    <w:rsid w:val="2ECF930F"/>
    <w:rsid w:val="2EDC49F6"/>
    <w:rsid w:val="2F2A8F31"/>
    <w:rsid w:val="300CB1AB"/>
    <w:rsid w:val="30EAD911"/>
    <w:rsid w:val="30F0CD5E"/>
    <w:rsid w:val="314F923E"/>
    <w:rsid w:val="3159D82A"/>
    <w:rsid w:val="319F6691"/>
    <w:rsid w:val="31E47B7B"/>
    <w:rsid w:val="3241B283"/>
    <w:rsid w:val="32483E48"/>
    <w:rsid w:val="32725089"/>
    <w:rsid w:val="33721A38"/>
    <w:rsid w:val="33731657"/>
    <w:rsid w:val="3379D4ED"/>
    <w:rsid w:val="33C620EF"/>
    <w:rsid w:val="33D09E2B"/>
    <w:rsid w:val="33E1C339"/>
    <w:rsid w:val="344F4484"/>
    <w:rsid w:val="34933F54"/>
    <w:rsid w:val="34A3B0DD"/>
    <w:rsid w:val="34E39D7D"/>
    <w:rsid w:val="3568E1BC"/>
    <w:rsid w:val="35810DFA"/>
    <w:rsid w:val="359F04BB"/>
    <w:rsid w:val="36463ED9"/>
    <w:rsid w:val="36A297BD"/>
    <w:rsid w:val="36B9950B"/>
    <w:rsid w:val="370AB848"/>
    <w:rsid w:val="3715D4C8"/>
    <w:rsid w:val="372B56AB"/>
    <w:rsid w:val="37487875"/>
    <w:rsid w:val="37670AE1"/>
    <w:rsid w:val="37BC34F5"/>
    <w:rsid w:val="384526B4"/>
    <w:rsid w:val="390C50CC"/>
    <w:rsid w:val="39328FB8"/>
    <w:rsid w:val="3A1613F3"/>
    <w:rsid w:val="3A50BA40"/>
    <w:rsid w:val="3A5B6F89"/>
    <w:rsid w:val="3AACB3B9"/>
    <w:rsid w:val="3B0BCF24"/>
    <w:rsid w:val="3B143505"/>
    <w:rsid w:val="3B8168FD"/>
    <w:rsid w:val="3B8B0CF5"/>
    <w:rsid w:val="3C2BC550"/>
    <w:rsid w:val="3C598D1B"/>
    <w:rsid w:val="3D205191"/>
    <w:rsid w:val="3D305E73"/>
    <w:rsid w:val="3D30F5EB"/>
    <w:rsid w:val="3E0D56E9"/>
    <w:rsid w:val="3E493162"/>
    <w:rsid w:val="3E4FEFF8"/>
    <w:rsid w:val="3EF8F985"/>
    <w:rsid w:val="3F2F4553"/>
    <w:rsid w:val="3F2FDCCB"/>
    <w:rsid w:val="3F780580"/>
    <w:rsid w:val="40188B0A"/>
    <w:rsid w:val="40C291B1"/>
    <w:rsid w:val="41047EC8"/>
    <w:rsid w:val="4105C238"/>
    <w:rsid w:val="415A9338"/>
    <w:rsid w:val="418F189E"/>
    <w:rsid w:val="41A0FA76"/>
    <w:rsid w:val="41A67A93"/>
    <w:rsid w:val="41E48116"/>
    <w:rsid w:val="41EC3AD0"/>
    <w:rsid w:val="42C79FAF"/>
    <w:rsid w:val="42D0A1E6"/>
    <w:rsid w:val="431F46EA"/>
    <w:rsid w:val="44CE4144"/>
    <w:rsid w:val="454887E2"/>
    <w:rsid w:val="45A25015"/>
    <w:rsid w:val="4614DBFE"/>
    <w:rsid w:val="468D7F6E"/>
    <w:rsid w:val="46A37061"/>
    <w:rsid w:val="46DD67D7"/>
    <w:rsid w:val="46F52E73"/>
    <w:rsid w:val="4703C024"/>
    <w:rsid w:val="477E1F37"/>
    <w:rsid w:val="47A154F0"/>
    <w:rsid w:val="48269247"/>
    <w:rsid w:val="49237377"/>
    <w:rsid w:val="496738B4"/>
    <w:rsid w:val="496E5BF1"/>
    <w:rsid w:val="49B87CE4"/>
    <w:rsid w:val="49F7B257"/>
    <w:rsid w:val="4A052B00"/>
    <w:rsid w:val="4ABA20AF"/>
    <w:rsid w:val="4B567854"/>
    <w:rsid w:val="4B6B17C2"/>
    <w:rsid w:val="4BCF5D31"/>
    <w:rsid w:val="4BD0BEF2"/>
    <w:rsid w:val="4C4FFCC3"/>
    <w:rsid w:val="4C5881C1"/>
    <w:rsid w:val="4C9CAE67"/>
    <w:rsid w:val="4D0E794E"/>
    <w:rsid w:val="4D10366F"/>
    <w:rsid w:val="4D73B290"/>
    <w:rsid w:val="4E1F566B"/>
    <w:rsid w:val="4E5F2356"/>
    <w:rsid w:val="4E8D819E"/>
    <w:rsid w:val="4E95D3CB"/>
    <w:rsid w:val="4F1CFF22"/>
    <w:rsid w:val="4F5874F4"/>
    <w:rsid w:val="4F9C650E"/>
    <w:rsid w:val="4FA4F3C7"/>
    <w:rsid w:val="505E97B7"/>
    <w:rsid w:val="50FDC672"/>
    <w:rsid w:val="513A9E05"/>
    <w:rsid w:val="5160DC84"/>
    <w:rsid w:val="518F6F78"/>
    <w:rsid w:val="51D29E91"/>
    <w:rsid w:val="51DB8836"/>
    <w:rsid w:val="525C27C8"/>
    <w:rsid w:val="528F7E3E"/>
    <w:rsid w:val="52DBFD11"/>
    <w:rsid w:val="534F693B"/>
    <w:rsid w:val="53D6B070"/>
    <w:rsid w:val="53EE2443"/>
    <w:rsid w:val="542B4E9F"/>
    <w:rsid w:val="5441087D"/>
    <w:rsid w:val="545A30DA"/>
    <w:rsid w:val="55C97CE0"/>
    <w:rsid w:val="55CB1077"/>
    <w:rsid w:val="55DCD8DE"/>
    <w:rsid w:val="560D44DF"/>
    <w:rsid w:val="5696CE16"/>
    <w:rsid w:val="5747A60C"/>
    <w:rsid w:val="57F605DC"/>
    <w:rsid w:val="58DADE73"/>
    <w:rsid w:val="591CAD7C"/>
    <w:rsid w:val="59F5453C"/>
    <w:rsid w:val="5A3A3C2B"/>
    <w:rsid w:val="5A57926D"/>
    <w:rsid w:val="5A9C568B"/>
    <w:rsid w:val="5AEFC5CA"/>
    <w:rsid w:val="5B42D062"/>
    <w:rsid w:val="5B885EC9"/>
    <w:rsid w:val="5BDC6580"/>
    <w:rsid w:val="5BF93F8A"/>
    <w:rsid w:val="5C127F35"/>
    <w:rsid w:val="5C319B27"/>
    <w:rsid w:val="5C8376CF"/>
    <w:rsid w:val="5CBFB6EA"/>
    <w:rsid w:val="5D446BD4"/>
    <w:rsid w:val="5D94C24F"/>
    <w:rsid w:val="5DEB2671"/>
    <w:rsid w:val="5DF0E8E8"/>
    <w:rsid w:val="5F1156D8"/>
    <w:rsid w:val="5FE94403"/>
    <w:rsid w:val="5FF6C034"/>
    <w:rsid w:val="6016A727"/>
    <w:rsid w:val="60AF2AAB"/>
    <w:rsid w:val="60B56649"/>
    <w:rsid w:val="60B5FDC1"/>
    <w:rsid w:val="610987A1"/>
    <w:rsid w:val="6149071A"/>
    <w:rsid w:val="616D1AF7"/>
    <w:rsid w:val="617B6171"/>
    <w:rsid w:val="61C0258F"/>
    <w:rsid w:val="61C35EA0"/>
    <w:rsid w:val="621F73CB"/>
    <w:rsid w:val="622B2994"/>
    <w:rsid w:val="62BB5BE6"/>
    <w:rsid w:val="63990054"/>
    <w:rsid w:val="63B53B71"/>
    <w:rsid w:val="63B97DC4"/>
    <w:rsid w:val="63E54C56"/>
    <w:rsid w:val="64131421"/>
    <w:rsid w:val="6457D83F"/>
    <w:rsid w:val="646ADB31"/>
    <w:rsid w:val="6490ABB5"/>
    <w:rsid w:val="649AF446"/>
    <w:rsid w:val="64A3BF9A"/>
    <w:rsid w:val="650CBBCA"/>
    <w:rsid w:val="651F66FE"/>
    <w:rsid w:val="661C783D"/>
    <w:rsid w:val="662F9E71"/>
    <w:rsid w:val="6692031B"/>
    <w:rsid w:val="66C9EA72"/>
    <w:rsid w:val="67ADD8D2"/>
    <w:rsid w:val="67B3FBFC"/>
    <w:rsid w:val="6977FB06"/>
    <w:rsid w:val="6988D136"/>
    <w:rsid w:val="6A1E605D"/>
    <w:rsid w:val="6A6C22A0"/>
    <w:rsid w:val="6AA1A425"/>
    <w:rsid w:val="6AAC2161"/>
    <w:rsid w:val="6AEB6071"/>
    <w:rsid w:val="6BDAC2AE"/>
    <w:rsid w:val="6CA3B32E"/>
    <w:rsid w:val="6CB94EBB"/>
    <w:rsid w:val="6CF29EE5"/>
    <w:rsid w:val="6DF0740B"/>
    <w:rsid w:val="6DF732A1"/>
    <w:rsid w:val="6E077159"/>
    <w:rsid w:val="6E85C4E9"/>
    <w:rsid w:val="6ED58BDD"/>
    <w:rsid w:val="6F01F1DD"/>
    <w:rsid w:val="6FECC032"/>
    <w:rsid w:val="705F246C"/>
    <w:rsid w:val="706FC8A7"/>
    <w:rsid w:val="70747984"/>
    <w:rsid w:val="70CA8DF4"/>
    <w:rsid w:val="70CB256C"/>
    <w:rsid w:val="719A3C0F"/>
    <w:rsid w:val="721049E5"/>
    <w:rsid w:val="728F41A6"/>
    <w:rsid w:val="736C8B0F"/>
    <w:rsid w:val="73AC1A46"/>
    <w:rsid w:val="7443E9EC"/>
    <w:rsid w:val="74463744"/>
    <w:rsid w:val="7449E82C"/>
    <w:rsid w:val="744FDC79"/>
    <w:rsid w:val="74A3E330"/>
    <w:rsid w:val="74AA6EF5"/>
    <w:rsid w:val="74F5BED8"/>
    <w:rsid w:val="759DFF17"/>
    <w:rsid w:val="75AE3DCF"/>
    <w:rsid w:val="75B00437"/>
    <w:rsid w:val="75B5610C"/>
    <w:rsid w:val="75C6E268"/>
    <w:rsid w:val="75EA4B19"/>
    <w:rsid w:val="75F1D2FD"/>
    <w:rsid w:val="760934F2"/>
    <w:rsid w:val="760F8C2A"/>
    <w:rsid w:val="761B3ACA"/>
    <w:rsid w:val="76310870"/>
    <w:rsid w:val="767A0382"/>
    <w:rsid w:val="768A0755"/>
    <w:rsid w:val="77356EC2"/>
    <w:rsid w:val="7793304B"/>
    <w:rsid w:val="779590E4"/>
    <w:rsid w:val="7809B064"/>
    <w:rsid w:val="78FE832A"/>
    <w:rsid w:val="796089D6"/>
    <w:rsid w:val="79C1A817"/>
    <w:rsid w:val="7A0F2309"/>
    <w:rsid w:val="7A2EA45A"/>
    <w:rsid w:val="7A3562F0"/>
    <w:rsid w:val="7AA8EAF8"/>
    <w:rsid w:val="7B3B5CD9"/>
    <w:rsid w:val="7B9BB0D1"/>
    <w:rsid w:val="7BF081D1"/>
    <w:rsid w:val="7F0E62BE"/>
    <w:rsid w:val="7F683CCF"/>
    <w:rsid w:val="7FB07CDA"/>
    <w:rsid w:val="7FC1B7B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C829"/>
  <w15:docId w15:val="{0C1151B2-DB67-484D-8615-4F5DC5DC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41067"/>
  </w:style>
  <w:style w:type="paragraph" w:styleId="Heading1">
    <w:name w:val="heading 1"/>
    <w:aliases w:val="Meeting Title"/>
    <w:basedOn w:val="Normal"/>
    <w:next w:val="Normal"/>
    <w:link w:val="Heading1Char"/>
    <w:qFormat/>
    <w:rsid w:val="00DB45A5"/>
    <w:pPr>
      <w:suppressAutoHyphens/>
      <w:spacing w:after="0"/>
      <w:jc w:val="center"/>
      <w:outlineLvl w:val="0"/>
    </w:pPr>
    <w:rPr>
      <w:rFonts w:ascii="Arial" w:eastAsiaTheme="minorEastAsia" w:hAnsi="Arial" w:cs="Arial"/>
      <w:color w:val="00AEEF" w:themeColor="text2"/>
      <w:sz w:val="32"/>
    </w:rPr>
  </w:style>
  <w:style w:type="paragraph" w:styleId="Heading2">
    <w:name w:val="heading 2"/>
    <w:aliases w:val="Main Lvl 1"/>
    <w:basedOn w:val="Heading1"/>
    <w:next w:val="Normal"/>
    <w:link w:val="Heading2Char"/>
    <w:uiPriority w:val="14"/>
    <w:qFormat/>
    <w:rsid w:val="00DB45A5"/>
    <w:pPr>
      <w:keepNext/>
      <w:keepLines/>
      <w:pBdr>
        <w:top w:val="single" w:sz="12" w:space="2" w:color="002D73" w:themeColor="accent1"/>
        <w:left w:val="single" w:sz="48" w:space="0" w:color="002D73" w:themeColor="accent1"/>
        <w:bottom w:val="single" w:sz="12" w:space="4" w:color="002D73" w:themeColor="accent1"/>
      </w:pBdr>
      <w:shd w:val="clear" w:color="auto" w:fill="002D73" w:themeFill="accent1"/>
      <w:tabs>
        <w:tab w:val="left" w:pos="475"/>
      </w:tabs>
      <w:spacing w:before="360" w:after="240"/>
      <w:contextualSpacing/>
      <w:outlineLvl w:val="1"/>
    </w:pPr>
    <w:rPr>
      <w:b/>
      <w:color w:val="FFFFFF" w:themeColor="background1"/>
    </w:rPr>
  </w:style>
  <w:style w:type="paragraph" w:styleId="Heading3">
    <w:name w:val="heading 3"/>
    <w:aliases w:val="Main Lvl 2"/>
    <w:basedOn w:val="Heading2"/>
    <w:next w:val="Normal"/>
    <w:link w:val="Heading3Char"/>
    <w:uiPriority w:val="14"/>
    <w:qFormat/>
    <w:rsid w:val="00C547F5"/>
    <w:pPr>
      <w:numPr>
        <w:ilvl w:val="1"/>
      </w:numPr>
      <w:pBdr>
        <w:top w:val="none" w:sz="0" w:space="0" w:color="auto"/>
        <w:left w:val="none" w:sz="0" w:space="0" w:color="auto"/>
        <w:bottom w:val="single" w:sz="18" w:space="1" w:color="00AEEF" w:themeColor="text2"/>
      </w:pBdr>
      <w:shd w:val="clear" w:color="auto" w:fill="auto"/>
      <w:tabs>
        <w:tab w:val="clear" w:pos="475"/>
        <w:tab w:val="left" w:pos="720"/>
      </w:tabs>
      <w:spacing w:before="240" w:after="0"/>
      <w:outlineLvl w:val="2"/>
    </w:pPr>
    <w:rPr>
      <w:rFonts w:eastAsiaTheme="majorEastAsia" w:cstheme="majorBidi"/>
      <w:color w:val="002D73" w:themeColor="accent1"/>
      <w:sz w:val="24"/>
    </w:rPr>
  </w:style>
  <w:style w:type="paragraph" w:styleId="Heading4">
    <w:name w:val="heading 4"/>
    <w:aliases w:val="Main Lvl 3"/>
    <w:basedOn w:val="Heading3"/>
    <w:next w:val="Normal"/>
    <w:link w:val="Heading4Char"/>
    <w:uiPriority w:val="14"/>
    <w:qFormat/>
    <w:rsid w:val="00C547F5"/>
    <w:pPr>
      <w:numPr>
        <w:ilvl w:val="2"/>
      </w:numPr>
      <w:pBdr>
        <w:bottom w:val="none" w:sz="0" w:space="0" w:color="auto"/>
      </w:pBdr>
      <w:spacing w:before="0"/>
      <w:contextualSpacing w:val="0"/>
      <w:outlineLvl w:val="3"/>
    </w:pPr>
  </w:style>
  <w:style w:type="paragraph" w:styleId="Heading5">
    <w:name w:val="heading 5"/>
    <w:aliases w:val="Main Lvl 4"/>
    <w:basedOn w:val="Heading4"/>
    <w:next w:val="Normal"/>
    <w:link w:val="Heading5Char"/>
    <w:uiPriority w:val="14"/>
    <w:qFormat/>
    <w:rsid w:val="00C547F5"/>
    <w:pPr>
      <w:numPr>
        <w:ilvl w:val="0"/>
      </w:numPr>
      <w:outlineLvl w:val="4"/>
    </w:pPr>
    <w:rPr>
      <w:b w:val="0"/>
    </w:rPr>
  </w:style>
  <w:style w:type="paragraph" w:styleId="Heading6">
    <w:name w:val="heading 6"/>
    <w:aliases w:val="Appendix Lvl 1"/>
    <w:basedOn w:val="Normal"/>
    <w:next w:val="Normal"/>
    <w:link w:val="Heading6Char"/>
    <w:uiPriority w:val="14"/>
    <w:qFormat/>
    <w:rsid w:val="00C547F5"/>
    <w:pPr>
      <w:keepNext/>
      <w:keepLines/>
      <w:numPr>
        <w:ilvl w:val="5"/>
        <w:numId w:val="10"/>
      </w:numPr>
      <w:tabs>
        <w:tab w:val="left" w:pos="475"/>
      </w:tabs>
      <w:suppressAutoHyphens/>
      <w:contextualSpacing/>
      <w:jc w:val="center"/>
      <w:outlineLvl w:val="5"/>
    </w:pPr>
    <w:rPr>
      <w:rFonts w:ascii="Arial" w:eastAsiaTheme="minorEastAsia" w:hAnsi="Arial" w:cs="Arial"/>
      <w:b/>
      <w:color w:val="002D73" w:themeColor="accent1"/>
      <w:sz w:val="32"/>
    </w:rPr>
  </w:style>
  <w:style w:type="paragraph" w:styleId="Heading7">
    <w:name w:val="heading 7"/>
    <w:aliases w:val="Appendix Lvl 2"/>
    <w:basedOn w:val="Normal"/>
    <w:next w:val="Normal"/>
    <w:link w:val="Heading7Char"/>
    <w:uiPriority w:val="14"/>
    <w:qFormat/>
    <w:rsid w:val="00C547F5"/>
    <w:pPr>
      <w:keepNext/>
      <w:keepLines/>
      <w:numPr>
        <w:ilvl w:val="6"/>
        <w:numId w:val="10"/>
      </w:numPr>
      <w:pBdr>
        <w:bottom w:val="single" w:sz="18" w:space="1" w:color="00AEEF" w:themeColor="text2"/>
      </w:pBdr>
      <w:tabs>
        <w:tab w:val="left" w:pos="475"/>
      </w:tabs>
      <w:suppressAutoHyphens/>
      <w:spacing w:before="240" w:after="0"/>
      <w:ind w:left="720" w:hanging="720"/>
      <w:contextualSpacing/>
      <w:jc w:val="left"/>
      <w:outlineLvl w:val="6"/>
    </w:pPr>
    <w:rPr>
      <w:rFonts w:ascii="Arial" w:eastAsiaTheme="majorEastAsia" w:hAnsi="Arial" w:cstheme="majorBidi"/>
      <w:b/>
      <w:color w:val="002D73" w:themeColor="accent1"/>
    </w:rPr>
  </w:style>
  <w:style w:type="paragraph" w:styleId="Heading8">
    <w:name w:val="heading 8"/>
    <w:aliases w:val="Appendix Lvl 3"/>
    <w:basedOn w:val="Normal"/>
    <w:next w:val="Normal"/>
    <w:link w:val="Heading8Char"/>
    <w:uiPriority w:val="14"/>
    <w:qFormat/>
    <w:rsid w:val="00C547F5"/>
    <w:pPr>
      <w:keepNext/>
      <w:keepLines/>
      <w:numPr>
        <w:ilvl w:val="7"/>
        <w:numId w:val="10"/>
      </w:numPr>
      <w:tabs>
        <w:tab w:val="left" w:pos="720"/>
      </w:tabs>
      <w:suppressAutoHyphens/>
      <w:spacing w:after="0"/>
      <w:jc w:val="left"/>
      <w:outlineLvl w:val="7"/>
    </w:pPr>
    <w:rPr>
      <w:rFonts w:ascii="Arial" w:eastAsiaTheme="majorEastAsia" w:hAnsi="Arial" w:cs="Arial"/>
      <w:b/>
      <w:color w:val="002D73" w:themeColor="accent1"/>
    </w:rPr>
  </w:style>
  <w:style w:type="paragraph" w:styleId="Heading9">
    <w:name w:val="heading 9"/>
    <w:aliases w:val="Appendix Lvl 4"/>
    <w:basedOn w:val="Normal"/>
    <w:next w:val="Normal"/>
    <w:link w:val="Heading9Char"/>
    <w:uiPriority w:val="14"/>
    <w:qFormat/>
    <w:rsid w:val="00C547F5"/>
    <w:pPr>
      <w:keepNext/>
      <w:keepLines/>
      <w:tabs>
        <w:tab w:val="left" w:pos="720"/>
      </w:tabs>
      <w:suppressAutoHyphens/>
      <w:spacing w:after="0"/>
      <w:jc w:val="left"/>
      <w:outlineLvl w:val="8"/>
    </w:pPr>
    <w:rPr>
      <w:rFonts w:ascii="Arial" w:eastAsiaTheme="majorEastAsia" w:hAnsi="Arial" w:cs="Arial"/>
      <w:color w:val="002D7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eeting Title Char"/>
    <w:basedOn w:val="DefaultParagraphFont"/>
    <w:link w:val="Heading1"/>
    <w:rsid w:val="00DB45A5"/>
    <w:rPr>
      <w:rFonts w:ascii="Arial" w:eastAsiaTheme="minorEastAsia" w:hAnsi="Arial" w:cs="Arial"/>
      <w:color w:val="00AEEF" w:themeColor="text2"/>
      <w:sz w:val="32"/>
    </w:rPr>
  </w:style>
  <w:style w:type="character" w:customStyle="1" w:styleId="Heading2Char">
    <w:name w:val="Heading 2 Char"/>
    <w:aliases w:val="Main Lvl 1 Char"/>
    <w:basedOn w:val="DefaultParagraphFont"/>
    <w:link w:val="Heading2"/>
    <w:uiPriority w:val="14"/>
    <w:rsid w:val="00C547F5"/>
    <w:rPr>
      <w:rFonts w:ascii="Arial" w:eastAsiaTheme="minorEastAsia" w:hAnsi="Arial" w:cs="Arial"/>
      <w:b/>
      <w:color w:val="FFFFFF" w:themeColor="background1"/>
      <w:sz w:val="32"/>
      <w:shd w:val="clear" w:color="auto" w:fill="002D73" w:themeFill="accent1"/>
    </w:rPr>
  </w:style>
  <w:style w:type="character" w:customStyle="1" w:styleId="Heading3Char">
    <w:name w:val="Heading 3 Char"/>
    <w:aliases w:val="Main Lvl 2 Char"/>
    <w:basedOn w:val="DefaultParagraphFont"/>
    <w:link w:val="Heading3"/>
    <w:uiPriority w:val="14"/>
    <w:rsid w:val="00C547F5"/>
    <w:rPr>
      <w:rFonts w:ascii="Arial" w:eastAsiaTheme="majorEastAsia" w:hAnsi="Arial" w:cstheme="majorBidi"/>
      <w:b/>
      <w:color w:val="002D73" w:themeColor="accent1"/>
    </w:rPr>
  </w:style>
  <w:style w:type="character" w:customStyle="1" w:styleId="Heading4Char">
    <w:name w:val="Heading 4 Char"/>
    <w:aliases w:val="Main Lvl 3 Char"/>
    <w:basedOn w:val="DefaultParagraphFont"/>
    <w:link w:val="Heading4"/>
    <w:uiPriority w:val="14"/>
    <w:rsid w:val="00C547F5"/>
    <w:rPr>
      <w:rFonts w:ascii="Arial" w:eastAsiaTheme="majorEastAsia" w:hAnsi="Arial" w:cstheme="majorBidi"/>
      <w:b/>
      <w:color w:val="002D73" w:themeColor="accent1"/>
    </w:rPr>
  </w:style>
  <w:style w:type="character" w:customStyle="1" w:styleId="Heading5Char">
    <w:name w:val="Heading 5 Char"/>
    <w:aliases w:val="Main Lvl 4 Char"/>
    <w:basedOn w:val="DefaultParagraphFont"/>
    <w:link w:val="Heading5"/>
    <w:uiPriority w:val="14"/>
    <w:rsid w:val="00C547F5"/>
    <w:rPr>
      <w:rFonts w:ascii="Arial" w:eastAsiaTheme="majorEastAsia" w:hAnsi="Arial" w:cstheme="majorBidi"/>
      <w:color w:val="002D73" w:themeColor="accent1"/>
    </w:rPr>
  </w:style>
  <w:style w:type="character" w:customStyle="1" w:styleId="Heading6Char">
    <w:name w:val="Heading 6 Char"/>
    <w:aliases w:val="Appendix Lvl 1 Char"/>
    <w:basedOn w:val="DefaultParagraphFont"/>
    <w:link w:val="Heading6"/>
    <w:uiPriority w:val="14"/>
    <w:rsid w:val="00C547F5"/>
    <w:rPr>
      <w:rFonts w:ascii="Arial" w:eastAsiaTheme="minorEastAsia" w:hAnsi="Arial" w:cs="Arial"/>
      <w:b/>
      <w:color w:val="002D73" w:themeColor="accent1"/>
      <w:sz w:val="32"/>
    </w:rPr>
  </w:style>
  <w:style w:type="character" w:customStyle="1" w:styleId="Heading7Char">
    <w:name w:val="Heading 7 Char"/>
    <w:aliases w:val="Appendix Lvl 2 Char"/>
    <w:basedOn w:val="DefaultParagraphFont"/>
    <w:link w:val="Heading7"/>
    <w:uiPriority w:val="14"/>
    <w:rsid w:val="00C547F5"/>
    <w:rPr>
      <w:rFonts w:ascii="Arial" w:eastAsiaTheme="majorEastAsia" w:hAnsi="Arial" w:cstheme="majorBidi"/>
      <w:b/>
      <w:color w:val="002D73" w:themeColor="accent1"/>
    </w:rPr>
  </w:style>
  <w:style w:type="character" w:customStyle="1" w:styleId="Heading8Char">
    <w:name w:val="Heading 8 Char"/>
    <w:aliases w:val="Appendix Lvl 3 Char"/>
    <w:basedOn w:val="DefaultParagraphFont"/>
    <w:link w:val="Heading8"/>
    <w:uiPriority w:val="14"/>
    <w:rsid w:val="00C547F5"/>
    <w:rPr>
      <w:rFonts w:ascii="Arial" w:eastAsiaTheme="majorEastAsia" w:hAnsi="Arial" w:cs="Arial"/>
      <w:b/>
      <w:color w:val="002D73" w:themeColor="accent1"/>
    </w:rPr>
  </w:style>
  <w:style w:type="character" w:customStyle="1" w:styleId="Heading9Char">
    <w:name w:val="Heading 9 Char"/>
    <w:aliases w:val="Appendix Lvl 4 Char"/>
    <w:basedOn w:val="DefaultParagraphFont"/>
    <w:link w:val="Heading9"/>
    <w:uiPriority w:val="14"/>
    <w:rsid w:val="00C547F5"/>
    <w:rPr>
      <w:rFonts w:ascii="Arial" w:eastAsiaTheme="majorEastAsia" w:hAnsi="Arial" w:cs="Arial"/>
      <w:color w:val="002D73" w:themeColor="accent1"/>
    </w:rPr>
  </w:style>
  <w:style w:type="numbering" w:customStyle="1" w:styleId="Headings">
    <w:name w:val="Headings"/>
    <w:uiPriority w:val="99"/>
    <w:rsid w:val="00C547F5"/>
    <w:pPr>
      <w:numPr>
        <w:numId w:val="1"/>
      </w:numPr>
    </w:pPr>
  </w:style>
  <w:style w:type="table" w:styleId="TableGrid">
    <w:name w:val="Table Grid"/>
    <w:basedOn w:val="TableNormal"/>
    <w:uiPriority w:val="59"/>
    <w:rsid w:val="00C547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qFormat/>
    <w:rsid w:val="00C547F5"/>
    <w:pPr>
      <w:keepNext/>
      <w:keepLines/>
      <w:spacing w:before="240" w:after="40"/>
      <w:ind w:left="1152" w:hanging="1152"/>
      <w:contextualSpacing/>
    </w:pPr>
    <w:rPr>
      <w:rFonts w:ascii="Arial" w:hAnsi="Arial"/>
      <w:b/>
      <w:bCs/>
      <w:color w:val="002D73" w:themeColor="accent1"/>
      <w:sz w:val="22"/>
      <w:szCs w:val="18"/>
    </w:rPr>
  </w:style>
  <w:style w:type="paragraph" w:customStyle="1" w:styleId="TableColumnHeading">
    <w:name w:val="Table Column Heading"/>
    <w:link w:val="TableColumnHeadingChar"/>
    <w:uiPriority w:val="39"/>
    <w:qFormat/>
    <w:rsid w:val="00C547F5"/>
    <w:pPr>
      <w:keepNext/>
      <w:spacing w:after="0"/>
      <w:jc w:val="center"/>
    </w:pPr>
    <w:rPr>
      <w:rFonts w:ascii="Arial" w:eastAsia="Times New Roman" w:hAnsi="Arial" w:cs="Times New Roman"/>
      <w:bCs/>
      <w:color w:val="FFFFFF" w:themeColor="background1"/>
      <w:sz w:val="20"/>
    </w:rPr>
  </w:style>
  <w:style w:type="paragraph" w:customStyle="1" w:styleId="TableCellGeneralText">
    <w:name w:val="Table Cell General Text"/>
    <w:link w:val="TableCellGeneralTextChar"/>
    <w:qFormat/>
    <w:rsid w:val="00942988"/>
    <w:pPr>
      <w:spacing w:after="0"/>
      <w:jc w:val="left"/>
    </w:pPr>
    <w:rPr>
      <w:rFonts w:eastAsia="Times New Roman" w:cs="Arial"/>
      <w:bCs/>
      <w:color w:val="000000" w:themeColor="text1"/>
      <w:sz w:val="22"/>
    </w:rPr>
  </w:style>
  <w:style w:type="character" w:customStyle="1" w:styleId="TableColumnHeadingChar">
    <w:name w:val="Table Column Heading Char"/>
    <w:basedOn w:val="DefaultParagraphFont"/>
    <w:link w:val="TableColumnHeading"/>
    <w:uiPriority w:val="39"/>
    <w:rsid w:val="00C547F5"/>
    <w:rPr>
      <w:rFonts w:ascii="Arial" w:eastAsia="Times New Roman" w:hAnsi="Arial" w:cs="Times New Roman"/>
      <w:bCs/>
      <w:color w:val="FFFFFF" w:themeColor="background1"/>
      <w:sz w:val="20"/>
    </w:rPr>
  </w:style>
  <w:style w:type="paragraph" w:customStyle="1" w:styleId="TableCellNumbers">
    <w:name w:val="Table Cell Numbers"/>
    <w:basedOn w:val="TableCellGeneralText"/>
    <w:link w:val="TableCellNumbersChar"/>
    <w:uiPriority w:val="42"/>
    <w:qFormat/>
    <w:rsid w:val="00C547F5"/>
    <w:pPr>
      <w:jc w:val="right"/>
    </w:pPr>
  </w:style>
  <w:style w:type="character" w:customStyle="1" w:styleId="TableCellGeneralTextChar">
    <w:name w:val="Table Cell General Text Char"/>
    <w:basedOn w:val="DefaultParagraphFont"/>
    <w:link w:val="TableCellGeneralText"/>
    <w:qFormat/>
    <w:rsid w:val="00942988"/>
    <w:rPr>
      <w:rFonts w:eastAsia="Times New Roman" w:cs="Arial"/>
      <w:bCs/>
      <w:color w:val="000000" w:themeColor="text1"/>
      <w:sz w:val="22"/>
    </w:rPr>
  </w:style>
  <w:style w:type="paragraph" w:customStyle="1" w:styleId="TableCellYear">
    <w:name w:val="Table Cell Year"/>
    <w:basedOn w:val="TableCellGeneralText"/>
    <w:link w:val="TableCellYearChar"/>
    <w:uiPriority w:val="42"/>
    <w:qFormat/>
    <w:rsid w:val="00C547F5"/>
    <w:pPr>
      <w:jc w:val="center"/>
    </w:pPr>
    <w:rPr>
      <w:bCs w:val="0"/>
    </w:rPr>
  </w:style>
  <w:style w:type="character" w:customStyle="1" w:styleId="TableCellNumbersChar">
    <w:name w:val="Table Cell Numbers Char"/>
    <w:basedOn w:val="DefaultParagraphFont"/>
    <w:link w:val="TableCellNumbers"/>
    <w:uiPriority w:val="42"/>
    <w:rsid w:val="00C547F5"/>
    <w:rPr>
      <w:rFonts w:eastAsia="Times New Roman" w:cs="Arial"/>
      <w:bCs/>
      <w:color w:val="000000" w:themeColor="text1"/>
      <w:sz w:val="20"/>
    </w:rPr>
  </w:style>
  <w:style w:type="paragraph" w:customStyle="1" w:styleId="TableNote">
    <w:name w:val="Table Note"/>
    <w:basedOn w:val="TableCellGeneralText"/>
    <w:link w:val="TableNoteChar"/>
    <w:uiPriority w:val="45"/>
    <w:qFormat/>
    <w:rsid w:val="00C547F5"/>
    <w:pPr>
      <w:spacing w:after="240"/>
      <w:contextualSpacing/>
    </w:pPr>
    <w:rPr>
      <w:sz w:val="18"/>
      <w:szCs w:val="18"/>
    </w:rPr>
  </w:style>
  <w:style w:type="character" w:customStyle="1" w:styleId="TableCellYearChar">
    <w:name w:val="Table Cell Year Char"/>
    <w:basedOn w:val="DefaultParagraphFont"/>
    <w:link w:val="TableCellYear"/>
    <w:uiPriority w:val="42"/>
    <w:rsid w:val="00C547F5"/>
    <w:rPr>
      <w:rFonts w:eastAsia="Times New Roman" w:cs="Arial"/>
      <w:color w:val="000000" w:themeColor="text1"/>
      <w:sz w:val="20"/>
    </w:rPr>
  </w:style>
  <w:style w:type="paragraph" w:customStyle="1" w:styleId="Normalaftertablelist">
    <w:name w:val="Normal after table/list"/>
    <w:basedOn w:val="Normal"/>
    <w:next w:val="Normal"/>
    <w:link w:val="NormalaftertablelistChar"/>
    <w:uiPriority w:val="20"/>
    <w:qFormat/>
    <w:rsid w:val="00C547F5"/>
    <w:pPr>
      <w:spacing w:before="240"/>
    </w:pPr>
  </w:style>
  <w:style w:type="character" w:customStyle="1" w:styleId="TableNoteChar">
    <w:name w:val="Table Note Char"/>
    <w:basedOn w:val="DefaultParagraphFont"/>
    <w:link w:val="TableNote"/>
    <w:uiPriority w:val="45"/>
    <w:rsid w:val="00C547F5"/>
    <w:rPr>
      <w:rFonts w:eastAsia="Times New Roman" w:cs="Arial"/>
      <w:bCs/>
      <w:color w:val="000000" w:themeColor="text1"/>
      <w:sz w:val="18"/>
      <w:szCs w:val="18"/>
    </w:rPr>
  </w:style>
  <w:style w:type="paragraph" w:styleId="ListParagraph">
    <w:name w:val="List Paragraph"/>
    <w:aliases w:val="Bullet List Paragraph,Proposal Bullet List,Step Style"/>
    <w:basedOn w:val="Normal"/>
    <w:link w:val="ListParagraphChar"/>
    <w:uiPriority w:val="99"/>
    <w:unhideWhenUsed/>
    <w:qFormat/>
    <w:rsid w:val="00C547F5"/>
    <w:pPr>
      <w:ind w:left="720"/>
      <w:contextualSpacing/>
    </w:pPr>
  </w:style>
  <w:style w:type="character" w:customStyle="1" w:styleId="NormalaftertablelistChar">
    <w:name w:val="Normal after table/list Char"/>
    <w:basedOn w:val="DefaultParagraphFont"/>
    <w:link w:val="Normalaftertablelist"/>
    <w:uiPriority w:val="20"/>
    <w:rsid w:val="00C547F5"/>
  </w:style>
  <w:style w:type="numbering" w:customStyle="1" w:styleId="Bulletedlist">
    <w:name w:val="Bulleted list"/>
    <w:uiPriority w:val="99"/>
    <w:rsid w:val="00C547F5"/>
    <w:pPr>
      <w:numPr>
        <w:numId w:val="2"/>
      </w:numPr>
    </w:pPr>
  </w:style>
  <w:style w:type="paragraph" w:styleId="ListContinue">
    <w:name w:val="List Continue"/>
    <w:basedOn w:val="Normal"/>
    <w:uiPriority w:val="26"/>
    <w:rsid w:val="00183637"/>
    <w:pPr>
      <w:spacing w:before="120" w:after="0"/>
      <w:ind w:left="360"/>
    </w:pPr>
  </w:style>
  <w:style w:type="paragraph" w:styleId="ListBullet">
    <w:name w:val="List Bullet"/>
    <w:basedOn w:val="Normal"/>
    <w:link w:val="ListBulletChar"/>
    <w:uiPriority w:val="24"/>
    <w:qFormat/>
    <w:rsid w:val="00E92D7E"/>
    <w:pPr>
      <w:numPr>
        <w:numId w:val="6"/>
      </w:numPr>
      <w:spacing w:before="120" w:after="0"/>
      <w:contextualSpacing/>
    </w:pPr>
  </w:style>
  <w:style w:type="paragraph" w:styleId="ListBullet2">
    <w:name w:val="List Bullet 2"/>
    <w:basedOn w:val="ListBullet"/>
    <w:link w:val="ListBullet2Char"/>
    <w:uiPriority w:val="24"/>
    <w:rsid w:val="00183637"/>
    <w:pPr>
      <w:numPr>
        <w:ilvl w:val="1"/>
      </w:numPr>
      <w:ind w:left="720"/>
    </w:pPr>
  </w:style>
  <w:style w:type="paragraph" w:styleId="ListBullet3">
    <w:name w:val="List Bullet 3"/>
    <w:basedOn w:val="ListBullet2"/>
    <w:link w:val="ListBullet3Char"/>
    <w:uiPriority w:val="24"/>
    <w:rsid w:val="00183637"/>
    <w:pPr>
      <w:numPr>
        <w:ilvl w:val="2"/>
      </w:numPr>
      <w:ind w:left="1080"/>
    </w:pPr>
  </w:style>
  <w:style w:type="paragraph" w:styleId="ListBullet4">
    <w:name w:val="List Bullet 4"/>
    <w:basedOn w:val="ListBullet3"/>
    <w:link w:val="ListBullet4Char"/>
    <w:uiPriority w:val="24"/>
    <w:rsid w:val="00E92D7E"/>
    <w:pPr>
      <w:numPr>
        <w:ilvl w:val="3"/>
      </w:numPr>
      <w:ind w:left="1440"/>
    </w:pPr>
  </w:style>
  <w:style w:type="paragraph" w:styleId="ListBullet5">
    <w:name w:val="List Bullet 5"/>
    <w:basedOn w:val="ListBullet4"/>
    <w:link w:val="ListBullet5Char"/>
    <w:uiPriority w:val="24"/>
    <w:rsid w:val="00E92D7E"/>
    <w:pPr>
      <w:numPr>
        <w:ilvl w:val="4"/>
      </w:numPr>
      <w:ind w:left="1800"/>
    </w:pPr>
  </w:style>
  <w:style w:type="paragraph" w:styleId="ListContinue2">
    <w:name w:val="List Continue 2"/>
    <w:basedOn w:val="Normal"/>
    <w:uiPriority w:val="26"/>
    <w:rsid w:val="00183637"/>
    <w:pPr>
      <w:spacing w:before="120" w:after="0"/>
      <w:ind w:left="720"/>
    </w:pPr>
  </w:style>
  <w:style w:type="character" w:customStyle="1" w:styleId="ListBulletChar">
    <w:name w:val="List Bullet Char"/>
    <w:basedOn w:val="DefaultParagraphFont"/>
    <w:link w:val="ListBullet"/>
    <w:uiPriority w:val="24"/>
    <w:rsid w:val="00E92D7E"/>
  </w:style>
  <w:style w:type="paragraph" w:styleId="ListContinue3">
    <w:name w:val="List Continue 3"/>
    <w:basedOn w:val="Normal"/>
    <w:uiPriority w:val="26"/>
    <w:rsid w:val="00183637"/>
    <w:pPr>
      <w:spacing w:before="120" w:after="0"/>
      <w:ind w:left="1080"/>
    </w:pPr>
  </w:style>
  <w:style w:type="paragraph" w:styleId="ListContinue4">
    <w:name w:val="List Continue 4"/>
    <w:basedOn w:val="Normal"/>
    <w:uiPriority w:val="26"/>
    <w:rsid w:val="00183637"/>
    <w:pPr>
      <w:spacing w:before="120" w:after="0"/>
      <w:ind w:left="1440"/>
    </w:pPr>
  </w:style>
  <w:style w:type="character" w:customStyle="1" w:styleId="ListBullet2Char">
    <w:name w:val="List Bullet 2 Char"/>
    <w:basedOn w:val="DefaultParagraphFont"/>
    <w:link w:val="ListBullet2"/>
    <w:uiPriority w:val="24"/>
    <w:rsid w:val="00183637"/>
  </w:style>
  <w:style w:type="paragraph" w:styleId="ListContinue5">
    <w:name w:val="List Continue 5"/>
    <w:basedOn w:val="Normal"/>
    <w:uiPriority w:val="26"/>
    <w:rsid w:val="00183637"/>
    <w:pPr>
      <w:spacing w:before="120" w:after="0"/>
      <w:ind w:left="1800"/>
    </w:pPr>
  </w:style>
  <w:style w:type="character" w:customStyle="1" w:styleId="ListBullet3Char">
    <w:name w:val="List Bullet 3 Char"/>
    <w:basedOn w:val="DefaultParagraphFont"/>
    <w:link w:val="ListBullet3"/>
    <w:uiPriority w:val="24"/>
    <w:rsid w:val="00183637"/>
  </w:style>
  <w:style w:type="character" w:customStyle="1" w:styleId="ListBullet4Char">
    <w:name w:val="List Bullet 4 Char"/>
    <w:basedOn w:val="DefaultParagraphFont"/>
    <w:link w:val="ListBullet4"/>
    <w:uiPriority w:val="24"/>
    <w:rsid w:val="00E92D7E"/>
  </w:style>
  <w:style w:type="character" w:styleId="PlaceholderText">
    <w:name w:val="Placeholder Text"/>
    <w:basedOn w:val="DefaultParagraphFont"/>
    <w:uiPriority w:val="99"/>
    <w:semiHidden/>
    <w:rsid w:val="00C547F5"/>
    <w:rPr>
      <w:color w:val="808080"/>
    </w:rPr>
  </w:style>
  <w:style w:type="paragraph" w:styleId="BalloonText">
    <w:name w:val="Balloon Text"/>
    <w:basedOn w:val="Normal"/>
    <w:link w:val="BalloonTextChar"/>
    <w:uiPriority w:val="99"/>
    <w:semiHidden/>
    <w:unhideWhenUsed/>
    <w:rsid w:val="00C547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7F5"/>
    <w:rPr>
      <w:rFonts w:ascii="Tahoma" w:hAnsi="Tahoma" w:cs="Tahoma"/>
      <w:sz w:val="16"/>
      <w:szCs w:val="16"/>
    </w:rPr>
  </w:style>
  <w:style w:type="paragraph" w:customStyle="1" w:styleId="Normalbeforebulletedlist">
    <w:name w:val="Normal before bulleted list"/>
    <w:basedOn w:val="Normal"/>
    <w:next w:val="ListBullet"/>
    <w:link w:val="NormalbeforebulletedlistChar"/>
    <w:uiPriority w:val="19"/>
    <w:qFormat/>
    <w:rsid w:val="00C547F5"/>
    <w:pPr>
      <w:keepNext/>
      <w:spacing w:after="120"/>
    </w:pPr>
  </w:style>
  <w:style w:type="paragraph" w:styleId="Footer">
    <w:name w:val="footer"/>
    <w:link w:val="FooterChar"/>
    <w:uiPriority w:val="94"/>
    <w:unhideWhenUsed/>
    <w:rsid w:val="00C547F5"/>
    <w:pPr>
      <w:tabs>
        <w:tab w:val="center" w:pos="4680"/>
        <w:tab w:val="right" w:pos="10080"/>
      </w:tabs>
      <w:spacing w:after="0"/>
      <w:ind w:left="-720" w:right="-720"/>
      <w:jc w:val="left"/>
    </w:pPr>
    <w:rPr>
      <w:rFonts w:ascii="Arial" w:eastAsia="MS Mincho" w:hAnsi="Arial" w:cs="Arial"/>
      <w:noProof/>
      <w:color w:val="24366F"/>
      <w:sz w:val="16"/>
      <w:szCs w:val="16"/>
    </w:rPr>
  </w:style>
  <w:style w:type="character" w:customStyle="1" w:styleId="FooterChar">
    <w:name w:val="Footer Char"/>
    <w:basedOn w:val="DefaultParagraphFont"/>
    <w:link w:val="Footer"/>
    <w:uiPriority w:val="94"/>
    <w:rsid w:val="00C547F5"/>
    <w:rPr>
      <w:rFonts w:ascii="Arial" w:eastAsia="MS Mincho" w:hAnsi="Arial" w:cs="Arial"/>
      <w:noProof/>
      <w:color w:val="24366F"/>
      <w:sz w:val="16"/>
      <w:szCs w:val="16"/>
    </w:rPr>
  </w:style>
  <w:style w:type="paragraph" w:customStyle="1" w:styleId="Footer-PageNumber">
    <w:name w:val="Footer - Page Number"/>
    <w:basedOn w:val="Footer"/>
    <w:next w:val="Footer"/>
    <w:link w:val="Footer-PageNumberChar"/>
    <w:uiPriority w:val="94"/>
    <w:qFormat/>
    <w:rsid w:val="00C547F5"/>
    <w:rPr>
      <w:b/>
      <w:position w:val="-12"/>
    </w:rPr>
  </w:style>
  <w:style w:type="paragraph" w:customStyle="1" w:styleId="Footer-Econometrica">
    <w:name w:val="Footer - Econometrica"/>
    <w:aliases w:val="Inc."/>
    <w:basedOn w:val="Footer"/>
    <w:link w:val="Footer-EconometricaChar"/>
    <w:uiPriority w:val="94"/>
    <w:qFormat/>
    <w:rsid w:val="00C547F5"/>
  </w:style>
  <w:style w:type="character" w:customStyle="1" w:styleId="Footer-PageNumberChar">
    <w:name w:val="Footer - Page Number Char"/>
    <w:basedOn w:val="DefaultParagraphFont"/>
    <w:link w:val="Footer-PageNumber"/>
    <w:uiPriority w:val="94"/>
    <w:rsid w:val="00C547F5"/>
    <w:rPr>
      <w:rFonts w:ascii="Arial" w:eastAsia="MS Mincho" w:hAnsi="Arial" w:cs="Arial"/>
      <w:b/>
      <w:noProof/>
      <w:color w:val="24366F"/>
      <w:position w:val="-12"/>
      <w:sz w:val="16"/>
      <w:szCs w:val="16"/>
    </w:rPr>
  </w:style>
  <w:style w:type="paragraph" w:customStyle="1" w:styleId="Footer-Date">
    <w:name w:val="Footer - Date"/>
    <w:basedOn w:val="Footer"/>
    <w:link w:val="Footer-DateChar"/>
    <w:uiPriority w:val="94"/>
    <w:qFormat/>
    <w:rsid w:val="00C547F5"/>
  </w:style>
  <w:style w:type="character" w:customStyle="1" w:styleId="Footer-EconometricaChar">
    <w:name w:val="Footer - Econometrica Char"/>
    <w:aliases w:val="Inc. Char"/>
    <w:basedOn w:val="DefaultParagraphFont"/>
    <w:link w:val="Footer-Econometrica"/>
    <w:uiPriority w:val="94"/>
    <w:rsid w:val="00C547F5"/>
    <w:rPr>
      <w:rFonts w:ascii="Arial" w:eastAsia="MS Mincho" w:hAnsi="Arial" w:cs="Arial"/>
      <w:noProof/>
      <w:color w:val="24366F"/>
      <w:sz w:val="16"/>
      <w:szCs w:val="16"/>
    </w:rPr>
  </w:style>
  <w:style w:type="paragraph" w:customStyle="1" w:styleId="BasicParagraph">
    <w:name w:val="[Basic Paragraph]"/>
    <w:basedOn w:val="Normal"/>
    <w:link w:val="BasicParagraphChar"/>
    <w:uiPriority w:val="99"/>
    <w:unhideWhenUsed/>
    <w:rsid w:val="00C547F5"/>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uiPriority w:val="94"/>
    <w:rsid w:val="00C547F5"/>
    <w:rPr>
      <w:rFonts w:ascii="Arial" w:eastAsia="MS Mincho" w:hAnsi="Arial" w:cs="Arial"/>
      <w:noProof/>
      <w:color w:val="24366F"/>
      <w:sz w:val="16"/>
      <w:szCs w:val="16"/>
    </w:rPr>
  </w:style>
  <w:style w:type="character" w:customStyle="1" w:styleId="BasicParagraphChar">
    <w:name w:val="[Basic Paragraph] Char"/>
    <w:basedOn w:val="DefaultParagraphFont"/>
    <w:link w:val="BasicParagraph"/>
    <w:uiPriority w:val="99"/>
    <w:rsid w:val="00C547F5"/>
    <w:rPr>
      <w:rFonts w:eastAsia="Times New Roman" w:cs="Times New Roman"/>
      <w:color w:val="000000"/>
    </w:rPr>
  </w:style>
  <w:style w:type="paragraph" w:customStyle="1" w:styleId="Title-2ProjectName">
    <w:name w:val="Title - 2. Project Name"/>
    <w:basedOn w:val="Normal"/>
    <w:link w:val="Title-2ProjectNameChar"/>
    <w:uiPriority w:val="1"/>
    <w:qFormat/>
    <w:rsid w:val="00DB45A5"/>
    <w:pPr>
      <w:suppressAutoHyphens/>
      <w:spacing w:after="120"/>
      <w:contextualSpacing/>
      <w:jc w:val="center"/>
    </w:pPr>
    <w:rPr>
      <w:rFonts w:ascii="Arial" w:eastAsia="Times New Roman" w:hAnsi="Arial" w:cs="Arial"/>
      <w:color w:val="00AEEF" w:themeColor="text2"/>
      <w:sz w:val="40"/>
    </w:rPr>
  </w:style>
  <w:style w:type="character" w:customStyle="1" w:styleId="Title-2ProjectNameChar">
    <w:name w:val="Title - 2. Project Name Char"/>
    <w:basedOn w:val="DefaultParagraphFont"/>
    <w:link w:val="Title-2ProjectName"/>
    <w:uiPriority w:val="1"/>
    <w:rsid w:val="00DB45A5"/>
    <w:rPr>
      <w:rFonts w:ascii="Arial" w:eastAsia="Times New Roman" w:hAnsi="Arial" w:cs="Arial"/>
      <w:color w:val="00AEEF" w:themeColor="text2"/>
      <w:sz w:val="40"/>
    </w:rPr>
  </w:style>
  <w:style w:type="character" w:styleId="Hyperlink">
    <w:name w:val="Hyperlink"/>
    <w:basedOn w:val="DefaultParagraphFont"/>
    <w:uiPriority w:val="99"/>
    <w:unhideWhenUsed/>
    <w:rsid w:val="00C547F5"/>
    <w:rPr>
      <w:color w:val="00AEEF" w:themeColor="hyperlink"/>
      <w:u w:val="single"/>
    </w:rPr>
  </w:style>
  <w:style w:type="paragraph" w:styleId="TOCHeading">
    <w:name w:val="TOC Heading"/>
    <w:basedOn w:val="Heading2"/>
    <w:next w:val="Normal"/>
    <w:uiPriority w:val="96"/>
    <w:qFormat/>
    <w:rsid w:val="00C547F5"/>
    <w:pPr>
      <w:pBdr>
        <w:top w:val="none" w:sz="0" w:space="0" w:color="auto"/>
        <w:left w:val="none" w:sz="0" w:space="0" w:color="auto"/>
        <w:bottom w:val="single" w:sz="24" w:space="4" w:color="00AEEF" w:themeColor="text2"/>
      </w:pBdr>
      <w:shd w:val="clear" w:color="auto" w:fill="auto"/>
      <w:spacing w:before="0"/>
    </w:pPr>
    <w:rPr>
      <w:rFonts w:eastAsiaTheme="majorEastAsia"/>
      <w:color w:val="002D73" w:themeColor="accent1"/>
    </w:rPr>
  </w:style>
  <w:style w:type="paragraph" w:styleId="TOC1">
    <w:name w:val="toc 1"/>
    <w:basedOn w:val="Normal"/>
    <w:next w:val="Normal"/>
    <w:autoRedefine/>
    <w:uiPriority w:val="97"/>
    <w:unhideWhenUsed/>
    <w:rsid w:val="00C547F5"/>
    <w:pPr>
      <w:tabs>
        <w:tab w:val="left" w:pos="274"/>
        <w:tab w:val="right" w:leader="dot" w:pos="9360"/>
      </w:tabs>
      <w:spacing w:before="240" w:after="0"/>
      <w:ind w:left="274" w:hanging="274"/>
    </w:pPr>
    <w:rPr>
      <w:b/>
      <w:smallCaps/>
      <w:noProof/>
    </w:rPr>
  </w:style>
  <w:style w:type="paragraph" w:styleId="TOC2">
    <w:name w:val="toc 2"/>
    <w:next w:val="Normal"/>
    <w:autoRedefine/>
    <w:uiPriority w:val="97"/>
    <w:unhideWhenUsed/>
    <w:rsid w:val="00C547F5"/>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31"/>
    <w:unhideWhenUsed/>
    <w:qFormat/>
    <w:rsid w:val="00C547F5"/>
    <w:pPr>
      <w:spacing w:before="60" w:after="0"/>
    </w:pPr>
    <w:rPr>
      <w:rFonts w:ascii="Arial" w:hAnsi="Arial" w:cs="Arial"/>
      <w:color w:val="FFFFFF" w:themeColor="background1"/>
      <w:sz w:val="20"/>
    </w:rPr>
  </w:style>
  <w:style w:type="character" w:customStyle="1" w:styleId="Call-OutBoxTextChar">
    <w:name w:val="Call-Out Box Text Char"/>
    <w:basedOn w:val="DefaultParagraphFont"/>
    <w:link w:val="Call-OutBoxText"/>
    <w:uiPriority w:val="31"/>
    <w:rsid w:val="00FD5CC3"/>
    <w:rPr>
      <w:rFonts w:ascii="Arial" w:hAnsi="Arial" w:cs="Arial"/>
      <w:color w:val="FFFFFF" w:themeColor="background1"/>
      <w:sz w:val="20"/>
    </w:rPr>
  </w:style>
  <w:style w:type="numbering" w:customStyle="1" w:styleId="ResumeBullets">
    <w:name w:val="Resume Bullets"/>
    <w:uiPriority w:val="99"/>
    <w:rsid w:val="00C547F5"/>
    <w:pPr>
      <w:numPr>
        <w:numId w:val="3"/>
      </w:numPr>
    </w:pPr>
  </w:style>
  <w:style w:type="character" w:customStyle="1" w:styleId="ListParagraphChar">
    <w:name w:val="List Paragraph Char"/>
    <w:aliases w:val="Bullet List Paragraph Char,Proposal Bullet List Char,Step Style Char"/>
    <w:basedOn w:val="DefaultParagraphFont"/>
    <w:link w:val="ListParagraph"/>
    <w:uiPriority w:val="99"/>
    <w:rsid w:val="00C547F5"/>
  </w:style>
  <w:style w:type="table" w:customStyle="1" w:styleId="TableGrid1">
    <w:name w:val="Table Grid1"/>
    <w:basedOn w:val="TableNormal"/>
    <w:next w:val="TableGrid"/>
    <w:uiPriority w:val="59"/>
    <w:rsid w:val="00C547F5"/>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op Row"/>
    <w:basedOn w:val="Normal"/>
    <w:next w:val="Header-BottomRow"/>
    <w:link w:val="HeaderChar"/>
    <w:uiPriority w:val="89"/>
    <w:rsid w:val="00C547F5"/>
    <w:pPr>
      <w:widowControl w:val="0"/>
      <w:pBdr>
        <w:bottom w:val="single" w:sz="12" w:space="1" w:color="00AEEF" w:themeColor="text2"/>
      </w:pBdr>
      <w:tabs>
        <w:tab w:val="right" w:pos="10080"/>
      </w:tabs>
      <w:autoSpaceDE w:val="0"/>
      <w:autoSpaceDN w:val="0"/>
      <w:adjustRightInd w:val="0"/>
      <w:spacing w:after="0"/>
      <w:ind w:left="-720" w:right="-720"/>
      <w:jc w:val="left"/>
      <w:textAlignment w:val="center"/>
    </w:pPr>
    <w:rPr>
      <w:rFonts w:ascii="Arial" w:eastAsia="Times New Roman" w:hAnsi="Arial" w:cs="Arial"/>
      <w:b/>
      <w:noProof/>
      <w:color w:val="002D73" w:themeColor="accent1"/>
      <w:sz w:val="20"/>
      <w:szCs w:val="20"/>
    </w:rPr>
  </w:style>
  <w:style w:type="character" w:customStyle="1" w:styleId="NormalbeforebulletedlistChar">
    <w:name w:val="Normal before bulleted list Char"/>
    <w:basedOn w:val="DefaultParagraphFont"/>
    <w:link w:val="Normalbeforebulletedlist"/>
    <w:uiPriority w:val="19"/>
    <w:rsid w:val="00C547F5"/>
  </w:style>
  <w:style w:type="character" w:customStyle="1" w:styleId="HeaderChar">
    <w:name w:val="Header Char"/>
    <w:aliases w:val="Top Row Char"/>
    <w:basedOn w:val="DefaultParagraphFont"/>
    <w:link w:val="Header"/>
    <w:uiPriority w:val="89"/>
    <w:rsid w:val="00C547F5"/>
    <w:rPr>
      <w:rFonts w:ascii="Arial" w:eastAsia="Times New Roman" w:hAnsi="Arial" w:cs="Arial"/>
      <w:b/>
      <w:noProof/>
      <w:color w:val="002D73" w:themeColor="accent1"/>
      <w:sz w:val="20"/>
      <w:szCs w:val="20"/>
    </w:rPr>
  </w:style>
  <w:style w:type="paragraph" w:styleId="TOC3">
    <w:name w:val="toc 3"/>
    <w:basedOn w:val="Normal"/>
    <w:next w:val="Normal"/>
    <w:autoRedefine/>
    <w:uiPriority w:val="97"/>
    <w:unhideWhenUsed/>
    <w:rsid w:val="00C547F5"/>
    <w:pPr>
      <w:spacing w:before="120" w:after="0"/>
      <w:ind w:left="475"/>
      <w:contextualSpacing/>
    </w:pPr>
  </w:style>
  <w:style w:type="numbering" w:customStyle="1" w:styleId="ExecutiveSummary">
    <w:name w:val="Executive Summary"/>
    <w:uiPriority w:val="99"/>
    <w:rsid w:val="00C547F5"/>
    <w:pPr>
      <w:numPr>
        <w:numId w:val="4"/>
      </w:numPr>
    </w:pPr>
  </w:style>
  <w:style w:type="paragraph" w:customStyle="1" w:styleId="TableCell-SubheadingText">
    <w:name w:val="Table Cell - Subheading Text"/>
    <w:basedOn w:val="TableCellNumbers"/>
    <w:link w:val="TableCell-SubheadingTextChar"/>
    <w:uiPriority w:val="40"/>
    <w:qFormat/>
    <w:rsid w:val="00C547F5"/>
    <w:pPr>
      <w:keepNext/>
      <w:jc w:val="left"/>
    </w:pPr>
    <w:rPr>
      <w:b/>
      <w:bCs w:val="0"/>
    </w:rPr>
  </w:style>
  <w:style w:type="character" w:customStyle="1" w:styleId="TableCell-SubheadingTextChar">
    <w:name w:val="Table Cell - Subheading Text Char"/>
    <w:basedOn w:val="TableCellNumbersChar"/>
    <w:link w:val="TableCell-SubheadingText"/>
    <w:uiPriority w:val="40"/>
    <w:rsid w:val="00C547F5"/>
    <w:rPr>
      <w:rFonts w:eastAsia="Times New Roman" w:cs="Arial"/>
      <w:b/>
      <w:bCs w:val="0"/>
      <w:color w:val="000000" w:themeColor="text1"/>
      <w:sz w:val="20"/>
    </w:rPr>
  </w:style>
  <w:style w:type="numbering" w:customStyle="1" w:styleId="NumberedList">
    <w:name w:val="Numbered List"/>
    <w:uiPriority w:val="99"/>
    <w:rsid w:val="00C547F5"/>
    <w:pPr>
      <w:numPr>
        <w:numId w:val="5"/>
      </w:numPr>
    </w:pPr>
  </w:style>
  <w:style w:type="paragraph" w:styleId="ListNumber">
    <w:name w:val="List Number"/>
    <w:link w:val="ListNumberChar"/>
    <w:uiPriority w:val="25"/>
    <w:rsid w:val="00C547F5"/>
    <w:pPr>
      <w:numPr>
        <w:numId w:val="11"/>
      </w:numPr>
      <w:tabs>
        <w:tab w:val="num" w:pos="360"/>
      </w:tabs>
      <w:spacing w:before="120" w:after="0"/>
      <w:ind w:left="0" w:firstLine="0"/>
    </w:pPr>
  </w:style>
  <w:style w:type="paragraph" w:styleId="ListNumber2">
    <w:name w:val="List Number 2"/>
    <w:basedOn w:val="ListNumber"/>
    <w:link w:val="ListNumber2Char"/>
    <w:uiPriority w:val="25"/>
    <w:rsid w:val="00C547F5"/>
    <w:pPr>
      <w:numPr>
        <w:ilvl w:val="1"/>
      </w:numPr>
      <w:tabs>
        <w:tab w:val="num" w:pos="360"/>
      </w:tabs>
      <w:ind w:left="0" w:firstLine="0"/>
    </w:pPr>
  </w:style>
  <w:style w:type="paragraph" w:styleId="ListNumber3">
    <w:name w:val="List Number 3"/>
    <w:basedOn w:val="ListNumber2"/>
    <w:link w:val="ListNumber3Char"/>
    <w:uiPriority w:val="25"/>
    <w:rsid w:val="00C547F5"/>
    <w:pPr>
      <w:numPr>
        <w:ilvl w:val="2"/>
      </w:numPr>
      <w:tabs>
        <w:tab w:val="num" w:pos="360"/>
      </w:tabs>
      <w:ind w:left="0" w:firstLine="0"/>
    </w:pPr>
  </w:style>
  <w:style w:type="paragraph" w:styleId="ListNumber4">
    <w:name w:val="List Number 4"/>
    <w:basedOn w:val="ListNumber3"/>
    <w:link w:val="ListNumber4Char"/>
    <w:uiPriority w:val="25"/>
    <w:rsid w:val="00C547F5"/>
    <w:pPr>
      <w:numPr>
        <w:ilvl w:val="3"/>
      </w:numPr>
      <w:tabs>
        <w:tab w:val="num" w:pos="360"/>
      </w:tabs>
      <w:ind w:left="0" w:firstLine="0"/>
    </w:pPr>
  </w:style>
  <w:style w:type="paragraph" w:styleId="ListNumber5">
    <w:name w:val="List Number 5"/>
    <w:basedOn w:val="ListNumber4"/>
    <w:link w:val="ListNumber5Char"/>
    <w:uiPriority w:val="25"/>
    <w:rsid w:val="00C547F5"/>
    <w:pPr>
      <w:numPr>
        <w:ilvl w:val="4"/>
      </w:numPr>
      <w:tabs>
        <w:tab w:val="num" w:pos="360"/>
      </w:tabs>
      <w:ind w:left="0" w:firstLine="0"/>
    </w:pPr>
  </w:style>
  <w:style w:type="character" w:customStyle="1" w:styleId="ListNumberChar">
    <w:name w:val="List Number Char"/>
    <w:basedOn w:val="DefaultParagraphFont"/>
    <w:link w:val="ListNumber"/>
    <w:uiPriority w:val="25"/>
    <w:rsid w:val="00C547F5"/>
  </w:style>
  <w:style w:type="character" w:customStyle="1" w:styleId="ListNumber2Char">
    <w:name w:val="List Number 2 Char"/>
    <w:basedOn w:val="ListNumberChar"/>
    <w:link w:val="ListNumber2"/>
    <w:uiPriority w:val="25"/>
    <w:rsid w:val="00C547F5"/>
  </w:style>
  <w:style w:type="character" w:customStyle="1" w:styleId="ListNumber3Char">
    <w:name w:val="List Number 3 Char"/>
    <w:basedOn w:val="ListNumber2Char"/>
    <w:link w:val="ListNumber3"/>
    <w:uiPriority w:val="25"/>
    <w:rsid w:val="00C547F5"/>
  </w:style>
  <w:style w:type="character" w:customStyle="1" w:styleId="ListNumber4Char">
    <w:name w:val="List Number 4 Char"/>
    <w:basedOn w:val="ListNumber3Char"/>
    <w:link w:val="ListNumber4"/>
    <w:uiPriority w:val="25"/>
    <w:rsid w:val="00C547F5"/>
  </w:style>
  <w:style w:type="character" w:customStyle="1" w:styleId="ListNumber5Char">
    <w:name w:val="List Number 5 Char"/>
    <w:basedOn w:val="ListNumber4Char"/>
    <w:link w:val="ListNumber5"/>
    <w:uiPriority w:val="25"/>
    <w:rsid w:val="00C547F5"/>
  </w:style>
  <w:style w:type="paragraph" w:customStyle="1" w:styleId="TableCaption">
    <w:name w:val="Table Caption"/>
    <w:basedOn w:val="Caption"/>
    <w:link w:val="TableCaptionChar"/>
    <w:uiPriority w:val="99"/>
    <w:qFormat/>
    <w:rsid w:val="00C547F5"/>
    <w:pPr>
      <w:spacing w:after="20"/>
      <w:ind w:left="907" w:hanging="907"/>
    </w:pPr>
  </w:style>
  <w:style w:type="paragraph" w:customStyle="1" w:styleId="FigureCaption">
    <w:name w:val="Figure Caption"/>
    <w:basedOn w:val="Caption"/>
    <w:link w:val="FigureCaptionChar"/>
    <w:uiPriority w:val="99"/>
    <w:unhideWhenUsed/>
    <w:qFormat/>
    <w:rsid w:val="00C547F5"/>
    <w:pPr>
      <w:tabs>
        <w:tab w:val="left" w:pos="1080"/>
      </w:tabs>
      <w:ind w:left="0" w:firstLine="0"/>
      <w:jc w:val="center"/>
    </w:pPr>
  </w:style>
  <w:style w:type="character" w:customStyle="1" w:styleId="CaptionChar">
    <w:name w:val="Caption Char"/>
    <w:basedOn w:val="DefaultParagraphFont"/>
    <w:link w:val="Caption"/>
    <w:uiPriority w:val="35"/>
    <w:rsid w:val="00C547F5"/>
    <w:rPr>
      <w:rFonts w:ascii="Arial" w:hAnsi="Arial"/>
      <w:b/>
      <w:bCs/>
      <w:color w:val="002D73" w:themeColor="accent1"/>
      <w:sz w:val="22"/>
      <w:szCs w:val="18"/>
    </w:rPr>
  </w:style>
  <w:style w:type="character" w:customStyle="1" w:styleId="TableCaptionChar">
    <w:name w:val="Table Caption Char"/>
    <w:basedOn w:val="CaptionChar"/>
    <w:link w:val="TableCaption"/>
    <w:uiPriority w:val="99"/>
    <w:rsid w:val="00C547F5"/>
    <w:rPr>
      <w:rFonts w:ascii="Arial" w:hAnsi="Arial"/>
      <w:b/>
      <w:bCs/>
      <w:color w:val="002D73" w:themeColor="accent1"/>
      <w:sz w:val="22"/>
      <w:szCs w:val="18"/>
    </w:rPr>
  </w:style>
  <w:style w:type="character" w:customStyle="1" w:styleId="FigureCaptionChar">
    <w:name w:val="Figure Caption Char"/>
    <w:basedOn w:val="CaptionChar"/>
    <w:link w:val="FigureCaption"/>
    <w:uiPriority w:val="99"/>
    <w:rsid w:val="00C547F5"/>
    <w:rPr>
      <w:rFonts w:ascii="Arial" w:hAnsi="Arial"/>
      <w:b/>
      <w:bCs/>
      <w:color w:val="002D73" w:themeColor="accent1"/>
      <w:sz w:val="22"/>
      <w:szCs w:val="18"/>
    </w:rPr>
  </w:style>
  <w:style w:type="paragraph" w:styleId="TableofFigures">
    <w:name w:val="table of figures"/>
    <w:basedOn w:val="Normal"/>
    <w:next w:val="Normal"/>
    <w:uiPriority w:val="99"/>
    <w:rsid w:val="00C547F5"/>
    <w:pPr>
      <w:tabs>
        <w:tab w:val="left" w:pos="1296"/>
        <w:tab w:val="right" w:leader="dot" w:pos="9360"/>
      </w:tabs>
      <w:spacing w:before="240" w:after="0"/>
      <w:ind w:left="1080" w:hanging="1080"/>
    </w:pPr>
    <w:rPr>
      <w:smallCaps/>
    </w:rPr>
  </w:style>
  <w:style w:type="character" w:customStyle="1" w:styleId="ListBullet5Char">
    <w:name w:val="List Bullet 5 Char"/>
    <w:basedOn w:val="ListBullet4Char"/>
    <w:link w:val="ListBullet5"/>
    <w:uiPriority w:val="24"/>
    <w:rsid w:val="00E92D7E"/>
  </w:style>
  <w:style w:type="table" w:customStyle="1" w:styleId="EconometricaTableStyle">
    <w:name w:val="Econometrica Table Style"/>
    <w:basedOn w:val="TableNormal"/>
    <w:uiPriority w:val="99"/>
    <w:rsid w:val="00C547F5"/>
    <w:pPr>
      <w:spacing w:after="0"/>
    </w:pPr>
    <w:rPr>
      <w:sz w:val="20"/>
    </w:rPr>
    <w:tblPr>
      <w:tblStyleRowBandSize w:val="1"/>
      <w:tblStyleColBandSize w:val="1"/>
      <w:jc w:val="center"/>
      <w:tblBorders>
        <w:top w:val="single" w:sz="4" w:space="0" w:color="002D73" w:themeColor="accent1"/>
        <w:bottom w:val="single" w:sz="4" w:space="0" w:color="002D73" w:themeColor="accent1"/>
        <w:insideH w:val="single" w:sz="4" w:space="0" w:color="002D73" w:themeColor="accent1"/>
        <w:insideV w:val="single" w:sz="4" w:space="0" w:color="002D73" w:themeColor="accent1"/>
      </w:tblBorders>
      <w:tblCellMar>
        <w:top w:w="29" w:type="dxa"/>
        <w:left w:w="43" w:type="dxa"/>
        <w:bottom w:w="29" w:type="dxa"/>
        <w:right w:w="43" w:type="dxa"/>
      </w:tblCellMar>
    </w:tblPr>
    <w:trPr>
      <w:cantSplit/>
      <w:jc w:val="center"/>
    </w:trPr>
    <w:tcPr>
      <w:vAlign w:val="center"/>
    </w:tcPr>
    <w:tblStylePr w:type="firstRow">
      <w:pPr>
        <w:wordWrap/>
        <w:jc w:val="center"/>
      </w:pPr>
      <w:rPr>
        <w:rFonts w:ascii="Cascadia Code" w:hAnsi="Cascadia Code"/>
        <w:b/>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2D73" w:themeFill="accent1"/>
      </w:tcPr>
    </w:tblStylePr>
    <w:tblStylePr w:type="lastRow">
      <w:rPr>
        <w:b/>
        <w:color w:val="262626" w:themeColor="text1" w:themeTint="D9"/>
      </w:rPr>
      <w:tblPr/>
      <w:tcPr>
        <w:shd w:val="clear" w:color="auto" w:fill="FFF999" w:themeFill="accent2" w:themeFillTint="66"/>
      </w:tcPr>
    </w:tblStylePr>
    <w:tblStylePr w:type="firstCol">
      <w:rPr>
        <w:b w:val="0"/>
      </w:rPr>
      <w:tblPr/>
      <w:tcPr>
        <w:tcBorders>
          <w:top w:val="single" w:sz="4" w:space="0" w:color="002D73" w:themeColor="accent1"/>
          <w:left w:val="nil"/>
          <w:bottom w:val="single" w:sz="4" w:space="0" w:color="002D73" w:themeColor="accent1"/>
          <w:right w:val="nil"/>
          <w:insideH w:val="single" w:sz="4" w:space="0" w:color="002D73" w:themeColor="accent1"/>
          <w:insideV w:val="nil"/>
          <w:tl2br w:val="nil"/>
          <w:tr2bl w:val="nil"/>
        </w:tcBorders>
      </w:tcPr>
    </w:tblStylePr>
    <w:tblStylePr w:type="lastCol">
      <w:rPr>
        <w:b/>
        <w:color w:val="262626" w:themeColor="text1" w:themeTint="D9"/>
      </w:rPr>
      <w:tblPr/>
      <w:tcPr>
        <w:tcBorders>
          <w:top w:val="single" w:sz="4" w:space="0" w:color="002D73" w:themeColor="accent1"/>
          <w:left w:val="nil"/>
          <w:bottom w:val="single" w:sz="4" w:space="0" w:color="002D73" w:themeColor="accent1"/>
          <w:right w:val="nil"/>
          <w:insideH w:val="single" w:sz="4" w:space="0" w:color="002D73" w:themeColor="accent1"/>
          <w:insideV w:val="nil"/>
          <w:tl2br w:val="nil"/>
          <w:tr2bl w:val="nil"/>
        </w:tcBorders>
        <w:shd w:val="clear" w:color="auto" w:fill="FFF999" w:themeFill="accent2" w:themeFillTint="66"/>
      </w:tcPr>
    </w:tblStylePr>
    <w:tblStylePr w:type="band1Vert">
      <w:tblPr/>
      <w:tcPr>
        <w:tcBorders>
          <w:top w:val="single" w:sz="4" w:space="0" w:color="002D73" w:themeColor="accent1"/>
          <w:left w:val="nil"/>
          <w:bottom w:val="single" w:sz="4" w:space="0" w:color="002D73" w:themeColor="accent1"/>
          <w:right w:val="nil"/>
          <w:insideH w:val="single" w:sz="4" w:space="0" w:color="002D73" w:themeColor="accent1"/>
          <w:insideV w:val="nil"/>
          <w:tl2br w:val="nil"/>
          <w:tr2bl w:val="nil"/>
        </w:tcBorders>
        <w:shd w:val="clear" w:color="auto" w:fill="E1F4FF" w:themeFill="background2"/>
      </w:tcPr>
    </w:tblStylePr>
    <w:tblStylePr w:type="band2Vert">
      <w:tblPr/>
      <w:tcPr>
        <w:tcBorders>
          <w:top w:val="single" w:sz="4" w:space="0" w:color="002D73" w:themeColor="accent1"/>
          <w:left w:val="nil"/>
          <w:bottom w:val="single" w:sz="4" w:space="0" w:color="002D73" w:themeColor="accent1"/>
          <w:right w:val="nil"/>
          <w:insideH w:val="single" w:sz="4" w:space="0" w:color="002D73" w:themeColor="accent1"/>
          <w:insideV w:val="nil"/>
          <w:tl2br w:val="nil"/>
          <w:tr2bl w:val="nil"/>
        </w:tcBorders>
      </w:tcPr>
    </w:tblStylePr>
    <w:tblStylePr w:type="band1Horz">
      <w:rPr>
        <w:color w:val="auto"/>
      </w:rPr>
      <w:tblPr/>
      <w:tcPr>
        <w:tcBorders>
          <w:top w:val="single" w:sz="4" w:space="0" w:color="002D73" w:themeColor="accent1"/>
          <w:left w:val="nil"/>
          <w:bottom w:val="single" w:sz="4" w:space="0" w:color="002D73" w:themeColor="accent1"/>
          <w:right w:val="nil"/>
          <w:insideH w:val="nil"/>
          <w:insideV w:val="single" w:sz="4" w:space="0" w:color="002D73" w:themeColor="accent1"/>
          <w:tl2br w:val="nil"/>
          <w:tr2bl w:val="nil"/>
        </w:tcBorders>
        <w:shd w:val="clear" w:color="auto" w:fill="FFFFFF" w:themeFill="background1"/>
      </w:tcPr>
    </w:tblStylePr>
    <w:tblStylePr w:type="band2Horz">
      <w:rPr>
        <w:color w:val="auto"/>
      </w:rPr>
      <w:tblPr/>
      <w:tcPr>
        <w:tcBorders>
          <w:top w:val="single" w:sz="4" w:space="0" w:color="002D73" w:themeColor="accent1"/>
          <w:left w:val="nil"/>
          <w:bottom w:val="single" w:sz="4" w:space="0" w:color="002D73" w:themeColor="accent1"/>
          <w:right w:val="nil"/>
          <w:insideH w:val="nil"/>
          <w:insideV w:val="single" w:sz="4" w:space="0" w:color="002D73" w:themeColor="accent1"/>
          <w:tl2br w:val="nil"/>
          <w:tr2bl w:val="nil"/>
        </w:tcBorders>
        <w:shd w:val="clear" w:color="auto" w:fill="E1F4FF" w:themeFill="background2"/>
      </w:tcPr>
    </w:tblStylePr>
  </w:style>
  <w:style w:type="paragraph" w:styleId="FootnoteText">
    <w:name w:val="footnote text"/>
    <w:basedOn w:val="Normal"/>
    <w:link w:val="FootnoteTextChar"/>
    <w:uiPriority w:val="95"/>
    <w:unhideWhenUsed/>
    <w:rsid w:val="00C547F5"/>
    <w:pPr>
      <w:spacing w:after="0"/>
      <w:jc w:val="left"/>
    </w:pPr>
    <w:rPr>
      <w:sz w:val="20"/>
      <w:szCs w:val="20"/>
    </w:rPr>
  </w:style>
  <w:style w:type="character" w:customStyle="1" w:styleId="FootnoteTextChar">
    <w:name w:val="Footnote Text Char"/>
    <w:basedOn w:val="DefaultParagraphFont"/>
    <w:link w:val="FootnoteText"/>
    <w:uiPriority w:val="95"/>
    <w:rsid w:val="00E41067"/>
    <w:rPr>
      <w:sz w:val="20"/>
      <w:szCs w:val="20"/>
    </w:rPr>
  </w:style>
  <w:style w:type="table" w:styleId="LightGrid-Accent5">
    <w:name w:val="Light Grid Accent 5"/>
    <w:basedOn w:val="TableNormal"/>
    <w:uiPriority w:val="99"/>
    <w:rsid w:val="00C547F5"/>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styleId="LightShading-Accent6">
    <w:name w:val="Light Shading Accent 6"/>
    <w:basedOn w:val="TableNormal"/>
    <w:uiPriority w:val="60"/>
    <w:rsid w:val="00C547F5"/>
    <w:pPr>
      <w:spacing w:after="0"/>
    </w:pPr>
    <w:rPr>
      <w:color w:val="26681C" w:themeColor="accent6" w:themeShade="BF"/>
    </w:rPr>
    <w:tblPr>
      <w:tblStyleRowBandSize w:val="1"/>
      <w:tblStyleColBandSize w:val="1"/>
      <w:tblBorders>
        <w:top w:val="single" w:sz="8" w:space="0" w:color="338C26" w:themeColor="accent6"/>
        <w:bottom w:val="single" w:sz="8" w:space="0" w:color="338C26" w:themeColor="accent6"/>
      </w:tblBorders>
    </w:tblPr>
    <w:tblStylePr w:type="firstRow">
      <w:pPr>
        <w:spacing w:before="0" w:after="0" w:line="240" w:lineRule="auto"/>
      </w:pPr>
      <w:rPr>
        <w:b/>
        <w:bCs/>
      </w:rPr>
      <w:tblPr/>
      <w:tcPr>
        <w:tcBorders>
          <w:top w:val="single" w:sz="8" w:space="0" w:color="338C26" w:themeColor="accent6"/>
          <w:left w:val="nil"/>
          <w:bottom w:val="single" w:sz="8" w:space="0" w:color="338C26" w:themeColor="accent6"/>
          <w:right w:val="nil"/>
          <w:insideH w:val="nil"/>
          <w:insideV w:val="nil"/>
        </w:tcBorders>
      </w:tcPr>
    </w:tblStylePr>
    <w:tblStylePr w:type="lastRow">
      <w:pPr>
        <w:spacing w:before="0" w:after="0" w:line="240" w:lineRule="auto"/>
      </w:pPr>
      <w:rPr>
        <w:b/>
        <w:bCs/>
      </w:rPr>
      <w:tblPr/>
      <w:tcPr>
        <w:tcBorders>
          <w:top w:val="single" w:sz="8" w:space="0" w:color="338C26" w:themeColor="accent6"/>
          <w:left w:val="nil"/>
          <w:bottom w:val="single" w:sz="8" w:space="0" w:color="338C2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DBE" w:themeFill="accent6" w:themeFillTint="3F"/>
      </w:tcPr>
    </w:tblStylePr>
    <w:tblStylePr w:type="band1Horz">
      <w:tblPr/>
      <w:tcPr>
        <w:tcBorders>
          <w:left w:val="nil"/>
          <w:right w:val="nil"/>
          <w:insideH w:val="nil"/>
          <w:insideV w:val="nil"/>
        </w:tcBorders>
        <w:shd w:val="clear" w:color="auto" w:fill="C4EDBE" w:themeFill="accent6" w:themeFillTint="3F"/>
      </w:tcPr>
    </w:tblStylePr>
  </w:style>
  <w:style w:type="table" w:styleId="LightList-Accent2">
    <w:name w:val="Light List Accent 2"/>
    <w:basedOn w:val="TableNormal"/>
    <w:uiPriority w:val="61"/>
    <w:rsid w:val="00C547F5"/>
    <w:pPr>
      <w:spacing w:after="0"/>
    </w:pPr>
    <w:tblPr>
      <w:tblStyleRowBandSize w:val="1"/>
      <w:tblStyleColBandSize w:val="1"/>
      <w:tblBorders>
        <w:top w:val="single" w:sz="8" w:space="0" w:color="FFF200" w:themeColor="accent2"/>
        <w:left w:val="single" w:sz="8" w:space="0" w:color="FFF200" w:themeColor="accent2"/>
        <w:bottom w:val="single" w:sz="8" w:space="0" w:color="FFF200" w:themeColor="accent2"/>
        <w:right w:val="single" w:sz="8" w:space="0" w:color="FFF200" w:themeColor="accent2"/>
      </w:tblBorders>
    </w:tblPr>
    <w:tblStylePr w:type="firstRow">
      <w:pPr>
        <w:spacing w:before="0" w:after="0" w:line="240" w:lineRule="auto"/>
      </w:pPr>
      <w:rPr>
        <w:b/>
        <w:bCs/>
        <w:color w:val="FFFFFF" w:themeColor="background1"/>
      </w:rPr>
      <w:tblPr/>
      <w:tcPr>
        <w:shd w:val="clear" w:color="auto" w:fill="FFF200" w:themeFill="accent2"/>
      </w:tcPr>
    </w:tblStylePr>
    <w:tblStylePr w:type="lastRow">
      <w:pPr>
        <w:spacing w:before="0" w:after="0" w:line="240" w:lineRule="auto"/>
      </w:pPr>
      <w:rPr>
        <w:b/>
        <w:bCs/>
      </w:rPr>
      <w:tblPr/>
      <w:tcPr>
        <w:tcBorders>
          <w:top w:val="double" w:sz="6" w:space="0" w:color="FFF200" w:themeColor="accent2"/>
          <w:left w:val="single" w:sz="8" w:space="0" w:color="FFF200" w:themeColor="accent2"/>
          <w:bottom w:val="single" w:sz="8" w:space="0" w:color="FFF200" w:themeColor="accent2"/>
          <w:right w:val="single" w:sz="8" w:space="0" w:color="FFF200" w:themeColor="accent2"/>
        </w:tcBorders>
      </w:tcPr>
    </w:tblStylePr>
    <w:tblStylePr w:type="firstCol">
      <w:rPr>
        <w:b/>
        <w:bCs/>
      </w:rPr>
    </w:tblStylePr>
    <w:tblStylePr w:type="lastCol">
      <w:rPr>
        <w:b/>
        <w:bCs/>
      </w:rPr>
    </w:tblStylePr>
    <w:tblStylePr w:type="band1Vert">
      <w:tblPr/>
      <w:tcPr>
        <w:tcBorders>
          <w:top w:val="single" w:sz="8" w:space="0" w:color="FFF200" w:themeColor="accent2"/>
          <w:left w:val="single" w:sz="8" w:space="0" w:color="FFF200" w:themeColor="accent2"/>
          <w:bottom w:val="single" w:sz="8" w:space="0" w:color="FFF200" w:themeColor="accent2"/>
          <w:right w:val="single" w:sz="8" w:space="0" w:color="FFF200" w:themeColor="accent2"/>
        </w:tcBorders>
      </w:tcPr>
    </w:tblStylePr>
    <w:tblStylePr w:type="band1Horz">
      <w:tblPr/>
      <w:tcPr>
        <w:tcBorders>
          <w:top w:val="single" w:sz="8" w:space="0" w:color="FFF200" w:themeColor="accent2"/>
          <w:left w:val="single" w:sz="8" w:space="0" w:color="FFF200" w:themeColor="accent2"/>
          <w:bottom w:val="single" w:sz="8" w:space="0" w:color="FFF200" w:themeColor="accent2"/>
          <w:right w:val="single" w:sz="8" w:space="0" w:color="FFF200" w:themeColor="accent2"/>
        </w:tcBorders>
      </w:tcPr>
    </w:tblStylePr>
  </w:style>
  <w:style w:type="paragraph" w:styleId="Closing">
    <w:name w:val="Closing"/>
    <w:basedOn w:val="Normal"/>
    <w:link w:val="ClosingChar"/>
    <w:uiPriority w:val="99"/>
    <w:semiHidden/>
    <w:rsid w:val="00C547F5"/>
    <w:pPr>
      <w:spacing w:after="0"/>
      <w:ind w:left="4320"/>
    </w:pPr>
  </w:style>
  <w:style w:type="character" w:customStyle="1" w:styleId="ClosingChar">
    <w:name w:val="Closing Char"/>
    <w:basedOn w:val="DefaultParagraphFont"/>
    <w:link w:val="Closing"/>
    <w:uiPriority w:val="99"/>
    <w:semiHidden/>
    <w:rsid w:val="00C547F5"/>
  </w:style>
  <w:style w:type="character" w:styleId="CommentReference">
    <w:name w:val="annotation reference"/>
    <w:basedOn w:val="DefaultParagraphFont"/>
    <w:uiPriority w:val="99"/>
    <w:unhideWhenUsed/>
    <w:rsid w:val="00C547F5"/>
    <w:rPr>
      <w:sz w:val="16"/>
      <w:szCs w:val="16"/>
    </w:rPr>
  </w:style>
  <w:style w:type="paragraph" w:styleId="CommentText">
    <w:name w:val="annotation text"/>
    <w:basedOn w:val="Normal"/>
    <w:link w:val="CommentTextChar"/>
    <w:uiPriority w:val="99"/>
    <w:unhideWhenUsed/>
    <w:rsid w:val="00C547F5"/>
    <w:rPr>
      <w:sz w:val="20"/>
      <w:szCs w:val="20"/>
    </w:rPr>
  </w:style>
  <w:style w:type="character" w:customStyle="1" w:styleId="CommentTextChar">
    <w:name w:val="Comment Text Char"/>
    <w:basedOn w:val="DefaultParagraphFont"/>
    <w:link w:val="CommentText"/>
    <w:uiPriority w:val="99"/>
    <w:rsid w:val="00C547F5"/>
    <w:rPr>
      <w:sz w:val="20"/>
      <w:szCs w:val="20"/>
    </w:rPr>
  </w:style>
  <w:style w:type="paragraph" w:styleId="CommentSubject">
    <w:name w:val="annotation subject"/>
    <w:basedOn w:val="CommentText"/>
    <w:next w:val="CommentText"/>
    <w:link w:val="CommentSubjectChar"/>
    <w:uiPriority w:val="99"/>
    <w:unhideWhenUsed/>
    <w:rsid w:val="00C547F5"/>
    <w:rPr>
      <w:b/>
      <w:bCs/>
    </w:rPr>
  </w:style>
  <w:style w:type="character" w:customStyle="1" w:styleId="CommentSubjectChar">
    <w:name w:val="Comment Subject Char"/>
    <w:basedOn w:val="CommentTextChar"/>
    <w:link w:val="CommentSubject"/>
    <w:uiPriority w:val="99"/>
    <w:rsid w:val="00C547F5"/>
    <w:rPr>
      <w:b/>
      <w:bCs/>
      <w:sz w:val="20"/>
      <w:szCs w:val="20"/>
    </w:rPr>
  </w:style>
  <w:style w:type="paragraph" w:styleId="Date">
    <w:name w:val="Date"/>
    <w:basedOn w:val="Normal"/>
    <w:next w:val="Normal"/>
    <w:link w:val="DateChar"/>
    <w:uiPriority w:val="99"/>
    <w:semiHidden/>
    <w:rsid w:val="00C547F5"/>
  </w:style>
  <w:style w:type="character" w:customStyle="1" w:styleId="DateChar">
    <w:name w:val="Date Char"/>
    <w:basedOn w:val="DefaultParagraphFont"/>
    <w:link w:val="Date"/>
    <w:uiPriority w:val="99"/>
    <w:semiHidden/>
    <w:rsid w:val="00C547F5"/>
  </w:style>
  <w:style w:type="paragraph" w:styleId="E-mailSignature">
    <w:name w:val="E-mail Signature"/>
    <w:basedOn w:val="Normal"/>
    <w:link w:val="E-mailSignatureChar"/>
    <w:uiPriority w:val="99"/>
    <w:semiHidden/>
    <w:rsid w:val="00C547F5"/>
    <w:pPr>
      <w:spacing w:after="0"/>
    </w:pPr>
  </w:style>
  <w:style w:type="character" w:customStyle="1" w:styleId="E-mailSignatureChar">
    <w:name w:val="E-mail Signature Char"/>
    <w:basedOn w:val="DefaultParagraphFont"/>
    <w:link w:val="E-mailSignature"/>
    <w:uiPriority w:val="99"/>
    <w:semiHidden/>
    <w:rsid w:val="00C547F5"/>
  </w:style>
  <w:style w:type="character" w:styleId="FollowedHyperlink">
    <w:name w:val="FollowedHyperlink"/>
    <w:basedOn w:val="DefaultParagraphFont"/>
    <w:uiPriority w:val="99"/>
    <w:unhideWhenUsed/>
    <w:rsid w:val="00C547F5"/>
    <w:rPr>
      <w:color w:val="514689" w:themeColor="followedHyperlink"/>
      <w:u w:val="single"/>
    </w:rPr>
  </w:style>
  <w:style w:type="paragraph" w:styleId="NoSpacing">
    <w:name w:val="No Spacing"/>
    <w:link w:val="NoSpacingChar"/>
    <w:uiPriority w:val="22"/>
    <w:unhideWhenUsed/>
    <w:qFormat/>
    <w:rsid w:val="00C547F5"/>
    <w:pPr>
      <w:spacing w:after="0"/>
    </w:pPr>
  </w:style>
  <w:style w:type="paragraph" w:styleId="NormalWeb">
    <w:name w:val="Normal (Web)"/>
    <w:basedOn w:val="Normal"/>
    <w:uiPriority w:val="99"/>
    <w:unhideWhenUsed/>
    <w:rsid w:val="00C547F5"/>
    <w:rPr>
      <w:rFonts w:cs="Times New Roman"/>
    </w:rPr>
  </w:style>
  <w:style w:type="paragraph" w:styleId="NormalIndent">
    <w:name w:val="Normal Indent"/>
    <w:basedOn w:val="Normal"/>
    <w:uiPriority w:val="99"/>
    <w:unhideWhenUsed/>
    <w:rsid w:val="00C547F5"/>
    <w:pPr>
      <w:ind w:left="720"/>
    </w:pPr>
  </w:style>
  <w:style w:type="paragraph" w:styleId="NoteHeading">
    <w:name w:val="Note Heading"/>
    <w:basedOn w:val="Normal"/>
    <w:next w:val="Normal"/>
    <w:link w:val="NoteHeadingChar"/>
    <w:uiPriority w:val="99"/>
    <w:unhideWhenUsed/>
    <w:rsid w:val="00C547F5"/>
    <w:pPr>
      <w:spacing w:after="0"/>
    </w:pPr>
  </w:style>
  <w:style w:type="character" w:customStyle="1" w:styleId="NoteHeadingChar">
    <w:name w:val="Note Heading Char"/>
    <w:basedOn w:val="DefaultParagraphFont"/>
    <w:link w:val="NoteHeading"/>
    <w:uiPriority w:val="99"/>
    <w:rsid w:val="00C547F5"/>
  </w:style>
  <w:style w:type="character" w:styleId="PageNumber">
    <w:name w:val="page number"/>
    <w:basedOn w:val="DefaultParagraphFont"/>
    <w:uiPriority w:val="99"/>
    <w:unhideWhenUsed/>
    <w:rsid w:val="00C547F5"/>
  </w:style>
  <w:style w:type="paragraph" w:styleId="Salutation">
    <w:name w:val="Salutation"/>
    <w:basedOn w:val="Normal"/>
    <w:next w:val="Normal"/>
    <w:link w:val="SalutationChar"/>
    <w:uiPriority w:val="99"/>
    <w:semiHidden/>
    <w:rsid w:val="00C547F5"/>
  </w:style>
  <w:style w:type="character" w:customStyle="1" w:styleId="SalutationChar">
    <w:name w:val="Salutation Char"/>
    <w:basedOn w:val="DefaultParagraphFont"/>
    <w:link w:val="Salutation"/>
    <w:uiPriority w:val="99"/>
    <w:semiHidden/>
    <w:rsid w:val="00C547F5"/>
  </w:style>
  <w:style w:type="paragraph" w:styleId="TableofAuthorities">
    <w:name w:val="table of authorities"/>
    <w:basedOn w:val="Normal"/>
    <w:next w:val="Normal"/>
    <w:uiPriority w:val="99"/>
    <w:semiHidden/>
    <w:rsid w:val="00C547F5"/>
    <w:pPr>
      <w:spacing w:after="0"/>
      <w:ind w:left="240" w:hanging="240"/>
    </w:pPr>
  </w:style>
  <w:style w:type="paragraph" w:customStyle="1" w:styleId="TableCellText-Spaced">
    <w:name w:val="Table Cell Text - Spaced"/>
    <w:link w:val="TableCellText-SpacedChar"/>
    <w:uiPriority w:val="41"/>
    <w:qFormat/>
    <w:rsid w:val="00942988"/>
    <w:pPr>
      <w:spacing w:after="120"/>
      <w:jc w:val="left"/>
    </w:pPr>
    <w:rPr>
      <w:rFonts w:eastAsia="Times New Roman" w:cs="Arial"/>
      <w:bCs/>
      <w:color w:val="000000" w:themeColor="text1"/>
      <w:sz w:val="22"/>
    </w:rPr>
  </w:style>
  <w:style w:type="character" w:customStyle="1" w:styleId="TableCellText-SpacedChar">
    <w:name w:val="Table Cell Text - Spaced Char"/>
    <w:basedOn w:val="DefaultParagraphFont"/>
    <w:link w:val="TableCellText-Spaced"/>
    <w:uiPriority w:val="41"/>
    <w:rsid w:val="00942988"/>
    <w:rPr>
      <w:rFonts w:eastAsia="Times New Roman" w:cs="Arial"/>
      <w:bCs/>
      <w:color w:val="000000" w:themeColor="text1"/>
      <w:sz w:val="22"/>
    </w:rPr>
  </w:style>
  <w:style w:type="paragraph" w:customStyle="1" w:styleId="TableBullet1">
    <w:name w:val="Table Bullet 1"/>
    <w:basedOn w:val="TableCellGeneralText"/>
    <w:link w:val="TableBullet1Char"/>
    <w:qFormat/>
    <w:rsid w:val="00942988"/>
    <w:pPr>
      <w:numPr>
        <w:numId w:val="7"/>
      </w:numPr>
      <w:spacing w:before="60"/>
    </w:pPr>
  </w:style>
  <w:style w:type="character" w:customStyle="1" w:styleId="TableBullet1Char">
    <w:name w:val="Table Bullet 1 Char"/>
    <w:basedOn w:val="TableCellGeneralTextChar"/>
    <w:link w:val="TableBullet1"/>
    <w:rsid w:val="00942988"/>
    <w:rPr>
      <w:rFonts w:eastAsia="Times New Roman" w:cs="Arial"/>
      <w:bCs/>
      <w:color w:val="000000" w:themeColor="text1"/>
      <w:sz w:val="22"/>
    </w:rPr>
  </w:style>
  <w:style w:type="paragraph" w:customStyle="1" w:styleId="TableBullet2">
    <w:name w:val="Table Bullet 2"/>
    <w:basedOn w:val="TableBullet1"/>
    <w:link w:val="TableBullet2Char"/>
    <w:uiPriority w:val="44"/>
    <w:qFormat/>
    <w:rsid w:val="00942988"/>
    <w:pPr>
      <w:numPr>
        <w:numId w:val="8"/>
      </w:numPr>
      <w:ind w:left="504" w:hanging="216"/>
    </w:pPr>
    <w:rPr>
      <w:bCs w:val="0"/>
    </w:rPr>
  </w:style>
  <w:style w:type="character" w:customStyle="1" w:styleId="TableBullet2Char">
    <w:name w:val="Table Bullet 2 Char"/>
    <w:basedOn w:val="TableBullet1Char"/>
    <w:link w:val="TableBullet2"/>
    <w:uiPriority w:val="44"/>
    <w:rsid w:val="00942988"/>
    <w:rPr>
      <w:rFonts w:eastAsia="Times New Roman" w:cs="Arial"/>
      <w:bCs w:val="0"/>
      <w:color w:val="000000" w:themeColor="text1"/>
      <w:sz w:val="22"/>
    </w:rPr>
  </w:style>
  <w:style w:type="paragraph" w:customStyle="1" w:styleId="TableBullet3">
    <w:name w:val="Table Bullet 3"/>
    <w:basedOn w:val="Normal"/>
    <w:link w:val="TableBullet3Char"/>
    <w:uiPriority w:val="44"/>
    <w:qFormat/>
    <w:rsid w:val="00C547F5"/>
    <w:pPr>
      <w:numPr>
        <w:numId w:val="9"/>
      </w:numPr>
      <w:spacing w:after="0"/>
      <w:ind w:left="648" w:hanging="216"/>
    </w:pPr>
    <w:rPr>
      <w:rFonts w:eastAsia="Times New Roman" w:cs="Arial"/>
      <w:color w:val="000000" w:themeColor="text1"/>
      <w:sz w:val="20"/>
    </w:rPr>
  </w:style>
  <w:style w:type="character" w:customStyle="1" w:styleId="TableBullet3Char">
    <w:name w:val="Table Bullet 3 Char"/>
    <w:basedOn w:val="DefaultParagraphFont"/>
    <w:link w:val="TableBullet3"/>
    <w:uiPriority w:val="44"/>
    <w:rsid w:val="00C547F5"/>
    <w:rPr>
      <w:rFonts w:eastAsia="Times New Roman" w:cs="Arial"/>
      <w:color w:val="000000" w:themeColor="text1"/>
      <w:sz w:val="20"/>
    </w:rPr>
  </w:style>
  <w:style w:type="paragraph" w:styleId="Revision">
    <w:name w:val="Revision"/>
    <w:hidden/>
    <w:uiPriority w:val="99"/>
    <w:semiHidden/>
    <w:rsid w:val="00C547F5"/>
    <w:pPr>
      <w:spacing w:after="0"/>
      <w:jc w:val="left"/>
    </w:pPr>
  </w:style>
  <w:style w:type="paragraph" w:customStyle="1" w:styleId="Title-3ContractNoTimeofMeeting">
    <w:name w:val="Title - 3. Contract No./Time of Meeting"/>
    <w:link w:val="Title-3ContractNoTimeofMeetingChar"/>
    <w:uiPriority w:val="1"/>
    <w:qFormat/>
    <w:rsid w:val="00DB45A5"/>
    <w:pPr>
      <w:spacing w:after="360"/>
      <w:contextualSpacing/>
      <w:jc w:val="center"/>
    </w:pPr>
    <w:rPr>
      <w:rFonts w:ascii="Arial" w:eastAsia="Times New Roman" w:hAnsi="Arial" w:cs="Arial"/>
      <w:color w:val="002D73" w:themeColor="accent1"/>
    </w:rPr>
  </w:style>
  <w:style w:type="character" w:customStyle="1" w:styleId="Title-3ContractNoTimeofMeetingChar">
    <w:name w:val="Title - 3. Contract No./Time of Meeting Char"/>
    <w:basedOn w:val="DefaultParagraphFont"/>
    <w:link w:val="Title-3ContractNoTimeofMeeting"/>
    <w:uiPriority w:val="1"/>
    <w:rsid w:val="00DB45A5"/>
    <w:rPr>
      <w:rFonts w:ascii="Arial" w:eastAsia="Times New Roman" w:hAnsi="Arial" w:cs="Arial"/>
      <w:color w:val="002D73" w:themeColor="accent1"/>
    </w:rPr>
  </w:style>
  <w:style w:type="paragraph" w:styleId="HTMLAddress">
    <w:name w:val="HTML Address"/>
    <w:basedOn w:val="Normal"/>
    <w:link w:val="HTMLAddressChar"/>
    <w:uiPriority w:val="99"/>
    <w:unhideWhenUsed/>
    <w:rsid w:val="00C547F5"/>
    <w:pPr>
      <w:spacing w:after="0"/>
    </w:pPr>
    <w:rPr>
      <w:i/>
      <w:iCs/>
    </w:rPr>
  </w:style>
  <w:style w:type="character" w:customStyle="1" w:styleId="HTMLAddressChar">
    <w:name w:val="HTML Address Char"/>
    <w:basedOn w:val="DefaultParagraphFont"/>
    <w:link w:val="HTMLAddress"/>
    <w:uiPriority w:val="99"/>
    <w:rsid w:val="00C547F5"/>
    <w:rPr>
      <w:i/>
      <w:iCs/>
    </w:rPr>
  </w:style>
  <w:style w:type="character" w:styleId="Hashtag">
    <w:name w:val="Hashtag"/>
    <w:basedOn w:val="DefaultParagraphFont"/>
    <w:uiPriority w:val="99"/>
    <w:semiHidden/>
    <w:rsid w:val="00C547F5"/>
    <w:rPr>
      <w:color w:val="2B579A"/>
      <w:shd w:val="clear" w:color="auto" w:fill="E6E6E6"/>
    </w:rPr>
  </w:style>
  <w:style w:type="character" w:styleId="FootnoteReference">
    <w:name w:val="footnote reference"/>
    <w:basedOn w:val="DefaultParagraphFont"/>
    <w:uiPriority w:val="95"/>
    <w:unhideWhenUsed/>
    <w:rsid w:val="00C547F5"/>
    <w:rPr>
      <w:vertAlign w:val="superscript"/>
    </w:rPr>
  </w:style>
  <w:style w:type="paragraph" w:styleId="Signature">
    <w:name w:val="Signature"/>
    <w:basedOn w:val="Normal"/>
    <w:link w:val="SignatureChar"/>
    <w:uiPriority w:val="99"/>
    <w:semiHidden/>
    <w:rsid w:val="00C547F5"/>
    <w:pPr>
      <w:spacing w:after="0"/>
      <w:ind w:left="4320"/>
    </w:pPr>
  </w:style>
  <w:style w:type="character" w:customStyle="1" w:styleId="SignatureChar">
    <w:name w:val="Signature Char"/>
    <w:basedOn w:val="DefaultParagraphFont"/>
    <w:link w:val="Signature"/>
    <w:uiPriority w:val="99"/>
    <w:semiHidden/>
    <w:rsid w:val="00C547F5"/>
  </w:style>
  <w:style w:type="paragraph" w:styleId="Quote">
    <w:name w:val="Quote"/>
    <w:basedOn w:val="Normal"/>
    <w:next w:val="Normal"/>
    <w:link w:val="QuoteChar"/>
    <w:uiPriority w:val="29"/>
    <w:unhideWhenUsed/>
    <w:qFormat/>
    <w:rsid w:val="00C547F5"/>
    <w:pPr>
      <w:pBdr>
        <w:left w:val="single" w:sz="18" w:space="6" w:color="00AEEF" w:themeColor="text2"/>
      </w:pBdr>
      <w:spacing w:before="120" w:after="120"/>
      <w:ind w:left="720" w:right="720"/>
    </w:pPr>
    <w:rPr>
      <w:i/>
      <w:iCs/>
      <w:color w:val="000000" w:themeColor="text1"/>
    </w:rPr>
  </w:style>
  <w:style w:type="character" w:customStyle="1" w:styleId="QuoteChar">
    <w:name w:val="Quote Char"/>
    <w:basedOn w:val="DefaultParagraphFont"/>
    <w:link w:val="Quote"/>
    <w:uiPriority w:val="29"/>
    <w:rsid w:val="00FD5CC3"/>
    <w:rPr>
      <w:i/>
      <w:iCs/>
      <w:color w:val="000000" w:themeColor="text1"/>
    </w:rPr>
  </w:style>
  <w:style w:type="character" w:styleId="HTMLSample">
    <w:name w:val="HTML Sample"/>
    <w:basedOn w:val="DefaultParagraphFont"/>
    <w:uiPriority w:val="99"/>
    <w:unhideWhenUsed/>
    <w:rsid w:val="00C547F5"/>
    <w:rPr>
      <w:rFonts w:ascii="Consolas" w:hAnsi="Consolas" w:cs="Consolas"/>
      <w:sz w:val="24"/>
      <w:szCs w:val="24"/>
    </w:rPr>
  </w:style>
  <w:style w:type="character" w:styleId="HTMLCode">
    <w:name w:val="HTML Code"/>
    <w:basedOn w:val="DefaultParagraphFont"/>
    <w:uiPriority w:val="99"/>
    <w:unhideWhenUsed/>
    <w:rsid w:val="00C547F5"/>
    <w:rPr>
      <w:rFonts w:ascii="Consolas" w:hAnsi="Consolas" w:cs="Consolas"/>
      <w:sz w:val="20"/>
      <w:szCs w:val="20"/>
    </w:rPr>
  </w:style>
  <w:style w:type="character" w:styleId="HTMLCite">
    <w:name w:val="HTML Cite"/>
    <w:basedOn w:val="DefaultParagraphFont"/>
    <w:uiPriority w:val="99"/>
    <w:unhideWhenUsed/>
    <w:rsid w:val="00C547F5"/>
    <w:rPr>
      <w:i/>
      <w:iCs/>
    </w:rPr>
  </w:style>
  <w:style w:type="paragraph" w:styleId="HTMLPreformatted">
    <w:name w:val="HTML Preformatted"/>
    <w:basedOn w:val="Normal"/>
    <w:link w:val="HTMLPreformattedChar"/>
    <w:uiPriority w:val="99"/>
    <w:unhideWhenUsed/>
    <w:rsid w:val="00C547F5"/>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547F5"/>
    <w:rPr>
      <w:rFonts w:ascii="Consolas" w:hAnsi="Consolas" w:cs="Consolas"/>
      <w:sz w:val="20"/>
      <w:szCs w:val="20"/>
    </w:rPr>
  </w:style>
  <w:style w:type="paragraph" w:styleId="Index2">
    <w:name w:val="index 2"/>
    <w:basedOn w:val="Normal"/>
    <w:next w:val="Normal"/>
    <w:autoRedefine/>
    <w:uiPriority w:val="99"/>
    <w:semiHidden/>
    <w:rsid w:val="00C547F5"/>
    <w:pPr>
      <w:spacing w:after="0"/>
      <w:ind w:left="480" w:hanging="240"/>
    </w:pPr>
  </w:style>
  <w:style w:type="character" w:styleId="HTMLKeyboard">
    <w:name w:val="HTML Keyboard"/>
    <w:basedOn w:val="DefaultParagraphFont"/>
    <w:uiPriority w:val="99"/>
    <w:unhideWhenUsed/>
    <w:rsid w:val="00C547F5"/>
    <w:rPr>
      <w:rFonts w:ascii="Consolas" w:hAnsi="Consolas" w:cs="Consolas"/>
      <w:sz w:val="20"/>
      <w:szCs w:val="20"/>
    </w:rPr>
  </w:style>
  <w:style w:type="paragraph" w:styleId="TOAHeading">
    <w:name w:val="toa heading"/>
    <w:basedOn w:val="TOCHeading"/>
    <w:next w:val="Normal"/>
    <w:uiPriority w:val="97"/>
    <w:unhideWhenUsed/>
    <w:rsid w:val="00C547F5"/>
    <w:rPr>
      <w:rFonts w:cstheme="majorBidi"/>
      <w:bCs/>
    </w:rPr>
  </w:style>
  <w:style w:type="character" w:customStyle="1" w:styleId="NoSpacingChar">
    <w:name w:val="No Spacing Char"/>
    <w:basedOn w:val="DefaultParagraphFont"/>
    <w:link w:val="NoSpacing"/>
    <w:uiPriority w:val="22"/>
    <w:rsid w:val="00C547F5"/>
  </w:style>
  <w:style w:type="character" w:styleId="UnresolvedMention">
    <w:name w:val="Unresolved Mention"/>
    <w:basedOn w:val="DefaultParagraphFont"/>
    <w:uiPriority w:val="99"/>
    <w:semiHidden/>
    <w:unhideWhenUsed/>
    <w:rsid w:val="00C547F5"/>
    <w:rPr>
      <w:color w:val="605E5C"/>
      <w:shd w:val="clear" w:color="auto" w:fill="E1DFDD"/>
    </w:rPr>
  </w:style>
  <w:style w:type="paragraph" w:customStyle="1" w:styleId="Header-BottomRow">
    <w:name w:val="Header - Bottom Row"/>
    <w:basedOn w:val="Header"/>
    <w:uiPriority w:val="90"/>
    <w:qFormat/>
    <w:rsid w:val="00C547F5"/>
    <w:pPr>
      <w:pBdr>
        <w:bottom w:val="none" w:sz="0" w:space="0" w:color="auto"/>
      </w:pBdr>
    </w:pPr>
    <w:rPr>
      <w:rFonts w:eastAsiaTheme="minorEastAsia"/>
      <w:b w:val="0"/>
    </w:rPr>
  </w:style>
  <w:style w:type="character" w:styleId="Emphasis">
    <w:name w:val="Emphasis"/>
    <w:basedOn w:val="DefaultParagraphFont"/>
    <w:uiPriority w:val="99"/>
    <w:semiHidden/>
    <w:qFormat/>
    <w:rsid w:val="00C547F5"/>
    <w:rPr>
      <w:b/>
      <w:i w:val="0"/>
      <w:iCs/>
      <w:color w:val="002D73" w:themeColor="accent1"/>
    </w:rPr>
  </w:style>
  <w:style w:type="paragraph" w:customStyle="1" w:styleId="Call-OutBoxTitle">
    <w:name w:val="Call-Out Box Title"/>
    <w:basedOn w:val="Call-OutBoxText"/>
    <w:next w:val="Call-OutBoxText"/>
    <w:uiPriority w:val="30"/>
    <w:unhideWhenUsed/>
    <w:qFormat/>
    <w:rsid w:val="00C547F5"/>
    <w:pPr>
      <w:jc w:val="center"/>
    </w:pPr>
    <w:rPr>
      <w:color w:val="C5D744" w:themeColor="accent3"/>
      <w:sz w:val="22"/>
      <w:szCs w:val="22"/>
    </w:rPr>
  </w:style>
  <w:style w:type="paragraph" w:customStyle="1" w:styleId="Heading-MinorSubheading">
    <w:name w:val="Heading - Minor Subheading"/>
    <w:next w:val="Normal"/>
    <w:uiPriority w:val="15"/>
    <w:qFormat/>
    <w:rsid w:val="00C547F5"/>
    <w:pPr>
      <w:keepNext/>
      <w:keepLines/>
      <w:spacing w:after="0"/>
    </w:pPr>
    <w:rPr>
      <w:rFonts w:eastAsiaTheme="majorEastAsia" w:cstheme="majorBidi"/>
      <w:b/>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C777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0265">
      <w:bodyDiv w:val="1"/>
      <w:marLeft w:val="0"/>
      <w:marRight w:val="0"/>
      <w:marTop w:val="0"/>
      <w:marBottom w:val="0"/>
      <w:divBdr>
        <w:top w:val="none" w:sz="0" w:space="0" w:color="auto"/>
        <w:left w:val="none" w:sz="0" w:space="0" w:color="auto"/>
        <w:bottom w:val="none" w:sz="0" w:space="0" w:color="auto"/>
        <w:right w:val="none" w:sz="0" w:space="0" w:color="auto"/>
      </w:divBdr>
      <w:divsChild>
        <w:div w:id="759302492">
          <w:marLeft w:val="806"/>
          <w:marRight w:val="0"/>
          <w:marTop w:val="240"/>
          <w:marBottom w:val="240"/>
          <w:divBdr>
            <w:top w:val="none" w:sz="0" w:space="0" w:color="auto"/>
            <w:left w:val="none" w:sz="0" w:space="0" w:color="auto"/>
            <w:bottom w:val="none" w:sz="0" w:space="0" w:color="auto"/>
            <w:right w:val="none" w:sz="0" w:space="0" w:color="auto"/>
          </w:divBdr>
        </w:div>
        <w:div w:id="860701081">
          <w:marLeft w:val="806"/>
          <w:marRight w:val="0"/>
          <w:marTop w:val="240"/>
          <w:marBottom w:val="240"/>
          <w:divBdr>
            <w:top w:val="none" w:sz="0" w:space="0" w:color="auto"/>
            <w:left w:val="none" w:sz="0" w:space="0" w:color="auto"/>
            <w:bottom w:val="none" w:sz="0" w:space="0" w:color="auto"/>
            <w:right w:val="none" w:sz="0" w:space="0" w:color="auto"/>
          </w:divBdr>
        </w:div>
        <w:div w:id="1273174584">
          <w:marLeft w:val="806"/>
          <w:marRight w:val="0"/>
          <w:marTop w:val="240"/>
          <w:marBottom w:val="240"/>
          <w:divBdr>
            <w:top w:val="none" w:sz="0" w:space="0" w:color="auto"/>
            <w:left w:val="none" w:sz="0" w:space="0" w:color="auto"/>
            <w:bottom w:val="none" w:sz="0" w:space="0" w:color="auto"/>
            <w:right w:val="none" w:sz="0" w:space="0" w:color="auto"/>
          </w:divBdr>
        </w:div>
        <w:div w:id="1708989732">
          <w:marLeft w:val="806"/>
          <w:marRight w:val="0"/>
          <w:marTop w:val="240"/>
          <w:marBottom w:val="240"/>
          <w:divBdr>
            <w:top w:val="none" w:sz="0" w:space="0" w:color="auto"/>
            <w:left w:val="none" w:sz="0" w:space="0" w:color="auto"/>
            <w:bottom w:val="none" w:sz="0" w:space="0" w:color="auto"/>
            <w:right w:val="none" w:sz="0" w:space="0" w:color="auto"/>
          </w:divBdr>
        </w:div>
      </w:divsChild>
    </w:div>
    <w:div w:id="327173054">
      <w:bodyDiv w:val="1"/>
      <w:marLeft w:val="0"/>
      <w:marRight w:val="0"/>
      <w:marTop w:val="0"/>
      <w:marBottom w:val="0"/>
      <w:divBdr>
        <w:top w:val="none" w:sz="0" w:space="0" w:color="auto"/>
        <w:left w:val="none" w:sz="0" w:space="0" w:color="auto"/>
        <w:bottom w:val="none" w:sz="0" w:space="0" w:color="auto"/>
        <w:right w:val="none" w:sz="0" w:space="0" w:color="auto"/>
      </w:divBdr>
      <w:divsChild>
        <w:div w:id="299651275">
          <w:marLeft w:val="2736"/>
          <w:marRight w:val="0"/>
          <w:marTop w:val="120"/>
          <w:marBottom w:val="120"/>
          <w:divBdr>
            <w:top w:val="none" w:sz="0" w:space="0" w:color="auto"/>
            <w:left w:val="none" w:sz="0" w:space="0" w:color="auto"/>
            <w:bottom w:val="none" w:sz="0" w:space="0" w:color="auto"/>
            <w:right w:val="none" w:sz="0" w:space="0" w:color="auto"/>
          </w:divBdr>
        </w:div>
      </w:divsChild>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683703402">
      <w:bodyDiv w:val="1"/>
      <w:marLeft w:val="0"/>
      <w:marRight w:val="0"/>
      <w:marTop w:val="0"/>
      <w:marBottom w:val="0"/>
      <w:divBdr>
        <w:top w:val="none" w:sz="0" w:space="0" w:color="auto"/>
        <w:left w:val="none" w:sz="0" w:space="0" w:color="auto"/>
        <w:bottom w:val="none" w:sz="0" w:space="0" w:color="auto"/>
        <w:right w:val="none" w:sz="0" w:space="0" w:color="auto"/>
      </w:divBdr>
      <w:divsChild>
        <w:div w:id="238248757">
          <w:marLeft w:val="0"/>
          <w:marRight w:val="0"/>
          <w:marTop w:val="0"/>
          <w:marBottom w:val="0"/>
          <w:divBdr>
            <w:top w:val="none" w:sz="0" w:space="0" w:color="auto"/>
            <w:left w:val="none" w:sz="0" w:space="0" w:color="auto"/>
            <w:bottom w:val="none" w:sz="0" w:space="0" w:color="auto"/>
            <w:right w:val="none" w:sz="0" w:space="0" w:color="auto"/>
          </w:divBdr>
        </w:div>
        <w:div w:id="804271261">
          <w:marLeft w:val="0"/>
          <w:marRight w:val="0"/>
          <w:marTop w:val="0"/>
          <w:marBottom w:val="0"/>
          <w:divBdr>
            <w:top w:val="none" w:sz="0" w:space="0" w:color="auto"/>
            <w:left w:val="none" w:sz="0" w:space="0" w:color="auto"/>
            <w:bottom w:val="none" w:sz="0" w:space="0" w:color="auto"/>
            <w:right w:val="none" w:sz="0" w:space="0" w:color="auto"/>
          </w:divBdr>
        </w:div>
        <w:div w:id="1449353042">
          <w:marLeft w:val="0"/>
          <w:marRight w:val="0"/>
          <w:marTop w:val="0"/>
          <w:marBottom w:val="0"/>
          <w:divBdr>
            <w:top w:val="none" w:sz="0" w:space="0" w:color="auto"/>
            <w:left w:val="none" w:sz="0" w:space="0" w:color="auto"/>
            <w:bottom w:val="none" w:sz="0" w:space="0" w:color="auto"/>
            <w:right w:val="none" w:sz="0" w:space="0" w:color="auto"/>
          </w:divBdr>
        </w:div>
        <w:div w:id="2000814688">
          <w:marLeft w:val="0"/>
          <w:marRight w:val="0"/>
          <w:marTop w:val="0"/>
          <w:marBottom w:val="0"/>
          <w:divBdr>
            <w:top w:val="none" w:sz="0" w:space="0" w:color="auto"/>
            <w:left w:val="none" w:sz="0" w:space="0" w:color="auto"/>
            <w:bottom w:val="none" w:sz="0" w:space="0" w:color="auto"/>
            <w:right w:val="none" w:sz="0" w:space="0" w:color="auto"/>
          </w:divBdr>
        </w:div>
        <w:div w:id="2111119067">
          <w:marLeft w:val="0"/>
          <w:marRight w:val="0"/>
          <w:marTop w:val="0"/>
          <w:marBottom w:val="0"/>
          <w:divBdr>
            <w:top w:val="none" w:sz="0" w:space="0" w:color="auto"/>
            <w:left w:val="none" w:sz="0" w:space="0" w:color="auto"/>
            <w:bottom w:val="none" w:sz="0" w:space="0" w:color="auto"/>
            <w:right w:val="none" w:sz="0" w:space="0" w:color="auto"/>
          </w:divBdr>
        </w:div>
      </w:divsChild>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840390508">
      <w:bodyDiv w:val="1"/>
      <w:marLeft w:val="0"/>
      <w:marRight w:val="0"/>
      <w:marTop w:val="0"/>
      <w:marBottom w:val="0"/>
      <w:divBdr>
        <w:top w:val="none" w:sz="0" w:space="0" w:color="auto"/>
        <w:left w:val="none" w:sz="0" w:space="0" w:color="auto"/>
        <w:bottom w:val="none" w:sz="0" w:space="0" w:color="auto"/>
        <w:right w:val="none" w:sz="0" w:space="0" w:color="auto"/>
      </w:divBdr>
      <w:divsChild>
        <w:div w:id="341591635">
          <w:marLeft w:val="806"/>
          <w:marRight w:val="0"/>
          <w:marTop w:val="240"/>
          <w:marBottom w:val="240"/>
          <w:divBdr>
            <w:top w:val="none" w:sz="0" w:space="0" w:color="auto"/>
            <w:left w:val="none" w:sz="0" w:space="0" w:color="auto"/>
            <w:bottom w:val="none" w:sz="0" w:space="0" w:color="auto"/>
            <w:right w:val="none" w:sz="0" w:space="0" w:color="auto"/>
          </w:divBdr>
        </w:div>
        <w:div w:id="669987840">
          <w:marLeft w:val="806"/>
          <w:marRight w:val="0"/>
          <w:marTop w:val="240"/>
          <w:marBottom w:val="240"/>
          <w:divBdr>
            <w:top w:val="none" w:sz="0" w:space="0" w:color="auto"/>
            <w:left w:val="none" w:sz="0" w:space="0" w:color="auto"/>
            <w:bottom w:val="none" w:sz="0" w:space="0" w:color="auto"/>
            <w:right w:val="none" w:sz="0" w:space="0" w:color="auto"/>
          </w:divBdr>
        </w:div>
        <w:div w:id="1431076135">
          <w:marLeft w:val="806"/>
          <w:marRight w:val="0"/>
          <w:marTop w:val="240"/>
          <w:marBottom w:val="240"/>
          <w:divBdr>
            <w:top w:val="none" w:sz="0" w:space="0" w:color="auto"/>
            <w:left w:val="none" w:sz="0" w:space="0" w:color="auto"/>
            <w:bottom w:val="none" w:sz="0" w:space="0" w:color="auto"/>
            <w:right w:val="none" w:sz="0" w:space="0" w:color="auto"/>
          </w:divBdr>
        </w:div>
        <w:div w:id="1866212470">
          <w:marLeft w:val="806"/>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hud.gov/sites/dfiles/Housing/documents/&#8204;HOTMA_&#8204;One_&#8204;pager.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FH_HOTMA@hud.gov" TargetMode="External"/><Relationship Id="rId7" Type="http://schemas.openxmlformats.org/officeDocument/2006/relationships/styles" Target="styles.xml"/><Relationship Id="rId12" Type="http://schemas.openxmlformats.org/officeDocument/2006/relationships/hyperlink" Target="https://www.huduser.gov/portal/datasets/inflationary-adjustments-notifications.html" TargetMode="External"/><Relationship Id="rId17" Type="http://schemas.openxmlformats.org/officeDocument/2006/relationships/hyperlink" Target="https://www.hud.gov/program_offices/&#8204;housing/&#8204;mfh/&#8204;hotm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ud.gov/sites/dfiles/OCHCO/documents/2023-10hsgn.pdf" TargetMode="External"/><Relationship Id="rId20" Type="http://schemas.openxmlformats.org/officeDocument/2006/relationships/hyperlink" Target="https://www.huduser.gov/portal/datasets/inflationary-adjustments-notification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hud.gov/sites/dfiles/OCHCO/documents/2023-10hsg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ud.gov/sites/dfiles/Housing/&#8204;documents/&#8204;MFH_&#8204;List_Discretionary_Policies_Implement_HOTM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www.econometricainc.com/"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s://www.econometricainc.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ECBF0D7CB744B7899366CCAB3F0D5C"/>
        <w:category>
          <w:name w:val="General"/>
          <w:gallery w:val="placeholder"/>
        </w:category>
        <w:types>
          <w:type w:val="bbPlcHdr"/>
        </w:types>
        <w:behaviors>
          <w:behavior w:val="content"/>
        </w:behaviors>
        <w:guid w:val="{8A30EA0A-99BB-4E3A-AA88-056A74CA4D9F}"/>
      </w:docPartPr>
      <w:docPartBody>
        <w:p w:rsidR="00BE706D" w:rsidRDefault="00BE706D">
          <w:r w:rsidRPr="00781F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iryo UI">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cadia Code SemiBold">
    <w:altName w:val="Segoe UI Symbol"/>
    <w:charset w:val="00"/>
    <w:family w:val="modern"/>
    <w:pitch w:val="fixed"/>
    <w:sig w:usb0="A1002AFF" w:usb1="C000F9FB" w:usb2="00040020" w:usb3="00000000" w:csb0="000001FF" w:csb1="00000000"/>
  </w:font>
  <w:font w:name="Arial">
    <w:panose1 w:val="020B0604020202020204"/>
    <w:charset w:val="00"/>
    <w:family w:val="swiss"/>
    <w:pitch w:val="variable"/>
    <w:sig w:usb0="E0002EFF" w:usb1="C000785B" w:usb2="00000009" w:usb3="00000000" w:csb0="000001FF" w:csb1="00000000"/>
  </w:font>
  <w:font w:name="Cascadia Code">
    <w:charset w:val="00"/>
    <w:family w:val="modern"/>
    <w:pitch w:val="fixed"/>
    <w:sig w:usb0="A1002AFF" w:usb1="C000F9FB" w:usb2="00040020"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3505D"/>
    <w:multiLevelType w:val="multilevel"/>
    <w:tmpl w:val="8BC8E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3E61B4"/>
    <w:multiLevelType w:val="hybridMultilevel"/>
    <w:tmpl w:val="7C6E2BCE"/>
    <w:lvl w:ilvl="0" w:tplc="FAFE91D4">
      <w:start w:val="1"/>
      <w:numFmt w:val="bullet"/>
      <w:lvlText w:val="●"/>
      <w:lvlJc w:val="left"/>
      <w:pPr>
        <w:ind w:left="360" w:hanging="360"/>
      </w:pPr>
      <w:rPr>
        <w:rFonts w:ascii="Cascadia Code SemiBold" w:hAnsi="Cascadia Code SemiBold" w:hint="default"/>
        <w:b w:val="0"/>
        <w:bCs w:val="0"/>
        <w:color w:val="0E2841" w:themeColor="text2"/>
        <w:sz w:val="14"/>
        <w:szCs w:val="14"/>
      </w:rPr>
    </w:lvl>
    <w:lvl w:ilvl="1" w:tplc="4F54B40E">
      <w:start w:val="1"/>
      <w:numFmt w:val="bullet"/>
      <w:lvlText w:val="o"/>
      <w:lvlJc w:val="left"/>
      <w:pPr>
        <w:ind w:left="1440" w:hanging="360"/>
      </w:pPr>
      <w:rPr>
        <w:rFonts w:ascii="Courier New" w:hAnsi="Courier New" w:cs="Courier New" w:hint="default"/>
        <w:color w:val="156082" w:themeColor="accent1"/>
      </w:rPr>
    </w:lvl>
    <w:lvl w:ilvl="2" w:tplc="B6D456B4">
      <w:start w:val="1"/>
      <w:numFmt w:val="bullet"/>
      <w:lvlText w:val=""/>
      <w:lvlJc w:val="left"/>
      <w:pPr>
        <w:ind w:left="2160" w:hanging="360"/>
      </w:pPr>
      <w:rPr>
        <w:rFonts w:ascii="Wingdings" w:hAnsi="Wingdings" w:hint="default"/>
        <w:color w:val="156082"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409D0"/>
    <w:multiLevelType w:val="hybridMultilevel"/>
    <w:tmpl w:val="842E799E"/>
    <w:lvl w:ilvl="0" w:tplc="0C7E8F96">
      <w:start w:val="1"/>
      <w:numFmt w:val="bullet"/>
      <w:lvlText w:val="○"/>
      <w:lvlJc w:val="left"/>
      <w:pPr>
        <w:ind w:left="1152" w:hanging="360"/>
      </w:pPr>
      <w:rPr>
        <w:rFonts w:ascii="Cascadia Code SemiBold" w:hAnsi="Cascadia Code SemiBold" w:hint="default"/>
        <w:b w:val="0"/>
        <w:bCs w:val="0"/>
        <w:color w:val="0E2841" w:themeColor="text2"/>
        <w:sz w:val="16"/>
        <w:szCs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907419062">
    <w:abstractNumId w:val="1"/>
  </w:num>
  <w:num w:numId="2" w16cid:durableId="1741782369">
    <w:abstractNumId w:val="2"/>
  </w:num>
  <w:num w:numId="3" w16cid:durableId="136559391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E"/>
    <w:rsid w:val="0012537E"/>
    <w:rsid w:val="002363F7"/>
    <w:rsid w:val="00254174"/>
    <w:rsid w:val="0026580E"/>
    <w:rsid w:val="002D5AF2"/>
    <w:rsid w:val="00317432"/>
    <w:rsid w:val="00364A3F"/>
    <w:rsid w:val="00427124"/>
    <w:rsid w:val="00526B18"/>
    <w:rsid w:val="0058735A"/>
    <w:rsid w:val="0062553D"/>
    <w:rsid w:val="00641CB6"/>
    <w:rsid w:val="006F6E77"/>
    <w:rsid w:val="007308BB"/>
    <w:rsid w:val="00816207"/>
    <w:rsid w:val="008E68BD"/>
    <w:rsid w:val="00B24341"/>
    <w:rsid w:val="00BE706D"/>
    <w:rsid w:val="00BF1EE7"/>
    <w:rsid w:val="00C05E7B"/>
    <w:rsid w:val="00C137B3"/>
    <w:rsid w:val="00C6758C"/>
    <w:rsid w:val="00CC2463"/>
    <w:rsid w:val="00D533D1"/>
    <w:rsid w:val="00DC7EA7"/>
    <w:rsid w:val="00E00984"/>
    <w:rsid w:val="00E20270"/>
    <w:rsid w:val="00F523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06D"/>
    <w:rPr>
      <w:color w:val="808080"/>
    </w:rPr>
  </w:style>
  <w:style w:type="paragraph" w:styleId="Caption">
    <w:name w:val="caption"/>
    <w:next w:val="Normal"/>
    <w:link w:val="CaptionChar"/>
    <w:uiPriority w:val="35"/>
    <w:qFormat/>
    <w:rsid w:val="0058735A"/>
    <w:pPr>
      <w:keepNext/>
      <w:keepLines/>
      <w:spacing w:before="240" w:after="40" w:line="240" w:lineRule="auto"/>
      <w:ind w:left="1152" w:hanging="1152"/>
      <w:contextualSpacing/>
      <w:jc w:val="both"/>
    </w:pPr>
    <w:rPr>
      <w:rFonts w:ascii="Arial" w:eastAsiaTheme="minorHAnsi" w:hAnsi="Arial"/>
      <w:b/>
      <w:bCs/>
      <w:color w:val="156082" w:themeColor="accent1"/>
      <w:kern w:val="0"/>
      <w:szCs w:val="18"/>
      <w14:ligatures w14:val="none"/>
    </w:rPr>
  </w:style>
  <w:style w:type="character" w:customStyle="1" w:styleId="CaptionChar">
    <w:name w:val="Caption Char"/>
    <w:basedOn w:val="DefaultParagraphFont"/>
    <w:link w:val="Caption"/>
    <w:uiPriority w:val="35"/>
    <w:rsid w:val="0058735A"/>
    <w:rPr>
      <w:rFonts w:ascii="Arial" w:eastAsiaTheme="minorHAnsi" w:hAnsi="Arial"/>
      <w:b/>
      <w:bCs/>
      <w:color w:val="156082" w:themeColor="accent1"/>
      <w:kern w:val="0"/>
      <w:szCs w:val="18"/>
      <w14:ligatures w14:val="none"/>
    </w:rPr>
  </w:style>
  <w:style w:type="table" w:customStyle="1" w:styleId="EconometricaTableStyle">
    <w:name w:val="Econometrica Table Style"/>
    <w:basedOn w:val="TableNormal"/>
    <w:uiPriority w:val="99"/>
    <w:rsid w:val="0058735A"/>
    <w:pPr>
      <w:spacing w:after="0" w:line="240" w:lineRule="auto"/>
      <w:jc w:val="both"/>
    </w:pPr>
    <w:rPr>
      <w:rFonts w:ascii="Times New Roman" w:eastAsiaTheme="minorHAnsi" w:hAnsi="Times New Roman"/>
      <w:kern w:val="0"/>
      <w:sz w:val="20"/>
      <w:szCs w:val="24"/>
      <w14:ligatures w14:val="none"/>
    </w:rPr>
    <w:tblPr>
      <w:tblStyleRowBandSize w:val="1"/>
      <w:tblStyleColBandSize w:val="1"/>
      <w:jc w:val="center"/>
      <w:tblBorders>
        <w:top w:val="single" w:sz="4" w:space="0" w:color="156082" w:themeColor="accent1"/>
        <w:bottom w:val="single" w:sz="4" w:space="0" w:color="156082" w:themeColor="accent1"/>
        <w:insideH w:val="single" w:sz="4" w:space="0" w:color="156082" w:themeColor="accent1"/>
        <w:insideV w:val="single" w:sz="4" w:space="0" w:color="156082" w:themeColor="accent1"/>
      </w:tblBorders>
      <w:tblCellMar>
        <w:top w:w="29" w:type="dxa"/>
        <w:left w:w="43" w:type="dxa"/>
        <w:bottom w:w="29" w:type="dxa"/>
        <w:right w:w="43" w:type="dxa"/>
      </w:tblCellMar>
    </w:tblPr>
    <w:trPr>
      <w:cantSplit/>
      <w:jc w:val="center"/>
    </w:trPr>
    <w:tcPr>
      <w:vAlign w:val="center"/>
    </w:tcPr>
    <w:tblStylePr w:type="firstRow">
      <w:pPr>
        <w:wordWrap/>
        <w:jc w:val="center"/>
      </w:pPr>
      <w:rPr>
        <w:rFonts w:ascii="Aptos" w:hAnsi="Aptos"/>
        <w:b/>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156082" w:themeFill="accent1"/>
      </w:tcPr>
    </w:tblStylePr>
    <w:tblStylePr w:type="lastRow">
      <w:rPr>
        <w:b/>
        <w:color w:val="262626" w:themeColor="text1" w:themeTint="D9"/>
      </w:rPr>
      <w:tblPr/>
      <w:tcPr>
        <w:shd w:val="clear" w:color="auto" w:fill="F6C5AC" w:themeFill="accent2" w:themeFillTint="66"/>
      </w:tcPr>
    </w:tblStylePr>
    <w:tblStylePr w:type="firstCol">
      <w:rPr>
        <w:b w:val="0"/>
      </w:rPr>
      <w:tblPr/>
      <w:tcPr>
        <w:tcBorders>
          <w:top w:val="single" w:sz="4" w:space="0" w:color="156082" w:themeColor="accent1"/>
          <w:left w:val="nil"/>
          <w:bottom w:val="single" w:sz="4" w:space="0" w:color="156082" w:themeColor="accent1"/>
          <w:right w:val="nil"/>
          <w:insideH w:val="single" w:sz="4" w:space="0" w:color="156082" w:themeColor="accent1"/>
          <w:insideV w:val="nil"/>
          <w:tl2br w:val="nil"/>
          <w:tr2bl w:val="nil"/>
        </w:tcBorders>
      </w:tcPr>
    </w:tblStylePr>
    <w:tblStylePr w:type="lastCol">
      <w:rPr>
        <w:b/>
        <w:color w:val="262626" w:themeColor="text1" w:themeTint="D9"/>
      </w:rPr>
      <w:tblPr/>
      <w:tcPr>
        <w:tcBorders>
          <w:top w:val="single" w:sz="4" w:space="0" w:color="156082" w:themeColor="accent1"/>
          <w:left w:val="nil"/>
          <w:bottom w:val="single" w:sz="4" w:space="0" w:color="156082" w:themeColor="accent1"/>
          <w:right w:val="nil"/>
          <w:insideH w:val="single" w:sz="4" w:space="0" w:color="156082" w:themeColor="accent1"/>
          <w:insideV w:val="nil"/>
          <w:tl2br w:val="nil"/>
          <w:tr2bl w:val="nil"/>
        </w:tcBorders>
        <w:shd w:val="clear" w:color="auto" w:fill="F6C5AC" w:themeFill="accent2" w:themeFillTint="66"/>
      </w:tcPr>
    </w:tblStylePr>
    <w:tblStylePr w:type="band1Vert">
      <w:tblPr/>
      <w:tcPr>
        <w:tcBorders>
          <w:top w:val="single" w:sz="4" w:space="0" w:color="156082" w:themeColor="accent1"/>
          <w:left w:val="nil"/>
          <w:bottom w:val="single" w:sz="4" w:space="0" w:color="156082" w:themeColor="accent1"/>
          <w:right w:val="nil"/>
          <w:insideH w:val="single" w:sz="4" w:space="0" w:color="156082" w:themeColor="accent1"/>
          <w:insideV w:val="nil"/>
          <w:tl2br w:val="nil"/>
          <w:tr2bl w:val="nil"/>
        </w:tcBorders>
        <w:shd w:val="clear" w:color="auto" w:fill="E8E8E8" w:themeFill="background2"/>
      </w:tcPr>
    </w:tblStylePr>
    <w:tblStylePr w:type="band2Vert">
      <w:tblPr/>
      <w:tcPr>
        <w:tcBorders>
          <w:top w:val="single" w:sz="4" w:space="0" w:color="156082" w:themeColor="accent1"/>
          <w:left w:val="nil"/>
          <w:bottom w:val="single" w:sz="4" w:space="0" w:color="156082" w:themeColor="accent1"/>
          <w:right w:val="nil"/>
          <w:insideH w:val="single" w:sz="4" w:space="0" w:color="156082" w:themeColor="accent1"/>
          <w:insideV w:val="nil"/>
          <w:tl2br w:val="nil"/>
          <w:tr2bl w:val="nil"/>
        </w:tcBorders>
      </w:tcPr>
    </w:tblStylePr>
    <w:tblStylePr w:type="band1Horz">
      <w:rPr>
        <w:color w:val="auto"/>
      </w:rPr>
      <w:tblPr/>
      <w:tcPr>
        <w:tcBorders>
          <w:top w:val="single" w:sz="4" w:space="0" w:color="156082" w:themeColor="accent1"/>
          <w:left w:val="nil"/>
          <w:bottom w:val="single" w:sz="4" w:space="0" w:color="156082" w:themeColor="accent1"/>
          <w:right w:val="nil"/>
          <w:insideH w:val="nil"/>
          <w:insideV w:val="single" w:sz="4" w:space="0" w:color="156082" w:themeColor="accent1"/>
          <w:tl2br w:val="nil"/>
          <w:tr2bl w:val="nil"/>
        </w:tcBorders>
        <w:shd w:val="clear" w:color="auto" w:fill="FFFFFF" w:themeFill="background1"/>
      </w:tcPr>
    </w:tblStylePr>
    <w:tblStylePr w:type="band2Horz">
      <w:rPr>
        <w:color w:val="auto"/>
      </w:rPr>
      <w:tblPr/>
      <w:tcPr>
        <w:tcBorders>
          <w:top w:val="single" w:sz="4" w:space="0" w:color="156082" w:themeColor="accent1"/>
          <w:left w:val="nil"/>
          <w:bottom w:val="single" w:sz="4" w:space="0" w:color="156082" w:themeColor="accent1"/>
          <w:right w:val="nil"/>
          <w:insideH w:val="nil"/>
          <w:insideV w:val="single" w:sz="4" w:space="0" w:color="156082" w:themeColor="accent1"/>
          <w:tl2br w:val="nil"/>
          <w:tr2bl w:val="nil"/>
        </w:tcBorders>
        <w:shd w:val="clear" w:color="auto" w:fill="E8E8E8" w:themeFill="background2"/>
      </w:tcPr>
    </w:tblStyle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cono 2024">
      <a:dk1>
        <a:srgbClr val="000000"/>
      </a:dk1>
      <a:lt1>
        <a:srgbClr val="FFFFFF"/>
      </a:lt1>
      <a:dk2>
        <a:srgbClr val="00AEEF"/>
      </a:dk2>
      <a:lt2>
        <a:srgbClr val="E1F4FF"/>
      </a:lt2>
      <a:accent1>
        <a:srgbClr val="002D73"/>
      </a:accent1>
      <a:accent2>
        <a:srgbClr val="FFF200"/>
      </a:accent2>
      <a:accent3>
        <a:srgbClr val="C5D744"/>
      </a:accent3>
      <a:accent4>
        <a:srgbClr val="514689"/>
      </a:accent4>
      <a:accent5>
        <a:srgbClr val="D97300"/>
      </a:accent5>
      <a:accent6>
        <a:srgbClr val="338C26"/>
      </a:accent6>
      <a:hlink>
        <a:srgbClr val="00AEEF"/>
      </a:hlink>
      <a:folHlink>
        <a:srgbClr val="5146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1082A9F1B5F64FB738623D8E3DCC81" ma:contentTypeVersion="8" ma:contentTypeDescription="Create a new document." ma:contentTypeScope="" ma:versionID="fa0ebb79c0107d527403b3856c15e5a9">
  <xsd:schema xmlns:xsd="http://www.w3.org/2001/XMLSchema" xmlns:xs="http://www.w3.org/2001/XMLSchema" xmlns:p="http://schemas.microsoft.com/office/2006/metadata/properties" xmlns:ns2="fbf3f732-1a97-483a-be9a-e4f04644d584" targetNamespace="http://schemas.microsoft.com/office/2006/metadata/properties" ma:root="true" ma:fieldsID="1a33988b153a3381bb8298376738280d" ns2:_="">
    <xsd:import namespace="fbf3f732-1a97-483a-be9a-e4f04644d5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3f732-1a97-483a-be9a-e4f04644d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fbf3f732-1a97-483a-be9a-e4f04644d58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DD83C7-B551-4182-8C85-3B6D478D6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3f732-1a97-483a-be9a-e4f04644d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DFA19-9102-40AA-BECA-5503655C74F4}">
  <ds:schemaRefs>
    <ds:schemaRef ds:uri="http://schemas.openxmlformats.org/officeDocument/2006/bibliography"/>
  </ds:schemaRefs>
</ds:datastoreItem>
</file>

<file path=customXml/itemProps4.xml><?xml version="1.0" encoding="utf-8"?>
<ds:datastoreItem xmlns:ds="http://schemas.openxmlformats.org/officeDocument/2006/customXml" ds:itemID="{2044ABBD-F95E-47FE-9DF6-FA52AD85D872}">
  <ds:schemaRefs>
    <ds:schemaRef ds:uri="http://schemas.microsoft.com/sharepoint/v3/contenttype/forms"/>
  </ds:schemaRefs>
</ds:datastoreItem>
</file>

<file path=customXml/itemProps5.xml><?xml version="1.0" encoding="utf-8"?>
<ds:datastoreItem xmlns:ds="http://schemas.openxmlformats.org/officeDocument/2006/customXml" ds:itemID="{805D8F00-1340-47DD-847E-B6D4A13601FD}">
  <ds:schemaRefs>
    <ds:schemaRef ds:uri="http://schemas.microsoft.com/office/2006/metadata/properties"/>
    <ds:schemaRef ds:uri="http://schemas.microsoft.com/office/infopath/2007/PartnerControls"/>
    <ds:schemaRef ds:uri="fbf3f732-1a97-483a-be9a-e4f04644d5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5128</Words>
  <Characters>29233</Characters>
  <Application>Microsoft Office Word</Application>
  <DocSecurity>0</DocSecurity>
  <Lines>243</Lines>
  <Paragraphs>68</Paragraphs>
  <ScaleCrop>false</ScaleCrop>
  <Company>Econometrica, Inc.</Company>
  <LinksUpToDate>false</LinksUpToDate>
  <CharactersWithSpaces>34293</CharactersWithSpaces>
  <SharedDoc>false</SharedDoc>
  <HLinks>
    <vt:vector size="60" baseType="variant">
      <vt:variant>
        <vt:i4>458757</vt:i4>
      </vt:variant>
      <vt:variant>
        <vt:i4>21</vt:i4>
      </vt:variant>
      <vt:variant>
        <vt:i4>0</vt:i4>
      </vt:variant>
      <vt:variant>
        <vt:i4>5</vt:i4>
      </vt:variant>
      <vt:variant>
        <vt:lpwstr>mailto:MFH_HOTMA@hud.gov</vt:lpwstr>
      </vt:variant>
      <vt:variant>
        <vt:lpwstr/>
      </vt:variant>
      <vt:variant>
        <vt:i4>7798842</vt:i4>
      </vt:variant>
      <vt:variant>
        <vt:i4>18</vt:i4>
      </vt:variant>
      <vt:variant>
        <vt:i4>0</vt:i4>
      </vt:variant>
      <vt:variant>
        <vt:i4>5</vt:i4>
      </vt:variant>
      <vt:variant>
        <vt:lpwstr>https://www.huduser.gov/portal/datasets/inflationary-adjustments-notifications.html</vt:lpwstr>
      </vt:variant>
      <vt:variant>
        <vt:lpwstr/>
      </vt:variant>
      <vt:variant>
        <vt:i4>1056776</vt:i4>
      </vt:variant>
      <vt:variant>
        <vt:i4>15</vt:i4>
      </vt:variant>
      <vt:variant>
        <vt:i4>0</vt:i4>
      </vt:variant>
      <vt:variant>
        <vt:i4>5</vt:i4>
      </vt:variant>
      <vt:variant>
        <vt:lpwstr>https://www.hud.gov/sites/dfiles/Housing/‌documents/‌MFH_‌List_Discretionary_Policies_Implement_HOTMA.pdf</vt:lpwstr>
      </vt:variant>
      <vt:variant>
        <vt:lpwstr/>
      </vt:variant>
      <vt:variant>
        <vt:i4>7610434</vt:i4>
      </vt:variant>
      <vt:variant>
        <vt:i4>12</vt:i4>
      </vt:variant>
      <vt:variant>
        <vt:i4>0</vt:i4>
      </vt:variant>
      <vt:variant>
        <vt:i4>5</vt:i4>
      </vt:variant>
      <vt:variant>
        <vt:lpwstr>https://www.hud.gov/sites/dfiles/Housing/documents/‌HOTMA_‌One_‌pager.pdf</vt:lpwstr>
      </vt:variant>
      <vt:variant>
        <vt:lpwstr/>
      </vt:variant>
      <vt:variant>
        <vt:i4>538312734</vt:i4>
      </vt:variant>
      <vt:variant>
        <vt:i4>9</vt:i4>
      </vt:variant>
      <vt:variant>
        <vt:i4>0</vt:i4>
      </vt:variant>
      <vt:variant>
        <vt:i4>5</vt:i4>
      </vt:variant>
      <vt:variant>
        <vt:lpwstr>https://www.hud.gov/program_offices/‌housing/‌mfh/‌hotma</vt:lpwstr>
      </vt:variant>
      <vt:variant>
        <vt:lpwstr/>
      </vt:variant>
      <vt:variant>
        <vt:i4>18</vt:i4>
      </vt:variant>
      <vt:variant>
        <vt:i4>6</vt:i4>
      </vt:variant>
      <vt:variant>
        <vt:i4>0</vt:i4>
      </vt:variant>
      <vt:variant>
        <vt:i4>5</vt:i4>
      </vt:variant>
      <vt:variant>
        <vt:lpwstr>https://www.hud.gov/sites/dfiles/OCHCO/documents/2023-10hsgn.pdf</vt:lpwstr>
      </vt:variant>
      <vt:variant>
        <vt:lpwstr/>
      </vt:variant>
      <vt:variant>
        <vt:i4>18</vt:i4>
      </vt:variant>
      <vt:variant>
        <vt:i4>3</vt:i4>
      </vt:variant>
      <vt:variant>
        <vt:i4>0</vt:i4>
      </vt:variant>
      <vt:variant>
        <vt:i4>5</vt:i4>
      </vt:variant>
      <vt:variant>
        <vt:lpwstr>https://www.hud.gov/sites/dfiles/OCHCO/documents/2023-10hsgn.pdf</vt:lpwstr>
      </vt:variant>
      <vt:variant>
        <vt:lpwstr/>
      </vt:variant>
      <vt:variant>
        <vt:i4>7798842</vt:i4>
      </vt:variant>
      <vt:variant>
        <vt:i4>0</vt:i4>
      </vt:variant>
      <vt:variant>
        <vt:i4>0</vt:i4>
      </vt:variant>
      <vt:variant>
        <vt:i4>5</vt:i4>
      </vt:variant>
      <vt:variant>
        <vt:lpwstr>https://www.huduser.gov/portal/datasets/inflationary-adjustments-notifications.html</vt:lpwstr>
      </vt:variant>
      <vt:variant>
        <vt:lpwstr/>
      </vt:variant>
      <vt:variant>
        <vt:i4>5505109</vt:i4>
      </vt:variant>
      <vt:variant>
        <vt:i4>15</vt:i4>
      </vt:variant>
      <vt:variant>
        <vt:i4>0</vt:i4>
      </vt:variant>
      <vt:variant>
        <vt:i4>5</vt:i4>
      </vt:variant>
      <vt:variant>
        <vt:lpwstr>https://www.econometricainc.com/</vt:lpwstr>
      </vt:variant>
      <vt:variant>
        <vt:lpwstr/>
      </vt:variant>
      <vt:variant>
        <vt:i4>5505109</vt:i4>
      </vt:variant>
      <vt:variant>
        <vt:i4>6</vt:i4>
      </vt:variant>
      <vt:variant>
        <vt:i4>0</vt:i4>
      </vt:variant>
      <vt:variant>
        <vt:i4>5</vt:i4>
      </vt:variant>
      <vt:variant>
        <vt:lpwstr>https://www.econometricainc.com/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Family Assets</dc:title>
  <dc:subject>HOTMA Video Series for Multifamily Owners and Property Managers</dc:subject>
  <dc:creator>Kurt von Tish</dc:creator>
  <cp:keywords>XXXX-XXX</cp:keywords>
  <cp:lastModifiedBy>Norman, Robert L</cp:lastModifiedBy>
  <cp:revision>2</cp:revision>
  <cp:lastPrinted>2023-11-28T17:12:00Z</cp:lastPrinted>
  <dcterms:created xsi:type="dcterms:W3CDTF">2024-05-01T12:55:00Z</dcterms:created>
  <dcterms:modified xsi:type="dcterms:W3CDTF">2024-05-01T12:55:00Z</dcterms:modified>
  <cp:category>XXXXXX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0x010100E11082A9F1B5F64FB738623D8E3DCC81</vt:lpwstr>
  </property>
  <property fmtid="{D5CDD505-2E9C-101B-9397-08002B2CF9AE}" pid="3" name="MediaServiceImageTags">
    <vt:lpwstr/>
  </property>
  <property fmtid="{D5CDD505-2E9C-101B-9397-08002B2CF9AE}" pid="4" name="GrammarlyDocumentId">
    <vt:lpwstr>dcf904a4f326cfac78b07a3305ef524b7f40625c097023bf33f7cfe83512dc08</vt:lpwstr>
  </property>
  <property fmtid="{D5CDD505-2E9C-101B-9397-08002B2CF9AE}" pid="5" name="Order">
    <vt:r8>20100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