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47238" w14:textId="77777777" w:rsidR="00DF51A2" w:rsidRPr="00DF51A2" w:rsidRDefault="00DF51A2" w:rsidP="00DF51A2">
      <w:pPr>
        <w:spacing w:after="0" w:line="240" w:lineRule="auto"/>
        <w:jc w:val="center"/>
        <w:rPr>
          <w:rFonts w:ascii="Verdana" w:eastAsia="Calibri" w:hAnsi="Verdana" w:cs="Times New Roman"/>
          <w:b/>
          <w:sz w:val="32"/>
          <w:szCs w:val="32"/>
          <w:u w:val="single"/>
        </w:rPr>
      </w:pPr>
      <w:bookmarkStart w:id="0" w:name="_top"/>
      <w:bookmarkStart w:id="1" w:name="_Hlk33003562"/>
      <w:bookmarkStart w:id="2" w:name="_Hlk33431927"/>
      <w:bookmarkEnd w:id="0"/>
      <w:r w:rsidRPr="00DF51A2">
        <w:rPr>
          <w:rFonts w:ascii="Verdana" w:eastAsia="Calibri" w:hAnsi="Verdana" w:cs="Times New Roman"/>
          <w:b/>
          <w:noProof/>
          <w:sz w:val="32"/>
          <w:szCs w:val="32"/>
          <w:u w:val="single"/>
        </w:rPr>
        <w:drawing>
          <wp:inline distT="0" distB="0" distL="0" distR="0" wp14:anchorId="456890BE" wp14:editId="57859347">
            <wp:extent cx="59436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52500"/>
                    </a:xfrm>
                    <a:prstGeom prst="rect">
                      <a:avLst/>
                    </a:prstGeom>
                    <a:noFill/>
                    <a:ln>
                      <a:noFill/>
                    </a:ln>
                  </pic:spPr>
                </pic:pic>
              </a:graphicData>
            </a:graphic>
          </wp:inline>
        </w:drawing>
      </w:r>
    </w:p>
    <w:p w14:paraId="7BCEA5C8" w14:textId="77777777" w:rsidR="00DF51A2" w:rsidRPr="00DF51A2" w:rsidRDefault="00DF51A2" w:rsidP="00DF51A2">
      <w:pPr>
        <w:spacing w:after="0" w:line="240" w:lineRule="auto"/>
        <w:jc w:val="center"/>
        <w:rPr>
          <w:rFonts w:ascii="Verdana" w:eastAsia="Calibri" w:hAnsi="Verdana" w:cs="Times New Roman"/>
        </w:rPr>
      </w:pPr>
    </w:p>
    <w:p w14:paraId="41BAE8E2" w14:textId="1E36FC5B" w:rsidR="00DF51A2" w:rsidRPr="00FA5042" w:rsidRDefault="006D196A" w:rsidP="00DF51A2">
      <w:pPr>
        <w:spacing w:after="0" w:line="240" w:lineRule="auto"/>
        <w:rPr>
          <w:rFonts w:ascii="Arial" w:eastAsia="Calibri" w:hAnsi="Arial" w:cs="Arial"/>
          <w:iCs/>
          <w:sz w:val="28"/>
          <w:szCs w:val="28"/>
        </w:rPr>
      </w:pPr>
      <w:r w:rsidRPr="00FA5042">
        <w:rPr>
          <w:rFonts w:ascii="Arial" w:eastAsia="Calibri" w:hAnsi="Arial" w:cs="Arial"/>
          <w:iCs/>
          <w:sz w:val="28"/>
          <w:szCs w:val="28"/>
        </w:rPr>
        <w:t>February 26</w:t>
      </w:r>
      <w:r w:rsidR="00DF51A2" w:rsidRPr="00FA5042">
        <w:rPr>
          <w:rFonts w:ascii="Arial" w:eastAsia="Calibri" w:hAnsi="Arial" w:cs="Arial"/>
          <w:iCs/>
          <w:sz w:val="28"/>
          <w:szCs w:val="28"/>
        </w:rPr>
        <w:t>, 2020</w:t>
      </w:r>
    </w:p>
    <w:p w14:paraId="3A85106D" w14:textId="77777777" w:rsidR="00DF51A2" w:rsidRPr="00DF51A2" w:rsidRDefault="00DF51A2" w:rsidP="00A0636D">
      <w:pPr>
        <w:spacing w:after="0" w:line="240" w:lineRule="auto"/>
        <w:rPr>
          <w:rFonts w:ascii="Arial" w:eastAsia="Calibri" w:hAnsi="Arial" w:cs="Arial"/>
          <w:bCs/>
          <w:iCs/>
          <w:sz w:val="24"/>
          <w:szCs w:val="24"/>
          <w:u w:val="single"/>
        </w:rPr>
      </w:pPr>
    </w:p>
    <w:p w14:paraId="1DD3F5C6" w14:textId="77777777" w:rsidR="00DF51A2" w:rsidRPr="00DF51A2" w:rsidRDefault="00DF51A2" w:rsidP="00A0636D">
      <w:pPr>
        <w:spacing w:after="0" w:line="240" w:lineRule="auto"/>
        <w:contextualSpacing/>
        <w:rPr>
          <w:rFonts w:ascii="Arial" w:eastAsia="Calibri" w:hAnsi="Arial" w:cs="Arial"/>
          <w:color w:val="000066"/>
          <w:sz w:val="28"/>
          <w:szCs w:val="28"/>
        </w:rPr>
      </w:pPr>
      <w:r w:rsidRPr="00DF51A2">
        <w:rPr>
          <w:rFonts w:ascii="Arial" w:eastAsia="Calibri" w:hAnsi="Arial" w:cs="Arial"/>
          <w:color w:val="000066"/>
          <w:sz w:val="28"/>
          <w:szCs w:val="28"/>
        </w:rPr>
        <w:t>In This Update</w:t>
      </w:r>
      <w:bookmarkStart w:id="3" w:name="_GoBack"/>
      <w:bookmarkEnd w:id="3"/>
    </w:p>
    <w:p w14:paraId="67886E0A" w14:textId="77777777" w:rsidR="00DF51A2" w:rsidRPr="00DF51A2" w:rsidRDefault="00DF51A2" w:rsidP="00A0636D">
      <w:pPr>
        <w:spacing w:after="0" w:line="240" w:lineRule="auto"/>
        <w:contextualSpacing/>
        <w:rPr>
          <w:rFonts w:ascii="Arial" w:eastAsia="Calibri" w:hAnsi="Arial" w:cs="Arial"/>
          <w:bCs/>
          <w:iCs/>
          <w:sz w:val="24"/>
          <w:szCs w:val="24"/>
          <w:u w:val="single"/>
        </w:rPr>
      </w:pPr>
    </w:p>
    <w:p w14:paraId="77F26FEA" w14:textId="77777777" w:rsidR="00DF51A2" w:rsidRPr="00A0636D" w:rsidRDefault="00DF51A2" w:rsidP="00A0636D">
      <w:pPr>
        <w:pStyle w:val="ListParagraph"/>
        <w:numPr>
          <w:ilvl w:val="0"/>
          <w:numId w:val="12"/>
        </w:numPr>
        <w:tabs>
          <w:tab w:val="right" w:leader="dot" w:pos="9350"/>
        </w:tabs>
        <w:spacing w:before="120" w:after="120" w:line="240" w:lineRule="auto"/>
        <w:contextualSpacing w:val="0"/>
        <w:rPr>
          <w:rFonts w:ascii="Arial" w:eastAsia="Times New Roman" w:hAnsi="Arial" w:cs="Arial"/>
          <w:noProof/>
          <w:color w:val="000066"/>
          <w:sz w:val="24"/>
          <w:szCs w:val="24"/>
        </w:rPr>
      </w:pPr>
      <w:r w:rsidRPr="00A0636D">
        <w:rPr>
          <w:rFonts w:ascii="Arial" w:eastAsia="Calibri" w:hAnsi="Arial" w:cs="Arial"/>
          <w:i/>
          <w:sz w:val="24"/>
          <w:szCs w:val="24"/>
        </w:rPr>
        <w:fldChar w:fldCharType="begin"/>
      </w:r>
      <w:r w:rsidRPr="00A0636D">
        <w:rPr>
          <w:rFonts w:ascii="Arial" w:eastAsia="Calibri" w:hAnsi="Arial" w:cs="Arial"/>
          <w:i/>
          <w:sz w:val="24"/>
          <w:szCs w:val="24"/>
        </w:rPr>
        <w:instrText xml:space="preserve"> TOC \o "1-3" \n \h \z \u </w:instrText>
      </w:r>
      <w:r w:rsidRPr="00A0636D">
        <w:rPr>
          <w:rFonts w:ascii="Arial" w:eastAsia="Calibri" w:hAnsi="Arial" w:cs="Arial"/>
          <w:i/>
          <w:sz w:val="24"/>
          <w:szCs w:val="24"/>
        </w:rPr>
        <w:fldChar w:fldCharType="separate"/>
      </w:r>
      <w:hyperlink w:anchor="_Toc33003841" w:history="1">
        <w:r w:rsidRPr="00A0636D">
          <w:rPr>
            <w:rFonts w:ascii="Arial" w:eastAsia="Calibri" w:hAnsi="Arial" w:cs="Arial"/>
            <w:noProof/>
            <w:color w:val="000066"/>
            <w:sz w:val="24"/>
            <w:szCs w:val="24"/>
          </w:rPr>
          <w:t>Addressing Quality of Care Issues in Application</w:t>
        </w:r>
      </w:hyperlink>
    </w:p>
    <w:p w14:paraId="2ABC4EA2" w14:textId="77777777" w:rsidR="00DF51A2" w:rsidRPr="00A0636D" w:rsidRDefault="001B72A7" w:rsidP="00A0636D">
      <w:pPr>
        <w:pStyle w:val="ListParagraph"/>
        <w:numPr>
          <w:ilvl w:val="0"/>
          <w:numId w:val="12"/>
        </w:numPr>
        <w:tabs>
          <w:tab w:val="right" w:leader="dot" w:pos="9350"/>
        </w:tabs>
        <w:spacing w:before="120" w:after="120" w:line="240" w:lineRule="auto"/>
        <w:contextualSpacing w:val="0"/>
        <w:rPr>
          <w:rFonts w:ascii="Arial" w:eastAsia="Times New Roman" w:hAnsi="Arial" w:cs="Arial"/>
          <w:noProof/>
          <w:color w:val="000066"/>
          <w:sz w:val="24"/>
          <w:szCs w:val="24"/>
        </w:rPr>
      </w:pPr>
      <w:hyperlink w:anchor="_Toc33003842" w:history="1">
        <w:r w:rsidR="00DF51A2" w:rsidRPr="00A0636D">
          <w:rPr>
            <w:rFonts w:ascii="Arial" w:eastAsia="Calibri" w:hAnsi="Arial" w:cs="Arial"/>
            <w:noProof/>
            <w:color w:val="000066"/>
            <w:sz w:val="24"/>
            <w:szCs w:val="24"/>
          </w:rPr>
          <w:t>Guidance on Operating Lease Escalators</w:t>
        </w:r>
      </w:hyperlink>
    </w:p>
    <w:p w14:paraId="1521629D" w14:textId="77777777" w:rsidR="00DF51A2" w:rsidRPr="00A0636D" w:rsidRDefault="001B72A7" w:rsidP="00A0636D">
      <w:pPr>
        <w:pStyle w:val="ListParagraph"/>
        <w:numPr>
          <w:ilvl w:val="0"/>
          <w:numId w:val="12"/>
        </w:numPr>
        <w:tabs>
          <w:tab w:val="right" w:leader="dot" w:pos="9350"/>
        </w:tabs>
        <w:spacing w:before="120" w:after="120" w:line="240" w:lineRule="auto"/>
        <w:contextualSpacing w:val="0"/>
        <w:rPr>
          <w:rFonts w:ascii="Arial" w:eastAsia="Times New Roman" w:hAnsi="Arial" w:cs="Arial"/>
          <w:noProof/>
          <w:color w:val="000066"/>
          <w:sz w:val="24"/>
          <w:szCs w:val="24"/>
        </w:rPr>
      </w:pPr>
      <w:hyperlink w:anchor="_Toc33003843" w:history="1">
        <w:r w:rsidR="00DF51A2" w:rsidRPr="00A0636D">
          <w:rPr>
            <w:rFonts w:ascii="Arial" w:eastAsia="Calibri" w:hAnsi="Arial" w:cs="Arial"/>
            <w:noProof/>
            <w:color w:val="000066"/>
            <w:sz w:val="24"/>
            <w:szCs w:val="24"/>
          </w:rPr>
          <w:t>Appraisal Reminders</w:t>
        </w:r>
      </w:hyperlink>
    </w:p>
    <w:p w14:paraId="3CD0D8A2" w14:textId="77777777" w:rsidR="00DF51A2" w:rsidRPr="00A0636D" w:rsidRDefault="001B72A7" w:rsidP="00A0636D">
      <w:pPr>
        <w:pStyle w:val="ListParagraph"/>
        <w:numPr>
          <w:ilvl w:val="0"/>
          <w:numId w:val="12"/>
        </w:numPr>
        <w:tabs>
          <w:tab w:val="right" w:leader="dot" w:pos="9350"/>
        </w:tabs>
        <w:spacing w:before="120" w:after="120" w:line="240" w:lineRule="auto"/>
        <w:contextualSpacing w:val="0"/>
        <w:rPr>
          <w:rFonts w:ascii="Arial" w:eastAsia="Times New Roman" w:hAnsi="Arial" w:cs="Arial"/>
          <w:noProof/>
          <w:color w:val="000066"/>
          <w:sz w:val="24"/>
          <w:szCs w:val="24"/>
        </w:rPr>
      </w:pPr>
      <w:hyperlink w:anchor="_Toc33003844" w:history="1">
        <w:r w:rsidR="00DF51A2" w:rsidRPr="00A0636D">
          <w:rPr>
            <w:rFonts w:ascii="Arial" w:eastAsia="Calibri" w:hAnsi="Arial" w:cs="Arial"/>
            <w:noProof/>
            <w:color w:val="000066"/>
            <w:sz w:val="24"/>
            <w:szCs w:val="24"/>
          </w:rPr>
          <w:t>Section 106 Historic Preservation Reviews</w:t>
        </w:r>
      </w:hyperlink>
    </w:p>
    <w:p w14:paraId="33139026" w14:textId="77777777" w:rsidR="00DF51A2" w:rsidRPr="00A0636D" w:rsidRDefault="001B72A7" w:rsidP="00A0636D">
      <w:pPr>
        <w:pStyle w:val="ListParagraph"/>
        <w:numPr>
          <w:ilvl w:val="0"/>
          <w:numId w:val="12"/>
        </w:numPr>
        <w:tabs>
          <w:tab w:val="right" w:leader="dot" w:pos="9350"/>
        </w:tabs>
        <w:spacing w:before="120" w:after="120" w:line="240" w:lineRule="auto"/>
        <w:contextualSpacing w:val="0"/>
        <w:rPr>
          <w:rFonts w:ascii="Arial" w:eastAsia="Times New Roman" w:hAnsi="Arial" w:cs="Arial"/>
          <w:noProof/>
          <w:color w:val="000066"/>
          <w:sz w:val="24"/>
          <w:szCs w:val="24"/>
        </w:rPr>
      </w:pPr>
      <w:hyperlink w:anchor="_Toc33003845" w:history="1">
        <w:r w:rsidR="00DF51A2" w:rsidRPr="00A0636D">
          <w:rPr>
            <w:rFonts w:ascii="Arial" w:eastAsia="Calibri" w:hAnsi="Arial" w:cs="Arial"/>
            <w:noProof/>
            <w:color w:val="000066"/>
            <w:sz w:val="24"/>
            <w:szCs w:val="24"/>
          </w:rPr>
          <w:t>New Environmental Rule Conforming the Acceptable Separation Distance (ASD) Standards for Propane Tanks to Industry Standards</w:t>
        </w:r>
      </w:hyperlink>
    </w:p>
    <w:p w14:paraId="108DDEB8" w14:textId="77777777" w:rsidR="00DF51A2" w:rsidRPr="00A0636D" w:rsidRDefault="001B72A7" w:rsidP="00A0636D">
      <w:pPr>
        <w:pStyle w:val="ListParagraph"/>
        <w:numPr>
          <w:ilvl w:val="0"/>
          <w:numId w:val="12"/>
        </w:numPr>
        <w:tabs>
          <w:tab w:val="right" w:leader="dot" w:pos="9350"/>
        </w:tabs>
        <w:spacing w:before="120" w:after="120" w:line="240" w:lineRule="auto"/>
        <w:contextualSpacing w:val="0"/>
        <w:rPr>
          <w:rFonts w:ascii="Arial" w:eastAsia="Times New Roman" w:hAnsi="Arial" w:cs="Arial"/>
          <w:noProof/>
          <w:color w:val="000066"/>
          <w:sz w:val="24"/>
          <w:szCs w:val="24"/>
        </w:rPr>
      </w:pPr>
      <w:hyperlink w:anchor="_Toc33003846" w:history="1">
        <w:r w:rsidR="00DF51A2" w:rsidRPr="00A0636D">
          <w:rPr>
            <w:rFonts w:ascii="Arial" w:eastAsia="Calibri" w:hAnsi="Arial" w:cs="Arial"/>
            <w:noProof/>
            <w:color w:val="000066"/>
            <w:sz w:val="24"/>
            <w:szCs w:val="24"/>
          </w:rPr>
          <w:t>Submitting Environmental Reviews to ORCF in HEROS</w:t>
        </w:r>
      </w:hyperlink>
    </w:p>
    <w:p w14:paraId="2DA5F550" w14:textId="77777777" w:rsidR="00DF51A2" w:rsidRPr="00A0636D" w:rsidRDefault="001B72A7" w:rsidP="00A0636D">
      <w:pPr>
        <w:pStyle w:val="ListParagraph"/>
        <w:numPr>
          <w:ilvl w:val="0"/>
          <w:numId w:val="12"/>
        </w:numPr>
        <w:tabs>
          <w:tab w:val="right" w:leader="dot" w:pos="9350"/>
        </w:tabs>
        <w:spacing w:before="120" w:after="120" w:line="240" w:lineRule="auto"/>
        <w:contextualSpacing w:val="0"/>
        <w:rPr>
          <w:rFonts w:ascii="Arial" w:eastAsia="Times New Roman" w:hAnsi="Arial" w:cs="Arial"/>
          <w:noProof/>
          <w:color w:val="000066"/>
          <w:sz w:val="24"/>
          <w:szCs w:val="24"/>
        </w:rPr>
      </w:pPr>
      <w:hyperlink w:anchor="_Toc33003847" w:history="1">
        <w:r w:rsidR="00DF51A2" w:rsidRPr="00A0636D">
          <w:rPr>
            <w:rFonts w:ascii="Arial" w:eastAsia="Calibri" w:hAnsi="Arial" w:cs="Arial"/>
            <w:noProof/>
            <w:color w:val="000066"/>
            <w:sz w:val="24"/>
            <w:szCs w:val="24"/>
          </w:rPr>
          <w:t>LEAN Thinking Communication With Loan Applications</w:t>
        </w:r>
      </w:hyperlink>
    </w:p>
    <w:p w14:paraId="52C0C7F1" w14:textId="77777777" w:rsidR="00DF51A2" w:rsidRPr="00A0636D" w:rsidRDefault="001B72A7" w:rsidP="00A0636D">
      <w:pPr>
        <w:pStyle w:val="ListParagraph"/>
        <w:numPr>
          <w:ilvl w:val="0"/>
          <w:numId w:val="12"/>
        </w:numPr>
        <w:tabs>
          <w:tab w:val="right" w:leader="dot" w:pos="9350"/>
        </w:tabs>
        <w:spacing w:before="120" w:after="120" w:line="240" w:lineRule="auto"/>
        <w:contextualSpacing w:val="0"/>
        <w:rPr>
          <w:rFonts w:ascii="Arial" w:eastAsia="Times New Roman" w:hAnsi="Arial" w:cs="Arial"/>
          <w:noProof/>
          <w:color w:val="000066"/>
          <w:sz w:val="24"/>
          <w:szCs w:val="24"/>
        </w:rPr>
      </w:pPr>
      <w:hyperlink w:anchor="_Toc33003848" w:history="1">
        <w:r w:rsidR="00DF51A2" w:rsidRPr="00A0636D">
          <w:rPr>
            <w:rFonts w:ascii="Arial" w:eastAsia="Calibri" w:hAnsi="Arial" w:cs="Arial"/>
            <w:noProof/>
            <w:color w:val="000066"/>
            <w:sz w:val="24"/>
            <w:szCs w:val="24"/>
          </w:rPr>
          <w:t>FHA Number Requests</w:t>
        </w:r>
      </w:hyperlink>
    </w:p>
    <w:p w14:paraId="48C34623" w14:textId="77777777" w:rsidR="00DF51A2" w:rsidRPr="00A0636D" w:rsidRDefault="001B72A7" w:rsidP="00A0636D">
      <w:pPr>
        <w:pStyle w:val="ListParagraph"/>
        <w:numPr>
          <w:ilvl w:val="0"/>
          <w:numId w:val="12"/>
        </w:numPr>
        <w:tabs>
          <w:tab w:val="right" w:leader="dot" w:pos="9350"/>
        </w:tabs>
        <w:spacing w:before="120" w:after="120" w:line="240" w:lineRule="auto"/>
        <w:contextualSpacing w:val="0"/>
        <w:rPr>
          <w:rFonts w:ascii="Arial" w:eastAsia="Times New Roman" w:hAnsi="Arial" w:cs="Arial"/>
          <w:noProof/>
          <w:color w:val="000066"/>
          <w:sz w:val="24"/>
          <w:szCs w:val="24"/>
        </w:rPr>
      </w:pPr>
      <w:hyperlink w:anchor="_Toc33003849" w:history="1">
        <w:r w:rsidR="00DF51A2" w:rsidRPr="00A0636D">
          <w:rPr>
            <w:rFonts w:ascii="Arial" w:eastAsia="Calibri" w:hAnsi="Arial" w:cs="Arial"/>
            <w:noProof/>
            <w:color w:val="000066"/>
            <w:sz w:val="24"/>
            <w:szCs w:val="24"/>
          </w:rPr>
          <w:t>Reminder - CMS Provider Number</w:t>
        </w:r>
      </w:hyperlink>
    </w:p>
    <w:p w14:paraId="0666818A" w14:textId="77777777" w:rsidR="00DF51A2" w:rsidRPr="00A0636D" w:rsidRDefault="001B72A7" w:rsidP="00A0636D">
      <w:pPr>
        <w:pStyle w:val="ListParagraph"/>
        <w:numPr>
          <w:ilvl w:val="0"/>
          <w:numId w:val="12"/>
        </w:numPr>
        <w:tabs>
          <w:tab w:val="right" w:leader="dot" w:pos="9350"/>
        </w:tabs>
        <w:spacing w:before="120" w:after="120" w:line="240" w:lineRule="auto"/>
        <w:contextualSpacing w:val="0"/>
        <w:rPr>
          <w:rFonts w:ascii="Arial" w:eastAsia="Times New Roman" w:hAnsi="Arial" w:cs="Arial"/>
          <w:noProof/>
          <w:color w:val="000066"/>
          <w:sz w:val="24"/>
          <w:szCs w:val="24"/>
        </w:rPr>
      </w:pPr>
      <w:hyperlink w:anchor="_Toc33003850" w:history="1">
        <w:r w:rsidR="00DF51A2" w:rsidRPr="00A0636D">
          <w:rPr>
            <w:rFonts w:ascii="Arial" w:eastAsia="Calibri" w:hAnsi="Arial" w:cs="Arial"/>
            <w:noProof/>
            <w:color w:val="000066"/>
            <w:sz w:val="24"/>
            <w:szCs w:val="24"/>
          </w:rPr>
          <w:t>ORCF Asset Management Risk Monitoring Routine</w:t>
        </w:r>
      </w:hyperlink>
    </w:p>
    <w:p w14:paraId="25842FED" w14:textId="77777777" w:rsidR="00DF51A2" w:rsidRPr="00A0636D" w:rsidRDefault="001B72A7" w:rsidP="00A0636D">
      <w:pPr>
        <w:pStyle w:val="ListParagraph"/>
        <w:numPr>
          <w:ilvl w:val="0"/>
          <w:numId w:val="12"/>
        </w:numPr>
        <w:tabs>
          <w:tab w:val="right" w:leader="dot" w:pos="9350"/>
        </w:tabs>
        <w:spacing w:before="120" w:after="120" w:line="240" w:lineRule="auto"/>
        <w:contextualSpacing w:val="0"/>
        <w:rPr>
          <w:rFonts w:ascii="Arial" w:eastAsia="Times New Roman" w:hAnsi="Arial" w:cs="Arial"/>
          <w:noProof/>
          <w:color w:val="000066"/>
          <w:sz w:val="24"/>
          <w:szCs w:val="24"/>
        </w:rPr>
      </w:pPr>
      <w:hyperlink w:anchor="_Toc33003851" w:history="1">
        <w:r w:rsidR="00DF51A2" w:rsidRPr="00A0636D">
          <w:rPr>
            <w:rFonts w:ascii="Arial" w:eastAsia="Calibri" w:hAnsi="Arial" w:cs="Arial"/>
            <w:noProof/>
            <w:color w:val="000066"/>
            <w:sz w:val="24"/>
            <w:szCs w:val="24"/>
          </w:rPr>
          <w:t>Revised Asset Management Checklists Pursuant to Healthcare Portal Updates</w:t>
        </w:r>
      </w:hyperlink>
    </w:p>
    <w:p w14:paraId="5B2F51B1" w14:textId="77777777" w:rsidR="00DF51A2" w:rsidRPr="00A0636D" w:rsidRDefault="001B72A7" w:rsidP="00A0636D">
      <w:pPr>
        <w:pStyle w:val="ListParagraph"/>
        <w:numPr>
          <w:ilvl w:val="0"/>
          <w:numId w:val="12"/>
        </w:numPr>
        <w:tabs>
          <w:tab w:val="right" w:leader="dot" w:pos="9350"/>
        </w:tabs>
        <w:spacing w:before="120" w:after="120" w:line="240" w:lineRule="auto"/>
        <w:contextualSpacing w:val="0"/>
        <w:rPr>
          <w:rFonts w:ascii="Arial" w:eastAsia="Times New Roman" w:hAnsi="Arial" w:cs="Arial"/>
          <w:noProof/>
          <w:color w:val="000066"/>
          <w:sz w:val="24"/>
          <w:szCs w:val="24"/>
        </w:rPr>
      </w:pPr>
      <w:hyperlink w:anchor="_Toc33003852" w:history="1">
        <w:r w:rsidR="00DF51A2" w:rsidRPr="00A0636D">
          <w:rPr>
            <w:rFonts w:ascii="Arial" w:eastAsia="Calibri" w:hAnsi="Arial" w:cs="Arial"/>
            <w:noProof/>
            <w:color w:val="000066"/>
            <w:sz w:val="24"/>
            <w:szCs w:val="24"/>
          </w:rPr>
          <w:t>FROM THE CLOSING CORNER</w:t>
        </w:r>
      </w:hyperlink>
    </w:p>
    <w:p w14:paraId="415DCECA" w14:textId="77777777" w:rsidR="00DF51A2" w:rsidRPr="00A0636D" w:rsidRDefault="001B72A7" w:rsidP="00A0636D">
      <w:pPr>
        <w:pStyle w:val="ListParagraph"/>
        <w:numPr>
          <w:ilvl w:val="1"/>
          <w:numId w:val="13"/>
        </w:numPr>
        <w:tabs>
          <w:tab w:val="right" w:leader="dot" w:pos="9350"/>
        </w:tabs>
        <w:spacing w:before="120" w:after="120" w:line="240" w:lineRule="auto"/>
        <w:ind w:left="1080"/>
        <w:contextualSpacing w:val="0"/>
        <w:rPr>
          <w:rFonts w:ascii="Arial" w:eastAsia="Times New Roman" w:hAnsi="Arial" w:cs="Arial"/>
          <w:noProof/>
          <w:color w:val="000066"/>
          <w:sz w:val="24"/>
          <w:szCs w:val="24"/>
        </w:rPr>
      </w:pPr>
      <w:hyperlink w:anchor="_Toc33003853" w:history="1">
        <w:r w:rsidR="00DF51A2" w:rsidRPr="00A0636D">
          <w:rPr>
            <w:rFonts w:ascii="Arial" w:eastAsia="Calibri" w:hAnsi="Arial" w:cs="Arial"/>
            <w:noProof/>
            <w:color w:val="000066"/>
            <w:sz w:val="24"/>
            <w:szCs w:val="24"/>
          </w:rPr>
          <w:t>Last Minute Issues Prior to Closing – Procedures for Newly Discovered Litigation</w:t>
        </w:r>
      </w:hyperlink>
    </w:p>
    <w:p w14:paraId="46D2ECE8" w14:textId="56D468FB" w:rsidR="00DF51A2" w:rsidRPr="00A0636D" w:rsidRDefault="001B72A7" w:rsidP="00A0636D">
      <w:pPr>
        <w:pStyle w:val="ListParagraph"/>
        <w:numPr>
          <w:ilvl w:val="1"/>
          <w:numId w:val="13"/>
        </w:numPr>
        <w:tabs>
          <w:tab w:val="right" w:leader="dot" w:pos="9350"/>
        </w:tabs>
        <w:spacing w:before="120" w:after="120" w:line="240" w:lineRule="auto"/>
        <w:ind w:left="1080"/>
        <w:contextualSpacing w:val="0"/>
        <w:rPr>
          <w:rFonts w:ascii="Arial" w:eastAsia="Times New Roman" w:hAnsi="Arial" w:cs="Arial"/>
          <w:noProof/>
          <w:color w:val="000066"/>
          <w:sz w:val="24"/>
          <w:szCs w:val="24"/>
        </w:rPr>
      </w:pPr>
      <w:hyperlink w:anchor="_Toc33003854" w:history="1">
        <w:r w:rsidR="00DF51A2" w:rsidRPr="00A0636D">
          <w:rPr>
            <w:rFonts w:ascii="Arial" w:eastAsia="Calibri" w:hAnsi="Arial" w:cs="Arial"/>
            <w:noProof/>
            <w:color w:val="000066"/>
            <w:sz w:val="24"/>
            <w:szCs w:val="24"/>
          </w:rPr>
          <w:t xml:space="preserve">Reminder for </w:t>
        </w:r>
        <w:r w:rsidR="00470774">
          <w:rPr>
            <w:rFonts w:ascii="Arial" w:eastAsia="Calibri" w:hAnsi="Arial" w:cs="Arial"/>
            <w:noProof/>
            <w:color w:val="000066"/>
            <w:sz w:val="24"/>
            <w:szCs w:val="24"/>
          </w:rPr>
          <w:t xml:space="preserve">Section </w:t>
        </w:r>
        <w:r w:rsidR="00DF51A2" w:rsidRPr="00A0636D">
          <w:rPr>
            <w:rFonts w:ascii="Arial" w:eastAsia="Calibri" w:hAnsi="Arial" w:cs="Arial"/>
            <w:noProof/>
            <w:color w:val="000066"/>
            <w:sz w:val="24"/>
            <w:szCs w:val="24"/>
          </w:rPr>
          <w:t>232 New Construction Contracts</w:t>
        </w:r>
      </w:hyperlink>
    </w:p>
    <w:p w14:paraId="24D74BBC" w14:textId="77777777" w:rsidR="00DF51A2" w:rsidRPr="00DF51A2" w:rsidRDefault="00DF51A2" w:rsidP="00A0636D">
      <w:pPr>
        <w:spacing w:after="0" w:line="240" w:lineRule="auto"/>
        <w:rPr>
          <w:rFonts w:ascii="Arial" w:eastAsia="Calibri" w:hAnsi="Arial" w:cs="Arial"/>
          <w:sz w:val="24"/>
          <w:szCs w:val="24"/>
        </w:rPr>
      </w:pPr>
      <w:r w:rsidRPr="00A0636D">
        <w:rPr>
          <w:rFonts w:ascii="Arial" w:eastAsia="Calibri" w:hAnsi="Arial" w:cs="Arial"/>
          <w:i/>
          <w:sz w:val="24"/>
          <w:szCs w:val="24"/>
        </w:rPr>
        <w:fldChar w:fldCharType="end"/>
      </w:r>
    </w:p>
    <w:p w14:paraId="728141C3" w14:textId="77777777" w:rsidR="00DF51A2" w:rsidRPr="00DF51A2" w:rsidRDefault="00DF51A2" w:rsidP="00A0636D">
      <w:pPr>
        <w:spacing w:after="0" w:line="240" w:lineRule="auto"/>
        <w:outlineLvl w:val="0"/>
        <w:rPr>
          <w:rFonts w:ascii="Arial" w:eastAsia="Calibri" w:hAnsi="Arial" w:cs="Arial"/>
          <w:b/>
          <w:bCs/>
          <w:caps/>
          <w:sz w:val="24"/>
          <w:szCs w:val="24"/>
          <w:u w:val="single"/>
        </w:rPr>
      </w:pPr>
      <w:bookmarkStart w:id="4" w:name="_Toc380585836"/>
      <w:bookmarkEnd w:id="4"/>
    </w:p>
    <w:p w14:paraId="63C4C734" w14:textId="77777777" w:rsidR="00DF51A2" w:rsidRPr="00DF51A2" w:rsidRDefault="00DF51A2" w:rsidP="00DF51A2">
      <w:pPr>
        <w:spacing w:after="120" w:line="240" w:lineRule="auto"/>
        <w:outlineLvl w:val="0"/>
        <w:rPr>
          <w:rFonts w:ascii="Arial" w:eastAsia="Calibri" w:hAnsi="Arial" w:cs="Times New Roman"/>
          <w:bCs/>
          <w:caps/>
          <w:color w:val="000066"/>
          <w:sz w:val="28"/>
          <w:szCs w:val="32"/>
        </w:rPr>
      </w:pPr>
      <w:bookmarkStart w:id="5" w:name="_Toc33003841"/>
      <w:r w:rsidRPr="00DF51A2">
        <w:rPr>
          <w:rFonts w:ascii="Arial" w:eastAsia="Calibri" w:hAnsi="Arial" w:cs="Times New Roman"/>
          <w:bCs/>
          <w:caps/>
          <w:color w:val="000066"/>
          <w:sz w:val="28"/>
          <w:szCs w:val="32"/>
        </w:rPr>
        <w:t>Addressing Quality of Care Issues in Application</w:t>
      </w:r>
      <w:bookmarkEnd w:id="5"/>
    </w:p>
    <w:p w14:paraId="0F1B0F5A" w14:textId="0A37B39F"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As noted in the </w:t>
      </w:r>
      <w:r w:rsidR="001754B1">
        <w:rPr>
          <w:rFonts w:ascii="Arial" w:eastAsia="Calibri" w:hAnsi="Arial" w:cs="Arial"/>
          <w:sz w:val="24"/>
          <w:szCs w:val="24"/>
        </w:rPr>
        <w:t xml:space="preserve">December </w:t>
      </w:r>
      <w:r w:rsidRPr="00DF51A2">
        <w:rPr>
          <w:rFonts w:ascii="Arial" w:eastAsia="Calibri" w:hAnsi="Arial" w:cs="Arial"/>
          <w:sz w:val="24"/>
          <w:szCs w:val="24"/>
        </w:rPr>
        <w:t>18</w:t>
      </w:r>
      <w:r w:rsidR="001754B1">
        <w:rPr>
          <w:rFonts w:ascii="Arial" w:eastAsia="Calibri" w:hAnsi="Arial" w:cs="Arial"/>
          <w:sz w:val="24"/>
          <w:szCs w:val="24"/>
        </w:rPr>
        <w:t>, 20</w:t>
      </w:r>
      <w:r w:rsidRPr="00DF51A2">
        <w:rPr>
          <w:rFonts w:ascii="Arial" w:eastAsia="Calibri" w:hAnsi="Arial" w:cs="Arial"/>
          <w:sz w:val="24"/>
          <w:szCs w:val="24"/>
        </w:rPr>
        <w:t>19 Email Blast (</w:t>
      </w:r>
      <w:hyperlink r:id="rId11" w:history="1">
        <w:r w:rsidRPr="00DF51A2">
          <w:rPr>
            <w:rFonts w:ascii="Arial" w:eastAsia="Calibri" w:hAnsi="Arial" w:cs="Arial"/>
            <w:color w:val="0000FF"/>
            <w:sz w:val="24"/>
            <w:szCs w:val="24"/>
            <w:u w:val="single"/>
          </w:rPr>
          <w:t>here</w:t>
        </w:r>
      </w:hyperlink>
      <w:r w:rsidRPr="00DF51A2">
        <w:rPr>
          <w:rFonts w:ascii="Arial" w:eastAsia="Calibri" w:hAnsi="Arial" w:cs="Arial"/>
          <w:color w:val="0000FF"/>
          <w:sz w:val="24"/>
          <w:szCs w:val="24"/>
          <w:u w:val="single"/>
        </w:rPr>
        <w:t>)</w:t>
      </w:r>
      <w:r w:rsidRPr="00DF51A2">
        <w:rPr>
          <w:rFonts w:ascii="Arial" w:eastAsia="Calibri" w:hAnsi="Arial" w:cs="Arial"/>
          <w:sz w:val="24"/>
          <w:szCs w:val="24"/>
        </w:rPr>
        <w:t xml:space="preserve">, failure to analyze and address ongoing survey/quality of care issues was one of the areas in FY 2019 in which additional lender due diligence was needed on some transactions.  Quality of care should be thoroughly addressed in the Lender Narrative, a key component of which is the Risk Management Program section.  </w:t>
      </w:r>
    </w:p>
    <w:p w14:paraId="1C28B408" w14:textId="77777777" w:rsidR="00DF51A2" w:rsidRPr="00DF51A2" w:rsidRDefault="00DF51A2" w:rsidP="00DF51A2">
      <w:pPr>
        <w:spacing w:after="0" w:line="240" w:lineRule="auto"/>
        <w:rPr>
          <w:rFonts w:ascii="Arial" w:eastAsia="Calibri" w:hAnsi="Arial" w:cs="Arial"/>
          <w:sz w:val="24"/>
          <w:szCs w:val="24"/>
        </w:rPr>
      </w:pPr>
    </w:p>
    <w:p w14:paraId="608F638E" w14:textId="1BB53D6E"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An analysis of a facility’s implementation of recently effective CMS requirements is highly relevant to addressing quality of care issues.</w:t>
      </w:r>
      <w:r w:rsidR="001754B1">
        <w:rPr>
          <w:rFonts w:ascii="Arial" w:eastAsia="Calibri" w:hAnsi="Arial" w:cs="Arial"/>
          <w:sz w:val="24"/>
          <w:szCs w:val="24"/>
        </w:rPr>
        <w:t xml:space="preserve"> </w:t>
      </w:r>
      <w:r w:rsidRPr="00DF51A2">
        <w:rPr>
          <w:rFonts w:ascii="Arial" w:eastAsia="Calibri" w:hAnsi="Arial" w:cs="Arial"/>
          <w:sz w:val="24"/>
          <w:szCs w:val="24"/>
        </w:rPr>
        <w:t xml:space="preserve"> In particular, the Quality Assurance and Performance Improvement (</w:t>
      </w:r>
      <w:proofErr w:type="spellStart"/>
      <w:r w:rsidRPr="00DF51A2">
        <w:rPr>
          <w:rFonts w:ascii="Arial" w:eastAsia="Calibri" w:hAnsi="Arial" w:cs="Arial"/>
          <w:sz w:val="24"/>
          <w:szCs w:val="24"/>
        </w:rPr>
        <w:t>QAPI</w:t>
      </w:r>
      <w:proofErr w:type="spellEnd"/>
      <w:r w:rsidRPr="00DF51A2">
        <w:rPr>
          <w:rFonts w:ascii="Arial" w:eastAsia="Calibri" w:hAnsi="Arial" w:cs="Arial"/>
          <w:sz w:val="24"/>
          <w:szCs w:val="24"/>
        </w:rPr>
        <w:t xml:space="preserve">) plan requirement section of the </w:t>
      </w:r>
      <w:r w:rsidRPr="00DF51A2">
        <w:rPr>
          <w:rFonts w:ascii="Arial" w:eastAsia="Calibri" w:hAnsi="Arial" w:cs="Arial"/>
          <w:i/>
          <w:iCs/>
          <w:sz w:val="24"/>
          <w:szCs w:val="24"/>
        </w:rPr>
        <w:t xml:space="preserve">CMS Medicare </w:t>
      </w:r>
      <w:r w:rsidRPr="00DF51A2">
        <w:rPr>
          <w:rFonts w:ascii="Arial" w:eastAsia="Calibri" w:hAnsi="Arial" w:cs="Arial"/>
          <w:i/>
          <w:iCs/>
          <w:sz w:val="24"/>
          <w:szCs w:val="24"/>
        </w:rPr>
        <w:lastRenderedPageBreak/>
        <w:t>and Medicaid Programs; Reform of Requirements for Long-Term Care Facilities</w:t>
      </w:r>
      <w:r w:rsidRPr="00DF51A2">
        <w:rPr>
          <w:rFonts w:ascii="Arial" w:eastAsia="Calibri" w:hAnsi="Arial" w:cs="Arial"/>
          <w:sz w:val="24"/>
          <w:szCs w:val="24"/>
        </w:rPr>
        <w:t xml:space="preserve"> 10/4/2016 final rule (</w:t>
      </w:r>
      <w:hyperlink r:id="rId12" w:history="1">
        <w:r w:rsidRPr="00DF51A2">
          <w:rPr>
            <w:rFonts w:ascii="Arial" w:eastAsia="Calibri" w:hAnsi="Arial" w:cs="Arial"/>
            <w:color w:val="0000FF"/>
            <w:sz w:val="24"/>
            <w:szCs w:val="24"/>
            <w:u w:val="single"/>
          </w:rPr>
          <w:t>here</w:t>
        </w:r>
      </w:hyperlink>
      <w:r w:rsidRPr="00DF51A2">
        <w:rPr>
          <w:rFonts w:ascii="Arial" w:eastAsia="Calibri" w:hAnsi="Arial" w:cs="Arial"/>
          <w:color w:val="0000FF"/>
          <w:sz w:val="24"/>
          <w:szCs w:val="24"/>
          <w:u w:val="single"/>
        </w:rPr>
        <w:t>)</w:t>
      </w:r>
      <w:r w:rsidRPr="00DF51A2">
        <w:rPr>
          <w:rFonts w:ascii="Arial" w:eastAsia="Calibri" w:hAnsi="Arial" w:cs="Arial"/>
          <w:sz w:val="24"/>
          <w:szCs w:val="24"/>
        </w:rPr>
        <w:t xml:space="preserve"> </w:t>
      </w:r>
      <w:r w:rsidR="00204814">
        <w:rPr>
          <w:rFonts w:ascii="Arial" w:eastAsia="Calibri" w:hAnsi="Arial" w:cs="Arial"/>
          <w:sz w:val="24"/>
          <w:szCs w:val="24"/>
        </w:rPr>
        <w:t>b</w:t>
      </w:r>
      <w:r w:rsidRPr="00DF51A2">
        <w:rPr>
          <w:rFonts w:ascii="Arial" w:eastAsia="Calibri" w:hAnsi="Arial" w:cs="Arial"/>
          <w:sz w:val="24"/>
          <w:szCs w:val="24"/>
        </w:rPr>
        <w:t>ecame effective</w:t>
      </w:r>
      <w:r w:rsidR="0058552B">
        <w:rPr>
          <w:rFonts w:ascii="Arial" w:eastAsia="Calibri" w:hAnsi="Arial" w:cs="Arial"/>
          <w:sz w:val="24"/>
          <w:szCs w:val="24"/>
        </w:rPr>
        <w:t xml:space="preserve"> </w:t>
      </w:r>
      <w:r w:rsidR="00204814">
        <w:rPr>
          <w:rFonts w:ascii="Arial" w:eastAsia="Calibri" w:hAnsi="Arial" w:cs="Arial"/>
          <w:sz w:val="24"/>
          <w:szCs w:val="24"/>
        </w:rPr>
        <w:t>on November 29, 2019</w:t>
      </w:r>
      <w:r w:rsidRPr="00DF51A2">
        <w:rPr>
          <w:rFonts w:ascii="Arial" w:eastAsia="Calibri" w:hAnsi="Arial" w:cs="Arial"/>
          <w:sz w:val="24"/>
          <w:szCs w:val="24"/>
        </w:rPr>
        <w:t>.</w:t>
      </w:r>
      <w:r w:rsidR="001754B1">
        <w:rPr>
          <w:rFonts w:ascii="Arial" w:eastAsia="Calibri" w:hAnsi="Arial" w:cs="Arial"/>
          <w:sz w:val="24"/>
          <w:szCs w:val="24"/>
        </w:rPr>
        <w:t xml:space="preserve"> </w:t>
      </w:r>
      <w:r w:rsidRPr="00DF51A2">
        <w:rPr>
          <w:rFonts w:ascii="Arial" w:eastAsia="Calibri" w:hAnsi="Arial" w:cs="Arial"/>
          <w:sz w:val="24"/>
          <w:szCs w:val="24"/>
        </w:rPr>
        <w:t xml:space="preserve"> This rule requires all Medicare and Medicaid funded </w:t>
      </w:r>
      <w:proofErr w:type="spellStart"/>
      <w:r w:rsidRPr="00DF51A2">
        <w:rPr>
          <w:rFonts w:ascii="Arial" w:eastAsia="Calibri" w:hAnsi="Arial" w:cs="Arial"/>
          <w:sz w:val="24"/>
          <w:szCs w:val="24"/>
        </w:rPr>
        <w:t>LTC</w:t>
      </w:r>
      <w:proofErr w:type="spellEnd"/>
      <w:r w:rsidRPr="00DF51A2">
        <w:rPr>
          <w:rFonts w:ascii="Arial" w:eastAsia="Calibri" w:hAnsi="Arial" w:cs="Arial"/>
          <w:sz w:val="24"/>
          <w:szCs w:val="24"/>
        </w:rPr>
        <w:t xml:space="preserve"> facilities to develop, implement, and maintain an effective comprehensive, </w:t>
      </w:r>
      <w:proofErr w:type="gramStart"/>
      <w:r w:rsidRPr="00DF51A2">
        <w:rPr>
          <w:rFonts w:ascii="Arial" w:eastAsia="Calibri" w:hAnsi="Arial" w:cs="Arial"/>
          <w:sz w:val="24"/>
          <w:szCs w:val="24"/>
        </w:rPr>
        <w:t>data-driven</w:t>
      </w:r>
      <w:proofErr w:type="gramEnd"/>
      <w:r w:rsidRPr="00DF51A2">
        <w:rPr>
          <w:rFonts w:ascii="Arial" w:eastAsia="Calibri" w:hAnsi="Arial" w:cs="Arial"/>
          <w:sz w:val="24"/>
          <w:szCs w:val="24"/>
        </w:rPr>
        <w:t xml:space="preserve"> </w:t>
      </w:r>
      <w:proofErr w:type="spellStart"/>
      <w:r w:rsidRPr="00DF51A2">
        <w:rPr>
          <w:rFonts w:ascii="Arial" w:eastAsia="Calibri" w:hAnsi="Arial" w:cs="Arial"/>
          <w:sz w:val="24"/>
          <w:szCs w:val="24"/>
        </w:rPr>
        <w:t>QAPI</w:t>
      </w:r>
      <w:proofErr w:type="spellEnd"/>
      <w:r w:rsidRPr="00DF51A2">
        <w:rPr>
          <w:rFonts w:ascii="Arial" w:eastAsia="Calibri" w:hAnsi="Arial" w:cs="Arial"/>
          <w:sz w:val="24"/>
          <w:szCs w:val="24"/>
        </w:rPr>
        <w:t xml:space="preserve"> program that focuses on systems and outcomes.  The </w:t>
      </w:r>
      <w:r w:rsidR="0058552B">
        <w:rPr>
          <w:rFonts w:ascii="Arial" w:eastAsia="Calibri" w:hAnsi="Arial" w:cs="Arial"/>
          <w:sz w:val="24"/>
          <w:szCs w:val="24"/>
        </w:rPr>
        <w:t>final r</w:t>
      </w:r>
      <w:r w:rsidRPr="00DF51A2">
        <w:rPr>
          <w:rFonts w:ascii="Arial" w:eastAsia="Calibri" w:hAnsi="Arial" w:cs="Arial"/>
          <w:sz w:val="24"/>
          <w:szCs w:val="24"/>
        </w:rPr>
        <w:t xml:space="preserve">ule also includes requirements for </w:t>
      </w:r>
      <w:r w:rsidR="00204814">
        <w:rPr>
          <w:rFonts w:ascii="Arial" w:eastAsia="Calibri" w:hAnsi="Arial" w:cs="Arial"/>
          <w:sz w:val="24"/>
          <w:szCs w:val="24"/>
        </w:rPr>
        <w:t>T</w:t>
      </w:r>
      <w:r w:rsidRPr="00DF51A2">
        <w:rPr>
          <w:rFonts w:ascii="Arial" w:eastAsia="Calibri" w:hAnsi="Arial" w:cs="Arial"/>
          <w:sz w:val="24"/>
          <w:szCs w:val="24"/>
        </w:rPr>
        <w:t>raining, Compliance and Ethics, and Infection Control.</w:t>
      </w:r>
    </w:p>
    <w:p w14:paraId="77EB37D1" w14:textId="77777777" w:rsidR="00DF51A2" w:rsidRPr="00DF51A2" w:rsidRDefault="00DF51A2" w:rsidP="00DF51A2">
      <w:pPr>
        <w:spacing w:after="0" w:line="240" w:lineRule="auto"/>
        <w:rPr>
          <w:rFonts w:ascii="Arial" w:eastAsia="Calibri" w:hAnsi="Arial" w:cs="Arial"/>
          <w:sz w:val="24"/>
          <w:szCs w:val="24"/>
        </w:rPr>
      </w:pPr>
    </w:p>
    <w:p w14:paraId="15C94916" w14:textId="082ECC19"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As noted in Handbook 4232.1, Section II, Chapter 8.8 (</w:t>
      </w:r>
      <w:hyperlink r:id="rId13" w:history="1">
        <w:r w:rsidRPr="00DF51A2">
          <w:rPr>
            <w:rFonts w:ascii="Arial" w:eastAsia="Calibri" w:hAnsi="Arial" w:cs="Arial"/>
            <w:color w:val="0000FF"/>
            <w:sz w:val="24"/>
            <w:szCs w:val="24"/>
            <w:u w:val="single"/>
          </w:rPr>
          <w:t>here</w:t>
        </w:r>
      </w:hyperlink>
      <w:r w:rsidRPr="00DF51A2">
        <w:rPr>
          <w:rFonts w:ascii="Arial" w:eastAsia="Calibri" w:hAnsi="Arial" w:cs="Arial"/>
          <w:color w:val="0000FF"/>
          <w:sz w:val="24"/>
          <w:szCs w:val="24"/>
          <w:u w:val="single"/>
        </w:rPr>
        <w:t>)</w:t>
      </w:r>
      <w:r w:rsidRPr="00DF51A2">
        <w:rPr>
          <w:rFonts w:ascii="Arial" w:eastAsia="Calibri" w:hAnsi="Arial" w:cs="Arial"/>
          <w:sz w:val="24"/>
          <w:szCs w:val="24"/>
        </w:rPr>
        <w:t xml:space="preserve">, “The Lender is responsible for reviewing the qualifications of the proposed Operator and/or Management Agent to assess their ability to operate the project effectively and in compliance with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requirements.”  </w:t>
      </w:r>
      <w:proofErr w:type="spellStart"/>
      <w:r w:rsidRPr="00DF51A2">
        <w:rPr>
          <w:rFonts w:ascii="Arial" w:eastAsia="Calibri" w:hAnsi="Arial" w:cs="Arial"/>
          <w:sz w:val="24"/>
          <w:szCs w:val="24"/>
        </w:rPr>
        <w:t>QAPI</w:t>
      </w:r>
      <w:proofErr w:type="spellEnd"/>
      <w:r w:rsidRPr="00DF51A2">
        <w:rPr>
          <w:rFonts w:ascii="Arial" w:eastAsia="Calibri" w:hAnsi="Arial" w:cs="Arial"/>
          <w:sz w:val="24"/>
          <w:szCs w:val="24"/>
        </w:rPr>
        <w:t xml:space="preserve"> plans may impact </w:t>
      </w:r>
      <w:r w:rsidR="0058552B" w:rsidRPr="00DF51A2">
        <w:rPr>
          <w:rFonts w:ascii="Arial" w:eastAsia="Calibri" w:hAnsi="Arial" w:cs="Arial"/>
          <w:sz w:val="24"/>
          <w:szCs w:val="24"/>
        </w:rPr>
        <w:t>staffing</w:t>
      </w:r>
      <w:r w:rsidR="0058552B">
        <w:rPr>
          <w:rFonts w:ascii="Arial" w:eastAsia="Calibri" w:hAnsi="Arial" w:cs="Arial"/>
          <w:sz w:val="24"/>
          <w:szCs w:val="24"/>
        </w:rPr>
        <w:t xml:space="preserve"> and</w:t>
      </w:r>
      <w:r w:rsidRPr="00DF51A2">
        <w:rPr>
          <w:rFonts w:ascii="Arial" w:eastAsia="Calibri" w:hAnsi="Arial" w:cs="Arial"/>
          <w:sz w:val="24"/>
          <w:szCs w:val="24"/>
        </w:rPr>
        <w:t xml:space="preserve"> staffing levels can heavily impact overall star ratings.  When evaluating the operator’s capacity, Lenders should thus consider whether staffing levels, experience and roles are commensurate with the </w:t>
      </w:r>
      <w:proofErr w:type="spellStart"/>
      <w:r w:rsidRPr="00DF51A2">
        <w:rPr>
          <w:rFonts w:ascii="Arial" w:eastAsia="Calibri" w:hAnsi="Arial" w:cs="Arial"/>
          <w:sz w:val="24"/>
          <w:szCs w:val="24"/>
        </w:rPr>
        <w:t>QAPI</w:t>
      </w:r>
      <w:proofErr w:type="spellEnd"/>
      <w:r w:rsidRPr="00DF51A2">
        <w:rPr>
          <w:rFonts w:ascii="Arial" w:eastAsia="Calibri" w:hAnsi="Arial" w:cs="Arial"/>
          <w:sz w:val="24"/>
          <w:szCs w:val="24"/>
        </w:rPr>
        <w:t xml:space="preserve"> requirements and any needs identified in the </w:t>
      </w:r>
      <w:proofErr w:type="spellStart"/>
      <w:r w:rsidRPr="00DF51A2">
        <w:rPr>
          <w:rFonts w:ascii="Arial" w:eastAsia="Calibri" w:hAnsi="Arial" w:cs="Arial"/>
          <w:sz w:val="24"/>
          <w:szCs w:val="24"/>
        </w:rPr>
        <w:t>QAPI</w:t>
      </w:r>
      <w:proofErr w:type="spellEnd"/>
      <w:r w:rsidRPr="00DF51A2">
        <w:rPr>
          <w:rFonts w:ascii="Arial" w:eastAsia="Calibri" w:hAnsi="Arial" w:cs="Arial"/>
          <w:sz w:val="24"/>
          <w:szCs w:val="24"/>
        </w:rPr>
        <w:t xml:space="preserve"> plans.</w:t>
      </w:r>
    </w:p>
    <w:p w14:paraId="660583B7" w14:textId="77777777" w:rsidR="00DF51A2" w:rsidRPr="00DF51A2" w:rsidRDefault="00DF51A2" w:rsidP="00DF51A2">
      <w:pPr>
        <w:spacing w:after="0" w:line="240" w:lineRule="auto"/>
        <w:rPr>
          <w:rFonts w:ascii="Arial" w:eastAsia="Calibri" w:hAnsi="Arial" w:cs="Arial"/>
          <w:sz w:val="24"/>
          <w:szCs w:val="24"/>
        </w:rPr>
      </w:pPr>
    </w:p>
    <w:p w14:paraId="21E83C92" w14:textId="58D7A7D7" w:rsidR="00204814" w:rsidRPr="0058552B" w:rsidRDefault="00204814"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(Quality of Care was also the subject of Email Blasts on 12/19/2018 </w:t>
      </w:r>
      <w:hyperlink r:id="rId14" w:history="1">
        <w:r w:rsidRPr="00DF51A2">
          <w:rPr>
            <w:rFonts w:ascii="Arial" w:eastAsia="Calibri" w:hAnsi="Arial" w:cs="Arial"/>
            <w:color w:val="0000FF"/>
            <w:sz w:val="24"/>
            <w:szCs w:val="24"/>
            <w:u w:val="single"/>
          </w:rPr>
          <w:t>here</w:t>
        </w:r>
      </w:hyperlink>
      <w:r w:rsidRPr="00DF51A2">
        <w:rPr>
          <w:rFonts w:ascii="Arial" w:eastAsia="Calibri" w:hAnsi="Arial" w:cs="Arial"/>
          <w:sz w:val="24"/>
          <w:szCs w:val="24"/>
        </w:rPr>
        <w:t xml:space="preserve"> and 2/29/16 </w:t>
      </w:r>
      <w:hyperlink r:id="rId15" w:history="1">
        <w:r w:rsidRPr="00DF51A2">
          <w:rPr>
            <w:rFonts w:ascii="Arial" w:eastAsia="Calibri" w:hAnsi="Arial" w:cs="Arial"/>
            <w:color w:val="0000FF"/>
            <w:sz w:val="24"/>
            <w:szCs w:val="24"/>
            <w:u w:val="single"/>
          </w:rPr>
          <w:t>here</w:t>
        </w:r>
      </w:hyperlink>
      <w:r w:rsidRPr="00DF51A2">
        <w:rPr>
          <w:rFonts w:ascii="Arial" w:eastAsia="Calibri" w:hAnsi="Arial" w:cs="Arial"/>
          <w:sz w:val="24"/>
          <w:szCs w:val="24"/>
        </w:rPr>
        <w:t>.) </w:t>
      </w:r>
    </w:p>
    <w:p w14:paraId="7478C983" w14:textId="77777777" w:rsidR="00204814" w:rsidRPr="0058552B" w:rsidRDefault="00204814" w:rsidP="00DF51A2">
      <w:pPr>
        <w:spacing w:after="0" w:line="240" w:lineRule="auto"/>
        <w:rPr>
          <w:rFonts w:ascii="Arial" w:eastAsia="Calibri" w:hAnsi="Arial" w:cs="Arial"/>
          <w:sz w:val="24"/>
          <w:szCs w:val="24"/>
        </w:rPr>
      </w:pPr>
    </w:p>
    <w:p w14:paraId="7C9B028E" w14:textId="610DEC5C" w:rsidR="00DF51A2" w:rsidRPr="00DF51A2" w:rsidRDefault="00DF51A2" w:rsidP="00DF51A2">
      <w:pPr>
        <w:spacing w:after="0" w:line="240" w:lineRule="auto"/>
        <w:rPr>
          <w:rFonts w:ascii="Arial" w:eastAsia="Calibri" w:hAnsi="Arial" w:cs="Arial"/>
          <w:i/>
          <w:iCs/>
          <w:sz w:val="24"/>
          <w:szCs w:val="24"/>
        </w:rPr>
      </w:pPr>
      <w:r w:rsidRPr="00DF51A2">
        <w:rPr>
          <w:rFonts w:ascii="Arial" w:eastAsia="Calibri" w:hAnsi="Arial" w:cs="Arial"/>
          <w:b/>
          <w:bCs/>
          <w:i/>
          <w:iCs/>
          <w:sz w:val="24"/>
          <w:szCs w:val="24"/>
        </w:rPr>
        <w:t>Keywords:</w:t>
      </w:r>
      <w:r w:rsidRPr="00DF51A2">
        <w:rPr>
          <w:rFonts w:ascii="Arial" w:eastAsia="Calibri" w:hAnsi="Arial" w:cs="Arial"/>
          <w:i/>
          <w:iCs/>
          <w:sz w:val="24"/>
          <w:szCs w:val="24"/>
        </w:rPr>
        <w:t xml:space="preserve"> Quality of Care, Risk Management Program</w:t>
      </w:r>
      <w:r w:rsidR="00255539">
        <w:rPr>
          <w:rFonts w:ascii="Arial" w:eastAsia="Calibri" w:hAnsi="Arial" w:cs="Arial"/>
          <w:i/>
          <w:iCs/>
          <w:sz w:val="24"/>
          <w:szCs w:val="24"/>
        </w:rPr>
        <w:t>s</w:t>
      </w:r>
    </w:p>
    <w:p w14:paraId="61BE042F" w14:textId="77777777" w:rsidR="00DF51A2" w:rsidRPr="00DF51A2" w:rsidRDefault="00DF51A2" w:rsidP="00DF51A2">
      <w:pPr>
        <w:spacing w:after="0" w:line="240" w:lineRule="auto"/>
        <w:rPr>
          <w:rFonts w:ascii="Arial" w:eastAsia="MS Mincho" w:hAnsi="Arial" w:cs="Arial"/>
          <w:b/>
          <w:sz w:val="24"/>
          <w:szCs w:val="24"/>
        </w:rPr>
      </w:pPr>
    </w:p>
    <w:p w14:paraId="51B36FFE" w14:textId="77777777" w:rsidR="00DF51A2" w:rsidRPr="001754B1" w:rsidRDefault="001B72A7" w:rsidP="00DF51A2">
      <w:pPr>
        <w:spacing w:after="0" w:line="240" w:lineRule="auto"/>
        <w:rPr>
          <w:rFonts w:ascii="Arial" w:eastAsia="Calibri" w:hAnsi="Arial" w:cs="Arial"/>
          <w:color w:val="2F5496" w:themeColor="accent1" w:themeShade="BF"/>
          <w:sz w:val="24"/>
          <w:szCs w:val="24"/>
          <w:u w:val="single"/>
        </w:rPr>
      </w:pPr>
      <w:hyperlink w:anchor="_top" w:history="1">
        <w:r w:rsidR="00DF51A2" w:rsidRPr="001754B1">
          <w:rPr>
            <w:rFonts w:ascii="Arial" w:eastAsia="Calibri" w:hAnsi="Arial" w:cs="Arial"/>
            <w:color w:val="2F5496" w:themeColor="accent1" w:themeShade="BF"/>
            <w:sz w:val="24"/>
            <w:szCs w:val="24"/>
            <w:u w:val="single"/>
          </w:rPr>
          <w:t>Back to top</w:t>
        </w:r>
      </w:hyperlink>
    </w:p>
    <w:p w14:paraId="6BDC32D8" w14:textId="77777777" w:rsidR="00DF51A2" w:rsidRPr="00DF51A2" w:rsidRDefault="00DF51A2" w:rsidP="00DF51A2">
      <w:pPr>
        <w:spacing w:after="0" w:line="240" w:lineRule="auto"/>
        <w:rPr>
          <w:rFonts w:ascii="Arial" w:eastAsia="Calibri" w:hAnsi="Arial" w:cs="Arial"/>
          <w:sz w:val="24"/>
          <w:szCs w:val="24"/>
        </w:rPr>
      </w:pPr>
    </w:p>
    <w:p w14:paraId="799784EC" w14:textId="77777777" w:rsidR="00DF51A2" w:rsidRPr="00DF51A2" w:rsidRDefault="00DF51A2" w:rsidP="00DF51A2">
      <w:pPr>
        <w:spacing w:after="120" w:line="240" w:lineRule="auto"/>
        <w:outlineLvl w:val="0"/>
        <w:rPr>
          <w:rFonts w:ascii="Arial" w:eastAsia="Calibri" w:hAnsi="Arial" w:cs="Times New Roman"/>
          <w:bCs/>
          <w:caps/>
          <w:color w:val="000066"/>
          <w:sz w:val="28"/>
          <w:szCs w:val="32"/>
        </w:rPr>
      </w:pPr>
      <w:bookmarkStart w:id="6" w:name="_Toc33003842"/>
      <w:r w:rsidRPr="00DF51A2">
        <w:rPr>
          <w:rFonts w:ascii="Arial" w:eastAsia="Calibri" w:hAnsi="Arial" w:cs="Times New Roman"/>
          <w:bCs/>
          <w:caps/>
          <w:color w:val="000066"/>
          <w:sz w:val="28"/>
          <w:szCs w:val="32"/>
        </w:rPr>
        <w:t>Guidance on Operating Lease Escalators</w:t>
      </w:r>
      <w:bookmarkEnd w:id="6"/>
    </w:p>
    <w:p w14:paraId="44D346B3" w14:textId="0B5F0DEA" w:rsidR="00DF51A2" w:rsidRPr="00DF51A2" w:rsidRDefault="00204814" w:rsidP="00DF51A2">
      <w:pPr>
        <w:spacing w:after="0" w:line="240" w:lineRule="auto"/>
        <w:rPr>
          <w:rFonts w:ascii="Arial" w:eastAsia="Calibri" w:hAnsi="Arial" w:cs="Arial"/>
          <w:i/>
          <w:iCs/>
          <w:sz w:val="24"/>
          <w:szCs w:val="24"/>
        </w:rPr>
      </w:pPr>
      <w:r>
        <w:rPr>
          <w:rFonts w:ascii="Arial" w:eastAsia="Calibri" w:hAnsi="Arial" w:cs="Arial"/>
          <w:sz w:val="24"/>
          <w:szCs w:val="24"/>
        </w:rPr>
        <w:t xml:space="preserve">Lease payment escalators included in </w:t>
      </w:r>
      <w:r w:rsidR="00DF51A2" w:rsidRPr="00DF51A2">
        <w:rPr>
          <w:rFonts w:ascii="Arial" w:eastAsia="Calibri" w:hAnsi="Arial" w:cs="Arial"/>
          <w:sz w:val="24"/>
          <w:szCs w:val="24"/>
        </w:rPr>
        <w:t xml:space="preserve">the operating leases with </w:t>
      </w:r>
      <w:r w:rsidR="000F44F9">
        <w:rPr>
          <w:rFonts w:ascii="Arial" w:eastAsia="Calibri" w:hAnsi="Arial" w:cs="Arial"/>
          <w:sz w:val="24"/>
          <w:szCs w:val="24"/>
        </w:rPr>
        <w:t>third-</w:t>
      </w:r>
      <w:r w:rsidR="00DF51A2" w:rsidRPr="00DF51A2">
        <w:rPr>
          <w:rFonts w:ascii="Arial" w:eastAsia="Calibri" w:hAnsi="Arial" w:cs="Arial"/>
          <w:sz w:val="24"/>
          <w:szCs w:val="24"/>
        </w:rPr>
        <w:t>party operators</w:t>
      </w:r>
      <w:r>
        <w:rPr>
          <w:rFonts w:ascii="Arial" w:eastAsia="Calibri" w:hAnsi="Arial" w:cs="Arial"/>
          <w:sz w:val="24"/>
          <w:szCs w:val="24"/>
        </w:rPr>
        <w:t xml:space="preserve"> are an important operational risk factor</w:t>
      </w:r>
      <w:r w:rsidR="00DF51A2" w:rsidRPr="00DF51A2">
        <w:rPr>
          <w:rFonts w:ascii="Arial" w:eastAsia="Calibri" w:hAnsi="Arial" w:cs="Arial"/>
          <w:sz w:val="24"/>
          <w:szCs w:val="24"/>
        </w:rPr>
        <w:t xml:space="preserve">.  As such, Lenders should analyze this risk as part of the Lease Payment Analysis for the applicable underwriting Lender Narrative.  In that regard, Handbook 4232.1, Section II, </w:t>
      </w:r>
      <w:r w:rsidR="008E5700">
        <w:rPr>
          <w:rFonts w:ascii="Arial" w:eastAsia="Calibri" w:hAnsi="Arial" w:cs="Arial"/>
          <w:sz w:val="24"/>
          <w:szCs w:val="24"/>
        </w:rPr>
        <w:t>Chapter</w:t>
      </w:r>
      <w:r w:rsidR="00DF51A2" w:rsidRPr="00DF51A2">
        <w:rPr>
          <w:rFonts w:ascii="Arial" w:eastAsia="Calibri" w:hAnsi="Arial" w:cs="Arial"/>
          <w:sz w:val="24"/>
          <w:szCs w:val="24"/>
        </w:rPr>
        <w:t xml:space="preserve"> 8.6 (</w:t>
      </w:r>
      <w:hyperlink r:id="rId16" w:history="1">
        <w:r w:rsidR="00DF51A2" w:rsidRPr="00DF51A2">
          <w:rPr>
            <w:rFonts w:ascii="Arial" w:eastAsia="Calibri" w:hAnsi="Arial" w:cs="Arial"/>
            <w:color w:val="0000FF"/>
            <w:sz w:val="24"/>
            <w:szCs w:val="24"/>
            <w:u w:val="single"/>
          </w:rPr>
          <w:t>here</w:t>
        </w:r>
      </w:hyperlink>
      <w:r w:rsidR="00DF51A2" w:rsidRPr="00DF51A2">
        <w:rPr>
          <w:rFonts w:ascii="Arial" w:eastAsia="Calibri" w:hAnsi="Arial" w:cs="Arial"/>
          <w:color w:val="0000FF"/>
          <w:sz w:val="24"/>
          <w:szCs w:val="24"/>
          <w:u w:val="single"/>
        </w:rPr>
        <w:t>)</w:t>
      </w:r>
      <w:r w:rsidR="00DF51A2" w:rsidRPr="00DF51A2">
        <w:rPr>
          <w:rFonts w:ascii="Arial" w:eastAsia="Calibri" w:hAnsi="Arial" w:cs="Arial"/>
          <w:sz w:val="24"/>
          <w:szCs w:val="24"/>
        </w:rPr>
        <w:t xml:space="preserve"> and excerpted below, outlines the basic </w:t>
      </w:r>
      <w:proofErr w:type="spellStart"/>
      <w:r w:rsidR="00DF51A2" w:rsidRPr="00DF51A2">
        <w:rPr>
          <w:rFonts w:ascii="Arial" w:eastAsia="Calibri" w:hAnsi="Arial" w:cs="Arial"/>
          <w:sz w:val="24"/>
          <w:szCs w:val="24"/>
        </w:rPr>
        <w:t>ORCF</w:t>
      </w:r>
      <w:proofErr w:type="spellEnd"/>
      <w:r w:rsidR="00DF51A2" w:rsidRPr="00DF51A2">
        <w:rPr>
          <w:rFonts w:ascii="Arial" w:eastAsia="Calibri" w:hAnsi="Arial" w:cs="Arial"/>
          <w:sz w:val="24"/>
          <w:szCs w:val="24"/>
        </w:rPr>
        <w:t xml:space="preserve"> Operating Lease Requirements, (as further detailed in forms HUD 91116-ORCF and 91116-ORCF).  As the handbook emphasizes, the lease payments must be </w:t>
      </w:r>
      <w:proofErr w:type="gramStart"/>
      <w:r w:rsidR="00DF51A2" w:rsidRPr="00DF51A2">
        <w:rPr>
          <w:rFonts w:ascii="Arial" w:eastAsia="Calibri" w:hAnsi="Arial" w:cs="Arial"/>
          <w:sz w:val="24"/>
          <w:szCs w:val="24"/>
        </w:rPr>
        <w:t>sufficient</w:t>
      </w:r>
      <w:proofErr w:type="gramEnd"/>
      <w:r w:rsidR="00DF51A2" w:rsidRPr="00DF51A2">
        <w:rPr>
          <w:rFonts w:ascii="Arial" w:eastAsia="Calibri" w:hAnsi="Arial" w:cs="Arial"/>
          <w:sz w:val="24"/>
          <w:szCs w:val="24"/>
        </w:rPr>
        <w:t xml:space="preserve"> to “</w:t>
      </w:r>
      <w:r w:rsidR="00DF51A2" w:rsidRPr="00DF51A2">
        <w:rPr>
          <w:rFonts w:ascii="Arial" w:eastAsia="Calibri" w:hAnsi="Arial" w:cs="Arial"/>
          <w:i/>
          <w:iCs/>
          <w:sz w:val="24"/>
          <w:szCs w:val="24"/>
        </w:rPr>
        <w:t xml:space="preserve">(1) enable the Borrower to meet debt service and impound requirements and </w:t>
      </w:r>
      <w:r w:rsidR="00DF51A2" w:rsidRPr="00DF51A2">
        <w:rPr>
          <w:rFonts w:ascii="Arial" w:eastAsia="Calibri" w:hAnsi="Arial" w:cs="Arial"/>
          <w:bCs/>
          <w:iCs/>
          <w:sz w:val="24"/>
          <w:szCs w:val="24"/>
        </w:rPr>
        <w:t>(2) enable the Operator to properly maintain the project and cover operating expenses</w:t>
      </w:r>
      <w:r w:rsidR="00DF51A2" w:rsidRPr="00DF51A2">
        <w:rPr>
          <w:rFonts w:ascii="Arial" w:eastAsia="Calibri" w:hAnsi="Arial" w:cs="Arial"/>
          <w:iCs/>
          <w:sz w:val="24"/>
          <w:szCs w:val="24"/>
        </w:rPr>
        <w:t>.”</w:t>
      </w:r>
      <w:r w:rsidR="00DF51A2" w:rsidRPr="00DF51A2">
        <w:rPr>
          <w:rFonts w:ascii="Arial" w:eastAsia="Calibri" w:hAnsi="Arial" w:cs="Arial"/>
          <w:i/>
          <w:iCs/>
          <w:sz w:val="24"/>
          <w:szCs w:val="24"/>
        </w:rPr>
        <w:t xml:space="preserve"> </w:t>
      </w:r>
    </w:p>
    <w:p w14:paraId="784C0954" w14:textId="77777777" w:rsidR="00DF51A2" w:rsidRPr="00DF51A2" w:rsidRDefault="00DF51A2" w:rsidP="00DF51A2">
      <w:pPr>
        <w:spacing w:after="0" w:line="240" w:lineRule="auto"/>
        <w:rPr>
          <w:rFonts w:ascii="Arial" w:eastAsia="Calibri" w:hAnsi="Arial" w:cs="Arial"/>
          <w:sz w:val="24"/>
          <w:szCs w:val="24"/>
        </w:rPr>
      </w:pPr>
    </w:p>
    <w:p w14:paraId="180EE696" w14:textId="0BAD5B3A"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When a facility’s performance is placing the facility at financial or other operational risk, notification and action plan requirements apply.  Form HUD 93334-ORCF, Servicer’s Risk Notification to HUD of Risks to Healthcare Project and Action Plan for Remedy (</w:t>
      </w:r>
      <w:hyperlink r:id="rId17" w:history="1">
        <w:r w:rsidRPr="00DF51A2">
          <w:rPr>
            <w:rFonts w:ascii="Arial" w:eastAsia="Calibri" w:hAnsi="Arial" w:cs="Arial"/>
            <w:color w:val="0000FF"/>
            <w:sz w:val="24"/>
            <w:szCs w:val="24"/>
            <w:u w:val="single"/>
          </w:rPr>
          <w:t>here</w:t>
        </w:r>
      </w:hyperlink>
      <w:r w:rsidRPr="00DF51A2">
        <w:rPr>
          <w:rFonts w:ascii="Arial" w:eastAsia="Calibri" w:hAnsi="Arial" w:cs="Arial"/>
          <w:color w:val="0000FF"/>
          <w:sz w:val="24"/>
          <w:szCs w:val="24"/>
          <w:u w:val="single"/>
        </w:rPr>
        <w:t>)</w:t>
      </w:r>
      <w:r w:rsidRPr="00DF51A2">
        <w:rPr>
          <w:rFonts w:ascii="Arial" w:eastAsia="Calibri" w:hAnsi="Arial" w:cs="Arial"/>
          <w:sz w:val="24"/>
          <w:szCs w:val="24"/>
        </w:rPr>
        <w:t xml:space="preserve"> and form HUD 93335-ORCF, Operator’s Notification to HUD of Threats to Permits and Approvals (</w:t>
      </w:r>
      <w:hyperlink r:id="rId18" w:history="1">
        <w:r w:rsidRPr="00DF51A2">
          <w:rPr>
            <w:rFonts w:ascii="Arial" w:eastAsia="Calibri" w:hAnsi="Arial" w:cs="Arial"/>
            <w:color w:val="0000FF"/>
            <w:sz w:val="24"/>
            <w:szCs w:val="24"/>
            <w:u w:val="single"/>
          </w:rPr>
          <w:t>here</w:t>
        </w:r>
      </w:hyperlink>
      <w:r w:rsidRPr="00DF51A2">
        <w:rPr>
          <w:rFonts w:ascii="Arial" w:eastAsia="Calibri" w:hAnsi="Arial" w:cs="Arial"/>
          <w:color w:val="0000FF"/>
          <w:sz w:val="24"/>
          <w:szCs w:val="24"/>
          <w:u w:val="single"/>
        </w:rPr>
        <w:t>)</w:t>
      </w:r>
      <w:r w:rsidRPr="00DF51A2">
        <w:rPr>
          <w:rFonts w:ascii="Arial" w:eastAsia="Calibri" w:hAnsi="Arial" w:cs="Arial"/>
          <w:sz w:val="24"/>
          <w:szCs w:val="24"/>
        </w:rPr>
        <w:t xml:space="preserve"> outline requirements for addressing situations where the financial viability of the facility is at substantial and imminent risk.  </w:t>
      </w:r>
      <w:r w:rsidR="00204814">
        <w:rPr>
          <w:rFonts w:ascii="Arial" w:eastAsia="Calibri" w:hAnsi="Arial" w:cs="Arial"/>
          <w:sz w:val="24"/>
          <w:szCs w:val="24"/>
        </w:rPr>
        <w:t>A</w:t>
      </w:r>
      <w:r w:rsidRPr="00DF51A2">
        <w:rPr>
          <w:rFonts w:ascii="Arial" w:eastAsia="Calibri" w:hAnsi="Arial" w:cs="Arial"/>
          <w:sz w:val="24"/>
          <w:szCs w:val="24"/>
        </w:rPr>
        <w:t xml:space="preserve">ny consideration of bankruptcy or of efforts to renegotiate substantive lease terms trigger </w:t>
      </w:r>
      <w:r w:rsidR="00204814">
        <w:rPr>
          <w:rFonts w:ascii="Arial" w:eastAsia="Calibri" w:hAnsi="Arial" w:cs="Arial"/>
          <w:sz w:val="24"/>
          <w:szCs w:val="24"/>
        </w:rPr>
        <w:t>the</w:t>
      </w:r>
      <w:r w:rsidR="00C0606F">
        <w:rPr>
          <w:rFonts w:ascii="Arial" w:eastAsia="Calibri" w:hAnsi="Arial" w:cs="Arial"/>
          <w:sz w:val="24"/>
          <w:szCs w:val="24"/>
        </w:rPr>
        <w:t xml:space="preserve"> </w:t>
      </w:r>
      <w:r w:rsidRPr="00DF51A2">
        <w:rPr>
          <w:rFonts w:ascii="Arial" w:eastAsia="Calibri" w:hAnsi="Arial" w:cs="Arial"/>
          <w:sz w:val="24"/>
          <w:szCs w:val="24"/>
        </w:rPr>
        <w:t xml:space="preserve">formal notification and action plan requirements, and the servicing Lender in such instances should be timely </w:t>
      </w:r>
      <w:r w:rsidR="00204814">
        <w:rPr>
          <w:rFonts w:ascii="Arial" w:eastAsia="Calibri" w:hAnsi="Arial" w:cs="Arial"/>
          <w:sz w:val="24"/>
          <w:szCs w:val="24"/>
        </w:rPr>
        <w:t xml:space="preserve">in </w:t>
      </w:r>
      <w:r w:rsidRPr="00DF51A2">
        <w:rPr>
          <w:rFonts w:ascii="Arial" w:eastAsia="Calibri" w:hAnsi="Arial" w:cs="Arial"/>
          <w:sz w:val="24"/>
          <w:szCs w:val="24"/>
        </w:rPr>
        <w:t>engaging the assigned Account Executive.</w:t>
      </w:r>
    </w:p>
    <w:p w14:paraId="0EB0C0C4" w14:textId="77777777" w:rsidR="00DF51A2" w:rsidRPr="00DF51A2" w:rsidRDefault="00DF51A2" w:rsidP="00DF51A2">
      <w:pPr>
        <w:spacing w:after="0" w:line="240" w:lineRule="auto"/>
        <w:rPr>
          <w:rFonts w:ascii="Arial" w:eastAsia="Calibri" w:hAnsi="Arial" w:cs="Arial"/>
          <w:sz w:val="24"/>
          <w:szCs w:val="24"/>
        </w:rPr>
      </w:pPr>
    </w:p>
    <w:p w14:paraId="2DDFE27D" w14:textId="6321A243" w:rsidR="00DF51A2" w:rsidRPr="00DF51A2" w:rsidRDefault="00DF51A2" w:rsidP="00DF51A2">
      <w:pPr>
        <w:spacing w:after="0" w:line="240" w:lineRule="auto"/>
        <w:rPr>
          <w:rFonts w:ascii="Arial" w:eastAsia="Calibri" w:hAnsi="Arial" w:cs="Arial"/>
          <w:i/>
          <w:iCs/>
          <w:sz w:val="24"/>
          <w:szCs w:val="24"/>
        </w:rPr>
      </w:pPr>
      <w:r w:rsidRPr="00DF51A2">
        <w:rPr>
          <w:rFonts w:ascii="Arial" w:eastAsia="Calibri" w:hAnsi="Arial" w:cs="Arial"/>
          <w:b/>
          <w:bCs/>
          <w:i/>
          <w:iCs/>
          <w:sz w:val="24"/>
          <w:szCs w:val="24"/>
        </w:rPr>
        <w:t>Keywords:</w:t>
      </w:r>
      <w:r w:rsidRPr="00DF51A2">
        <w:rPr>
          <w:rFonts w:ascii="Arial" w:eastAsia="Calibri" w:hAnsi="Arial" w:cs="Arial"/>
          <w:i/>
          <w:iCs/>
          <w:sz w:val="24"/>
          <w:szCs w:val="24"/>
        </w:rPr>
        <w:t xml:space="preserve"> </w:t>
      </w:r>
      <w:bookmarkStart w:id="7" w:name="_Hlk33624987"/>
      <w:r w:rsidRPr="00DF51A2">
        <w:rPr>
          <w:rFonts w:ascii="Arial" w:eastAsia="Calibri" w:hAnsi="Arial" w:cs="Arial"/>
          <w:i/>
          <w:iCs/>
          <w:sz w:val="24"/>
          <w:szCs w:val="24"/>
        </w:rPr>
        <w:t>Operating Leases</w:t>
      </w:r>
      <w:bookmarkStart w:id="8" w:name="_Hlk33625025"/>
      <w:bookmarkEnd w:id="7"/>
      <w:r w:rsidR="00255539">
        <w:rPr>
          <w:rFonts w:ascii="Arial" w:eastAsia="Calibri" w:hAnsi="Arial" w:cs="Arial"/>
          <w:i/>
          <w:iCs/>
          <w:sz w:val="24"/>
          <w:szCs w:val="24"/>
        </w:rPr>
        <w:t>,</w:t>
      </w:r>
      <w:r w:rsidRPr="00DF51A2">
        <w:rPr>
          <w:rFonts w:ascii="Arial" w:eastAsia="Calibri" w:hAnsi="Arial" w:cs="Arial"/>
          <w:i/>
          <w:iCs/>
          <w:sz w:val="24"/>
          <w:szCs w:val="24"/>
        </w:rPr>
        <w:t xml:space="preserve"> Operator and Management Agent Analysis</w:t>
      </w:r>
      <w:bookmarkEnd w:id="8"/>
      <w:r w:rsidRPr="00DF51A2">
        <w:rPr>
          <w:rFonts w:ascii="Arial" w:eastAsia="Calibri" w:hAnsi="Arial" w:cs="Arial"/>
          <w:i/>
          <w:iCs/>
          <w:sz w:val="24"/>
          <w:szCs w:val="24"/>
        </w:rPr>
        <w:t>, Asset Management, Financial Operations, State Risk</w:t>
      </w:r>
    </w:p>
    <w:p w14:paraId="0100B399" w14:textId="77777777" w:rsidR="00DF51A2" w:rsidRPr="00DF51A2" w:rsidRDefault="00DF51A2" w:rsidP="00DF51A2">
      <w:pPr>
        <w:spacing w:after="0" w:line="240" w:lineRule="auto"/>
        <w:rPr>
          <w:rFonts w:ascii="Arial" w:eastAsia="MS Mincho" w:hAnsi="Arial" w:cs="Arial"/>
          <w:b/>
          <w:sz w:val="24"/>
          <w:szCs w:val="24"/>
        </w:rPr>
      </w:pPr>
    </w:p>
    <w:p w14:paraId="12F6B46D" w14:textId="77777777" w:rsidR="00DF51A2" w:rsidRPr="001754B1" w:rsidRDefault="001B72A7" w:rsidP="00DF51A2">
      <w:pPr>
        <w:spacing w:after="0" w:line="240" w:lineRule="auto"/>
        <w:rPr>
          <w:rFonts w:ascii="Arial" w:eastAsia="Calibri" w:hAnsi="Arial" w:cs="Arial"/>
          <w:color w:val="2F5496" w:themeColor="accent1" w:themeShade="BF"/>
          <w:sz w:val="24"/>
          <w:szCs w:val="24"/>
          <w:u w:val="single"/>
        </w:rPr>
      </w:pPr>
      <w:hyperlink w:anchor="_top" w:history="1">
        <w:r w:rsidR="00DF51A2" w:rsidRPr="001754B1">
          <w:rPr>
            <w:rFonts w:ascii="Arial" w:eastAsia="Calibri" w:hAnsi="Arial" w:cs="Arial"/>
            <w:color w:val="2F5496" w:themeColor="accent1" w:themeShade="BF"/>
            <w:sz w:val="24"/>
            <w:szCs w:val="24"/>
            <w:u w:val="single"/>
          </w:rPr>
          <w:t>Back to top</w:t>
        </w:r>
      </w:hyperlink>
    </w:p>
    <w:p w14:paraId="1D7463C9" w14:textId="77777777" w:rsidR="00DF51A2" w:rsidRPr="00DF51A2" w:rsidRDefault="00DF51A2" w:rsidP="00DF51A2">
      <w:pPr>
        <w:spacing w:after="0" w:line="240" w:lineRule="auto"/>
        <w:rPr>
          <w:rFonts w:ascii="Arial" w:eastAsia="Calibri" w:hAnsi="Arial" w:cs="Arial"/>
          <w:sz w:val="24"/>
          <w:szCs w:val="24"/>
        </w:rPr>
      </w:pPr>
    </w:p>
    <w:p w14:paraId="1524DF1D" w14:textId="77777777" w:rsidR="00DF51A2" w:rsidRPr="00DF51A2" w:rsidRDefault="00DF51A2" w:rsidP="00DF51A2">
      <w:pPr>
        <w:spacing w:after="120" w:line="240" w:lineRule="auto"/>
        <w:outlineLvl w:val="0"/>
        <w:rPr>
          <w:rFonts w:ascii="Arial" w:eastAsia="Calibri" w:hAnsi="Arial" w:cs="Times New Roman"/>
          <w:bCs/>
          <w:caps/>
          <w:color w:val="000066"/>
          <w:sz w:val="28"/>
          <w:szCs w:val="32"/>
        </w:rPr>
      </w:pPr>
      <w:bookmarkStart w:id="9" w:name="_Toc33003843"/>
      <w:r w:rsidRPr="00DF51A2">
        <w:rPr>
          <w:rFonts w:ascii="Arial" w:eastAsia="Calibri" w:hAnsi="Arial" w:cs="Times New Roman"/>
          <w:bCs/>
          <w:caps/>
          <w:color w:val="000066"/>
          <w:sz w:val="28"/>
          <w:szCs w:val="32"/>
        </w:rPr>
        <w:t>Appraisal Reminders</w:t>
      </w:r>
      <w:bookmarkEnd w:id="9"/>
    </w:p>
    <w:p w14:paraId="42902980" w14:textId="77777777" w:rsidR="00DF51A2" w:rsidRPr="00DF51A2" w:rsidRDefault="00DF51A2" w:rsidP="00DF51A2">
      <w:pPr>
        <w:spacing w:after="0" w:line="240" w:lineRule="auto"/>
        <w:rPr>
          <w:rFonts w:ascii="Arial" w:eastAsia="Calibri" w:hAnsi="Arial" w:cs="Arial"/>
          <w:color w:val="000000"/>
          <w:sz w:val="24"/>
          <w:szCs w:val="24"/>
        </w:rPr>
      </w:pPr>
      <w:proofErr w:type="spellStart"/>
      <w:r w:rsidRPr="00DF51A2">
        <w:rPr>
          <w:rFonts w:ascii="Arial" w:eastAsia="Calibri" w:hAnsi="Arial" w:cs="Arial"/>
          <w:color w:val="000000"/>
          <w:sz w:val="24"/>
          <w:szCs w:val="24"/>
        </w:rPr>
        <w:t>ORCF</w:t>
      </w:r>
      <w:proofErr w:type="spellEnd"/>
      <w:r w:rsidRPr="00DF51A2">
        <w:rPr>
          <w:rFonts w:ascii="Arial" w:eastAsia="Calibri" w:hAnsi="Arial" w:cs="Arial"/>
          <w:color w:val="000000"/>
          <w:sz w:val="24"/>
          <w:szCs w:val="24"/>
        </w:rPr>
        <w:t xml:space="preserve"> Appraisers would like to remind Lenders of the following when submitting appraisals with their applications: </w:t>
      </w:r>
    </w:p>
    <w:p w14:paraId="2F94DA0C" w14:textId="77777777" w:rsidR="00DF51A2" w:rsidRPr="00DF51A2" w:rsidRDefault="00DF51A2" w:rsidP="00DF51A2">
      <w:pPr>
        <w:spacing w:after="0" w:line="240" w:lineRule="auto"/>
        <w:rPr>
          <w:rFonts w:ascii="Arial" w:eastAsia="Calibri" w:hAnsi="Arial" w:cs="Arial"/>
          <w:color w:val="000000"/>
          <w:sz w:val="24"/>
          <w:szCs w:val="24"/>
        </w:rPr>
      </w:pPr>
    </w:p>
    <w:p w14:paraId="7C7DC58A" w14:textId="28548D71" w:rsidR="00DF51A2" w:rsidRPr="00DF51A2" w:rsidRDefault="00DF51A2" w:rsidP="0058552B">
      <w:pPr>
        <w:numPr>
          <w:ilvl w:val="0"/>
          <w:numId w:val="5"/>
        </w:numPr>
        <w:spacing w:before="120" w:after="120" w:line="240" w:lineRule="auto"/>
        <w:rPr>
          <w:rFonts w:ascii="Arial" w:eastAsia="Calibri" w:hAnsi="Arial" w:cs="Arial"/>
          <w:color w:val="000000"/>
          <w:sz w:val="24"/>
          <w:szCs w:val="24"/>
        </w:rPr>
      </w:pPr>
      <w:r w:rsidRPr="00DF51A2">
        <w:rPr>
          <w:rFonts w:ascii="Arial" w:eastAsia="Times New Roman" w:hAnsi="Arial" w:cs="Arial"/>
          <w:color w:val="000000"/>
          <w:sz w:val="24"/>
          <w:szCs w:val="24"/>
        </w:rPr>
        <w:t xml:space="preserve">Sales </w:t>
      </w:r>
      <w:proofErr w:type="spellStart"/>
      <w:r w:rsidRPr="00DF51A2">
        <w:rPr>
          <w:rFonts w:ascii="Arial" w:eastAsia="Times New Roman" w:hAnsi="Arial" w:cs="Arial"/>
          <w:color w:val="000000"/>
          <w:sz w:val="24"/>
          <w:szCs w:val="24"/>
        </w:rPr>
        <w:t>Comparables</w:t>
      </w:r>
      <w:proofErr w:type="spellEnd"/>
      <w:r w:rsidRPr="00DF51A2">
        <w:rPr>
          <w:rFonts w:ascii="Arial" w:eastAsia="Times New Roman" w:hAnsi="Arial" w:cs="Arial"/>
          <w:color w:val="000000"/>
          <w:sz w:val="24"/>
          <w:szCs w:val="24"/>
        </w:rPr>
        <w:t xml:space="preserve"> - </w:t>
      </w:r>
      <w:r w:rsidR="004D661C">
        <w:rPr>
          <w:rFonts w:ascii="Arial" w:eastAsia="Times New Roman" w:hAnsi="Arial" w:cs="Arial"/>
          <w:color w:val="000000"/>
          <w:sz w:val="24"/>
          <w:szCs w:val="24"/>
        </w:rPr>
        <w:t>e</w:t>
      </w:r>
      <w:r w:rsidRPr="00DF51A2">
        <w:rPr>
          <w:rFonts w:ascii="Arial" w:eastAsia="Times New Roman" w:hAnsi="Arial" w:cs="Arial"/>
          <w:color w:val="000000"/>
          <w:sz w:val="24"/>
          <w:szCs w:val="24"/>
        </w:rPr>
        <w:t xml:space="preserve">very attempt should be made to find the most recent and similar sales </w:t>
      </w:r>
      <w:proofErr w:type="spellStart"/>
      <w:r w:rsidRPr="00DF51A2">
        <w:rPr>
          <w:rFonts w:ascii="Arial" w:eastAsia="Times New Roman" w:hAnsi="Arial" w:cs="Arial"/>
          <w:color w:val="000000"/>
          <w:sz w:val="24"/>
          <w:szCs w:val="24"/>
        </w:rPr>
        <w:t>comparables</w:t>
      </w:r>
      <w:proofErr w:type="spellEnd"/>
      <w:r w:rsidRPr="00DF51A2">
        <w:rPr>
          <w:rFonts w:ascii="Arial" w:eastAsia="Times New Roman" w:hAnsi="Arial" w:cs="Arial"/>
          <w:color w:val="000000"/>
          <w:sz w:val="24"/>
          <w:szCs w:val="24"/>
        </w:rPr>
        <w:t>, typically within the same state.  </w:t>
      </w:r>
      <w:proofErr w:type="spellStart"/>
      <w:r w:rsidRPr="00DF51A2">
        <w:rPr>
          <w:rFonts w:ascii="Arial" w:eastAsia="Times New Roman" w:hAnsi="Arial" w:cs="Arial"/>
          <w:color w:val="000000"/>
          <w:sz w:val="24"/>
          <w:szCs w:val="24"/>
        </w:rPr>
        <w:t>ORCF</w:t>
      </w:r>
      <w:proofErr w:type="spellEnd"/>
      <w:r w:rsidRPr="00DF51A2">
        <w:rPr>
          <w:rFonts w:ascii="Arial" w:eastAsia="Times New Roman" w:hAnsi="Arial" w:cs="Arial"/>
          <w:color w:val="000000"/>
          <w:sz w:val="24"/>
          <w:szCs w:val="24"/>
        </w:rPr>
        <w:t xml:space="preserve"> Appraisal Guidelines require that the sales selected for the Sales Comparison Approach should be those that provide the most relevant and meaningful insight into the property’s value.  When the sales </w:t>
      </w:r>
      <w:proofErr w:type="spellStart"/>
      <w:r w:rsidR="00204814">
        <w:rPr>
          <w:rFonts w:ascii="Arial" w:eastAsia="Times New Roman" w:hAnsi="Arial" w:cs="Arial"/>
          <w:color w:val="000000"/>
          <w:sz w:val="24"/>
          <w:szCs w:val="24"/>
        </w:rPr>
        <w:t>comparables</w:t>
      </w:r>
      <w:proofErr w:type="spellEnd"/>
      <w:r w:rsidR="00204814">
        <w:rPr>
          <w:rFonts w:ascii="Arial" w:eastAsia="Times New Roman" w:hAnsi="Arial" w:cs="Arial"/>
          <w:color w:val="000000"/>
          <w:sz w:val="24"/>
          <w:szCs w:val="24"/>
        </w:rPr>
        <w:t xml:space="preserve"> </w:t>
      </w:r>
      <w:r w:rsidRPr="00DF51A2">
        <w:rPr>
          <w:rFonts w:ascii="Arial" w:eastAsia="Times New Roman" w:hAnsi="Arial" w:cs="Arial"/>
          <w:color w:val="000000"/>
          <w:sz w:val="24"/>
          <w:szCs w:val="24"/>
        </w:rPr>
        <w:t>are old, require substantial adjustments, or are not relevant to the appraisal analysis, additional data or explanations may be required</w:t>
      </w:r>
      <w:r w:rsidR="004D661C">
        <w:rPr>
          <w:rFonts w:ascii="Arial" w:eastAsia="Times New Roman" w:hAnsi="Arial" w:cs="Arial"/>
          <w:color w:val="000000"/>
          <w:sz w:val="24"/>
          <w:szCs w:val="24"/>
        </w:rPr>
        <w:t xml:space="preserve"> and</w:t>
      </w:r>
      <w:r w:rsidR="0058552B">
        <w:rPr>
          <w:rFonts w:ascii="Arial" w:eastAsia="Times New Roman" w:hAnsi="Arial" w:cs="Arial"/>
          <w:color w:val="000000"/>
          <w:sz w:val="24"/>
          <w:szCs w:val="24"/>
        </w:rPr>
        <w:t xml:space="preserve"> </w:t>
      </w:r>
      <w:r w:rsidRPr="00DF51A2">
        <w:rPr>
          <w:rFonts w:ascii="Arial" w:eastAsia="Times New Roman" w:hAnsi="Arial" w:cs="Arial"/>
          <w:color w:val="000000"/>
          <w:sz w:val="24"/>
          <w:szCs w:val="24"/>
        </w:rPr>
        <w:t>slow down the review process.</w:t>
      </w:r>
    </w:p>
    <w:p w14:paraId="00102E68" w14:textId="77777777" w:rsidR="00DF51A2" w:rsidRPr="00DF51A2" w:rsidRDefault="00DF51A2" w:rsidP="0058552B">
      <w:pPr>
        <w:numPr>
          <w:ilvl w:val="0"/>
          <w:numId w:val="6"/>
        </w:numPr>
        <w:spacing w:before="120" w:after="120" w:line="240" w:lineRule="auto"/>
        <w:rPr>
          <w:rFonts w:ascii="Arial" w:eastAsia="Calibri" w:hAnsi="Arial" w:cs="Arial"/>
          <w:color w:val="000000"/>
          <w:sz w:val="24"/>
          <w:szCs w:val="24"/>
        </w:rPr>
      </w:pPr>
      <w:r w:rsidRPr="00DF51A2">
        <w:rPr>
          <w:rFonts w:ascii="Arial" w:eastAsia="Times New Roman" w:hAnsi="Arial" w:cs="Arial"/>
          <w:color w:val="000000"/>
          <w:sz w:val="24"/>
          <w:szCs w:val="24"/>
        </w:rPr>
        <w:t xml:space="preserve">Sales History – please fully analyze the subject's sales history.  Failing to do this is a common deficiency.  While not a requirement, </w:t>
      </w:r>
      <w:proofErr w:type="spellStart"/>
      <w:r w:rsidRPr="00DF51A2">
        <w:rPr>
          <w:rFonts w:ascii="Arial" w:eastAsia="Times New Roman" w:hAnsi="Arial" w:cs="Arial"/>
          <w:color w:val="000000"/>
          <w:sz w:val="24"/>
          <w:szCs w:val="24"/>
        </w:rPr>
        <w:t>ORCF</w:t>
      </w:r>
      <w:proofErr w:type="spellEnd"/>
      <w:r w:rsidRPr="00DF51A2">
        <w:rPr>
          <w:rFonts w:ascii="Arial" w:eastAsia="Times New Roman" w:hAnsi="Arial" w:cs="Arial"/>
          <w:color w:val="000000"/>
          <w:sz w:val="24"/>
          <w:szCs w:val="24"/>
        </w:rPr>
        <w:t xml:space="preserve"> considers it a best practice to include the Subject’s sale as a comparable within the Sales Comparison Approach.</w:t>
      </w:r>
    </w:p>
    <w:p w14:paraId="07D0F538" w14:textId="04C271F5" w:rsidR="00DF51A2" w:rsidRPr="00DF51A2" w:rsidRDefault="00DF51A2" w:rsidP="0058552B">
      <w:pPr>
        <w:numPr>
          <w:ilvl w:val="0"/>
          <w:numId w:val="7"/>
        </w:numPr>
        <w:spacing w:before="120" w:after="120" w:line="240" w:lineRule="auto"/>
        <w:rPr>
          <w:rFonts w:ascii="Arial" w:eastAsia="Calibri" w:hAnsi="Arial" w:cs="Arial"/>
          <w:color w:val="000000"/>
          <w:sz w:val="24"/>
          <w:szCs w:val="24"/>
        </w:rPr>
      </w:pPr>
      <w:r w:rsidRPr="00DF51A2">
        <w:rPr>
          <w:rFonts w:ascii="Arial" w:eastAsia="Times New Roman" w:hAnsi="Arial" w:cs="Arial"/>
          <w:color w:val="000000"/>
          <w:sz w:val="24"/>
          <w:szCs w:val="24"/>
        </w:rPr>
        <w:t>Initial Operating Deficit Escrow Calculation Template - please remember to use the most r</w:t>
      </w:r>
      <w:r w:rsidRPr="00DF51A2">
        <w:rPr>
          <w:rFonts w:ascii="Arial" w:eastAsia="Calibri" w:hAnsi="Arial" w:cs="Arial"/>
          <w:color w:val="000000"/>
          <w:sz w:val="24"/>
          <w:szCs w:val="24"/>
        </w:rPr>
        <w:t>ecent version of the Initial Operating Deficit Escrow Calculation Template (HUD-91128-ORCF), found</w:t>
      </w:r>
      <w:r w:rsidR="000C36A6">
        <w:rPr>
          <w:rFonts w:ascii="Arial" w:eastAsia="Calibri" w:hAnsi="Arial" w:cs="Arial"/>
          <w:color w:val="000000"/>
          <w:sz w:val="24"/>
          <w:szCs w:val="24"/>
        </w:rPr>
        <w:t xml:space="preserve"> (</w:t>
      </w:r>
      <w:hyperlink r:id="rId19" w:history="1">
        <w:r w:rsidR="000C36A6" w:rsidRPr="000C36A6">
          <w:rPr>
            <w:rStyle w:val="Hyperlink"/>
            <w:rFonts w:ascii="Arial" w:eastAsia="Calibri" w:hAnsi="Arial" w:cs="Arial"/>
            <w:sz w:val="24"/>
            <w:szCs w:val="24"/>
          </w:rPr>
          <w:t>here</w:t>
        </w:r>
      </w:hyperlink>
      <w:r w:rsidR="000C36A6">
        <w:rPr>
          <w:rFonts w:ascii="Arial" w:eastAsia="Calibri" w:hAnsi="Arial" w:cs="Arial"/>
          <w:color w:val="000000"/>
          <w:sz w:val="24"/>
          <w:szCs w:val="24"/>
        </w:rPr>
        <w:t>)</w:t>
      </w:r>
      <w:r w:rsidRPr="00DF51A2">
        <w:rPr>
          <w:rFonts w:ascii="Arial" w:eastAsia="Calibri" w:hAnsi="Arial" w:cs="Arial"/>
          <w:color w:val="000000"/>
          <w:sz w:val="24"/>
          <w:szCs w:val="24"/>
        </w:rPr>
        <w:t xml:space="preserve">.  </w:t>
      </w:r>
      <w:r w:rsidR="000C36A6">
        <w:rPr>
          <w:rFonts w:ascii="Arial" w:eastAsia="Calibri" w:hAnsi="Arial" w:cs="Arial"/>
          <w:color w:val="000000"/>
          <w:sz w:val="24"/>
          <w:szCs w:val="24"/>
        </w:rPr>
        <w:t>P</w:t>
      </w:r>
      <w:r w:rsidRPr="00DF51A2">
        <w:rPr>
          <w:rFonts w:ascii="Arial" w:eastAsia="Calibri" w:hAnsi="Arial" w:cs="Arial"/>
          <w:color w:val="000000"/>
          <w:sz w:val="24"/>
          <w:szCs w:val="24"/>
        </w:rPr>
        <w:t xml:space="preserve">lease do not convert </w:t>
      </w:r>
      <w:r w:rsidR="000C36A6">
        <w:rPr>
          <w:rFonts w:ascii="Arial" w:eastAsia="Calibri" w:hAnsi="Arial" w:cs="Arial"/>
          <w:color w:val="000000"/>
          <w:sz w:val="24"/>
          <w:szCs w:val="24"/>
        </w:rPr>
        <w:t xml:space="preserve">the file </w:t>
      </w:r>
      <w:r w:rsidRPr="00DF51A2">
        <w:rPr>
          <w:rFonts w:ascii="Arial" w:eastAsia="Calibri" w:hAnsi="Arial" w:cs="Arial"/>
          <w:color w:val="000000"/>
          <w:sz w:val="24"/>
          <w:szCs w:val="24"/>
        </w:rPr>
        <w:t xml:space="preserve">into </w:t>
      </w:r>
      <w:proofErr w:type="gramStart"/>
      <w:r w:rsidRPr="00DF51A2">
        <w:rPr>
          <w:rFonts w:ascii="Arial" w:eastAsia="Calibri" w:hAnsi="Arial" w:cs="Arial"/>
          <w:color w:val="000000"/>
          <w:sz w:val="24"/>
          <w:szCs w:val="24"/>
        </w:rPr>
        <w:t>pdf, but</w:t>
      </w:r>
      <w:proofErr w:type="gramEnd"/>
      <w:r w:rsidRPr="00DF51A2">
        <w:rPr>
          <w:rFonts w:ascii="Arial" w:eastAsia="Calibri" w:hAnsi="Arial" w:cs="Arial"/>
          <w:color w:val="000000"/>
          <w:sz w:val="24"/>
          <w:szCs w:val="24"/>
        </w:rPr>
        <w:t xml:space="preserve"> submit it in its original Excel format as provided. </w:t>
      </w:r>
    </w:p>
    <w:p w14:paraId="765C29FA" w14:textId="77777777" w:rsidR="00DF51A2" w:rsidRPr="00DF51A2" w:rsidRDefault="00DF51A2" w:rsidP="0058552B">
      <w:pPr>
        <w:numPr>
          <w:ilvl w:val="0"/>
          <w:numId w:val="8"/>
        </w:numPr>
        <w:spacing w:before="120" w:after="120" w:line="240" w:lineRule="auto"/>
        <w:rPr>
          <w:rFonts w:ascii="Arial" w:eastAsia="Times New Roman" w:hAnsi="Arial" w:cs="Arial"/>
          <w:color w:val="000000"/>
          <w:sz w:val="24"/>
          <w:szCs w:val="24"/>
        </w:rPr>
      </w:pPr>
      <w:r w:rsidRPr="00DF51A2">
        <w:rPr>
          <w:rFonts w:ascii="Arial" w:eastAsia="Times New Roman" w:hAnsi="Arial" w:cs="Arial"/>
          <w:color w:val="000000"/>
          <w:sz w:val="24"/>
          <w:szCs w:val="24"/>
        </w:rPr>
        <w:t xml:space="preserve">Demand analyses for new construction applications of assisted living, memory care, and independent living - the monthly rents used in the target income calculations should be based on average monthly rents, not minimum rents.  In addition, the anticipated care fees should be included in the monthly rent determinations for the target income calculations. </w:t>
      </w:r>
    </w:p>
    <w:p w14:paraId="48C35200" w14:textId="1FAD0E59" w:rsidR="00DF51A2" w:rsidRPr="00DF51A2" w:rsidRDefault="00DF51A2" w:rsidP="0058552B">
      <w:pPr>
        <w:numPr>
          <w:ilvl w:val="0"/>
          <w:numId w:val="9"/>
        </w:numPr>
        <w:spacing w:before="120" w:after="120" w:line="240" w:lineRule="auto"/>
        <w:rPr>
          <w:rFonts w:ascii="Arial" w:eastAsia="Times New Roman" w:hAnsi="Arial" w:cs="Arial"/>
          <w:color w:val="000000"/>
          <w:sz w:val="24"/>
          <w:szCs w:val="24"/>
        </w:rPr>
      </w:pPr>
      <w:r w:rsidRPr="00DF51A2">
        <w:rPr>
          <w:rFonts w:ascii="Arial" w:eastAsia="Times New Roman" w:hAnsi="Arial" w:cs="Arial"/>
          <w:color w:val="000000"/>
          <w:sz w:val="24"/>
          <w:szCs w:val="24"/>
        </w:rPr>
        <w:t>Decision Circuit - when filling in the Revenue tab, and Historical Expense tab, the columns</w:t>
      </w:r>
      <w:r w:rsidR="004D661C">
        <w:rPr>
          <w:rFonts w:ascii="Arial" w:eastAsia="Times New Roman" w:hAnsi="Arial" w:cs="Arial"/>
          <w:color w:val="000000"/>
          <w:sz w:val="24"/>
          <w:szCs w:val="24"/>
        </w:rPr>
        <w:t xml:space="preserve"> to the</w:t>
      </w:r>
      <w:r w:rsidRPr="00DF51A2">
        <w:rPr>
          <w:rFonts w:ascii="Arial" w:eastAsia="Times New Roman" w:hAnsi="Arial" w:cs="Arial"/>
          <w:color w:val="000000"/>
          <w:sz w:val="24"/>
          <w:szCs w:val="24"/>
        </w:rPr>
        <w:t xml:space="preserve"> left of the appraisal’s projections (shaded blue) should be filled out with the same time periods that were used in the appraisal.  Additional periods not included in the appraisal, such as updated financial periods, should be entered in the “Optional Reporting Periods” columns to the right of the Lender’s Debt Service Coverage projections (shaded yellow). </w:t>
      </w:r>
    </w:p>
    <w:p w14:paraId="082DAD49" w14:textId="4EC2FA2C" w:rsidR="00DF51A2" w:rsidRPr="00DF51A2" w:rsidRDefault="00DF51A2" w:rsidP="0058552B">
      <w:pPr>
        <w:numPr>
          <w:ilvl w:val="0"/>
          <w:numId w:val="10"/>
        </w:numPr>
        <w:spacing w:before="120" w:after="120" w:line="240" w:lineRule="auto"/>
        <w:rPr>
          <w:rFonts w:ascii="Arial" w:eastAsia="Times New Roman" w:hAnsi="Arial" w:cs="Arial"/>
          <w:color w:val="000000"/>
          <w:sz w:val="24"/>
          <w:szCs w:val="24"/>
        </w:rPr>
      </w:pPr>
      <w:r w:rsidRPr="00DF51A2">
        <w:rPr>
          <w:rFonts w:ascii="Arial" w:eastAsia="Times New Roman" w:hAnsi="Arial" w:cs="Arial"/>
          <w:color w:val="000000"/>
          <w:sz w:val="24"/>
          <w:szCs w:val="24"/>
        </w:rPr>
        <w:t xml:space="preserve">Certified Financials - </w:t>
      </w:r>
      <w:r w:rsidR="004D661C">
        <w:rPr>
          <w:rFonts w:ascii="Arial" w:eastAsia="Times New Roman" w:hAnsi="Arial" w:cs="Arial"/>
          <w:color w:val="000000"/>
          <w:sz w:val="24"/>
          <w:szCs w:val="24"/>
        </w:rPr>
        <w:t>t</w:t>
      </w:r>
      <w:r w:rsidRPr="00DF51A2">
        <w:rPr>
          <w:rFonts w:ascii="Arial" w:eastAsia="Times New Roman" w:hAnsi="Arial" w:cs="Arial"/>
          <w:color w:val="000000"/>
          <w:sz w:val="24"/>
          <w:szCs w:val="24"/>
        </w:rPr>
        <w:t>he application needs to include certified financials that match those supplied to the appraiser.  Without them</w:t>
      </w:r>
      <w:r w:rsidR="004D661C">
        <w:rPr>
          <w:rFonts w:ascii="Arial" w:eastAsia="Times New Roman" w:hAnsi="Arial" w:cs="Arial"/>
          <w:color w:val="000000"/>
          <w:sz w:val="24"/>
          <w:szCs w:val="24"/>
        </w:rPr>
        <w:t>,</w:t>
      </w:r>
      <w:r w:rsidRPr="00DF51A2">
        <w:rPr>
          <w:rFonts w:ascii="Arial" w:eastAsia="Times New Roman" w:hAnsi="Arial" w:cs="Arial"/>
          <w:color w:val="000000"/>
          <w:sz w:val="24"/>
          <w:szCs w:val="24"/>
        </w:rPr>
        <w:t xml:space="preserve"> the review appraiser cannot reconcile the history shown in the appraisal to the certified financials.  This does not mean that certified financials will not also be required for updated financials that occur after the appraisal. </w:t>
      </w:r>
    </w:p>
    <w:p w14:paraId="5B5D707B" w14:textId="77777777" w:rsidR="00DF51A2" w:rsidRPr="00DF51A2" w:rsidRDefault="00DF51A2" w:rsidP="00DF51A2">
      <w:pPr>
        <w:spacing w:after="0" w:line="240" w:lineRule="auto"/>
        <w:rPr>
          <w:rFonts w:ascii="Arial" w:eastAsia="MS Mincho" w:hAnsi="Arial" w:cs="Arial"/>
          <w:b/>
          <w:sz w:val="24"/>
          <w:szCs w:val="24"/>
        </w:rPr>
      </w:pPr>
    </w:p>
    <w:p w14:paraId="2AB109E8" w14:textId="585E0422" w:rsidR="00DF51A2" w:rsidRPr="00DF51A2" w:rsidRDefault="00DF51A2" w:rsidP="00DF51A2">
      <w:pPr>
        <w:spacing w:after="0" w:line="240" w:lineRule="auto"/>
        <w:rPr>
          <w:rFonts w:ascii="Arial" w:eastAsia="MS Mincho" w:hAnsi="Arial" w:cs="Arial"/>
          <w:i/>
          <w:sz w:val="24"/>
          <w:szCs w:val="24"/>
        </w:rPr>
      </w:pPr>
      <w:r w:rsidRPr="00DF51A2">
        <w:rPr>
          <w:rFonts w:ascii="Arial" w:eastAsia="MS Mincho" w:hAnsi="Arial" w:cs="Arial"/>
          <w:b/>
          <w:i/>
          <w:sz w:val="24"/>
          <w:szCs w:val="24"/>
        </w:rPr>
        <w:t>Keywords:</w:t>
      </w:r>
      <w:r w:rsidRPr="00DF51A2">
        <w:rPr>
          <w:rFonts w:ascii="Arial" w:eastAsia="MS Mincho" w:hAnsi="Arial" w:cs="Arial"/>
          <w:i/>
          <w:sz w:val="24"/>
          <w:szCs w:val="24"/>
        </w:rPr>
        <w:t xml:space="preserve"> Appraisal</w:t>
      </w:r>
      <w:r w:rsidR="00255539">
        <w:rPr>
          <w:rFonts w:ascii="Arial" w:eastAsia="MS Mincho" w:hAnsi="Arial" w:cs="Arial"/>
          <w:i/>
          <w:sz w:val="24"/>
          <w:szCs w:val="24"/>
        </w:rPr>
        <w:t>s</w:t>
      </w:r>
    </w:p>
    <w:p w14:paraId="64D5E059" w14:textId="77777777" w:rsidR="00DF51A2" w:rsidRPr="00DF51A2" w:rsidRDefault="00DF51A2" w:rsidP="00DF51A2">
      <w:pPr>
        <w:spacing w:after="0" w:line="240" w:lineRule="auto"/>
        <w:rPr>
          <w:rFonts w:ascii="Arial" w:eastAsia="MS Mincho" w:hAnsi="Arial" w:cs="Arial"/>
          <w:b/>
          <w:sz w:val="24"/>
          <w:szCs w:val="24"/>
        </w:rPr>
      </w:pPr>
    </w:p>
    <w:p w14:paraId="7C0C92B7" w14:textId="77777777" w:rsidR="00DF51A2" w:rsidRPr="001754B1" w:rsidRDefault="001B72A7" w:rsidP="00DF51A2">
      <w:pPr>
        <w:spacing w:after="0" w:line="240" w:lineRule="auto"/>
        <w:rPr>
          <w:rFonts w:ascii="Arial" w:eastAsia="Calibri" w:hAnsi="Arial" w:cs="Arial"/>
          <w:color w:val="2F5496" w:themeColor="accent1" w:themeShade="BF"/>
          <w:sz w:val="24"/>
          <w:szCs w:val="24"/>
          <w:u w:val="single"/>
        </w:rPr>
      </w:pPr>
      <w:hyperlink w:anchor="_top" w:history="1">
        <w:r w:rsidR="00DF51A2" w:rsidRPr="001754B1">
          <w:rPr>
            <w:rFonts w:ascii="Arial" w:eastAsia="Calibri" w:hAnsi="Arial" w:cs="Arial"/>
            <w:color w:val="2F5496" w:themeColor="accent1" w:themeShade="BF"/>
            <w:sz w:val="24"/>
            <w:szCs w:val="24"/>
            <w:u w:val="single"/>
          </w:rPr>
          <w:t>Back to top</w:t>
        </w:r>
      </w:hyperlink>
    </w:p>
    <w:p w14:paraId="09657543" w14:textId="261A5478" w:rsidR="00DF51A2" w:rsidRDefault="00DF51A2" w:rsidP="00DF51A2">
      <w:pPr>
        <w:spacing w:after="0" w:line="240" w:lineRule="auto"/>
        <w:rPr>
          <w:rFonts w:ascii="Arial" w:eastAsia="Calibri" w:hAnsi="Arial" w:cs="Arial"/>
          <w:color w:val="000000" w:themeColor="text1"/>
          <w:sz w:val="24"/>
          <w:szCs w:val="24"/>
          <w:u w:val="single"/>
        </w:rPr>
      </w:pPr>
    </w:p>
    <w:p w14:paraId="5B2753A9" w14:textId="77777777" w:rsidR="00C01682" w:rsidRPr="00CF6EAC" w:rsidRDefault="00C01682" w:rsidP="00DF51A2">
      <w:pPr>
        <w:spacing w:after="0" w:line="240" w:lineRule="auto"/>
        <w:rPr>
          <w:rFonts w:ascii="Arial" w:eastAsia="Calibri" w:hAnsi="Arial" w:cs="Arial"/>
          <w:color w:val="000000" w:themeColor="text1"/>
          <w:sz w:val="24"/>
          <w:szCs w:val="24"/>
          <w:u w:val="single"/>
        </w:rPr>
      </w:pPr>
    </w:p>
    <w:p w14:paraId="14504BB5" w14:textId="77777777" w:rsidR="00DF51A2" w:rsidRPr="00DF51A2" w:rsidRDefault="00DF51A2" w:rsidP="00DF51A2">
      <w:pPr>
        <w:spacing w:after="120" w:line="240" w:lineRule="auto"/>
        <w:outlineLvl w:val="0"/>
        <w:rPr>
          <w:rFonts w:ascii="Arial" w:eastAsia="Calibri" w:hAnsi="Arial" w:cs="Times New Roman"/>
          <w:bCs/>
          <w:caps/>
          <w:color w:val="000066"/>
          <w:sz w:val="28"/>
          <w:szCs w:val="32"/>
        </w:rPr>
      </w:pPr>
      <w:bookmarkStart w:id="10" w:name="_Toc387243999"/>
      <w:bookmarkStart w:id="11" w:name="_Toc33003844"/>
      <w:bookmarkStart w:id="12" w:name="_Hlk31803217"/>
      <w:r w:rsidRPr="00DF51A2">
        <w:rPr>
          <w:rFonts w:ascii="Arial" w:eastAsia="Calibri" w:hAnsi="Arial" w:cs="Times New Roman"/>
          <w:bCs/>
          <w:caps/>
          <w:color w:val="000066"/>
          <w:sz w:val="28"/>
          <w:szCs w:val="32"/>
        </w:rPr>
        <w:lastRenderedPageBreak/>
        <w:t>Section 106 Historic Preservation Reviews</w:t>
      </w:r>
      <w:bookmarkEnd w:id="10"/>
      <w:bookmarkEnd w:id="11"/>
    </w:p>
    <w:p w14:paraId="6775135A" w14:textId="24AE202C"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Lenders and </w:t>
      </w:r>
      <w:r w:rsidR="004D661C">
        <w:rPr>
          <w:rFonts w:ascii="Arial" w:eastAsia="Calibri" w:hAnsi="Arial" w:cs="Arial"/>
          <w:sz w:val="24"/>
          <w:szCs w:val="24"/>
        </w:rPr>
        <w:t>t</w:t>
      </w:r>
      <w:r w:rsidRPr="00DF51A2">
        <w:rPr>
          <w:rFonts w:ascii="Arial" w:eastAsia="Calibri" w:hAnsi="Arial" w:cs="Arial"/>
          <w:sz w:val="24"/>
          <w:szCs w:val="24"/>
        </w:rPr>
        <w:t>hird-</w:t>
      </w:r>
      <w:r w:rsidR="004D661C">
        <w:rPr>
          <w:rFonts w:ascii="Arial" w:eastAsia="Calibri" w:hAnsi="Arial" w:cs="Arial"/>
          <w:sz w:val="24"/>
          <w:szCs w:val="24"/>
        </w:rPr>
        <w:t>p</w:t>
      </w:r>
      <w:r w:rsidRPr="00DF51A2">
        <w:rPr>
          <w:rFonts w:ascii="Arial" w:eastAsia="Calibri" w:hAnsi="Arial" w:cs="Arial"/>
          <w:sz w:val="24"/>
          <w:szCs w:val="24"/>
        </w:rPr>
        <w:t>arty consultants are reminded of the importance of submitting complete information to the State Historic Preservation Officer (SHPO) for use in the Section 106 consultation.  In particular, please ensure that you are specific about the scope of work that is being completed as part of the FHA-insured project, and include a map, photos, and project plans as applicable (Please see Handbook 4232.1, Section II, Chapter 7.E.5).  Please check the SHPO’s website prior to submitting a request for consultation as some states have their own process and submission requirements.  While SHPOs have 30 days to review a submission, the submission must be complete and correct or the SHPO may require additional information which can add to the review time.</w:t>
      </w:r>
    </w:p>
    <w:p w14:paraId="1174512B" w14:textId="77777777" w:rsidR="00DF51A2" w:rsidRPr="00DF51A2" w:rsidRDefault="00DF51A2" w:rsidP="00DF51A2">
      <w:pPr>
        <w:spacing w:after="0" w:line="240" w:lineRule="auto"/>
        <w:rPr>
          <w:rFonts w:ascii="Arial" w:eastAsia="MS Mincho" w:hAnsi="Arial" w:cs="Arial"/>
          <w:b/>
          <w:i/>
          <w:sz w:val="24"/>
          <w:szCs w:val="24"/>
        </w:rPr>
      </w:pPr>
    </w:p>
    <w:p w14:paraId="365AA08F" w14:textId="77777777" w:rsidR="00DF51A2" w:rsidRPr="00DF51A2" w:rsidRDefault="00DF51A2" w:rsidP="00DF51A2">
      <w:pPr>
        <w:spacing w:after="0" w:line="240" w:lineRule="auto"/>
        <w:rPr>
          <w:rFonts w:ascii="Arial" w:eastAsia="MS Mincho" w:hAnsi="Arial" w:cs="Arial"/>
          <w:i/>
          <w:sz w:val="24"/>
          <w:szCs w:val="24"/>
        </w:rPr>
      </w:pPr>
      <w:r w:rsidRPr="00DF51A2">
        <w:rPr>
          <w:rFonts w:ascii="Arial" w:eastAsia="MS Mincho" w:hAnsi="Arial" w:cs="Arial"/>
          <w:b/>
          <w:i/>
          <w:sz w:val="24"/>
          <w:szCs w:val="24"/>
        </w:rPr>
        <w:t>Keywords:</w:t>
      </w:r>
      <w:r w:rsidRPr="00DF51A2">
        <w:rPr>
          <w:rFonts w:ascii="Arial" w:eastAsia="MS Mincho" w:hAnsi="Arial" w:cs="Arial"/>
          <w:i/>
          <w:sz w:val="24"/>
          <w:szCs w:val="24"/>
        </w:rPr>
        <w:t xml:space="preserve"> Section 106, Historic Preservation, SHPO, Application Processing</w:t>
      </w:r>
    </w:p>
    <w:p w14:paraId="4DCE61CB" w14:textId="77777777" w:rsidR="00DF51A2" w:rsidRPr="00DF51A2" w:rsidRDefault="00DF51A2" w:rsidP="00DF51A2">
      <w:pPr>
        <w:spacing w:after="0" w:line="240" w:lineRule="auto"/>
        <w:rPr>
          <w:rFonts w:ascii="Arial" w:eastAsia="MS Mincho" w:hAnsi="Arial" w:cs="Arial"/>
          <w:b/>
          <w:sz w:val="24"/>
          <w:szCs w:val="24"/>
        </w:rPr>
      </w:pPr>
    </w:p>
    <w:p w14:paraId="018A8C68" w14:textId="77777777" w:rsidR="00DF51A2" w:rsidRPr="001754B1" w:rsidRDefault="001B72A7" w:rsidP="00DF51A2">
      <w:pPr>
        <w:spacing w:after="0" w:line="240" w:lineRule="auto"/>
        <w:rPr>
          <w:rFonts w:ascii="Arial" w:eastAsia="Calibri" w:hAnsi="Arial" w:cs="Arial"/>
          <w:color w:val="2F5496" w:themeColor="accent1" w:themeShade="BF"/>
          <w:sz w:val="24"/>
          <w:szCs w:val="24"/>
          <w:u w:val="single"/>
        </w:rPr>
      </w:pPr>
      <w:hyperlink w:anchor="_top" w:history="1">
        <w:r w:rsidR="00DF51A2" w:rsidRPr="001754B1">
          <w:rPr>
            <w:rFonts w:ascii="Arial" w:eastAsia="Calibri" w:hAnsi="Arial" w:cs="Arial"/>
            <w:color w:val="2F5496" w:themeColor="accent1" w:themeShade="BF"/>
            <w:sz w:val="24"/>
            <w:szCs w:val="24"/>
            <w:u w:val="single"/>
          </w:rPr>
          <w:t>Back to top</w:t>
        </w:r>
      </w:hyperlink>
    </w:p>
    <w:bookmarkEnd w:id="12"/>
    <w:p w14:paraId="3B391539" w14:textId="77777777" w:rsidR="00DF51A2" w:rsidRPr="00DF51A2" w:rsidRDefault="00DF51A2" w:rsidP="00DF51A2">
      <w:pPr>
        <w:spacing w:after="0" w:line="240" w:lineRule="auto"/>
        <w:rPr>
          <w:rFonts w:ascii="Arial" w:eastAsia="Calibri" w:hAnsi="Arial" w:cs="Arial"/>
          <w:color w:val="0000FF"/>
          <w:sz w:val="24"/>
          <w:szCs w:val="24"/>
          <w:u w:val="single"/>
        </w:rPr>
      </w:pPr>
    </w:p>
    <w:p w14:paraId="17F00254" w14:textId="77777777" w:rsidR="00DF51A2" w:rsidRPr="00DF51A2" w:rsidRDefault="00DF51A2" w:rsidP="00DF51A2">
      <w:pPr>
        <w:spacing w:after="120" w:line="240" w:lineRule="auto"/>
        <w:outlineLvl w:val="0"/>
        <w:rPr>
          <w:rFonts w:ascii="Arial" w:eastAsia="Calibri" w:hAnsi="Arial" w:cs="Times New Roman"/>
          <w:bCs/>
          <w:caps/>
          <w:color w:val="000066"/>
          <w:sz w:val="28"/>
          <w:szCs w:val="32"/>
        </w:rPr>
      </w:pPr>
      <w:bookmarkStart w:id="13" w:name="_Toc33003845"/>
      <w:r w:rsidRPr="00DF51A2">
        <w:rPr>
          <w:rFonts w:ascii="Arial" w:eastAsia="Calibri" w:hAnsi="Arial" w:cs="Times New Roman"/>
          <w:bCs/>
          <w:caps/>
          <w:color w:val="000066"/>
          <w:sz w:val="28"/>
          <w:szCs w:val="32"/>
        </w:rPr>
        <w:t>New Environmental Rule Conforming the Acceptable Separation Distance (</w:t>
      </w:r>
      <w:proofErr w:type="spellStart"/>
      <w:r w:rsidRPr="00DF51A2">
        <w:rPr>
          <w:rFonts w:ascii="Arial" w:eastAsia="Calibri" w:hAnsi="Arial" w:cs="Times New Roman"/>
          <w:bCs/>
          <w:caps/>
          <w:color w:val="000066"/>
          <w:sz w:val="28"/>
          <w:szCs w:val="32"/>
        </w:rPr>
        <w:t>ASD</w:t>
      </w:r>
      <w:proofErr w:type="spellEnd"/>
      <w:r w:rsidRPr="00DF51A2">
        <w:rPr>
          <w:rFonts w:ascii="Arial" w:eastAsia="Calibri" w:hAnsi="Arial" w:cs="Times New Roman"/>
          <w:bCs/>
          <w:caps/>
          <w:color w:val="000066"/>
          <w:sz w:val="28"/>
          <w:szCs w:val="32"/>
        </w:rPr>
        <w:t>) Standards for Propane Tanks to Industry Standards</w:t>
      </w:r>
      <w:bookmarkEnd w:id="13"/>
    </w:p>
    <w:p w14:paraId="6D960E8E" w14:textId="77777777" w:rsidR="00DF51A2" w:rsidRPr="00DF51A2" w:rsidRDefault="00DF51A2" w:rsidP="00DF51A2">
      <w:pPr>
        <w:spacing w:after="0" w:line="240" w:lineRule="auto"/>
        <w:rPr>
          <w:rFonts w:ascii="Arial" w:eastAsia="Calibri" w:hAnsi="Arial" w:cs="Arial"/>
          <w:color w:val="FF0000"/>
          <w:sz w:val="24"/>
          <w:szCs w:val="24"/>
        </w:rPr>
      </w:pPr>
      <w:r w:rsidRPr="00DF51A2">
        <w:rPr>
          <w:rFonts w:ascii="Arial" w:eastAsia="Calibri" w:hAnsi="Arial" w:cs="Arial"/>
          <w:sz w:val="24"/>
          <w:szCs w:val="24"/>
        </w:rPr>
        <w:t xml:space="preserve">On January 24th, 2020, HUD published a final rule revising 24 CFR Part 51 Subpart C to exempt liquefied petroleum gas or propane (LPG/propane) containers up to 1,000 gallons that comply with industry standard, </w:t>
      </w:r>
      <w:bookmarkStart w:id="14" w:name="_Hlk33624739"/>
      <w:r w:rsidRPr="00DF51A2">
        <w:rPr>
          <w:rFonts w:ascii="Arial" w:eastAsia="Calibri" w:hAnsi="Arial" w:cs="Arial"/>
          <w:sz w:val="24"/>
          <w:szCs w:val="24"/>
        </w:rPr>
        <w:t xml:space="preserve">National Fire Protection Association (NFPA) </w:t>
      </w:r>
      <w:bookmarkEnd w:id="14"/>
      <w:r w:rsidRPr="00DF51A2">
        <w:rPr>
          <w:rFonts w:ascii="Arial" w:eastAsia="Calibri" w:hAnsi="Arial" w:cs="Arial"/>
          <w:sz w:val="24"/>
          <w:szCs w:val="24"/>
        </w:rPr>
        <w:t>Code 58 (Liquefied Petroleum Gas Code) (2017).  This final rule is effective on February 24th, 2020 and is available (</w:t>
      </w:r>
      <w:hyperlink r:id="rId20" w:history="1">
        <w:r w:rsidRPr="00DF51A2">
          <w:rPr>
            <w:rFonts w:ascii="Arial" w:eastAsia="Calibri" w:hAnsi="Arial" w:cs="Arial"/>
            <w:color w:val="0000FF"/>
            <w:sz w:val="24"/>
            <w:szCs w:val="24"/>
            <w:u w:val="single"/>
          </w:rPr>
          <w:t>here</w:t>
        </w:r>
      </w:hyperlink>
      <w:r w:rsidRPr="00DF51A2">
        <w:rPr>
          <w:rFonts w:ascii="Arial" w:eastAsia="Calibri" w:hAnsi="Arial" w:cs="Arial"/>
          <w:sz w:val="24"/>
          <w:szCs w:val="24"/>
        </w:rPr>
        <w:t>).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environmental reviews will incorporate the new standards in the evaluation process for propane aboveground storage tanks (ASTs). </w:t>
      </w:r>
      <w:r w:rsidRPr="00DF51A2">
        <w:rPr>
          <w:rFonts w:ascii="Arial" w:eastAsia="Calibri" w:hAnsi="Arial" w:cs="Arial"/>
          <w:color w:val="FF0000"/>
          <w:sz w:val="24"/>
          <w:szCs w:val="24"/>
        </w:rPr>
        <w:t xml:space="preserve"> </w:t>
      </w:r>
    </w:p>
    <w:p w14:paraId="30B946B6" w14:textId="77777777" w:rsidR="00DF51A2" w:rsidRPr="00DF51A2" w:rsidRDefault="00DF51A2" w:rsidP="00DF51A2">
      <w:pPr>
        <w:spacing w:after="0" w:line="240" w:lineRule="auto"/>
        <w:rPr>
          <w:rFonts w:ascii="Arial" w:eastAsia="Calibri" w:hAnsi="Arial" w:cs="Arial"/>
          <w:color w:val="FF0000"/>
          <w:sz w:val="24"/>
          <w:szCs w:val="24"/>
        </w:rPr>
      </w:pPr>
    </w:p>
    <w:p w14:paraId="4EDA87F6" w14:textId="4714EED5"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Mortgage insurance applications for projects involving propane ASTs that qualify for the exemption should include evidence of compliance with NFPA 58 in </w:t>
      </w:r>
      <w:r w:rsidRPr="00DF51A2">
        <w:rPr>
          <w:rFonts w:ascii="Arial" w:eastAsia="Calibri" w:hAnsi="Arial" w:cs="Arial"/>
          <w:i/>
          <w:iCs/>
          <w:sz w:val="24"/>
          <w:szCs w:val="24"/>
        </w:rPr>
        <w:t>Section 2: Third-Party Reports</w:t>
      </w:r>
      <w:r w:rsidRPr="00DF51A2">
        <w:rPr>
          <w:rFonts w:ascii="Arial" w:eastAsia="Calibri" w:hAnsi="Arial" w:cs="Arial"/>
          <w:sz w:val="24"/>
          <w:szCs w:val="24"/>
        </w:rPr>
        <w:t xml:space="preserve">.  Documentation of compliance with NFPA 58, including the NFPA separation distance requirements noted below, will satisfy the </w:t>
      </w:r>
      <w:r w:rsidR="004D661C">
        <w:rPr>
          <w:rFonts w:ascii="Arial" w:eastAsia="Calibri" w:hAnsi="Arial" w:cs="Arial"/>
          <w:sz w:val="24"/>
          <w:szCs w:val="24"/>
        </w:rPr>
        <w:t>H</w:t>
      </w:r>
      <w:r w:rsidRPr="00DF51A2">
        <w:rPr>
          <w:rFonts w:ascii="Arial" w:eastAsia="Calibri" w:hAnsi="Arial" w:cs="Arial"/>
          <w:sz w:val="24"/>
          <w:szCs w:val="24"/>
        </w:rPr>
        <w:t xml:space="preserve">andbook requirements for fire safety conformance letters and </w:t>
      </w:r>
      <w:proofErr w:type="spellStart"/>
      <w:r w:rsidRPr="00DF51A2">
        <w:rPr>
          <w:rFonts w:ascii="Arial" w:eastAsia="Calibri" w:hAnsi="Arial" w:cs="Arial"/>
          <w:sz w:val="24"/>
          <w:szCs w:val="24"/>
        </w:rPr>
        <w:t>ASD</w:t>
      </w:r>
      <w:proofErr w:type="spellEnd"/>
      <w:r w:rsidRPr="00DF51A2">
        <w:rPr>
          <w:rFonts w:ascii="Arial" w:eastAsia="Calibri" w:hAnsi="Arial" w:cs="Arial"/>
          <w:sz w:val="24"/>
          <w:szCs w:val="24"/>
        </w:rPr>
        <w:t xml:space="preserve"> calculations.</w:t>
      </w:r>
    </w:p>
    <w:p w14:paraId="309ECC06" w14:textId="77777777" w:rsidR="00DF51A2" w:rsidRPr="00DF51A2" w:rsidRDefault="00DF51A2" w:rsidP="00DF51A2">
      <w:pPr>
        <w:spacing w:after="0" w:line="240" w:lineRule="auto"/>
        <w:rPr>
          <w:rFonts w:ascii="Arial" w:eastAsia="Calibri" w:hAnsi="Arial" w:cs="Arial"/>
          <w:sz w:val="24"/>
          <w:szCs w:val="24"/>
        </w:rPr>
      </w:pPr>
    </w:p>
    <w:p w14:paraId="5705CBFC"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Copied below is the revision in 24 CFR Part 51.201 which removes propane ASTs from the </w:t>
      </w:r>
      <w:proofErr w:type="spellStart"/>
      <w:r w:rsidRPr="00DF51A2">
        <w:rPr>
          <w:rFonts w:ascii="Arial" w:eastAsia="Calibri" w:hAnsi="Arial" w:cs="Arial"/>
          <w:sz w:val="24"/>
          <w:szCs w:val="24"/>
        </w:rPr>
        <w:t>ASD</w:t>
      </w:r>
      <w:proofErr w:type="spellEnd"/>
      <w:r w:rsidRPr="00DF51A2">
        <w:rPr>
          <w:rFonts w:ascii="Arial" w:eastAsia="Calibri" w:hAnsi="Arial" w:cs="Arial"/>
          <w:sz w:val="24"/>
          <w:szCs w:val="24"/>
        </w:rPr>
        <w:t xml:space="preserve"> requirements if they comply with NFPA Code 58 and do not exceed 1,000 gallons water capacity.</w:t>
      </w:r>
    </w:p>
    <w:p w14:paraId="146F592B" w14:textId="77777777" w:rsidR="00DF51A2" w:rsidRPr="00DF51A2" w:rsidRDefault="00DF51A2" w:rsidP="00DF51A2">
      <w:pPr>
        <w:spacing w:after="0" w:line="240" w:lineRule="auto"/>
        <w:rPr>
          <w:rFonts w:ascii="Arial" w:eastAsia="Calibri" w:hAnsi="Arial" w:cs="Arial"/>
          <w:sz w:val="24"/>
          <w:szCs w:val="24"/>
        </w:rPr>
      </w:pPr>
    </w:p>
    <w:p w14:paraId="0EBC7933" w14:textId="77777777" w:rsidR="00DF51A2" w:rsidRPr="00DF51A2" w:rsidRDefault="00DF51A2" w:rsidP="00DF51A2">
      <w:pPr>
        <w:spacing w:after="0" w:line="240" w:lineRule="auto"/>
        <w:rPr>
          <w:rFonts w:ascii="Arial" w:eastAsia="Calibri" w:hAnsi="Arial" w:cs="Arial"/>
          <w:b/>
          <w:bCs/>
          <w:sz w:val="24"/>
          <w:szCs w:val="24"/>
        </w:rPr>
      </w:pPr>
      <w:r w:rsidRPr="00DF51A2">
        <w:rPr>
          <w:rFonts w:ascii="Arial" w:eastAsia="Calibri" w:hAnsi="Arial" w:cs="Arial"/>
          <w:sz w:val="24"/>
          <w:szCs w:val="24"/>
        </w:rPr>
        <w:t>“</w:t>
      </w:r>
      <w:r w:rsidRPr="00DF51A2">
        <w:rPr>
          <w:rFonts w:ascii="Arial" w:eastAsia="Calibri" w:hAnsi="Arial" w:cs="Arial"/>
          <w:b/>
          <w:bCs/>
          <w:sz w:val="24"/>
          <w:szCs w:val="24"/>
        </w:rPr>
        <w:t>§ 51.201 Definitions.</w:t>
      </w:r>
    </w:p>
    <w:p w14:paraId="6F82644E"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 * * *</w:t>
      </w:r>
    </w:p>
    <w:p w14:paraId="784EE8D0"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i/>
          <w:iCs/>
          <w:sz w:val="24"/>
          <w:szCs w:val="24"/>
        </w:rPr>
        <w:t>Hazard</w:t>
      </w:r>
      <w:r w:rsidRPr="00DF51A2">
        <w:rPr>
          <w:rFonts w:ascii="Arial" w:eastAsia="Calibri" w:hAnsi="Arial" w:cs="Arial"/>
          <w:sz w:val="24"/>
          <w:szCs w:val="24"/>
        </w:rPr>
        <w:t>—means any stationary container which stores, handles, or processes hazardous substances of an explosive or fire prone nature. The term ‘‘hazard’’ does not include: ….</w:t>
      </w:r>
    </w:p>
    <w:p w14:paraId="064663BC"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(5) Containers used to hold liquefied petroleum gas with a volumetric capacity not to exceed 1,000 gallons water capacity, if they comply with National Fire Protection Association (NFPA) 58.”</w:t>
      </w:r>
    </w:p>
    <w:p w14:paraId="556CD3A0" w14:textId="77777777" w:rsidR="00DF51A2" w:rsidRPr="00DF51A2" w:rsidRDefault="00DF51A2" w:rsidP="00DF51A2">
      <w:pPr>
        <w:spacing w:after="0" w:line="240" w:lineRule="auto"/>
        <w:rPr>
          <w:rFonts w:ascii="Arial" w:eastAsia="Calibri" w:hAnsi="Arial" w:cs="Arial"/>
          <w:sz w:val="24"/>
          <w:szCs w:val="24"/>
        </w:rPr>
      </w:pPr>
    </w:p>
    <w:p w14:paraId="4AFF8108"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As stated in the rule’s Supplementary Information, “this rule does not remove all safe distance requirements for LPG containers sited near HUD assisted projects. All tanks exempted from HUD’s </w:t>
      </w:r>
      <w:proofErr w:type="spellStart"/>
      <w:r w:rsidRPr="00DF51A2">
        <w:rPr>
          <w:rFonts w:ascii="Arial" w:eastAsia="Calibri" w:hAnsi="Arial" w:cs="Arial"/>
          <w:sz w:val="24"/>
          <w:szCs w:val="24"/>
        </w:rPr>
        <w:t>ASD</w:t>
      </w:r>
      <w:proofErr w:type="spellEnd"/>
      <w:r w:rsidRPr="00DF51A2">
        <w:rPr>
          <w:rFonts w:ascii="Arial" w:eastAsia="Calibri" w:hAnsi="Arial" w:cs="Arial"/>
          <w:sz w:val="24"/>
          <w:szCs w:val="24"/>
        </w:rPr>
        <w:t xml:space="preserve"> requirements under this rule must be fully compliant with NFPA (2017) standards, including NFPA separation distance requirements. Tanks locations must meet a separation distance between the container and important buildings … or line of adjoining property that can be built upon, in accordance with the NFPA 58. Tanks between 125 and 500 gallons must be at least 10 feet apart from important buildings or property lines of adjoining property that can be built upon, while tanks between 501 and 1,000 gallons must be at least 25 feet apart. Under NFPA 58 and this rule’s revision of 24 CFR part 51, tanks under 125 gallons would not require a separation distance”.  </w:t>
      </w:r>
    </w:p>
    <w:p w14:paraId="4705FCED" w14:textId="77777777" w:rsidR="00DF51A2" w:rsidRPr="00DF51A2" w:rsidRDefault="00DF51A2" w:rsidP="00DF51A2">
      <w:pPr>
        <w:spacing w:after="0" w:line="240" w:lineRule="auto"/>
        <w:rPr>
          <w:rFonts w:ascii="Arial" w:eastAsia="Calibri" w:hAnsi="Arial" w:cs="Arial"/>
          <w:sz w:val="24"/>
          <w:szCs w:val="24"/>
        </w:rPr>
      </w:pPr>
    </w:p>
    <w:p w14:paraId="4BC4F4F3" w14:textId="77777777" w:rsidR="00DF51A2" w:rsidRPr="00DF51A2" w:rsidRDefault="00DF51A2" w:rsidP="00DF51A2">
      <w:pPr>
        <w:spacing w:after="0" w:line="240" w:lineRule="auto"/>
        <w:rPr>
          <w:rFonts w:ascii="Arial" w:eastAsia="Calibri" w:hAnsi="Arial" w:cs="Arial"/>
          <w:color w:val="FF0000"/>
          <w:sz w:val="24"/>
          <w:szCs w:val="24"/>
        </w:rPr>
      </w:pPr>
      <w:r w:rsidRPr="00DF51A2">
        <w:rPr>
          <w:rFonts w:ascii="Arial" w:eastAsia="Calibri" w:hAnsi="Arial" w:cs="Arial"/>
          <w:sz w:val="24"/>
          <w:szCs w:val="24"/>
        </w:rPr>
        <w:t xml:space="preserve">HUD’s Office of Environment and Energy has issued Fact Sheet #H1, </w:t>
      </w:r>
      <w:r w:rsidRPr="00DF51A2">
        <w:rPr>
          <w:rFonts w:ascii="Arial" w:eastAsia="Calibri" w:hAnsi="Arial" w:cs="Arial"/>
          <w:i/>
          <w:iCs/>
          <w:sz w:val="24"/>
          <w:szCs w:val="24"/>
        </w:rPr>
        <w:t>Hazardous Operations</w:t>
      </w:r>
      <w:r w:rsidRPr="00DF51A2">
        <w:rPr>
          <w:rFonts w:ascii="Arial" w:eastAsia="Calibri" w:hAnsi="Arial" w:cs="Arial"/>
          <w:b/>
          <w:bCs/>
          <w:i/>
          <w:iCs/>
          <w:sz w:val="24"/>
          <w:szCs w:val="24"/>
        </w:rPr>
        <w:t xml:space="preserve"> – </w:t>
      </w:r>
      <w:r w:rsidRPr="00DF51A2">
        <w:rPr>
          <w:rFonts w:ascii="Arial" w:eastAsia="Calibri" w:hAnsi="Arial" w:cs="Arial"/>
          <w:i/>
          <w:iCs/>
          <w:sz w:val="24"/>
          <w:szCs w:val="24"/>
        </w:rPr>
        <w:t xml:space="preserve">FR-6054-F-02 Conforming the </w:t>
      </w:r>
      <w:bookmarkStart w:id="15" w:name="_Hlk33624680"/>
      <w:r w:rsidRPr="00DF51A2">
        <w:rPr>
          <w:rFonts w:ascii="Arial" w:eastAsia="Calibri" w:hAnsi="Arial" w:cs="Arial"/>
          <w:i/>
          <w:iCs/>
          <w:sz w:val="24"/>
          <w:szCs w:val="24"/>
        </w:rPr>
        <w:t>Acceptable Separation Distance (</w:t>
      </w:r>
      <w:proofErr w:type="spellStart"/>
      <w:r w:rsidRPr="00DF51A2">
        <w:rPr>
          <w:rFonts w:ascii="Arial" w:eastAsia="Calibri" w:hAnsi="Arial" w:cs="Arial"/>
          <w:i/>
          <w:iCs/>
          <w:sz w:val="24"/>
          <w:szCs w:val="24"/>
        </w:rPr>
        <w:t>ASD</w:t>
      </w:r>
      <w:proofErr w:type="spellEnd"/>
      <w:r w:rsidRPr="00DF51A2">
        <w:rPr>
          <w:rFonts w:ascii="Arial" w:eastAsia="Calibri" w:hAnsi="Arial" w:cs="Arial"/>
          <w:i/>
          <w:iCs/>
          <w:sz w:val="24"/>
          <w:szCs w:val="24"/>
        </w:rPr>
        <w:t xml:space="preserve">) </w:t>
      </w:r>
      <w:bookmarkEnd w:id="15"/>
      <w:r w:rsidRPr="00DF51A2">
        <w:rPr>
          <w:rFonts w:ascii="Arial" w:eastAsia="Calibri" w:hAnsi="Arial" w:cs="Arial"/>
          <w:i/>
          <w:iCs/>
          <w:sz w:val="24"/>
          <w:szCs w:val="24"/>
        </w:rPr>
        <w:t>Standards for Residential Propane Tanks to Industry Standards</w:t>
      </w:r>
      <w:r w:rsidRPr="00DF51A2">
        <w:rPr>
          <w:rFonts w:ascii="Arial" w:eastAsia="Calibri" w:hAnsi="Arial" w:cs="Arial"/>
          <w:sz w:val="24"/>
          <w:szCs w:val="24"/>
        </w:rPr>
        <w:t>, which is available on HUD Exchange (</w:t>
      </w:r>
      <w:hyperlink r:id="rId21" w:history="1">
        <w:r w:rsidRPr="00DF51A2">
          <w:rPr>
            <w:rFonts w:ascii="Arial" w:eastAsia="Calibri" w:hAnsi="Arial" w:cs="Arial"/>
            <w:color w:val="0000FF"/>
            <w:sz w:val="24"/>
            <w:szCs w:val="24"/>
            <w:u w:val="single"/>
          </w:rPr>
          <w:t>here</w:t>
        </w:r>
      </w:hyperlink>
      <w:r w:rsidRPr="00DF51A2">
        <w:rPr>
          <w:rFonts w:ascii="Arial" w:eastAsia="Calibri" w:hAnsi="Arial" w:cs="Arial"/>
          <w:sz w:val="24"/>
          <w:szCs w:val="24"/>
        </w:rPr>
        <w:t>).</w:t>
      </w:r>
    </w:p>
    <w:p w14:paraId="5DF5FAD9" w14:textId="77777777" w:rsidR="00DF51A2" w:rsidRPr="00DF51A2" w:rsidRDefault="00DF51A2" w:rsidP="00DF51A2">
      <w:pPr>
        <w:spacing w:after="0" w:line="240" w:lineRule="auto"/>
        <w:rPr>
          <w:rFonts w:ascii="Arial" w:eastAsia="Calibri" w:hAnsi="Arial" w:cs="Arial"/>
          <w:b/>
          <w:sz w:val="24"/>
          <w:szCs w:val="24"/>
        </w:rPr>
      </w:pPr>
      <w:bookmarkStart w:id="16" w:name="_Hlk31787691"/>
    </w:p>
    <w:bookmarkEnd w:id="16"/>
    <w:p w14:paraId="40A5383D" w14:textId="03CE854A" w:rsidR="00DF51A2" w:rsidRPr="00DF51A2" w:rsidRDefault="00DF51A2" w:rsidP="00DF51A2">
      <w:pPr>
        <w:spacing w:after="0" w:line="240" w:lineRule="auto"/>
        <w:rPr>
          <w:rFonts w:ascii="Arial" w:eastAsia="MS Mincho" w:hAnsi="Arial" w:cs="Arial"/>
          <w:i/>
          <w:sz w:val="24"/>
          <w:szCs w:val="24"/>
        </w:rPr>
      </w:pPr>
      <w:r w:rsidRPr="00DF51A2">
        <w:rPr>
          <w:rFonts w:ascii="Arial" w:eastAsia="MS Mincho" w:hAnsi="Arial" w:cs="Arial"/>
          <w:b/>
          <w:i/>
          <w:sz w:val="24"/>
          <w:szCs w:val="24"/>
        </w:rPr>
        <w:t>Keywords:</w:t>
      </w:r>
      <w:r w:rsidRPr="00DF51A2">
        <w:rPr>
          <w:rFonts w:ascii="Arial" w:eastAsia="MS Mincho" w:hAnsi="Arial" w:cs="Arial"/>
          <w:i/>
          <w:sz w:val="24"/>
          <w:szCs w:val="24"/>
        </w:rPr>
        <w:tab/>
        <w:t xml:space="preserve">Environmental, </w:t>
      </w:r>
      <w:bookmarkStart w:id="17" w:name="_Hlk33624758"/>
      <w:r w:rsidRPr="00DF51A2">
        <w:rPr>
          <w:rFonts w:ascii="Arial" w:eastAsia="MS Mincho" w:hAnsi="Arial" w:cs="Arial"/>
          <w:i/>
          <w:sz w:val="24"/>
          <w:szCs w:val="24"/>
        </w:rPr>
        <w:t>Propane</w:t>
      </w:r>
      <w:bookmarkEnd w:id="17"/>
      <w:r w:rsidRPr="00DF51A2">
        <w:rPr>
          <w:rFonts w:ascii="Arial" w:eastAsia="MS Mincho" w:hAnsi="Arial" w:cs="Arial"/>
          <w:i/>
          <w:sz w:val="24"/>
          <w:szCs w:val="24"/>
        </w:rPr>
        <w:t xml:space="preserve">, NFPA, </w:t>
      </w:r>
      <w:proofErr w:type="spellStart"/>
      <w:r w:rsidRPr="00DF51A2">
        <w:rPr>
          <w:rFonts w:ascii="Arial" w:eastAsia="MS Mincho" w:hAnsi="Arial" w:cs="Arial"/>
          <w:i/>
          <w:sz w:val="24"/>
          <w:szCs w:val="24"/>
        </w:rPr>
        <w:t>ASD</w:t>
      </w:r>
      <w:proofErr w:type="spellEnd"/>
    </w:p>
    <w:p w14:paraId="1D6B5B19" w14:textId="77777777" w:rsidR="00DF51A2" w:rsidRPr="00DF51A2" w:rsidRDefault="00DF51A2" w:rsidP="00DF51A2">
      <w:pPr>
        <w:spacing w:after="0" w:line="240" w:lineRule="auto"/>
        <w:rPr>
          <w:rFonts w:ascii="Arial" w:eastAsia="MS Mincho" w:hAnsi="Arial" w:cs="Arial"/>
          <w:b/>
          <w:sz w:val="24"/>
          <w:szCs w:val="24"/>
        </w:rPr>
      </w:pPr>
    </w:p>
    <w:p w14:paraId="3A9286E1" w14:textId="77777777" w:rsidR="00DF51A2" w:rsidRPr="001754B1" w:rsidRDefault="001B72A7" w:rsidP="00DF51A2">
      <w:pPr>
        <w:spacing w:after="0" w:line="240" w:lineRule="auto"/>
        <w:rPr>
          <w:rFonts w:ascii="Arial" w:eastAsia="Calibri" w:hAnsi="Arial" w:cs="Arial"/>
          <w:color w:val="2F5496" w:themeColor="accent1" w:themeShade="BF"/>
          <w:sz w:val="24"/>
          <w:szCs w:val="24"/>
          <w:u w:val="single"/>
        </w:rPr>
      </w:pPr>
      <w:hyperlink w:anchor="_top" w:history="1">
        <w:r w:rsidR="00DF51A2" w:rsidRPr="001754B1">
          <w:rPr>
            <w:rFonts w:ascii="Arial" w:eastAsia="Calibri" w:hAnsi="Arial" w:cs="Arial"/>
            <w:color w:val="2F5496" w:themeColor="accent1" w:themeShade="BF"/>
            <w:sz w:val="24"/>
            <w:szCs w:val="24"/>
            <w:u w:val="single"/>
          </w:rPr>
          <w:t>Back to top</w:t>
        </w:r>
      </w:hyperlink>
    </w:p>
    <w:p w14:paraId="224D3371" w14:textId="77777777" w:rsidR="00DF51A2" w:rsidRPr="00DF51A2" w:rsidRDefault="00DF51A2" w:rsidP="00DF51A2">
      <w:pPr>
        <w:spacing w:after="0" w:line="240" w:lineRule="auto"/>
        <w:rPr>
          <w:rFonts w:ascii="Arial" w:eastAsia="Calibri" w:hAnsi="Arial" w:cs="Arial"/>
          <w:b/>
          <w:sz w:val="24"/>
          <w:szCs w:val="24"/>
        </w:rPr>
      </w:pPr>
    </w:p>
    <w:p w14:paraId="06BB3764" w14:textId="77777777" w:rsidR="00DF51A2" w:rsidRPr="00DF51A2" w:rsidRDefault="00DF51A2" w:rsidP="00DF51A2">
      <w:pPr>
        <w:spacing w:after="120" w:line="240" w:lineRule="auto"/>
        <w:outlineLvl w:val="0"/>
        <w:rPr>
          <w:rFonts w:ascii="Arial" w:eastAsia="Calibri" w:hAnsi="Arial" w:cs="Times New Roman"/>
          <w:bCs/>
          <w:caps/>
          <w:color w:val="000066"/>
          <w:sz w:val="28"/>
          <w:szCs w:val="32"/>
        </w:rPr>
      </w:pPr>
      <w:bookmarkStart w:id="18" w:name="_Toc33003846"/>
      <w:r w:rsidRPr="00DF51A2">
        <w:rPr>
          <w:rFonts w:ascii="Arial" w:eastAsia="Calibri" w:hAnsi="Arial" w:cs="Times New Roman"/>
          <w:bCs/>
          <w:caps/>
          <w:color w:val="000066"/>
          <w:sz w:val="28"/>
          <w:szCs w:val="32"/>
        </w:rPr>
        <w:t xml:space="preserve">Submitting Environmental Reviews to </w:t>
      </w:r>
      <w:proofErr w:type="spellStart"/>
      <w:r w:rsidRPr="00DF51A2">
        <w:rPr>
          <w:rFonts w:ascii="Arial" w:eastAsia="Calibri" w:hAnsi="Arial" w:cs="Times New Roman"/>
          <w:bCs/>
          <w:caps/>
          <w:color w:val="000066"/>
          <w:sz w:val="28"/>
          <w:szCs w:val="32"/>
        </w:rPr>
        <w:t>ORCF</w:t>
      </w:r>
      <w:proofErr w:type="spellEnd"/>
      <w:r w:rsidRPr="00DF51A2">
        <w:rPr>
          <w:rFonts w:ascii="Arial" w:eastAsia="Calibri" w:hAnsi="Arial" w:cs="Times New Roman"/>
          <w:bCs/>
          <w:caps/>
          <w:color w:val="000066"/>
          <w:sz w:val="28"/>
          <w:szCs w:val="32"/>
        </w:rPr>
        <w:t xml:space="preserve"> in </w:t>
      </w:r>
      <w:proofErr w:type="spellStart"/>
      <w:r w:rsidRPr="00DF51A2">
        <w:rPr>
          <w:rFonts w:ascii="Arial" w:eastAsia="Calibri" w:hAnsi="Arial" w:cs="Times New Roman"/>
          <w:bCs/>
          <w:caps/>
          <w:color w:val="000066"/>
          <w:sz w:val="28"/>
          <w:szCs w:val="32"/>
        </w:rPr>
        <w:t>HEROS</w:t>
      </w:r>
      <w:bookmarkEnd w:id="18"/>
      <w:proofErr w:type="spellEnd"/>
    </w:p>
    <w:p w14:paraId="5748B9CA"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Environmental reviews that are prepared by third-party consultants in the </w:t>
      </w:r>
      <w:bookmarkStart w:id="19" w:name="_Hlk33624580"/>
      <w:r w:rsidRPr="00DF51A2">
        <w:rPr>
          <w:rFonts w:ascii="Arial" w:eastAsia="Calibri" w:hAnsi="Arial" w:cs="Arial"/>
          <w:sz w:val="24"/>
          <w:szCs w:val="24"/>
        </w:rPr>
        <w:t>HUD Environmental Review Online System</w:t>
      </w:r>
      <w:bookmarkEnd w:id="19"/>
      <w:r w:rsidRPr="00DF51A2">
        <w:rPr>
          <w:rFonts w:ascii="Arial" w:eastAsia="Calibri" w:hAnsi="Arial" w:cs="Arial"/>
          <w:sz w:val="24"/>
          <w:szCs w:val="24"/>
        </w:rPr>
        <w:t xml:space="preserve"> (</w:t>
      </w:r>
      <w:proofErr w:type="spellStart"/>
      <w:r w:rsidRPr="00DF51A2">
        <w:rPr>
          <w:rFonts w:ascii="Arial" w:eastAsia="Calibri" w:hAnsi="Arial" w:cs="Arial"/>
          <w:sz w:val="24"/>
          <w:szCs w:val="24"/>
        </w:rPr>
        <w:t>HEROS</w:t>
      </w:r>
      <w:proofErr w:type="spellEnd"/>
      <w:r w:rsidRPr="00DF51A2">
        <w:rPr>
          <w:rFonts w:ascii="Arial" w:eastAsia="Calibri" w:hAnsi="Arial" w:cs="Arial"/>
          <w:sz w:val="24"/>
          <w:szCs w:val="24"/>
        </w:rPr>
        <w:t xml:space="preserve">) may now be voluntarily submitted to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for Section 232 mortgage insurance applications.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will use </w:t>
      </w:r>
      <w:proofErr w:type="spellStart"/>
      <w:r w:rsidRPr="00DF51A2">
        <w:rPr>
          <w:rFonts w:ascii="Arial" w:eastAsia="Calibri" w:hAnsi="Arial" w:cs="Arial"/>
          <w:sz w:val="24"/>
          <w:szCs w:val="24"/>
        </w:rPr>
        <w:t>HEROS</w:t>
      </w:r>
      <w:proofErr w:type="spellEnd"/>
      <w:r w:rsidRPr="00DF51A2">
        <w:rPr>
          <w:rFonts w:ascii="Arial" w:eastAsia="Calibri" w:hAnsi="Arial" w:cs="Arial"/>
          <w:sz w:val="24"/>
          <w:szCs w:val="24"/>
        </w:rPr>
        <w:t xml:space="preserve"> submissions for assistance with processing of its environmental reviews; however,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remains responsible for independently evaluating the information supplied in </w:t>
      </w:r>
      <w:proofErr w:type="spellStart"/>
      <w:r w:rsidRPr="00DF51A2">
        <w:rPr>
          <w:rFonts w:ascii="Arial" w:eastAsia="Calibri" w:hAnsi="Arial" w:cs="Arial"/>
          <w:sz w:val="24"/>
          <w:szCs w:val="24"/>
        </w:rPr>
        <w:t>HEROS</w:t>
      </w:r>
      <w:proofErr w:type="spellEnd"/>
      <w:r w:rsidRPr="00DF51A2">
        <w:rPr>
          <w:rFonts w:ascii="Arial" w:eastAsia="Calibri" w:hAnsi="Arial" w:cs="Arial"/>
          <w:sz w:val="24"/>
          <w:szCs w:val="24"/>
        </w:rPr>
        <w:t>, supplementing that information as needed, and making the required environmental findings.</w:t>
      </w:r>
    </w:p>
    <w:p w14:paraId="1C0C58A5" w14:textId="77777777" w:rsidR="00DF51A2" w:rsidRPr="00DF51A2" w:rsidRDefault="00DF51A2" w:rsidP="00DF51A2">
      <w:pPr>
        <w:spacing w:after="0" w:line="240" w:lineRule="auto"/>
        <w:rPr>
          <w:rFonts w:ascii="Arial" w:eastAsia="Calibri" w:hAnsi="Arial" w:cs="Arial"/>
          <w:sz w:val="24"/>
          <w:szCs w:val="24"/>
        </w:rPr>
      </w:pPr>
    </w:p>
    <w:p w14:paraId="20B178C0"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The </w:t>
      </w:r>
      <w:proofErr w:type="spellStart"/>
      <w:r w:rsidRPr="00DF51A2">
        <w:rPr>
          <w:rFonts w:ascii="Arial" w:eastAsia="Calibri" w:hAnsi="Arial" w:cs="Arial"/>
          <w:sz w:val="24"/>
          <w:szCs w:val="24"/>
        </w:rPr>
        <w:t>HEROS</w:t>
      </w:r>
      <w:proofErr w:type="spellEnd"/>
      <w:r w:rsidRPr="00DF51A2">
        <w:rPr>
          <w:rFonts w:ascii="Arial" w:eastAsia="Calibri" w:hAnsi="Arial" w:cs="Arial"/>
          <w:sz w:val="24"/>
          <w:szCs w:val="24"/>
        </w:rPr>
        <w:t xml:space="preserve"> review should be assigned to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at the time of, or shortly before, the application’s submission to HUD.  In addition, </w:t>
      </w:r>
      <w:proofErr w:type="spellStart"/>
      <w:r w:rsidRPr="00DF51A2">
        <w:rPr>
          <w:rFonts w:ascii="Arial" w:eastAsia="Calibri" w:hAnsi="Arial" w:cs="Arial"/>
          <w:sz w:val="24"/>
          <w:szCs w:val="24"/>
        </w:rPr>
        <w:t>HEROS</w:t>
      </w:r>
      <w:proofErr w:type="spellEnd"/>
      <w:r w:rsidRPr="00DF51A2">
        <w:rPr>
          <w:rFonts w:ascii="Arial" w:eastAsia="Calibri" w:hAnsi="Arial" w:cs="Arial"/>
          <w:sz w:val="24"/>
          <w:szCs w:val="24"/>
        </w:rPr>
        <w:t xml:space="preserve"> reviews that have been prepared for applications that are currently in the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processing queue may be submitted at this time.</w:t>
      </w:r>
    </w:p>
    <w:p w14:paraId="53722A2D" w14:textId="77777777" w:rsidR="00DF51A2" w:rsidRPr="00DF51A2" w:rsidRDefault="00DF51A2" w:rsidP="00DF51A2">
      <w:pPr>
        <w:spacing w:after="0" w:line="240" w:lineRule="auto"/>
        <w:rPr>
          <w:rFonts w:ascii="Arial" w:eastAsia="Calibri" w:hAnsi="Arial" w:cs="Arial"/>
          <w:sz w:val="24"/>
          <w:szCs w:val="24"/>
        </w:rPr>
      </w:pPr>
    </w:p>
    <w:p w14:paraId="5DC8E4AD" w14:textId="6740D53B"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Upon approval by the Lender, the consultant should submit the </w:t>
      </w:r>
      <w:proofErr w:type="spellStart"/>
      <w:r w:rsidRPr="00DF51A2">
        <w:rPr>
          <w:rFonts w:ascii="Arial" w:eastAsia="Calibri" w:hAnsi="Arial" w:cs="Arial"/>
          <w:sz w:val="24"/>
          <w:szCs w:val="24"/>
        </w:rPr>
        <w:t>HEROS</w:t>
      </w:r>
      <w:proofErr w:type="spellEnd"/>
      <w:r w:rsidRPr="00DF51A2">
        <w:rPr>
          <w:rFonts w:ascii="Arial" w:eastAsia="Calibri" w:hAnsi="Arial" w:cs="Arial"/>
          <w:sz w:val="24"/>
          <w:szCs w:val="24"/>
        </w:rPr>
        <w:t xml:space="preserve"> review to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by using the “Assign Review” feature and </w:t>
      </w:r>
      <w:r w:rsidR="004D661C">
        <w:rPr>
          <w:rFonts w:ascii="Arial" w:eastAsia="Calibri" w:hAnsi="Arial" w:cs="Arial"/>
          <w:sz w:val="24"/>
          <w:szCs w:val="24"/>
        </w:rPr>
        <w:t xml:space="preserve">then </w:t>
      </w:r>
      <w:r w:rsidRPr="00DF51A2">
        <w:rPr>
          <w:rFonts w:ascii="Arial" w:eastAsia="Calibri" w:hAnsi="Arial" w:cs="Arial"/>
          <w:sz w:val="24"/>
          <w:szCs w:val="24"/>
        </w:rPr>
        <w:t xml:space="preserve">selecting Wayne Harris as the assignee.  </w:t>
      </w:r>
      <w:r w:rsidRPr="00DF51A2">
        <w:rPr>
          <w:rFonts w:ascii="Arial" w:eastAsia="Calibri" w:hAnsi="Arial" w:cs="Arial"/>
          <w:b/>
          <w:bCs/>
          <w:i/>
          <w:iCs/>
          <w:sz w:val="24"/>
          <w:szCs w:val="24"/>
        </w:rPr>
        <w:t xml:space="preserve">Please do not contact Wayne Harris regarding </w:t>
      </w:r>
      <w:proofErr w:type="spellStart"/>
      <w:r w:rsidRPr="00DF51A2">
        <w:rPr>
          <w:rFonts w:ascii="Arial" w:eastAsia="Calibri" w:hAnsi="Arial" w:cs="Arial"/>
          <w:b/>
          <w:bCs/>
          <w:i/>
          <w:iCs/>
          <w:sz w:val="24"/>
          <w:szCs w:val="24"/>
        </w:rPr>
        <w:t>HEROS</w:t>
      </w:r>
      <w:proofErr w:type="spellEnd"/>
      <w:r w:rsidRPr="00DF51A2">
        <w:rPr>
          <w:rFonts w:ascii="Arial" w:eastAsia="Calibri" w:hAnsi="Arial" w:cs="Arial"/>
          <w:b/>
          <w:bCs/>
          <w:i/>
          <w:iCs/>
          <w:sz w:val="24"/>
          <w:szCs w:val="24"/>
        </w:rPr>
        <w:t xml:space="preserve">; his name is only used to store the </w:t>
      </w:r>
      <w:proofErr w:type="spellStart"/>
      <w:r w:rsidRPr="00DF51A2">
        <w:rPr>
          <w:rFonts w:ascii="Arial" w:eastAsia="Calibri" w:hAnsi="Arial" w:cs="Arial"/>
          <w:b/>
          <w:bCs/>
          <w:i/>
          <w:iCs/>
          <w:sz w:val="24"/>
          <w:szCs w:val="24"/>
        </w:rPr>
        <w:t>HEROS</w:t>
      </w:r>
      <w:proofErr w:type="spellEnd"/>
      <w:r w:rsidRPr="00DF51A2">
        <w:rPr>
          <w:rFonts w:ascii="Arial" w:eastAsia="Calibri" w:hAnsi="Arial" w:cs="Arial"/>
          <w:b/>
          <w:bCs/>
          <w:i/>
          <w:iCs/>
          <w:sz w:val="24"/>
          <w:szCs w:val="24"/>
        </w:rPr>
        <w:t xml:space="preserve"> submissions until an environmental reviewer is assigned to the project.</w:t>
      </w:r>
      <w:r w:rsidRPr="00DF51A2">
        <w:rPr>
          <w:rFonts w:ascii="Arial" w:eastAsia="Calibri" w:hAnsi="Arial" w:cs="Arial"/>
          <w:sz w:val="24"/>
          <w:szCs w:val="24"/>
        </w:rPr>
        <w:t xml:space="preserve">  Questions regarding </w:t>
      </w:r>
      <w:proofErr w:type="spellStart"/>
      <w:r w:rsidRPr="00DF51A2">
        <w:rPr>
          <w:rFonts w:ascii="Arial" w:eastAsia="Calibri" w:hAnsi="Arial" w:cs="Arial"/>
          <w:sz w:val="24"/>
          <w:szCs w:val="24"/>
        </w:rPr>
        <w:t>HEROS</w:t>
      </w:r>
      <w:proofErr w:type="spellEnd"/>
      <w:r w:rsidRPr="00DF51A2">
        <w:rPr>
          <w:rFonts w:ascii="Arial" w:eastAsia="Calibri" w:hAnsi="Arial" w:cs="Arial"/>
          <w:sz w:val="24"/>
          <w:szCs w:val="24"/>
        </w:rPr>
        <w:t xml:space="preserve"> should be submitted to </w:t>
      </w:r>
      <w:hyperlink r:id="rId22" w:history="1">
        <w:r w:rsidRPr="00DF51A2">
          <w:rPr>
            <w:rFonts w:ascii="Arial" w:eastAsia="Calibri" w:hAnsi="Arial" w:cs="Arial"/>
            <w:color w:val="0000FF"/>
            <w:sz w:val="24"/>
            <w:szCs w:val="24"/>
            <w:u w:val="single"/>
          </w:rPr>
          <w:t>LeanThinking@hud.gov</w:t>
        </w:r>
      </w:hyperlink>
      <w:r w:rsidRPr="00DF51A2">
        <w:rPr>
          <w:rFonts w:ascii="Arial" w:eastAsia="Calibri" w:hAnsi="Arial" w:cs="Arial"/>
          <w:sz w:val="24"/>
          <w:szCs w:val="24"/>
        </w:rPr>
        <w:t>.</w:t>
      </w:r>
    </w:p>
    <w:p w14:paraId="7EF9A300" w14:textId="77777777" w:rsidR="00DF51A2" w:rsidRPr="00DF51A2" w:rsidRDefault="00DF51A2" w:rsidP="00DF51A2">
      <w:pPr>
        <w:spacing w:after="0" w:line="240" w:lineRule="auto"/>
        <w:rPr>
          <w:rFonts w:ascii="Arial" w:eastAsia="Calibri" w:hAnsi="Arial" w:cs="Arial"/>
          <w:sz w:val="24"/>
          <w:szCs w:val="24"/>
        </w:rPr>
      </w:pPr>
    </w:p>
    <w:p w14:paraId="49EF3541"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Consultants should enter the name of the facility and the FHA Project Number in the “Project Name” field on the Initial Screen (1105) in </w:t>
      </w:r>
      <w:proofErr w:type="spellStart"/>
      <w:r w:rsidRPr="00DF51A2">
        <w:rPr>
          <w:rFonts w:ascii="Arial" w:eastAsia="Calibri" w:hAnsi="Arial" w:cs="Arial"/>
          <w:sz w:val="24"/>
          <w:szCs w:val="24"/>
        </w:rPr>
        <w:t>HEROS</w:t>
      </w:r>
      <w:proofErr w:type="spellEnd"/>
      <w:r w:rsidRPr="00DF51A2">
        <w:rPr>
          <w:rFonts w:ascii="Arial" w:eastAsia="Calibri" w:hAnsi="Arial" w:cs="Arial"/>
          <w:sz w:val="24"/>
          <w:szCs w:val="24"/>
        </w:rPr>
        <w:t>.  For example, 111-22999-</w:t>
      </w:r>
      <w:r w:rsidRPr="00DF51A2">
        <w:rPr>
          <w:rFonts w:ascii="Arial" w:eastAsia="Calibri" w:hAnsi="Arial" w:cs="Arial"/>
          <w:sz w:val="24"/>
          <w:szCs w:val="24"/>
        </w:rPr>
        <w:lastRenderedPageBreak/>
        <w:t xml:space="preserve">ABC Project.  Providing the FHA number with the project’s name allows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to quickly identify the subject of the </w:t>
      </w:r>
      <w:proofErr w:type="spellStart"/>
      <w:r w:rsidRPr="00DF51A2">
        <w:rPr>
          <w:rFonts w:ascii="Arial" w:eastAsia="Calibri" w:hAnsi="Arial" w:cs="Arial"/>
          <w:sz w:val="24"/>
          <w:szCs w:val="24"/>
        </w:rPr>
        <w:t>HEROS</w:t>
      </w:r>
      <w:proofErr w:type="spellEnd"/>
      <w:r w:rsidRPr="00DF51A2">
        <w:rPr>
          <w:rFonts w:ascii="Arial" w:eastAsia="Calibri" w:hAnsi="Arial" w:cs="Arial"/>
          <w:sz w:val="24"/>
          <w:szCs w:val="24"/>
        </w:rPr>
        <w:t xml:space="preserve"> review. </w:t>
      </w:r>
    </w:p>
    <w:p w14:paraId="78DADAFF" w14:textId="77777777" w:rsidR="00DF51A2" w:rsidRPr="00DF51A2" w:rsidRDefault="00DF51A2" w:rsidP="00DF51A2">
      <w:pPr>
        <w:spacing w:after="0" w:line="240" w:lineRule="auto"/>
        <w:rPr>
          <w:rFonts w:ascii="Arial" w:eastAsia="Calibri" w:hAnsi="Arial" w:cs="Arial"/>
          <w:sz w:val="24"/>
          <w:szCs w:val="24"/>
        </w:rPr>
      </w:pPr>
    </w:p>
    <w:p w14:paraId="7F106769"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A download of the </w:t>
      </w:r>
      <w:proofErr w:type="spellStart"/>
      <w:r w:rsidRPr="00DF51A2">
        <w:rPr>
          <w:rFonts w:ascii="Arial" w:eastAsia="Calibri" w:hAnsi="Arial" w:cs="Arial"/>
          <w:sz w:val="24"/>
          <w:szCs w:val="24"/>
        </w:rPr>
        <w:t>HEROS</w:t>
      </w:r>
      <w:proofErr w:type="spellEnd"/>
      <w:r w:rsidRPr="00DF51A2">
        <w:rPr>
          <w:rFonts w:ascii="Arial" w:eastAsia="Calibri" w:hAnsi="Arial" w:cs="Arial"/>
          <w:sz w:val="24"/>
          <w:szCs w:val="24"/>
        </w:rPr>
        <w:t xml:space="preserve"> environmental review record (ERR) should be included in the mortgage insurance application in</w:t>
      </w:r>
      <w:r w:rsidRPr="00DF51A2">
        <w:rPr>
          <w:rFonts w:ascii="Arial" w:eastAsia="Calibri" w:hAnsi="Arial" w:cs="Arial"/>
          <w:i/>
          <w:iCs/>
          <w:sz w:val="24"/>
          <w:szCs w:val="24"/>
        </w:rPr>
        <w:t xml:space="preserve"> Section 2: Third-Party Reports</w:t>
      </w:r>
      <w:r w:rsidRPr="00DF51A2">
        <w:rPr>
          <w:rFonts w:ascii="Arial" w:eastAsia="Calibri" w:hAnsi="Arial" w:cs="Arial"/>
          <w:sz w:val="24"/>
          <w:szCs w:val="24"/>
        </w:rPr>
        <w:t xml:space="preserve">.  The </w:t>
      </w:r>
      <w:proofErr w:type="spellStart"/>
      <w:r w:rsidRPr="00DF51A2">
        <w:rPr>
          <w:rFonts w:ascii="Arial" w:eastAsia="Calibri" w:hAnsi="Arial" w:cs="Arial"/>
          <w:sz w:val="24"/>
          <w:szCs w:val="24"/>
        </w:rPr>
        <w:t>HEROS</w:t>
      </w:r>
      <w:proofErr w:type="spellEnd"/>
      <w:r w:rsidRPr="00DF51A2">
        <w:rPr>
          <w:rFonts w:ascii="Arial" w:eastAsia="Calibri" w:hAnsi="Arial" w:cs="Arial"/>
          <w:sz w:val="24"/>
          <w:szCs w:val="24"/>
        </w:rPr>
        <w:t xml:space="preserve"> exhibit should be named “Other-</w:t>
      </w:r>
      <w:proofErr w:type="spellStart"/>
      <w:r w:rsidRPr="00DF51A2">
        <w:rPr>
          <w:rFonts w:ascii="Arial" w:eastAsia="Calibri" w:hAnsi="Arial" w:cs="Arial"/>
          <w:b/>
          <w:bCs/>
          <w:sz w:val="24"/>
          <w:szCs w:val="24"/>
        </w:rPr>
        <w:t>HEROS</w:t>
      </w:r>
      <w:proofErr w:type="spellEnd"/>
      <w:r w:rsidRPr="00DF51A2">
        <w:rPr>
          <w:rFonts w:ascii="Arial" w:eastAsia="Calibri" w:hAnsi="Arial" w:cs="Arial"/>
          <w:b/>
          <w:bCs/>
          <w:sz w:val="24"/>
          <w:szCs w:val="24"/>
        </w:rPr>
        <w:t xml:space="preserve"> ERR</w:t>
      </w:r>
      <w:r w:rsidRPr="00DF51A2">
        <w:rPr>
          <w:rFonts w:ascii="Arial" w:eastAsia="Calibri" w:hAnsi="Arial" w:cs="Arial"/>
          <w:sz w:val="24"/>
          <w:szCs w:val="24"/>
        </w:rPr>
        <w:t xml:space="preserve">” to identify its content.  Please note that a </w:t>
      </w:r>
      <w:proofErr w:type="spellStart"/>
      <w:r w:rsidRPr="00DF51A2">
        <w:rPr>
          <w:rFonts w:ascii="Arial" w:eastAsia="Calibri" w:hAnsi="Arial" w:cs="Arial"/>
          <w:sz w:val="24"/>
          <w:szCs w:val="24"/>
        </w:rPr>
        <w:t>HEROS</w:t>
      </w:r>
      <w:proofErr w:type="spellEnd"/>
      <w:r w:rsidRPr="00DF51A2">
        <w:rPr>
          <w:rFonts w:ascii="Arial" w:eastAsia="Calibri" w:hAnsi="Arial" w:cs="Arial"/>
          <w:sz w:val="24"/>
          <w:szCs w:val="24"/>
        </w:rPr>
        <w:t xml:space="preserve"> submission does not replace or eliminate any application exhibits.  All applicable environmental exhibits will continue to be submitted with the mortgage insurance application in accordance with the current practice.  </w:t>
      </w:r>
    </w:p>
    <w:p w14:paraId="335C343C" w14:textId="77777777" w:rsidR="00DF51A2" w:rsidRPr="00DF51A2" w:rsidRDefault="00DF51A2" w:rsidP="00DF51A2">
      <w:pPr>
        <w:spacing w:after="0" w:line="240" w:lineRule="auto"/>
        <w:rPr>
          <w:rFonts w:ascii="Arial" w:eastAsia="Calibri" w:hAnsi="Arial" w:cs="Arial"/>
          <w:sz w:val="24"/>
          <w:szCs w:val="24"/>
        </w:rPr>
      </w:pPr>
    </w:p>
    <w:p w14:paraId="734CBCD5" w14:textId="74822799" w:rsidR="00DF51A2" w:rsidRPr="0058552B"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Guidance for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w:t>
      </w:r>
      <w:r w:rsidR="004D661C">
        <w:rPr>
          <w:rFonts w:ascii="Arial" w:eastAsia="Calibri" w:hAnsi="Arial" w:cs="Arial"/>
          <w:sz w:val="24"/>
          <w:szCs w:val="24"/>
        </w:rPr>
        <w:t>stakeholders</w:t>
      </w:r>
      <w:r w:rsidR="0058552B">
        <w:rPr>
          <w:rFonts w:ascii="Arial" w:eastAsia="Calibri" w:hAnsi="Arial" w:cs="Arial"/>
          <w:sz w:val="24"/>
          <w:szCs w:val="24"/>
        </w:rPr>
        <w:t xml:space="preserve"> </w:t>
      </w:r>
      <w:r w:rsidRPr="00DF51A2">
        <w:rPr>
          <w:rFonts w:ascii="Arial" w:eastAsia="Calibri" w:hAnsi="Arial" w:cs="Arial"/>
          <w:sz w:val="24"/>
          <w:szCs w:val="24"/>
        </w:rPr>
        <w:t xml:space="preserve">using </w:t>
      </w:r>
      <w:proofErr w:type="spellStart"/>
      <w:r w:rsidRPr="00DF51A2">
        <w:rPr>
          <w:rFonts w:ascii="Arial" w:eastAsia="Calibri" w:hAnsi="Arial" w:cs="Arial"/>
          <w:sz w:val="24"/>
          <w:szCs w:val="24"/>
        </w:rPr>
        <w:t>HEROS</w:t>
      </w:r>
      <w:proofErr w:type="spellEnd"/>
      <w:r w:rsidRPr="00DF51A2">
        <w:rPr>
          <w:rFonts w:ascii="Arial" w:eastAsia="Calibri" w:hAnsi="Arial" w:cs="Arial"/>
          <w:sz w:val="24"/>
          <w:szCs w:val="24"/>
        </w:rPr>
        <w:t xml:space="preserve"> is available online at </w:t>
      </w:r>
      <w:proofErr w:type="spellStart"/>
      <w:r w:rsidRPr="00DF51A2">
        <w:rPr>
          <w:rFonts w:ascii="Arial" w:eastAsia="Calibri" w:hAnsi="Arial" w:cs="Arial"/>
          <w:sz w:val="24"/>
          <w:szCs w:val="24"/>
        </w:rPr>
        <w:t>ORCF’s</w:t>
      </w:r>
      <w:proofErr w:type="spellEnd"/>
      <w:r w:rsidRPr="00DF51A2">
        <w:rPr>
          <w:rFonts w:ascii="Arial" w:eastAsia="Calibri" w:hAnsi="Arial" w:cs="Arial"/>
          <w:sz w:val="24"/>
          <w:szCs w:val="24"/>
        </w:rPr>
        <w:t xml:space="preserve"> Environmental Resource website </w:t>
      </w:r>
      <w:r w:rsidRPr="0058552B">
        <w:rPr>
          <w:rFonts w:ascii="Arial" w:eastAsia="Calibri" w:hAnsi="Arial" w:cs="Arial"/>
          <w:sz w:val="24"/>
          <w:szCs w:val="24"/>
        </w:rPr>
        <w:t>(</w:t>
      </w:r>
      <w:hyperlink r:id="rId23" w:history="1">
        <w:r w:rsidRPr="0058552B">
          <w:rPr>
            <w:rFonts w:ascii="Arial" w:eastAsia="Calibri" w:hAnsi="Arial" w:cs="Arial"/>
            <w:color w:val="0000FF"/>
            <w:sz w:val="24"/>
            <w:szCs w:val="24"/>
            <w:u w:val="single"/>
          </w:rPr>
          <w:t>here</w:t>
        </w:r>
      </w:hyperlink>
      <w:r w:rsidRPr="0058552B">
        <w:rPr>
          <w:rFonts w:ascii="Arial" w:eastAsia="Calibri" w:hAnsi="Arial" w:cs="Arial"/>
          <w:sz w:val="24"/>
          <w:szCs w:val="24"/>
        </w:rPr>
        <w:t>).</w:t>
      </w:r>
    </w:p>
    <w:p w14:paraId="61F52BD1" w14:textId="77777777" w:rsidR="00DF51A2" w:rsidRPr="00DF51A2" w:rsidRDefault="00DF51A2" w:rsidP="00DF51A2">
      <w:pPr>
        <w:spacing w:after="0" w:line="240" w:lineRule="auto"/>
        <w:rPr>
          <w:rFonts w:ascii="Arial" w:eastAsia="Calibri" w:hAnsi="Arial" w:cs="Arial"/>
          <w:sz w:val="24"/>
          <w:szCs w:val="24"/>
        </w:rPr>
      </w:pPr>
    </w:p>
    <w:p w14:paraId="159ED542" w14:textId="40361E08"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Lenders and </w:t>
      </w:r>
      <w:r w:rsidR="004D661C">
        <w:rPr>
          <w:rFonts w:ascii="Arial" w:eastAsia="Calibri" w:hAnsi="Arial" w:cs="Arial"/>
          <w:sz w:val="24"/>
          <w:szCs w:val="24"/>
        </w:rPr>
        <w:t>stakeholders</w:t>
      </w:r>
      <w:r w:rsidRPr="00DF51A2">
        <w:rPr>
          <w:rFonts w:ascii="Arial" w:eastAsia="Calibri" w:hAnsi="Arial" w:cs="Arial"/>
          <w:sz w:val="24"/>
          <w:szCs w:val="24"/>
        </w:rPr>
        <w:t xml:space="preserve"> are also encouraged to access the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Lender's Environmental Checklist (</w:t>
      </w:r>
      <w:hyperlink r:id="rId24" w:history="1">
        <w:r w:rsidRPr="00DF51A2">
          <w:rPr>
            <w:rFonts w:ascii="Arial" w:eastAsia="Calibri" w:hAnsi="Arial" w:cs="Arial"/>
            <w:color w:val="0000FF"/>
            <w:sz w:val="24"/>
            <w:szCs w:val="24"/>
            <w:u w:val="single"/>
          </w:rPr>
          <w:t>here</w:t>
        </w:r>
      </w:hyperlink>
      <w:r w:rsidRPr="00DF51A2">
        <w:rPr>
          <w:rFonts w:ascii="Arial" w:eastAsia="Calibri" w:hAnsi="Arial" w:cs="Arial"/>
          <w:sz w:val="24"/>
          <w:szCs w:val="24"/>
        </w:rPr>
        <w:t>) for additional environmental guidance.</w:t>
      </w:r>
    </w:p>
    <w:p w14:paraId="096800C6" w14:textId="77777777" w:rsidR="00DF51A2" w:rsidRPr="00DF51A2" w:rsidRDefault="00DF51A2" w:rsidP="00DF51A2">
      <w:pPr>
        <w:spacing w:after="0" w:line="240" w:lineRule="auto"/>
        <w:rPr>
          <w:rFonts w:ascii="Arial" w:eastAsia="Calibri" w:hAnsi="Arial" w:cs="Arial"/>
          <w:sz w:val="24"/>
          <w:szCs w:val="24"/>
        </w:rPr>
      </w:pPr>
    </w:p>
    <w:p w14:paraId="6DF82DD0" w14:textId="07235DCE" w:rsidR="00DF51A2" w:rsidRDefault="00DF51A2" w:rsidP="00DF51A2">
      <w:pPr>
        <w:spacing w:after="0" w:line="240" w:lineRule="auto"/>
        <w:rPr>
          <w:rFonts w:ascii="Arial" w:eastAsia="MS Mincho" w:hAnsi="Arial" w:cs="Arial"/>
          <w:i/>
          <w:sz w:val="24"/>
          <w:szCs w:val="24"/>
        </w:rPr>
      </w:pPr>
      <w:r w:rsidRPr="00DF51A2">
        <w:rPr>
          <w:rFonts w:ascii="Arial" w:eastAsia="MS Mincho" w:hAnsi="Arial" w:cs="Arial"/>
          <w:b/>
          <w:i/>
          <w:sz w:val="24"/>
          <w:szCs w:val="24"/>
        </w:rPr>
        <w:t>Keywords:</w:t>
      </w:r>
      <w:r w:rsidRPr="00DF51A2">
        <w:rPr>
          <w:rFonts w:ascii="Arial" w:eastAsia="MS Mincho" w:hAnsi="Arial" w:cs="Arial"/>
          <w:i/>
          <w:sz w:val="24"/>
          <w:szCs w:val="24"/>
        </w:rPr>
        <w:t xml:space="preserve"> Environmental, </w:t>
      </w:r>
      <w:proofErr w:type="spellStart"/>
      <w:r w:rsidRPr="00DF51A2">
        <w:rPr>
          <w:rFonts w:ascii="Arial" w:eastAsia="MS Mincho" w:hAnsi="Arial" w:cs="Arial"/>
          <w:i/>
          <w:sz w:val="24"/>
          <w:szCs w:val="24"/>
        </w:rPr>
        <w:t>HEROS</w:t>
      </w:r>
      <w:proofErr w:type="spellEnd"/>
    </w:p>
    <w:p w14:paraId="72D26E44" w14:textId="77777777" w:rsidR="00255539" w:rsidRPr="00255539" w:rsidRDefault="00255539" w:rsidP="00DF51A2">
      <w:pPr>
        <w:spacing w:after="0" w:line="240" w:lineRule="auto"/>
        <w:rPr>
          <w:rFonts w:ascii="Arial" w:eastAsia="MS Mincho" w:hAnsi="Arial" w:cs="Arial"/>
          <w:i/>
          <w:sz w:val="24"/>
          <w:szCs w:val="24"/>
        </w:rPr>
      </w:pPr>
    </w:p>
    <w:p w14:paraId="65027C5F" w14:textId="77777777" w:rsidR="00DF51A2" w:rsidRPr="001754B1" w:rsidRDefault="001B72A7" w:rsidP="00DF51A2">
      <w:pPr>
        <w:spacing w:after="0" w:line="240" w:lineRule="auto"/>
        <w:rPr>
          <w:rFonts w:ascii="Arial" w:eastAsia="Calibri" w:hAnsi="Arial" w:cs="Arial"/>
          <w:color w:val="2F5496" w:themeColor="accent1" w:themeShade="BF"/>
          <w:sz w:val="24"/>
          <w:szCs w:val="24"/>
          <w:u w:val="single"/>
        </w:rPr>
      </w:pPr>
      <w:hyperlink w:anchor="_top" w:history="1">
        <w:r w:rsidR="00DF51A2" w:rsidRPr="001754B1">
          <w:rPr>
            <w:rFonts w:ascii="Arial" w:eastAsia="Calibri" w:hAnsi="Arial" w:cs="Arial"/>
            <w:color w:val="2F5496" w:themeColor="accent1" w:themeShade="BF"/>
            <w:sz w:val="24"/>
            <w:szCs w:val="24"/>
            <w:u w:val="single"/>
          </w:rPr>
          <w:t>Back to top</w:t>
        </w:r>
      </w:hyperlink>
    </w:p>
    <w:p w14:paraId="2B6A3370" w14:textId="77777777" w:rsidR="00DF51A2" w:rsidRPr="00DF51A2" w:rsidRDefault="00DF51A2" w:rsidP="00DF51A2">
      <w:pPr>
        <w:spacing w:after="0" w:line="240" w:lineRule="auto"/>
        <w:rPr>
          <w:rFonts w:ascii="Arial" w:eastAsia="Calibri" w:hAnsi="Arial" w:cs="Arial"/>
          <w:b/>
          <w:sz w:val="24"/>
          <w:szCs w:val="24"/>
        </w:rPr>
      </w:pPr>
    </w:p>
    <w:p w14:paraId="24440AE2" w14:textId="77777777" w:rsidR="00DF51A2" w:rsidRPr="00DF51A2" w:rsidRDefault="00DF51A2" w:rsidP="00DF51A2">
      <w:pPr>
        <w:spacing w:after="120" w:line="240" w:lineRule="auto"/>
        <w:outlineLvl w:val="0"/>
        <w:rPr>
          <w:rFonts w:ascii="Arial" w:eastAsia="Calibri" w:hAnsi="Arial" w:cs="Times New Roman"/>
          <w:bCs/>
          <w:caps/>
          <w:color w:val="000066"/>
          <w:sz w:val="28"/>
          <w:szCs w:val="32"/>
        </w:rPr>
      </w:pPr>
      <w:bookmarkStart w:id="20" w:name="_Toc33003847"/>
      <w:r w:rsidRPr="00DF51A2">
        <w:rPr>
          <w:rFonts w:ascii="Arial" w:eastAsia="Calibri" w:hAnsi="Arial" w:cs="Times New Roman"/>
          <w:bCs/>
          <w:caps/>
          <w:color w:val="000066"/>
          <w:sz w:val="28"/>
          <w:szCs w:val="32"/>
        </w:rPr>
        <w:t>LEAN Thinking Communication With Loan Applications</w:t>
      </w:r>
      <w:bookmarkEnd w:id="20"/>
    </w:p>
    <w:p w14:paraId="6162469B" w14:textId="772ADFB6"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Lenders are encouraged to include any Lean Thinking responses within their applications for FHA Mortgage Insurance.  The </w:t>
      </w:r>
      <w:hyperlink r:id="rId25" w:history="1">
        <w:r w:rsidRPr="00DF51A2">
          <w:rPr>
            <w:rFonts w:ascii="Arial" w:eastAsia="Calibri" w:hAnsi="Arial" w:cs="Arial"/>
            <w:color w:val="0000FF"/>
            <w:sz w:val="24"/>
            <w:szCs w:val="24"/>
            <w:u w:val="single"/>
          </w:rPr>
          <w:t>LeanThinking@hud.gov</w:t>
        </w:r>
      </w:hyperlink>
      <w:r w:rsidRPr="00DF51A2">
        <w:rPr>
          <w:rFonts w:ascii="Arial" w:eastAsia="Calibri" w:hAnsi="Arial" w:cs="Arial"/>
          <w:sz w:val="24"/>
          <w:szCs w:val="24"/>
        </w:rPr>
        <w:t xml:space="preserve"> mail box is available for pre-submission questions that are specific to a project, and/or general questions which have may have applicability to a project that is being contemplated for submission. </w:t>
      </w:r>
      <w:proofErr w:type="gramStart"/>
      <w:r w:rsidRPr="00DF51A2">
        <w:rPr>
          <w:rFonts w:ascii="Arial" w:eastAsia="Calibri" w:hAnsi="Arial" w:cs="Arial"/>
          <w:sz w:val="24"/>
          <w:szCs w:val="24"/>
        </w:rPr>
        <w:t>In the event that</w:t>
      </w:r>
      <w:proofErr w:type="gramEnd"/>
      <w:r w:rsidRPr="00DF51A2">
        <w:rPr>
          <w:rFonts w:ascii="Arial" w:eastAsia="Calibri" w:hAnsi="Arial" w:cs="Arial"/>
          <w:sz w:val="24"/>
          <w:szCs w:val="24"/>
        </w:rPr>
        <w:t xml:space="preserve"> a </w:t>
      </w:r>
      <w:proofErr w:type="spellStart"/>
      <w:r w:rsidRPr="00DF51A2">
        <w:rPr>
          <w:rFonts w:ascii="Arial" w:eastAsia="Calibri" w:hAnsi="Arial" w:cs="Arial"/>
          <w:sz w:val="24"/>
          <w:szCs w:val="24"/>
        </w:rPr>
        <w:t>LeanThinking</w:t>
      </w:r>
      <w:proofErr w:type="spellEnd"/>
      <w:r w:rsidRPr="00DF51A2">
        <w:rPr>
          <w:rFonts w:ascii="Arial" w:eastAsia="Calibri" w:hAnsi="Arial" w:cs="Arial"/>
          <w:sz w:val="24"/>
          <w:szCs w:val="24"/>
        </w:rPr>
        <w:t xml:space="preserve"> inquiry results in guidance under one of these scenarios, Lenders are asked to submit a complete record of the inquiry/response within the Communication folder of their applications.  This includes any request(s) for early Environmental Consultation.  Inclusion of this information within the application will help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streamline processing and may save considerable time by avoiding duplicative efforts.</w:t>
      </w:r>
    </w:p>
    <w:p w14:paraId="123BA598" w14:textId="77777777" w:rsidR="00DF51A2" w:rsidRPr="00DF51A2" w:rsidRDefault="00DF51A2" w:rsidP="00DF51A2">
      <w:pPr>
        <w:spacing w:after="0" w:line="240" w:lineRule="auto"/>
        <w:rPr>
          <w:rFonts w:ascii="Arial" w:eastAsia="Calibri" w:hAnsi="Arial" w:cs="Arial"/>
          <w:sz w:val="24"/>
          <w:szCs w:val="24"/>
        </w:rPr>
      </w:pPr>
    </w:p>
    <w:p w14:paraId="154C604F"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Although Lenders should include the Lean Thinking email exchange for ready reference, we do note that, as stated at the bottom of each Lean Thinking response:</w:t>
      </w:r>
    </w:p>
    <w:p w14:paraId="2E1770FF" w14:textId="77777777" w:rsidR="00DF51A2" w:rsidRPr="00DF51A2" w:rsidRDefault="00DF51A2" w:rsidP="00DF51A2">
      <w:pPr>
        <w:spacing w:after="0" w:line="240" w:lineRule="auto"/>
        <w:rPr>
          <w:rFonts w:ascii="Arial" w:eastAsia="Calibri" w:hAnsi="Arial" w:cs="Arial"/>
          <w:sz w:val="24"/>
          <w:szCs w:val="24"/>
        </w:rPr>
      </w:pPr>
    </w:p>
    <w:p w14:paraId="5456A640" w14:textId="77777777" w:rsidR="00DF51A2" w:rsidRPr="00DF51A2" w:rsidRDefault="00DF51A2" w:rsidP="00DF51A2">
      <w:pPr>
        <w:spacing w:after="0" w:line="240" w:lineRule="auto"/>
        <w:ind w:left="720"/>
        <w:rPr>
          <w:rFonts w:ascii="Arial" w:eastAsia="Calibri" w:hAnsi="Arial" w:cs="Arial"/>
          <w:sz w:val="24"/>
          <w:szCs w:val="24"/>
        </w:rPr>
      </w:pPr>
      <w:r w:rsidRPr="00DF51A2">
        <w:rPr>
          <w:rFonts w:ascii="Arial" w:eastAsia="Calibri" w:hAnsi="Arial" w:cs="Arial"/>
          <w:sz w:val="24"/>
          <w:szCs w:val="24"/>
        </w:rPr>
        <w:t xml:space="preserve">A Lean Thinking response is based on the limited and preliminary information submitted by the inquirer specific to a </w:t>
      </w:r>
      <w:proofErr w:type="gramStart"/>
      <w:r w:rsidRPr="00DF51A2">
        <w:rPr>
          <w:rFonts w:ascii="Arial" w:eastAsia="Calibri" w:hAnsi="Arial" w:cs="Arial"/>
          <w:sz w:val="24"/>
          <w:szCs w:val="24"/>
        </w:rPr>
        <w:t>particular matter</w:t>
      </w:r>
      <w:proofErr w:type="gramEnd"/>
      <w:r w:rsidRPr="00DF51A2">
        <w:rPr>
          <w:rFonts w:ascii="Arial" w:eastAsia="Calibri" w:hAnsi="Arial" w:cs="Arial"/>
          <w:sz w:val="24"/>
          <w:szCs w:val="24"/>
        </w:rPr>
        <w:t xml:space="preserve">.  The response is thus limited to that </w:t>
      </w:r>
      <w:proofErr w:type="gramStart"/>
      <w:r w:rsidRPr="00DF51A2">
        <w:rPr>
          <w:rFonts w:ascii="Arial" w:eastAsia="Calibri" w:hAnsi="Arial" w:cs="Arial"/>
          <w:sz w:val="24"/>
          <w:szCs w:val="24"/>
        </w:rPr>
        <w:t>particular matter</w:t>
      </w:r>
      <w:proofErr w:type="gramEnd"/>
      <w:r w:rsidRPr="00DF51A2">
        <w:rPr>
          <w:rFonts w:ascii="Arial" w:eastAsia="Calibri" w:hAnsi="Arial" w:cs="Arial"/>
          <w:sz w:val="24"/>
          <w:szCs w:val="24"/>
        </w:rPr>
        <w:t xml:space="preserve"> and/or transaction and </w:t>
      </w:r>
      <w:r w:rsidRPr="00DF51A2">
        <w:rPr>
          <w:rFonts w:ascii="Arial" w:eastAsia="Calibri" w:hAnsi="Arial" w:cs="Arial"/>
          <w:i/>
          <w:iCs/>
          <w:sz w:val="24"/>
          <w:szCs w:val="24"/>
        </w:rPr>
        <w:t>is itself preliminary</w:t>
      </w:r>
      <w:r w:rsidRPr="00DF51A2">
        <w:rPr>
          <w:rFonts w:ascii="Arial" w:eastAsia="Calibri" w:hAnsi="Arial" w:cs="Arial"/>
          <w:sz w:val="24"/>
          <w:szCs w:val="24"/>
        </w:rPr>
        <w:t xml:space="preserve">.  A Lean Thinking response shall not be construed as an approval of a submission; all submissions must meet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underwriting criteria, and approval of the topic discussed above is only a portion of the overall review process that must be approved.  Lean Thinking cannot be used in lieu of prescribed waiver or exception procedures, and any firm application accompanied by a Lean Thinking response will always be subject to underwriting and final approval.</w:t>
      </w:r>
    </w:p>
    <w:p w14:paraId="1B34C742" w14:textId="77777777" w:rsidR="00DF51A2" w:rsidRPr="00DF51A2" w:rsidRDefault="00DF51A2" w:rsidP="00DF51A2">
      <w:pPr>
        <w:spacing w:after="0" w:line="240" w:lineRule="auto"/>
        <w:rPr>
          <w:rFonts w:ascii="Arial" w:eastAsia="Calibri" w:hAnsi="Arial" w:cs="Arial"/>
          <w:sz w:val="24"/>
          <w:szCs w:val="24"/>
        </w:rPr>
      </w:pPr>
    </w:p>
    <w:p w14:paraId="52CCF8EE" w14:textId="77777777" w:rsidR="00DF51A2" w:rsidRPr="00DF51A2" w:rsidRDefault="00DF51A2" w:rsidP="00DF51A2">
      <w:pPr>
        <w:spacing w:after="0" w:line="240" w:lineRule="auto"/>
        <w:rPr>
          <w:rFonts w:ascii="Arial" w:eastAsia="MS Mincho" w:hAnsi="Arial" w:cs="Arial"/>
          <w:i/>
          <w:sz w:val="24"/>
          <w:szCs w:val="24"/>
        </w:rPr>
      </w:pPr>
      <w:r w:rsidRPr="00DF51A2">
        <w:rPr>
          <w:rFonts w:ascii="Arial" w:eastAsia="MS Mincho" w:hAnsi="Arial" w:cs="Arial"/>
          <w:b/>
          <w:i/>
          <w:sz w:val="24"/>
          <w:szCs w:val="24"/>
        </w:rPr>
        <w:t>Keywords:</w:t>
      </w:r>
      <w:r w:rsidRPr="00DF51A2">
        <w:rPr>
          <w:rFonts w:ascii="Arial" w:eastAsia="MS Mincho" w:hAnsi="Arial" w:cs="Arial"/>
          <w:i/>
          <w:sz w:val="24"/>
          <w:szCs w:val="24"/>
        </w:rPr>
        <w:t xml:space="preserve"> Lean Thinking, Environmental, Application Processing</w:t>
      </w:r>
    </w:p>
    <w:p w14:paraId="1C76A704" w14:textId="77777777" w:rsidR="00DF51A2" w:rsidRPr="00DF51A2" w:rsidRDefault="00DF51A2" w:rsidP="00DF51A2">
      <w:pPr>
        <w:spacing w:after="0" w:line="240" w:lineRule="auto"/>
        <w:rPr>
          <w:rFonts w:ascii="Arial" w:eastAsia="MS Mincho" w:hAnsi="Arial" w:cs="Arial"/>
          <w:b/>
          <w:sz w:val="24"/>
          <w:szCs w:val="24"/>
        </w:rPr>
      </w:pPr>
    </w:p>
    <w:p w14:paraId="0EF21527" w14:textId="77777777" w:rsidR="00DF51A2" w:rsidRPr="001754B1" w:rsidRDefault="001B72A7" w:rsidP="00DF51A2">
      <w:pPr>
        <w:spacing w:after="0" w:line="240" w:lineRule="auto"/>
        <w:rPr>
          <w:rFonts w:ascii="Arial" w:eastAsia="Calibri" w:hAnsi="Arial" w:cs="Arial"/>
          <w:color w:val="2F5496" w:themeColor="accent1" w:themeShade="BF"/>
          <w:sz w:val="24"/>
          <w:szCs w:val="24"/>
          <w:u w:val="single"/>
        </w:rPr>
      </w:pPr>
      <w:hyperlink w:anchor="_top" w:history="1">
        <w:r w:rsidR="00DF51A2" w:rsidRPr="001754B1">
          <w:rPr>
            <w:rFonts w:ascii="Arial" w:eastAsia="Calibri" w:hAnsi="Arial" w:cs="Arial"/>
            <w:color w:val="2F5496" w:themeColor="accent1" w:themeShade="BF"/>
            <w:sz w:val="24"/>
            <w:szCs w:val="24"/>
            <w:u w:val="single"/>
          </w:rPr>
          <w:t>Back to top</w:t>
        </w:r>
      </w:hyperlink>
    </w:p>
    <w:p w14:paraId="782244B1" w14:textId="77777777" w:rsidR="00DF51A2" w:rsidRPr="00DF51A2" w:rsidRDefault="00DF51A2" w:rsidP="00DF51A2">
      <w:pPr>
        <w:spacing w:after="0" w:line="240" w:lineRule="auto"/>
        <w:rPr>
          <w:rFonts w:ascii="Arial" w:eastAsia="Calibri" w:hAnsi="Arial" w:cs="Arial"/>
          <w:sz w:val="24"/>
          <w:szCs w:val="24"/>
        </w:rPr>
      </w:pPr>
    </w:p>
    <w:p w14:paraId="55B23E19" w14:textId="77777777" w:rsidR="00DF51A2" w:rsidRPr="00DF51A2" w:rsidRDefault="00DF51A2" w:rsidP="00DF51A2">
      <w:pPr>
        <w:spacing w:after="120" w:line="240" w:lineRule="auto"/>
        <w:outlineLvl w:val="0"/>
        <w:rPr>
          <w:rFonts w:ascii="Arial" w:eastAsia="Calibri" w:hAnsi="Arial" w:cs="Times New Roman"/>
          <w:bCs/>
          <w:caps/>
          <w:color w:val="000066"/>
          <w:sz w:val="28"/>
          <w:szCs w:val="32"/>
        </w:rPr>
      </w:pPr>
      <w:bookmarkStart w:id="21" w:name="_Toc33003848"/>
      <w:r w:rsidRPr="00DF51A2">
        <w:rPr>
          <w:rFonts w:ascii="Arial" w:eastAsia="Calibri" w:hAnsi="Arial" w:cs="Times New Roman"/>
          <w:bCs/>
          <w:caps/>
          <w:color w:val="000066"/>
          <w:sz w:val="28"/>
          <w:szCs w:val="32"/>
        </w:rPr>
        <w:t>FHA Number Requests</w:t>
      </w:r>
      <w:bookmarkEnd w:id="21"/>
    </w:p>
    <w:p w14:paraId="32053267"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Please note that the </w:t>
      </w:r>
      <w:hyperlink r:id="rId26" w:history="1">
        <w:r w:rsidRPr="00DF51A2">
          <w:rPr>
            <w:rFonts w:ascii="Arial" w:eastAsia="Calibri" w:hAnsi="Arial" w:cs="Arial"/>
            <w:color w:val="0000FF"/>
            <w:sz w:val="24"/>
            <w:szCs w:val="24"/>
            <w:u w:val="single"/>
          </w:rPr>
          <w:t>232FHARequest@hud.gov</w:t>
        </w:r>
      </w:hyperlink>
      <w:r w:rsidRPr="00DF51A2">
        <w:rPr>
          <w:rFonts w:ascii="Arial" w:eastAsia="Calibri" w:hAnsi="Arial" w:cs="Arial"/>
          <w:sz w:val="24"/>
          <w:szCs w:val="24"/>
        </w:rPr>
        <w:t xml:space="preserve"> email box is no longer being monitored and emails submitted to this mailbox will not receive a response.  All FHA Number Requests should be submitted through the HUD 232 Healthcare Portal (</w:t>
      </w:r>
      <w:hyperlink r:id="rId27" w:history="1">
        <w:r w:rsidRPr="00DF51A2">
          <w:rPr>
            <w:rFonts w:ascii="Arial" w:eastAsia="Calibri" w:hAnsi="Arial" w:cs="Arial"/>
            <w:color w:val="0000FF"/>
            <w:sz w:val="24"/>
            <w:szCs w:val="24"/>
            <w:u w:val="single"/>
          </w:rPr>
          <w:t>here</w:t>
        </w:r>
      </w:hyperlink>
      <w:r w:rsidRPr="00DF51A2">
        <w:rPr>
          <w:rFonts w:ascii="Arial" w:eastAsia="Calibri" w:hAnsi="Arial" w:cs="Arial"/>
          <w:sz w:val="24"/>
          <w:szCs w:val="24"/>
        </w:rPr>
        <w:t>) for processing.</w:t>
      </w:r>
    </w:p>
    <w:p w14:paraId="0C6B73C9" w14:textId="77777777" w:rsidR="00DF51A2" w:rsidRPr="00DF51A2" w:rsidRDefault="00DF51A2" w:rsidP="00DF51A2">
      <w:pPr>
        <w:spacing w:after="0" w:line="240" w:lineRule="auto"/>
        <w:rPr>
          <w:rFonts w:ascii="Arial" w:eastAsia="Calibri" w:hAnsi="Arial" w:cs="Arial"/>
          <w:sz w:val="24"/>
          <w:szCs w:val="24"/>
        </w:rPr>
      </w:pPr>
    </w:p>
    <w:p w14:paraId="11459BBF"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If you are having issues submitting your FHA Number Request or Application, please submit a Help Desk Ticket (</w:t>
      </w:r>
      <w:hyperlink r:id="rId28" w:history="1">
        <w:r w:rsidRPr="00DF51A2">
          <w:rPr>
            <w:rFonts w:ascii="Arial" w:eastAsia="Calibri" w:hAnsi="Arial" w:cs="Arial"/>
            <w:color w:val="0000FF"/>
            <w:sz w:val="24"/>
            <w:szCs w:val="24"/>
            <w:u w:val="single"/>
          </w:rPr>
          <w:t>here</w:t>
        </w:r>
      </w:hyperlink>
      <w:r w:rsidRPr="00DF51A2">
        <w:rPr>
          <w:rFonts w:ascii="Arial" w:eastAsia="Calibri" w:hAnsi="Arial" w:cs="Arial"/>
          <w:sz w:val="24"/>
          <w:szCs w:val="24"/>
        </w:rPr>
        <w:t>) for assistance.</w:t>
      </w:r>
    </w:p>
    <w:p w14:paraId="3674AAEE" w14:textId="77777777" w:rsidR="00DF51A2" w:rsidRPr="00DF51A2" w:rsidRDefault="00DF51A2" w:rsidP="00DF51A2">
      <w:pPr>
        <w:spacing w:after="0" w:line="240" w:lineRule="auto"/>
        <w:rPr>
          <w:rFonts w:ascii="Arial" w:eastAsia="Calibri" w:hAnsi="Arial" w:cs="Arial"/>
          <w:sz w:val="24"/>
          <w:szCs w:val="24"/>
        </w:rPr>
      </w:pPr>
    </w:p>
    <w:p w14:paraId="34CE3D4F" w14:textId="214CCB1F"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If you are following up on the status of an FHA Number Request, please contact </w:t>
      </w:r>
      <w:proofErr w:type="spellStart"/>
      <w:r w:rsidRPr="00DF51A2">
        <w:rPr>
          <w:rFonts w:ascii="Arial" w:eastAsia="Calibri" w:hAnsi="Arial" w:cs="Arial"/>
          <w:sz w:val="24"/>
          <w:szCs w:val="24"/>
        </w:rPr>
        <w:t>LeanThinking</w:t>
      </w:r>
      <w:proofErr w:type="spellEnd"/>
      <w:r w:rsidRPr="00DF51A2">
        <w:rPr>
          <w:rFonts w:ascii="Arial" w:eastAsia="Calibri" w:hAnsi="Arial" w:cs="Arial"/>
          <w:sz w:val="24"/>
          <w:szCs w:val="24"/>
        </w:rPr>
        <w:t xml:space="preserve"> rather than reaching out to individual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staff.  </w:t>
      </w:r>
      <w:proofErr w:type="spellStart"/>
      <w:r w:rsidRPr="00DF51A2">
        <w:rPr>
          <w:rFonts w:ascii="Arial" w:eastAsia="Calibri" w:hAnsi="Arial" w:cs="Arial"/>
          <w:sz w:val="24"/>
          <w:szCs w:val="24"/>
        </w:rPr>
        <w:t>LeanThinking</w:t>
      </w:r>
      <w:proofErr w:type="spellEnd"/>
      <w:r w:rsidRPr="00DF51A2">
        <w:rPr>
          <w:rFonts w:ascii="Arial" w:eastAsia="Calibri" w:hAnsi="Arial" w:cs="Arial"/>
          <w:sz w:val="24"/>
          <w:szCs w:val="24"/>
        </w:rPr>
        <w:t xml:space="preserve"> will route the inquiries to the appropriate </w:t>
      </w:r>
      <w:proofErr w:type="spellStart"/>
      <w:r w:rsidR="00C53236">
        <w:rPr>
          <w:rFonts w:ascii="Arial" w:eastAsia="Calibri" w:hAnsi="Arial" w:cs="Arial"/>
          <w:sz w:val="24"/>
          <w:szCs w:val="24"/>
        </w:rPr>
        <w:t>ORCF</w:t>
      </w:r>
      <w:proofErr w:type="spellEnd"/>
      <w:r w:rsidR="00C53236">
        <w:rPr>
          <w:rFonts w:ascii="Arial" w:eastAsia="Calibri" w:hAnsi="Arial" w:cs="Arial"/>
          <w:sz w:val="24"/>
          <w:szCs w:val="24"/>
        </w:rPr>
        <w:t xml:space="preserve"> staff members</w:t>
      </w:r>
      <w:r w:rsidR="008C0D14">
        <w:rPr>
          <w:rFonts w:ascii="Arial" w:eastAsia="Calibri" w:hAnsi="Arial" w:cs="Arial"/>
          <w:sz w:val="24"/>
          <w:szCs w:val="24"/>
        </w:rPr>
        <w:t xml:space="preserve"> </w:t>
      </w:r>
      <w:r w:rsidRPr="00DF51A2">
        <w:rPr>
          <w:rFonts w:ascii="Arial" w:eastAsia="Calibri" w:hAnsi="Arial" w:cs="Arial"/>
          <w:sz w:val="24"/>
          <w:szCs w:val="24"/>
        </w:rPr>
        <w:t>and coordinate the response.  Please note that Lenders are encouraged to request FHA Numbers early in the application preparation process to accommodate application submission timing deadlines, as periods of high volume or processing of Help Desk Tickets can require additional time for processing.</w:t>
      </w:r>
    </w:p>
    <w:p w14:paraId="6712D929" w14:textId="77777777" w:rsidR="00DF51A2" w:rsidRPr="00DF51A2" w:rsidRDefault="00DF51A2" w:rsidP="00DF51A2">
      <w:pPr>
        <w:spacing w:after="0" w:line="240" w:lineRule="auto"/>
        <w:rPr>
          <w:rFonts w:ascii="Arial" w:eastAsia="MS Mincho" w:hAnsi="Arial" w:cs="Arial"/>
          <w:b/>
          <w:i/>
          <w:sz w:val="24"/>
          <w:szCs w:val="24"/>
        </w:rPr>
      </w:pPr>
    </w:p>
    <w:p w14:paraId="5921F573" w14:textId="77777777" w:rsidR="00DF51A2" w:rsidRPr="00DF51A2" w:rsidRDefault="00DF51A2" w:rsidP="00DF51A2">
      <w:pPr>
        <w:spacing w:after="0" w:line="240" w:lineRule="auto"/>
        <w:rPr>
          <w:rFonts w:ascii="Arial" w:eastAsia="MS Mincho" w:hAnsi="Arial" w:cs="Arial"/>
          <w:i/>
          <w:sz w:val="24"/>
          <w:szCs w:val="24"/>
        </w:rPr>
      </w:pPr>
      <w:r w:rsidRPr="00DF51A2">
        <w:rPr>
          <w:rFonts w:ascii="Arial" w:eastAsia="MS Mincho" w:hAnsi="Arial" w:cs="Arial"/>
          <w:b/>
          <w:i/>
          <w:sz w:val="24"/>
          <w:szCs w:val="24"/>
        </w:rPr>
        <w:t>Keywords:</w:t>
      </w:r>
      <w:r w:rsidRPr="00DF51A2">
        <w:rPr>
          <w:rFonts w:ascii="Arial" w:eastAsia="MS Mincho" w:hAnsi="Arial" w:cs="Arial"/>
          <w:i/>
          <w:sz w:val="24"/>
          <w:szCs w:val="24"/>
        </w:rPr>
        <w:t xml:space="preserve"> Application Processing</w:t>
      </w:r>
    </w:p>
    <w:p w14:paraId="06D22AC7" w14:textId="77777777" w:rsidR="00DF51A2" w:rsidRPr="00DF51A2" w:rsidRDefault="00DF51A2" w:rsidP="00DF51A2">
      <w:pPr>
        <w:spacing w:after="0" w:line="240" w:lineRule="auto"/>
        <w:rPr>
          <w:rFonts w:ascii="Arial" w:eastAsia="MS Mincho" w:hAnsi="Arial" w:cs="Arial"/>
          <w:b/>
          <w:sz w:val="24"/>
          <w:szCs w:val="24"/>
        </w:rPr>
      </w:pPr>
    </w:p>
    <w:p w14:paraId="47BFBA48" w14:textId="77777777" w:rsidR="00DF51A2" w:rsidRPr="001754B1" w:rsidRDefault="001B72A7" w:rsidP="00DF51A2">
      <w:pPr>
        <w:spacing w:after="0" w:line="240" w:lineRule="auto"/>
        <w:rPr>
          <w:rFonts w:ascii="Arial" w:eastAsia="Calibri" w:hAnsi="Arial" w:cs="Arial"/>
          <w:color w:val="2F5496" w:themeColor="accent1" w:themeShade="BF"/>
          <w:sz w:val="24"/>
          <w:szCs w:val="24"/>
          <w:u w:val="single"/>
        </w:rPr>
      </w:pPr>
      <w:hyperlink w:anchor="_top" w:history="1">
        <w:r w:rsidR="00DF51A2" w:rsidRPr="001754B1">
          <w:rPr>
            <w:rFonts w:ascii="Arial" w:eastAsia="Calibri" w:hAnsi="Arial" w:cs="Arial"/>
            <w:color w:val="2F5496" w:themeColor="accent1" w:themeShade="BF"/>
            <w:sz w:val="24"/>
            <w:szCs w:val="24"/>
            <w:u w:val="single"/>
          </w:rPr>
          <w:t>Back to top</w:t>
        </w:r>
      </w:hyperlink>
    </w:p>
    <w:p w14:paraId="215A3985" w14:textId="77777777" w:rsidR="00DF51A2" w:rsidRPr="00DF51A2" w:rsidRDefault="00DF51A2" w:rsidP="00DF51A2">
      <w:pPr>
        <w:spacing w:after="0" w:line="240" w:lineRule="auto"/>
        <w:rPr>
          <w:rFonts w:ascii="Arial" w:eastAsia="Calibri" w:hAnsi="Arial" w:cs="Arial"/>
          <w:sz w:val="24"/>
          <w:szCs w:val="24"/>
        </w:rPr>
      </w:pPr>
    </w:p>
    <w:p w14:paraId="1D5D633C" w14:textId="77777777" w:rsidR="00DF51A2" w:rsidRPr="00DF51A2" w:rsidRDefault="00DF51A2" w:rsidP="00DF51A2">
      <w:pPr>
        <w:spacing w:after="120" w:line="240" w:lineRule="auto"/>
        <w:outlineLvl w:val="0"/>
        <w:rPr>
          <w:rFonts w:ascii="Arial" w:eastAsia="Calibri" w:hAnsi="Arial" w:cs="Times New Roman"/>
          <w:bCs/>
          <w:caps/>
          <w:color w:val="000066"/>
          <w:sz w:val="28"/>
          <w:szCs w:val="32"/>
        </w:rPr>
      </w:pPr>
      <w:bookmarkStart w:id="22" w:name="_Toc33003849"/>
      <w:r w:rsidRPr="00DF51A2">
        <w:rPr>
          <w:rFonts w:ascii="Arial" w:eastAsia="Calibri" w:hAnsi="Arial" w:cs="Times New Roman"/>
          <w:bCs/>
          <w:caps/>
          <w:color w:val="000066"/>
          <w:sz w:val="28"/>
          <w:szCs w:val="32"/>
        </w:rPr>
        <w:t>Reminder - CMS Provider Number</w:t>
      </w:r>
      <w:bookmarkEnd w:id="22"/>
    </w:p>
    <w:p w14:paraId="22B4A5F4"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Please ensure that the CMS Provider Number is entered correctly on the contact sheet in the application (e.g. Exhibit 1-6 for a 223F application).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has seen </w:t>
      </w:r>
      <w:proofErr w:type="gramStart"/>
      <w:r w:rsidRPr="00DF51A2">
        <w:rPr>
          <w:rFonts w:ascii="Arial" w:eastAsia="Calibri" w:hAnsi="Arial" w:cs="Arial"/>
          <w:sz w:val="24"/>
          <w:szCs w:val="24"/>
        </w:rPr>
        <w:t>a number of</w:t>
      </w:r>
      <w:proofErr w:type="gramEnd"/>
      <w:r w:rsidRPr="00DF51A2">
        <w:rPr>
          <w:rFonts w:ascii="Arial" w:eastAsia="Calibri" w:hAnsi="Arial" w:cs="Arial"/>
          <w:sz w:val="24"/>
          <w:szCs w:val="24"/>
        </w:rPr>
        <w:t xml:space="preserve"> submissions with the incorrect number entered.  Please note, the CMS Provider Number is always six digits and that some begin with a zero (if you have a five-digit number, the zero may be missing).  Providing the correct CMS Provider Number will avoid delays in processing your application.  </w:t>
      </w:r>
    </w:p>
    <w:p w14:paraId="074F3B1D" w14:textId="77777777" w:rsidR="00DF51A2" w:rsidRPr="00DF51A2" w:rsidRDefault="00DF51A2" w:rsidP="00DF51A2">
      <w:pPr>
        <w:autoSpaceDE w:val="0"/>
        <w:autoSpaceDN w:val="0"/>
        <w:spacing w:after="0" w:line="240" w:lineRule="auto"/>
        <w:rPr>
          <w:rFonts w:ascii="Arial" w:eastAsia="Calibri" w:hAnsi="Arial" w:cs="Arial"/>
          <w:sz w:val="24"/>
          <w:szCs w:val="24"/>
        </w:rPr>
      </w:pPr>
    </w:p>
    <w:p w14:paraId="059B873A" w14:textId="77777777" w:rsidR="00DF51A2" w:rsidRPr="00DF51A2" w:rsidRDefault="00DF51A2" w:rsidP="00DF51A2">
      <w:pPr>
        <w:spacing w:after="0" w:line="240" w:lineRule="auto"/>
        <w:rPr>
          <w:rFonts w:ascii="Arial" w:eastAsia="MS Mincho" w:hAnsi="Arial" w:cs="Arial"/>
          <w:i/>
          <w:sz w:val="24"/>
          <w:szCs w:val="24"/>
        </w:rPr>
      </w:pPr>
      <w:r w:rsidRPr="00DF51A2">
        <w:rPr>
          <w:rFonts w:ascii="Arial" w:eastAsia="MS Mincho" w:hAnsi="Arial" w:cs="Arial"/>
          <w:b/>
          <w:i/>
          <w:sz w:val="24"/>
          <w:szCs w:val="24"/>
        </w:rPr>
        <w:t>Keywords:</w:t>
      </w:r>
      <w:r w:rsidRPr="00DF51A2">
        <w:rPr>
          <w:rFonts w:ascii="Arial" w:eastAsia="MS Mincho" w:hAnsi="Arial" w:cs="Arial"/>
          <w:i/>
          <w:sz w:val="24"/>
          <w:szCs w:val="24"/>
        </w:rPr>
        <w:tab/>
        <w:t>Application Processing</w:t>
      </w:r>
    </w:p>
    <w:p w14:paraId="3A9F7EAF" w14:textId="77777777" w:rsidR="00DF51A2" w:rsidRPr="00DF51A2" w:rsidRDefault="00DF51A2" w:rsidP="00DF51A2">
      <w:pPr>
        <w:spacing w:after="0" w:line="240" w:lineRule="auto"/>
        <w:rPr>
          <w:rFonts w:ascii="Arial" w:eastAsia="MS Mincho" w:hAnsi="Arial" w:cs="Arial"/>
          <w:b/>
          <w:color w:val="000066"/>
          <w:sz w:val="24"/>
          <w:szCs w:val="24"/>
        </w:rPr>
      </w:pPr>
    </w:p>
    <w:p w14:paraId="13CBC569" w14:textId="77777777" w:rsidR="00DF51A2" w:rsidRPr="001754B1" w:rsidRDefault="001B72A7" w:rsidP="00DF51A2">
      <w:pPr>
        <w:spacing w:after="0" w:line="240" w:lineRule="auto"/>
        <w:rPr>
          <w:rFonts w:ascii="Arial" w:eastAsia="Calibri" w:hAnsi="Arial" w:cs="Arial"/>
          <w:color w:val="2F5496" w:themeColor="accent1" w:themeShade="BF"/>
          <w:sz w:val="24"/>
          <w:szCs w:val="24"/>
          <w:u w:val="single"/>
        </w:rPr>
      </w:pPr>
      <w:hyperlink w:anchor="_top" w:history="1">
        <w:r w:rsidR="00DF51A2" w:rsidRPr="001754B1">
          <w:rPr>
            <w:rFonts w:ascii="Arial" w:eastAsia="Calibri" w:hAnsi="Arial" w:cs="Arial"/>
            <w:color w:val="2F5496" w:themeColor="accent1" w:themeShade="BF"/>
            <w:sz w:val="24"/>
            <w:szCs w:val="24"/>
            <w:u w:val="single"/>
          </w:rPr>
          <w:t>Back to top</w:t>
        </w:r>
      </w:hyperlink>
    </w:p>
    <w:p w14:paraId="0B610BB7" w14:textId="77777777" w:rsidR="00DF51A2" w:rsidRPr="00DF51A2" w:rsidRDefault="00DF51A2" w:rsidP="00DF51A2">
      <w:pPr>
        <w:spacing w:after="0" w:line="240" w:lineRule="auto"/>
        <w:rPr>
          <w:rFonts w:ascii="Arial" w:eastAsia="Calibri" w:hAnsi="Arial" w:cs="Arial"/>
          <w:sz w:val="24"/>
          <w:szCs w:val="24"/>
        </w:rPr>
      </w:pPr>
    </w:p>
    <w:p w14:paraId="250B124C" w14:textId="77777777" w:rsidR="00DF51A2" w:rsidRPr="00DF51A2" w:rsidRDefault="00DF51A2" w:rsidP="00DF51A2">
      <w:pPr>
        <w:spacing w:after="120" w:line="240" w:lineRule="auto"/>
        <w:outlineLvl w:val="0"/>
        <w:rPr>
          <w:rFonts w:ascii="Arial" w:eastAsia="Calibri" w:hAnsi="Arial" w:cs="Times New Roman"/>
          <w:bCs/>
          <w:caps/>
          <w:color w:val="000066"/>
          <w:sz w:val="28"/>
          <w:szCs w:val="32"/>
        </w:rPr>
      </w:pPr>
      <w:bookmarkStart w:id="23" w:name="_Toc33003850"/>
      <w:proofErr w:type="spellStart"/>
      <w:r w:rsidRPr="00DF51A2">
        <w:rPr>
          <w:rFonts w:ascii="Arial" w:eastAsia="Calibri" w:hAnsi="Arial" w:cs="Times New Roman"/>
          <w:bCs/>
          <w:caps/>
          <w:color w:val="000066"/>
          <w:sz w:val="28"/>
          <w:szCs w:val="32"/>
        </w:rPr>
        <w:t>ORCF</w:t>
      </w:r>
      <w:proofErr w:type="spellEnd"/>
      <w:r w:rsidRPr="00DF51A2">
        <w:rPr>
          <w:rFonts w:ascii="Arial" w:eastAsia="Calibri" w:hAnsi="Arial" w:cs="Times New Roman"/>
          <w:bCs/>
          <w:caps/>
          <w:color w:val="000066"/>
          <w:sz w:val="28"/>
          <w:szCs w:val="32"/>
        </w:rPr>
        <w:t xml:space="preserve"> Asset Management Risk Monitoring Routine</w:t>
      </w:r>
      <w:bookmarkEnd w:id="23"/>
    </w:p>
    <w:p w14:paraId="34C9A488"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As part of our continuous effort to enhance and standardize the notification and mitigation of circumstances that could impair the value of the FHA-insured security in Section 232 facilities,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Asset Management will be implementing a standard risk monitoring routine in the coming months, consistent with existing Borrower/Operator requirements and Lender servicing requirements.</w:t>
      </w:r>
    </w:p>
    <w:p w14:paraId="36B9D4B7" w14:textId="77777777" w:rsidR="00DF51A2" w:rsidRPr="00DF51A2" w:rsidRDefault="00DF51A2" w:rsidP="00DF51A2">
      <w:pPr>
        <w:spacing w:after="0" w:line="240" w:lineRule="auto"/>
        <w:rPr>
          <w:rFonts w:ascii="Arial" w:eastAsia="Calibri" w:hAnsi="Arial" w:cs="Arial"/>
          <w:sz w:val="24"/>
          <w:szCs w:val="24"/>
        </w:rPr>
      </w:pPr>
    </w:p>
    <w:p w14:paraId="12224C1F"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As a reminder, all Operators are required by 24 CFR Section 232.1015 to provide to HUD and the Lender/Servicer prompt notification of circumstances placing the value of </w:t>
      </w:r>
      <w:r w:rsidRPr="00DF51A2">
        <w:rPr>
          <w:rFonts w:ascii="Arial" w:eastAsia="Calibri" w:hAnsi="Arial" w:cs="Arial"/>
          <w:sz w:val="24"/>
          <w:szCs w:val="24"/>
        </w:rPr>
        <w:lastRenderedPageBreak/>
        <w:t>the FHA-insured security at risk.  Although this provision applies to Operators of any Section 232 facility (regardless of the of the version of the Regulatory Agreement the Operator has executed), the requirement is further set forth in the Borrower Regulatory Agreement (92466-ORCF). Handbook 4232.1, Section III, Asset Management, Chapter 3.10 further prescribes that a Project is required to notify both HUD and the Lender when there are threats to the Project’s permits and approvals.</w:t>
      </w:r>
    </w:p>
    <w:p w14:paraId="48CEFA5B" w14:textId="77777777" w:rsidR="00DF51A2" w:rsidRPr="00DF51A2" w:rsidRDefault="00DF51A2" w:rsidP="00DF51A2">
      <w:pPr>
        <w:spacing w:after="0" w:line="240" w:lineRule="auto"/>
        <w:rPr>
          <w:rFonts w:ascii="Arial" w:eastAsia="Calibri" w:hAnsi="Arial" w:cs="Arial"/>
          <w:sz w:val="24"/>
          <w:szCs w:val="24"/>
        </w:rPr>
      </w:pPr>
    </w:p>
    <w:p w14:paraId="47675EA2"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Effective October 3, 2019, Lender/Servicers, Borrowers, and Operators are required to use the </w:t>
      </w:r>
      <w:bookmarkStart w:id="24" w:name="_Hlk32935610"/>
      <w:r w:rsidRPr="00DF51A2">
        <w:rPr>
          <w:rFonts w:ascii="Arial" w:eastAsia="Calibri" w:hAnsi="Arial" w:cs="Arial"/>
          <w:sz w:val="24"/>
          <w:szCs w:val="24"/>
          <w:u w:val="single"/>
        </w:rPr>
        <w:t>Operator’s and/or Borrower’s Notification to HUD of Threats to Permits and Approval</w:t>
      </w:r>
      <w:r w:rsidRPr="00DF51A2">
        <w:rPr>
          <w:rFonts w:ascii="Arial" w:eastAsia="Calibri" w:hAnsi="Arial" w:cs="Arial"/>
          <w:sz w:val="24"/>
          <w:szCs w:val="24"/>
        </w:rPr>
        <w:t xml:space="preserve"> (HUD-93335-ORCF), (</w:t>
      </w:r>
      <w:hyperlink r:id="rId29">
        <w:r w:rsidRPr="00DF51A2">
          <w:rPr>
            <w:rFonts w:ascii="Arial" w:eastAsia="Calibri" w:hAnsi="Arial" w:cs="Arial"/>
            <w:color w:val="0563C1"/>
            <w:sz w:val="24"/>
            <w:szCs w:val="24"/>
            <w:u w:val="single"/>
          </w:rPr>
          <w:t>here</w:t>
        </w:r>
      </w:hyperlink>
      <w:r w:rsidRPr="00DF51A2">
        <w:rPr>
          <w:rFonts w:ascii="Arial" w:eastAsia="Calibri" w:hAnsi="Arial" w:cs="Arial"/>
          <w:sz w:val="24"/>
          <w:szCs w:val="24"/>
        </w:rPr>
        <w:t>), and</w:t>
      </w:r>
      <w:r w:rsidRPr="00DF51A2">
        <w:rPr>
          <w:rFonts w:ascii="Arial" w:eastAsia="Calibri" w:hAnsi="Arial" w:cs="Arial"/>
          <w:color w:val="0563C1"/>
          <w:sz w:val="24"/>
          <w:szCs w:val="24"/>
        </w:rPr>
        <w:t xml:space="preserve"> </w:t>
      </w:r>
      <w:bookmarkStart w:id="25" w:name="_Hlk31208521"/>
      <w:r w:rsidRPr="00DF51A2">
        <w:rPr>
          <w:rFonts w:ascii="Arial" w:eastAsia="Calibri" w:hAnsi="Arial" w:cs="Arial"/>
          <w:sz w:val="24"/>
          <w:szCs w:val="24"/>
          <w:u w:val="single"/>
        </w:rPr>
        <w:t>The Servicer’s</w:t>
      </w:r>
      <w:r w:rsidRPr="00DF51A2">
        <w:rPr>
          <w:rFonts w:ascii="Arial" w:eastAsia="Calibri" w:hAnsi="Arial" w:cs="Arial"/>
          <w:sz w:val="24"/>
          <w:szCs w:val="24"/>
        </w:rPr>
        <w:t xml:space="preserve"> </w:t>
      </w:r>
      <w:r w:rsidRPr="00DF51A2">
        <w:rPr>
          <w:rFonts w:ascii="Arial" w:eastAsia="Calibri" w:hAnsi="Arial" w:cs="Arial"/>
          <w:sz w:val="24"/>
          <w:szCs w:val="24"/>
          <w:u w:val="single"/>
        </w:rPr>
        <w:t>Notification to HUD of Risks to Healthcare Projects and Action Plan for Remedy</w:t>
      </w:r>
      <w:r w:rsidRPr="00DF51A2">
        <w:rPr>
          <w:rFonts w:ascii="Arial" w:eastAsia="Calibri" w:hAnsi="Arial" w:cs="Arial"/>
          <w:sz w:val="24"/>
          <w:szCs w:val="24"/>
        </w:rPr>
        <w:t xml:space="preserve"> (HUD-93334-ORCF) </w:t>
      </w:r>
      <w:bookmarkEnd w:id="24"/>
      <w:r w:rsidRPr="00DF51A2">
        <w:rPr>
          <w:rFonts w:ascii="Arial" w:eastAsia="Calibri" w:hAnsi="Arial" w:cs="Arial"/>
          <w:sz w:val="24"/>
          <w:szCs w:val="24"/>
        </w:rPr>
        <w:t>(</w:t>
      </w:r>
      <w:bookmarkStart w:id="26" w:name="_Hlk31208618"/>
      <w:r w:rsidRPr="00DF51A2">
        <w:rPr>
          <w:rFonts w:ascii="Arial" w:eastAsia="Calibri" w:hAnsi="Arial" w:cs="Arial"/>
          <w:sz w:val="24"/>
          <w:szCs w:val="24"/>
        </w:rPr>
        <w:fldChar w:fldCharType="begin"/>
      </w:r>
      <w:r w:rsidRPr="00DF51A2">
        <w:rPr>
          <w:rFonts w:ascii="Arial" w:eastAsia="Calibri" w:hAnsi="Arial" w:cs="Arial"/>
          <w:sz w:val="24"/>
          <w:szCs w:val="24"/>
        </w:rPr>
        <w:instrText xml:space="preserve"> HYPERLINK "https://www.hud.gov/sites/dfiles/Housing/documents/93334N_orcf.docx" \h </w:instrText>
      </w:r>
      <w:r w:rsidRPr="00DF51A2">
        <w:rPr>
          <w:rFonts w:ascii="Arial" w:eastAsia="Calibri" w:hAnsi="Arial" w:cs="Arial"/>
          <w:sz w:val="24"/>
          <w:szCs w:val="24"/>
        </w:rPr>
        <w:fldChar w:fldCharType="separate"/>
      </w:r>
      <w:r w:rsidRPr="00DF51A2">
        <w:rPr>
          <w:rFonts w:ascii="Arial" w:eastAsia="Calibri" w:hAnsi="Arial" w:cs="Arial"/>
          <w:color w:val="0563C1"/>
          <w:sz w:val="24"/>
          <w:szCs w:val="24"/>
          <w:u w:val="single"/>
        </w:rPr>
        <w:t>here</w:t>
      </w:r>
      <w:r w:rsidRPr="00DF51A2">
        <w:rPr>
          <w:rFonts w:ascii="Arial" w:eastAsia="Calibri" w:hAnsi="Arial" w:cs="Arial"/>
          <w:color w:val="0563C1"/>
          <w:sz w:val="24"/>
          <w:szCs w:val="24"/>
          <w:u w:val="single"/>
        </w:rPr>
        <w:fldChar w:fldCharType="end"/>
      </w:r>
      <w:bookmarkEnd w:id="26"/>
      <w:r w:rsidRPr="00DF51A2">
        <w:rPr>
          <w:rFonts w:ascii="Arial" w:eastAsia="Calibri" w:hAnsi="Arial" w:cs="Arial"/>
          <w:sz w:val="24"/>
          <w:szCs w:val="24"/>
          <w:u w:val="single"/>
        </w:rPr>
        <w:t>)</w:t>
      </w:r>
      <w:r w:rsidRPr="00DF51A2">
        <w:rPr>
          <w:rFonts w:ascii="Arial" w:eastAsia="Calibri" w:hAnsi="Arial" w:cs="Arial"/>
          <w:sz w:val="24"/>
          <w:szCs w:val="24"/>
        </w:rPr>
        <w:t xml:space="preserve"> </w:t>
      </w:r>
      <w:bookmarkEnd w:id="25"/>
      <w:r w:rsidRPr="00DF51A2">
        <w:rPr>
          <w:rFonts w:ascii="Arial" w:eastAsia="Calibri" w:hAnsi="Arial" w:cs="Arial"/>
          <w:sz w:val="24"/>
          <w:szCs w:val="24"/>
        </w:rPr>
        <w:t>when notifying relevant parties of risks to the FHA-insured security and for communicating action plans for remedy.  Consistent with these publications, issues requiring action plans include, but are not limited to:</w:t>
      </w:r>
    </w:p>
    <w:p w14:paraId="63A64411" w14:textId="77777777" w:rsidR="00DF51A2" w:rsidRPr="00DF51A2" w:rsidRDefault="00DF51A2" w:rsidP="00DF51A2">
      <w:pPr>
        <w:spacing w:after="0" w:line="240" w:lineRule="auto"/>
        <w:rPr>
          <w:rFonts w:ascii="Arial" w:eastAsia="Calibri" w:hAnsi="Arial" w:cs="Arial"/>
          <w:sz w:val="24"/>
          <w:szCs w:val="24"/>
        </w:rPr>
      </w:pPr>
    </w:p>
    <w:p w14:paraId="7C8E2A7F" w14:textId="77777777" w:rsidR="00DF51A2" w:rsidRPr="00DF51A2" w:rsidRDefault="00DF51A2" w:rsidP="008C0D14">
      <w:pPr>
        <w:numPr>
          <w:ilvl w:val="0"/>
          <w:numId w:val="1"/>
        </w:numPr>
        <w:spacing w:before="120" w:after="120" w:line="240" w:lineRule="auto"/>
        <w:rPr>
          <w:rFonts w:ascii="Arial" w:eastAsia="Calibri" w:hAnsi="Arial" w:cs="Arial"/>
          <w:color w:val="000000"/>
          <w:sz w:val="24"/>
          <w:szCs w:val="24"/>
        </w:rPr>
      </w:pPr>
      <w:r w:rsidRPr="00DF51A2">
        <w:rPr>
          <w:rFonts w:ascii="Arial" w:eastAsia="Calibri" w:hAnsi="Arial" w:cs="Arial"/>
          <w:color w:val="000000"/>
          <w:sz w:val="24"/>
          <w:szCs w:val="24"/>
        </w:rPr>
        <w:t>Delinquent or defaulted mortgage payments</w:t>
      </w:r>
    </w:p>
    <w:p w14:paraId="750140AC" w14:textId="144D2B09" w:rsidR="00DF51A2" w:rsidRPr="00DF51A2" w:rsidRDefault="00DF51A2" w:rsidP="008C0D14">
      <w:pPr>
        <w:numPr>
          <w:ilvl w:val="0"/>
          <w:numId w:val="1"/>
        </w:numPr>
        <w:spacing w:before="120" w:after="120" w:line="240" w:lineRule="auto"/>
        <w:rPr>
          <w:rFonts w:ascii="Arial" w:eastAsia="Calibri" w:hAnsi="Arial" w:cs="Arial"/>
          <w:color w:val="000000"/>
          <w:sz w:val="24"/>
          <w:szCs w:val="24"/>
        </w:rPr>
      </w:pPr>
      <w:r w:rsidRPr="00DF51A2">
        <w:rPr>
          <w:rFonts w:ascii="Arial" w:eastAsia="Calibri" w:hAnsi="Arial" w:cs="Arial"/>
          <w:color w:val="000000"/>
          <w:sz w:val="24"/>
          <w:szCs w:val="24"/>
        </w:rPr>
        <w:t>A debt service coverage ratio below 1.0</w:t>
      </w:r>
      <w:r w:rsidR="00C53236">
        <w:rPr>
          <w:rFonts w:ascii="Arial" w:eastAsia="Calibri" w:hAnsi="Arial" w:cs="Arial"/>
          <w:color w:val="000000"/>
          <w:sz w:val="24"/>
          <w:szCs w:val="24"/>
        </w:rPr>
        <w:t xml:space="preserve"> </w:t>
      </w:r>
    </w:p>
    <w:p w14:paraId="4C1AEE1C" w14:textId="77777777" w:rsidR="00DF51A2" w:rsidRPr="00DF51A2" w:rsidRDefault="00DF51A2" w:rsidP="008C0D14">
      <w:pPr>
        <w:numPr>
          <w:ilvl w:val="0"/>
          <w:numId w:val="1"/>
        </w:numPr>
        <w:spacing w:before="120" w:after="120" w:line="240" w:lineRule="auto"/>
        <w:rPr>
          <w:rFonts w:ascii="Arial" w:eastAsia="Calibri" w:hAnsi="Arial" w:cs="Arial"/>
          <w:color w:val="000000"/>
          <w:sz w:val="24"/>
          <w:szCs w:val="24"/>
        </w:rPr>
      </w:pPr>
      <w:r w:rsidRPr="00DF51A2">
        <w:rPr>
          <w:rFonts w:ascii="Arial" w:eastAsia="Calibri" w:hAnsi="Arial" w:cs="Arial"/>
          <w:color w:val="000000"/>
          <w:sz w:val="24"/>
          <w:szCs w:val="24"/>
        </w:rPr>
        <w:t>Special Focus Facility (</w:t>
      </w:r>
      <w:proofErr w:type="spellStart"/>
      <w:r w:rsidRPr="00DF51A2">
        <w:rPr>
          <w:rFonts w:ascii="Arial" w:eastAsia="Calibri" w:hAnsi="Arial" w:cs="Arial"/>
          <w:color w:val="000000"/>
          <w:sz w:val="24"/>
          <w:szCs w:val="24"/>
        </w:rPr>
        <w:t>SFF</w:t>
      </w:r>
      <w:proofErr w:type="spellEnd"/>
      <w:r w:rsidRPr="00DF51A2">
        <w:rPr>
          <w:rFonts w:ascii="Arial" w:eastAsia="Calibri" w:hAnsi="Arial" w:cs="Arial"/>
          <w:color w:val="000000"/>
          <w:sz w:val="24"/>
          <w:szCs w:val="24"/>
        </w:rPr>
        <w:t>) designation</w:t>
      </w:r>
    </w:p>
    <w:p w14:paraId="402D8A1A" w14:textId="77777777" w:rsidR="00DF51A2" w:rsidRPr="00DF51A2" w:rsidRDefault="00DF51A2" w:rsidP="008C0D14">
      <w:pPr>
        <w:numPr>
          <w:ilvl w:val="0"/>
          <w:numId w:val="1"/>
        </w:numPr>
        <w:spacing w:before="120" w:after="120" w:line="240" w:lineRule="auto"/>
        <w:rPr>
          <w:rFonts w:ascii="Arial" w:eastAsia="Calibri" w:hAnsi="Arial" w:cs="Arial"/>
          <w:color w:val="000000"/>
          <w:sz w:val="24"/>
          <w:szCs w:val="24"/>
        </w:rPr>
      </w:pPr>
      <w:r w:rsidRPr="00DF51A2">
        <w:rPr>
          <w:rFonts w:ascii="Arial" w:eastAsia="Calibri" w:hAnsi="Arial" w:cs="Arial"/>
          <w:color w:val="000000"/>
          <w:sz w:val="24"/>
          <w:szCs w:val="24"/>
        </w:rPr>
        <w:t>Licensed Nursing Facility survey findings higher than a “G” level citation</w:t>
      </w:r>
    </w:p>
    <w:p w14:paraId="2E17F0CC" w14:textId="77777777" w:rsidR="00DF51A2" w:rsidRPr="00DF51A2" w:rsidRDefault="00DF51A2" w:rsidP="008C0D14">
      <w:pPr>
        <w:numPr>
          <w:ilvl w:val="0"/>
          <w:numId w:val="1"/>
        </w:numPr>
        <w:spacing w:before="120" w:after="120" w:line="240" w:lineRule="auto"/>
        <w:rPr>
          <w:rFonts w:ascii="Arial" w:eastAsia="Calibri" w:hAnsi="Arial" w:cs="Arial"/>
          <w:color w:val="000000"/>
          <w:sz w:val="24"/>
          <w:szCs w:val="24"/>
        </w:rPr>
      </w:pPr>
      <w:proofErr w:type="spellStart"/>
      <w:r w:rsidRPr="00DF51A2">
        <w:rPr>
          <w:rFonts w:ascii="Arial" w:eastAsia="Calibri" w:hAnsi="Arial" w:cs="Arial"/>
          <w:color w:val="000000"/>
          <w:sz w:val="24"/>
          <w:szCs w:val="24"/>
        </w:rPr>
        <w:t>REAC</w:t>
      </w:r>
      <w:proofErr w:type="spellEnd"/>
      <w:r w:rsidRPr="00DF51A2">
        <w:rPr>
          <w:rFonts w:ascii="Arial" w:eastAsia="Calibri" w:hAnsi="Arial" w:cs="Arial"/>
          <w:color w:val="000000"/>
          <w:sz w:val="24"/>
          <w:szCs w:val="24"/>
        </w:rPr>
        <w:t xml:space="preserve"> inspections (single score below 30 or consecutive scores below 60)</w:t>
      </w:r>
    </w:p>
    <w:p w14:paraId="677D846B" w14:textId="77777777" w:rsidR="00DF51A2" w:rsidRPr="00DF51A2" w:rsidRDefault="00DF51A2" w:rsidP="008C0D14">
      <w:pPr>
        <w:numPr>
          <w:ilvl w:val="0"/>
          <w:numId w:val="1"/>
        </w:numPr>
        <w:spacing w:before="120" w:after="120" w:line="240" w:lineRule="auto"/>
        <w:rPr>
          <w:rFonts w:ascii="Arial" w:eastAsia="Calibri" w:hAnsi="Arial" w:cs="Arial"/>
          <w:color w:val="000000"/>
          <w:sz w:val="24"/>
          <w:szCs w:val="24"/>
        </w:rPr>
      </w:pPr>
      <w:r w:rsidRPr="00DF51A2">
        <w:rPr>
          <w:rFonts w:ascii="Arial" w:eastAsia="Calibri" w:hAnsi="Arial" w:cs="Arial"/>
          <w:color w:val="000000"/>
          <w:sz w:val="24"/>
          <w:szCs w:val="24"/>
        </w:rPr>
        <w:t>Missing Financial Reports</w:t>
      </w:r>
    </w:p>
    <w:p w14:paraId="554DF38E" w14:textId="77777777" w:rsidR="00DF51A2" w:rsidRPr="00DF51A2" w:rsidRDefault="00DF51A2" w:rsidP="00DF51A2">
      <w:pPr>
        <w:spacing w:after="0" w:line="240" w:lineRule="auto"/>
        <w:rPr>
          <w:rFonts w:ascii="Arial" w:eastAsia="Calibri" w:hAnsi="Arial" w:cs="Arial"/>
          <w:sz w:val="24"/>
          <w:szCs w:val="24"/>
        </w:rPr>
      </w:pPr>
    </w:p>
    <w:p w14:paraId="2A858400" w14:textId="77777777"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The information required by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when risks to the FHA-insured security are present can be found in Handbook 4232.1, Section III, Chapter 3.10 and Chapter 4.4, and the information is further delineated in HUD-93334-ORCF (</w:t>
      </w:r>
      <w:hyperlink r:id="rId30">
        <w:r w:rsidRPr="00DF51A2">
          <w:rPr>
            <w:rFonts w:ascii="Arial" w:eastAsia="Calibri" w:hAnsi="Arial" w:cs="Arial"/>
            <w:color w:val="0563C1"/>
            <w:sz w:val="24"/>
            <w:szCs w:val="24"/>
            <w:u w:val="single"/>
          </w:rPr>
          <w:t>here</w:t>
        </w:r>
      </w:hyperlink>
      <w:r w:rsidRPr="00DF51A2">
        <w:rPr>
          <w:rFonts w:ascii="Arial" w:eastAsia="Calibri" w:hAnsi="Arial" w:cs="Arial"/>
          <w:sz w:val="24"/>
          <w:szCs w:val="24"/>
        </w:rPr>
        <w:t xml:space="preserve">).  As detailed therein,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requires the establishment of a corrective action plan for improving deficiencies and remedying the identified risk condition(s).  Consistent with HUD-93334-ORCF,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expects that servicing Lenders will work with their clients to ensure the following are addressed:</w:t>
      </w:r>
    </w:p>
    <w:p w14:paraId="5F25BFAD" w14:textId="77777777" w:rsidR="00DF51A2" w:rsidRPr="00DF51A2" w:rsidRDefault="00DF51A2" w:rsidP="00DF51A2">
      <w:pPr>
        <w:spacing w:after="0" w:line="240" w:lineRule="auto"/>
        <w:rPr>
          <w:rFonts w:ascii="Arial" w:eastAsia="Calibri" w:hAnsi="Arial" w:cs="Arial"/>
          <w:sz w:val="24"/>
          <w:szCs w:val="24"/>
        </w:rPr>
      </w:pPr>
    </w:p>
    <w:p w14:paraId="46373B38" w14:textId="77777777" w:rsidR="00DF51A2" w:rsidRPr="00DF51A2" w:rsidRDefault="00DF51A2" w:rsidP="00DF51A2">
      <w:pPr>
        <w:numPr>
          <w:ilvl w:val="0"/>
          <w:numId w:val="2"/>
        </w:numPr>
        <w:spacing w:after="120" w:line="240" w:lineRule="auto"/>
        <w:rPr>
          <w:rFonts w:ascii="Arial" w:eastAsia="Calibri" w:hAnsi="Arial" w:cs="Arial"/>
          <w:color w:val="000000"/>
          <w:sz w:val="24"/>
          <w:szCs w:val="24"/>
        </w:rPr>
      </w:pPr>
      <w:r w:rsidRPr="00DF51A2">
        <w:rPr>
          <w:rFonts w:ascii="Arial" w:eastAsia="Calibri" w:hAnsi="Arial" w:cs="Arial"/>
          <w:color w:val="000000"/>
          <w:sz w:val="24"/>
          <w:szCs w:val="24"/>
        </w:rPr>
        <w:t>A description of the risk and discussion of its effect on the Project.</w:t>
      </w:r>
    </w:p>
    <w:p w14:paraId="4FE7B859" w14:textId="77777777" w:rsidR="00DF51A2" w:rsidRPr="00DF51A2" w:rsidRDefault="00DF51A2" w:rsidP="00DF51A2">
      <w:pPr>
        <w:numPr>
          <w:ilvl w:val="0"/>
          <w:numId w:val="2"/>
        </w:numPr>
        <w:spacing w:after="120" w:line="240" w:lineRule="auto"/>
        <w:rPr>
          <w:rFonts w:ascii="Arial" w:eastAsia="Calibri" w:hAnsi="Arial" w:cs="Arial"/>
          <w:color w:val="000000"/>
          <w:sz w:val="24"/>
          <w:szCs w:val="24"/>
        </w:rPr>
      </w:pPr>
      <w:r w:rsidRPr="00DF51A2">
        <w:rPr>
          <w:rFonts w:ascii="Arial" w:eastAsia="Calibri" w:hAnsi="Arial" w:cs="Arial"/>
          <w:color w:val="000000"/>
          <w:sz w:val="24"/>
          <w:szCs w:val="24"/>
        </w:rPr>
        <w:t>An analysis of the root cause of the financial risk factor(s) (i.e., is a low DSCR due to low census, labor market, staff turnover, and/or unexpected expenses, etc.?).</w:t>
      </w:r>
    </w:p>
    <w:p w14:paraId="0798027B" w14:textId="77777777" w:rsidR="00DF51A2" w:rsidRPr="00DF51A2" w:rsidRDefault="00DF51A2" w:rsidP="00DF51A2">
      <w:pPr>
        <w:numPr>
          <w:ilvl w:val="0"/>
          <w:numId w:val="2"/>
        </w:numPr>
        <w:spacing w:after="120" w:line="240" w:lineRule="auto"/>
        <w:rPr>
          <w:rFonts w:ascii="Arial" w:eastAsia="Calibri" w:hAnsi="Arial" w:cs="Arial"/>
          <w:color w:val="000000"/>
          <w:sz w:val="24"/>
          <w:szCs w:val="24"/>
        </w:rPr>
      </w:pPr>
      <w:r w:rsidRPr="00DF51A2">
        <w:rPr>
          <w:rFonts w:ascii="Arial" w:eastAsia="Calibri" w:hAnsi="Arial" w:cs="Arial"/>
          <w:color w:val="000000"/>
          <w:sz w:val="24"/>
          <w:szCs w:val="24"/>
        </w:rPr>
        <w:t>A description of the action plan to be implemented (e.g., marketing plan, expense management plan, risk management plan, etc.) and the identified goals and areas in need of improvement.  The Lender should be sure that the plan and the goals align with the root cause analysis.  For example:</w:t>
      </w:r>
    </w:p>
    <w:p w14:paraId="6DA3DB7C" w14:textId="77777777" w:rsidR="00DF51A2" w:rsidRPr="00DF51A2" w:rsidRDefault="00DF51A2" w:rsidP="00DF51A2">
      <w:pPr>
        <w:numPr>
          <w:ilvl w:val="1"/>
          <w:numId w:val="2"/>
        </w:numPr>
        <w:spacing w:after="120" w:line="240" w:lineRule="auto"/>
        <w:rPr>
          <w:rFonts w:ascii="Arial" w:eastAsia="Calibri" w:hAnsi="Arial" w:cs="Arial"/>
          <w:sz w:val="24"/>
          <w:szCs w:val="24"/>
        </w:rPr>
      </w:pPr>
      <w:r w:rsidRPr="00DF51A2">
        <w:rPr>
          <w:rFonts w:ascii="Arial" w:eastAsia="Calibri" w:hAnsi="Arial" w:cs="Arial"/>
          <w:sz w:val="24"/>
          <w:szCs w:val="24"/>
        </w:rPr>
        <w:t>An action plan implementing cost saving measures would be included for a Project with increasing operating expenses.</w:t>
      </w:r>
    </w:p>
    <w:p w14:paraId="422803BB" w14:textId="77777777" w:rsidR="00DF51A2" w:rsidRPr="00DF51A2" w:rsidRDefault="00DF51A2" w:rsidP="00DF51A2">
      <w:pPr>
        <w:numPr>
          <w:ilvl w:val="1"/>
          <w:numId w:val="2"/>
        </w:numPr>
        <w:spacing w:after="120" w:line="240" w:lineRule="auto"/>
        <w:rPr>
          <w:rFonts w:ascii="Arial" w:eastAsia="Calibri" w:hAnsi="Arial" w:cs="Arial"/>
          <w:sz w:val="24"/>
          <w:szCs w:val="24"/>
        </w:rPr>
      </w:pPr>
      <w:r w:rsidRPr="00DF51A2">
        <w:rPr>
          <w:rFonts w:ascii="Arial" w:eastAsia="Calibri" w:hAnsi="Arial" w:cs="Arial"/>
          <w:sz w:val="24"/>
          <w:szCs w:val="24"/>
        </w:rPr>
        <w:lastRenderedPageBreak/>
        <w:t>An action plan implementing a marketing plan to expand Medicare referral sources would be expected for a Project with declining revenues, declining resident days, and declining average daily rate (ADR). </w:t>
      </w:r>
    </w:p>
    <w:p w14:paraId="1423F521" w14:textId="2BE5989D" w:rsidR="00DF51A2" w:rsidRPr="00DF51A2" w:rsidRDefault="00C53236" w:rsidP="00DF51A2">
      <w:pPr>
        <w:numPr>
          <w:ilvl w:val="0"/>
          <w:numId w:val="2"/>
        </w:numPr>
        <w:spacing w:after="120" w:line="240" w:lineRule="auto"/>
        <w:rPr>
          <w:rFonts w:ascii="Arial" w:eastAsia="Calibri" w:hAnsi="Arial" w:cs="Arial"/>
          <w:sz w:val="24"/>
          <w:szCs w:val="24"/>
        </w:rPr>
      </w:pPr>
      <w:r>
        <w:rPr>
          <w:rFonts w:ascii="Arial" w:eastAsia="Calibri" w:hAnsi="Arial" w:cs="Arial"/>
          <w:sz w:val="24"/>
          <w:szCs w:val="24"/>
        </w:rPr>
        <w:t>E</w:t>
      </w:r>
      <w:r w:rsidR="00DF51A2" w:rsidRPr="00DF51A2">
        <w:rPr>
          <w:rFonts w:ascii="Arial" w:eastAsia="Calibri" w:hAnsi="Arial" w:cs="Arial"/>
          <w:sz w:val="24"/>
          <w:szCs w:val="24"/>
        </w:rPr>
        <w:t>ach identified goal/step of the action plan is measurable (e.g., increase census by 10%).</w:t>
      </w:r>
    </w:p>
    <w:p w14:paraId="427F9E72" w14:textId="39DA6C52" w:rsidR="00DF51A2" w:rsidRPr="00DF51A2" w:rsidRDefault="00C53236" w:rsidP="00DF51A2">
      <w:pPr>
        <w:numPr>
          <w:ilvl w:val="0"/>
          <w:numId w:val="2"/>
        </w:numPr>
        <w:spacing w:after="120" w:line="240" w:lineRule="auto"/>
        <w:rPr>
          <w:rFonts w:ascii="Arial" w:eastAsia="Calibri" w:hAnsi="Arial" w:cs="Arial"/>
          <w:sz w:val="24"/>
          <w:szCs w:val="24"/>
        </w:rPr>
      </w:pPr>
      <w:r>
        <w:rPr>
          <w:rFonts w:ascii="Arial" w:eastAsia="Calibri" w:hAnsi="Arial" w:cs="Arial"/>
          <w:sz w:val="24"/>
          <w:szCs w:val="24"/>
        </w:rPr>
        <w:t>E</w:t>
      </w:r>
      <w:r w:rsidR="00DF51A2" w:rsidRPr="00DF51A2">
        <w:rPr>
          <w:rFonts w:ascii="Arial" w:eastAsia="Calibri" w:hAnsi="Arial" w:cs="Arial"/>
          <w:sz w:val="24"/>
          <w:szCs w:val="24"/>
        </w:rPr>
        <w:t>ach goal has a timeline (target completion date).</w:t>
      </w:r>
    </w:p>
    <w:p w14:paraId="34EE62BE" w14:textId="7037DAB8" w:rsidR="00DF51A2" w:rsidRPr="00DF51A2" w:rsidRDefault="00C53236" w:rsidP="00DF51A2">
      <w:pPr>
        <w:numPr>
          <w:ilvl w:val="0"/>
          <w:numId w:val="2"/>
        </w:numPr>
        <w:spacing w:after="120" w:line="240" w:lineRule="auto"/>
        <w:rPr>
          <w:rFonts w:ascii="Arial" w:eastAsia="Calibri" w:hAnsi="Arial" w:cs="Arial"/>
          <w:sz w:val="24"/>
          <w:szCs w:val="24"/>
        </w:rPr>
      </w:pPr>
      <w:r>
        <w:rPr>
          <w:rFonts w:ascii="Arial" w:eastAsia="Calibri" w:hAnsi="Arial" w:cs="Arial"/>
          <w:sz w:val="24"/>
          <w:szCs w:val="24"/>
        </w:rPr>
        <w:t>T</w:t>
      </w:r>
      <w:r w:rsidR="00DF51A2" w:rsidRPr="00DF51A2">
        <w:rPr>
          <w:rFonts w:ascii="Arial" w:eastAsia="Calibri" w:hAnsi="Arial" w:cs="Arial"/>
          <w:sz w:val="24"/>
          <w:szCs w:val="24"/>
        </w:rPr>
        <w:t>he action plan includes a set time when the Borrower or Operator will follow-up with the Lender and provide a status report.</w:t>
      </w:r>
    </w:p>
    <w:p w14:paraId="384ED902" w14:textId="77777777" w:rsidR="00DF51A2" w:rsidRPr="00DF51A2" w:rsidRDefault="00DF51A2" w:rsidP="00DF51A2">
      <w:pPr>
        <w:numPr>
          <w:ilvl w:val="0"/>
          <w:numId w:val="2"/>
        </w:numPr>
        <w:spacing w:after="0" w:line="240" w:lineRule="auto"/>
        <w:contextualSpacing/>
        <w:rPr>
          <w:rFonts w:ascii="Arial" w:eastAsia="Calibri" w:hAnsi="Arial" w:cs="Arial"/>
          <w:sz w:val="24"/>
          <w:szCs w:val="24"/>
        </w:rPr>
      </w:pPr>
      <w:r w:rsidRPr="00DF51A2">
        <w:rPr>
          <w:rFonts w:ascii="Arial" w:eastAsia="Calibri" w:hAnsi="Arial" w:cs="Arial"/>
          <w:sz w:val="24"/>
          <w:szCs w:val="24"/>
        </w:rPr>
        <w:t>Monitor and inform HUD on a recurring basis (monthly, quarterly, as determined by the timelines/target completion dates) whether the plan is on schedule or not, and if not, have the Operator/Borrower reevaluate and provide amended action steps, target completion dates, as appropriate. </w:t>
      </w:r>
    </w:p>
    <w:p w14:paraId="43E7EE3A" w14:textId="77777777" w:rsidR="00DF51A2" w:rsidRPr="00DF51A2" w:rsidRDefault="00DF51A2" w:rsidP="00DF51A2">
      <w:pPr>
        <w:spacing w:after="0" w:line="240" w:lineRule="auto"/>
        <w:rPr>
          <w:rFonts w:ascii="Arial" w:eastAsia="Calibri" w:hAnsi="Arial" w:cs="Arial"/>
          <w:sz w:val="24"/>
          <w:szCs w:val="24"/>
        </w:rPr>
      </w:pPr>
    </w:p>
    <w:p w14:paraId="33AB125E" w14:textId="77777777" w:rsidR="00DF51A2" w:rsidRPr="00DF51A2" w:rsidRDefault="00DF51A2" w:rsidP="00DF51A2">
      <w:pPr>
        <w:spacing w:after="0" w:line="240" w:lineRule="auto"/>
        <w:rPr>
          <w:rFonts w:ascii="Arial" w:eastAsia="Calibri" w:hAnsi="Arial" w:cs="Arial"/>
          <w:color w:val="000000"/>
          <w:sz w:val="24"/>
          <w:szCs w:val="24"/>
        </w:rPr>
      </w:pPr>
      <w:r w:rsidRPr="00DF51A2">
        <w:rPr>
          <w:rFonts w:ascii="Arial" w:eastAsia="Calibri" w:hAnsi="Arial" w:cs="Arial"/>
          <w:sz w:val="24"/>
          <w:szCs w:val="24"/>
        </w:rPr>
        <w:t xml:space="preserve">In the coming months,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Asset Management will communicate with stakeholders about improved processes to better position Lenders and their clients to timely meet the expectations summarized above.  </w:t>
      </w:r>
    </w:p>
    <w:p w14:paraId="44EC7E2F" w14:textId="77777777" w:rsidR="00DF51A2" w:rsidRPr="00DF51A2" w:rsidRDefault="00DF51A2" w:rsidP="00DF51A2">
      <w:pPr>
        <w:spacing w:after="0" w:line="240" w:lineRule="auto"/>
        <w:rPr>
          <w:rFonts w:ascii="Arial" w:eastAsia="Calibri" w:hAnsi="Arial" w:cs="Arial"/>
          <w:sz w:val="24"/>
          <w:szCs w:val="24"/>
        </w:rPr>
      </w:pPr>
    </w:p>
    <w:p w14:paraId="3FB1A957" w14:textId="128BEF43" w:rsidR="00DF51A2" w:rsidRPr="00DF51A2" w:rsidRDefault="00DF51A2" w:rsidP="00DF51A2">
      <w:pPr>
        <w:spacing w:after="0" w:line="240" w:lineRule="auto"/>
        <w:rPr>
          <w:rFonts w:ascii="Arial" w:eastAsia="Calibri" w:hAnsi="Arial" w:cs="Arial"/>
          <w:i/>
          <w:iCs/>
          <w:sz w:val="24"/>
          <w:szCs w:val="24"/>
        </w:rPr>
      </w:pPr>
      <w:r w:rsidRPr="00DF51A2">
        <w:rPr>
          <w:rFonts w:ascii="Arial" w:eastAsia="Calibri" w:hAnsi="Arial" w:cs="Arial"/>
          <w:b/>
          <w:bCs/>
          <w:i/>
          <w:iCs/>
          <w:sz w:val="24"/>
          <w:szCs w:val="24"/>
        </w:rPr>
        <w:t>Keywords:</w:t>
      </w:r>
      <w:r w:rsidRPr="00DF51A2">
        <w:rPr>
          <w:rFonts w:ascii="Arial" w:eastAsia="Calibri" w:hAnsi="Arial" w:cs="Arial"/>
          <w:i/>
          <w:iCs/>
          <w:sz w:val="24"/>
          <w:szCs w:val="24"/>
        </w:rPr>
        <w:t xml:space="preserve"> Risk Notification, Documents</w:t>
      </w:r>
    </w:p>
    <w:p w14:paraId="1DBA4766" w14:textId="77777777" w:rsidR="00DF51A2" w:rsidRPr="00DF51A2" w:rsidRDefault="00DF51A2" w:rsidP="00DF51A2">
      <w:pPr>
        <w:spacing w:after="0" w:line="240" w:lineRule="auto"/>
        <w:rPr>
          <w:rFonts w:ascii="Arial" w:eastAsia="MS Mincho" w:hAnsi="Arial" w:cs="Arial"/>
          <w:b/>
          <w:sz w:val="24"/>
          <w:szCs w:val="24"/>
        </w:rPr>
      </w:pPr>
    </w:p>
    <w:p w14:paraId="0E51D0E6" w14:textId="77777777" w:rsidR="00DF51A2" w:rsidRPr="001754B1" w:rsidRDefault="001B72A7" w:rsidP="00DF51A2">
      <w:pPr>
        <w:spacing w:after="0" w:line="240" w:lineRule="auto"/>
        <w:rPr>
          <w:rFonts w:ascii="Arial" w:eastAsia="Calibri" w:hAnsi="Arial" w:cs="Arial"/>
          <w:color w:val="2F5496" w:themeColor="accent1" w:themeShade="BF"/>
          <w:sz w:val="24"/>
          <w:szCs w:val="24"/>
          <w:u w:val="single"/>
        </w:rPr>
      </w:pPr>
      <w:hyperlink w:anchor="_top" w:history="1">
        <w:r w:rsidR="00DF51A2" w:rsidRPr="001754B1">
          <w:rPr>
            <w:rFonts w:ascii="Arial" w:eastAsia="Calibri" w:hAnsi="Arial" w:cs="Arial"/>
            <w:color w:val="2F5496" w:themeColor="accent1" w:themeShade="BF"/>
            <w:sz w:val="24"/>
            <w:szCs w:val="24"/>
            <w:u w:val="single"/>
          </w:rPr>
          <w:t>Back to top</w:t>
        </w:r>
      </w:hyperlink>
    </w:p>
    <w:p w14:paraId="73C7CDE9" w14:textId="77777777" w:rsidR="00DF51A2" w:rsidRPr="00DF51A2" w:rsidRDefault="00DF51A2" w:rsidP="00DF51A2">
      <w:pPr>
        <w:spacing w:after="0" w:line="240" w:lineRule="auto"/>
        <w:rPr>
          <w:rFonts w:ascii="Arial" w:eastAsia="Calibri" w:hAnsi="Arial" w:cs="Arial"/>
          <w:b/>
          <w:sz w:val="24"/>
          <w:szCs w:val="24"/>
        </w:rPr>
      </w:pPr>
    </w:p>
    <w:p w14:paraId="533352FD" w14:textId="77777777" w:rsidR="00DF51A2" w:rsidRPr="00DF51A2" w:rsidRDefault="00DF51A2" w:rsidP="00DF51A2">
      <w:pPr>
        <w:spacing w:after="120" w:line="240" w:lineRule="auto"/>
        <w:outlineLvl w:val="0"/>
        <w:rPr>
          <w:rFonts w:ascii="Arial" w:eastAsia="Calibri" w:hAnsi="Arial" w:cs="Times New Roman"/>
          <w:bCs/>
          <w:caps/>
          <w:color w:val="000066"/>
          <w:sz w:val="28"/>
          <w:szCs w:val="32"/>
        </w:rPr>
      </w:pPr>
      <w:bookmarkStart w:id="27" w:name="_Toc33003851"/>
      <w:r w:rsidRPr="00DF51A2">
        <w:rPr>
          <w:rFonts w:ascii="Arial" w:eastAsia="Calibri" w:hAnsi="Arial" w:cs="Times New Roman"/>
          <w:bCs/>
          <w:caps/>
          <w:color w:val="000066"/>
          <w:sz w:val="28"/>
          <w:szCs w:val="32"/>
        </w:rPr>
        <w:t>Revised Asset Management Checklists Pursuant to Healthcare Portal Updates</w:t>
      </w:r>
      <w:bookmarkEnd w:id="27"/>
    </w:p>
    <w:p w14:paraId="73038AC0" w14:textId="7B57BB03" w:rsidR="00DF51A2" w:rsidRPr="00DF51A2" w:rsidRDefault="00C53236" w:rsidP="00DF51A2">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As a follow up to </w:t>
      </w:r>
      <w:r w:rsidR="00DF51A2" w:rsidRPr="00DF51A2">
        <w:rPr>
          <w:rFonts w:ascii="Arial" w:eastAsia="Calibri" w:hAnsi="Arial" w:cs="Arial"/>
          <w:color w:val="000000"/>
          <w:sz w:val="24"/>
          <w:szCs w:val="24"/>
        </w:rPr>
        <w:t>the Asset Management Healthcare Portal Training sessions held during the week of February 10, 2020, all checklists for Asset Management transactions have been revised to reflect the naming conventions to be utilized for submissions to the Healthcare Portal.  Each of the revised checklists contains instructional information regarding use of the numerical code identifiers (</w:t>
      </w:r>
      <w:r w:rsidR="00DF51A2" w:rsidRPr="00DF51A2">
        <w:rPr>
          <w:rFonts w:ascii="Arial" w:eastAsia="Calibri" w:hAnsi="Arial" w:cs="Arial"/>
          <w:b/>
          <w:bCs/>
          <w:color w:val="000000"/>
          <w:sz w:val="24"/>
          <w:szCs w:val="24"/>
          <w:highlight w:val="green"/>
        </w:rPr>
        <w:t>highlighted in green</w:t>
      </w:r>
      <w:r w:rsidR="00DF51A2" w:rsidRPr="00DF51A2">
        <w:rPr>
          <w:rFonts w:ascii="Arial" w:eastAsia="Calibri" w:hAnsi="Arial" w:cs="Arial"/>
          <w:color w:val="000000"/>
          <w:sz w:val="24"/>
          <w:szCs w:val="24"/>
        </w:rPr>
        <w:t>)</w:t>
      </w:r>
      <w:r w:rsidR="00DF51A2" w:rsidRPr="00DF51A2">
        <w:rPr>
          <w:rFonts w:ascii="Arial" w:eastAsia="Calibri" w:hAnsi="Arial" w:cs="Arial"/>
          <w:b/>
          <w:bCs/>
          <w:color w:val="000000"/>
          <w:sz w:val="24"/>
          <w:szCs w:val="24"/>
        </w:rPr>
        <w:t xml:space="preserve"> </w:t>
      </w:r>
      <w:r w:rsidR="00DF51A2" w:rsidRPr="00DF51A2">
        <w:rPr>
          <w:rFonts w:ascii="Arial" w:eastAsia="Calibri" w:hAnsi="Arial" w:cs="Arial"/>
          <w:color w:val="000000"/>
          <w:sz w:val="24"/>
          <w:szCs w:val="24"/>
        </w:rPr>
        <w:t xml:space="preserve">for each of the exhibits in the checklist.  These highlighted numbers are important codes that “guide” the Portal system to recognize the type of transaction submitted, section number of the checklist, and the identity of the document.  </w:t>
      </w:r>
      <w:r w:rsidR="00DF51A2" w:rsidRPr="00DF51A2">
        <w:rPr>
          <w:rFonts w:ascii="Arial" w:eastAsia="Calibri" w:hAnsi="Arial" w:cs="Arial"/>
          <w:b/>
          <w:bCs/>
          <w:color w:val="000000"/>
          <w:sz w:val="24"/>
          <w:szCs w:val="24"/>
        </w:rPr>
        <w:t xml:space="preserve">Failure to </w:t>
      </w:r>
      <w:r>
        <w:rPr>
          <w:rFonts w:ascii="Arial" w:eastAsia="Calibri" w:hAnsi="Arial" w:cs="Arial"/>
          <w:b/>
          <w:bCs/>
          <w:color w:val="000000"/>
          <w:sz w:val="24"/>
          <w:szCs w:val="24"/>
        </w:rPr>
        <w:t>use</w:t>
      </w:r>
      <w:r w:rsidR="008C0D14">
        <w:rPr>
          <w:rFonts w:ascii="Arial" w:eastAsia="Calibri" w:hAnsi="Arial" w:cs="Arial"/>
          <w:b/>
          <w:bCs/>
          <w:color w:val="000000"/>
          <w:sz w:val="24"/>
          <w:szCs w:val="24"/>
        </w:rPr>
        <w:t xml:space="preserve"> </w:t>
      </w:r>
      <w:r w:rsidR="00DF51A2" w:rsidRPr="00DF51A2">
        <w:rPr>
          <w:rFonts w:ascii="Arial" w:eastAsia="Calibri" w:hAnsi="Arial" w:cs="Arial"/>
          <w:b/>
          <w:bCs/>
          <w:color w:val="000000"/>
          <w:sz w:val="24"/>
          <w:szCs w:val="24"/>
        </w:rPr>
        <w:t>the updated Asset Management checklists and their corresponding naming conventions will cause the Healthcare Portal to reject the submitted transactional document and may subsequently result in a rejection of the entire transaction submission.</w:t>
      </w:r>
      <w:r w:rsidR="00DF51A2" w:rsidRPr="00DF51A2">
        <w:rPr>
          <w:rFonts w:ascii="Arial" w:eastAsia="Calibri" w:hAnsi="Arial" w:cs="Arial"/>
          <w:color w:val="000000"/>
          <w:sz w:val="24"/>
          <w:szCs w:val="24"/>
        </w:rPr>
        <w:t xml:space="preserve"> </w:t>
      </w:r>
    </w:p>
    <w:p w14:paraId="69EED598" w14:textId="77777777" w:rsidR="00DF51A2" w:rsidRPr="00DF51A2" w:rsidRDefault="00DF51A2" w:rsidP="00DF51A2">
      <w:pPr>
        <w:spacing w:after="0" w:line="240" w:lineRule="auto"/>
        <w:rPr>
          <w:rFonts w:ascii="Arial" w:eastAsia="Calibri" w:hAnsi="Arial" w:cs="Arial"/>
          <w:color w:val="000000"/>
          <w:sz w:val="24"/>
          <w:szCs w:val="24"/>
        </w:rPr>
      </w:pPr>
    </w:p>
    <w:p w14:paraId="0A850D27" w14:textId="2907269C" w:rsidR="00DF51A2" w:rsidRPr="00DF51A2" w:rsidRDefault="00DF51A2" w:rsidP="00DF51A2">
      <w:pPr>
        <w:spacing w:after="0" w:line="240" w:lineRule="auto"/>
        <w:rPr>
          <w:rFonts w:ascii="Arial" w:eastAsia="Calibri" w:hAnsi="Arial" w:cs="Arial"/>
          <w:i/>
          <w:iCs/>
          <w:color w:val="000000"/>
          <w:sz w:val="24"/>
          <w:szCs w:val="24"/>
        </w:rPr>
      </w:pPr>
      <w:r w:rsidRPr="00DF51A2">
        <w:rPr>
          <w:rFonts w:ascii="Arial" w:eastAsia="Calibri" w:hAnsi="Arial" w:cs="Arial"/>
          <w:b/>
          <w:bCs/>
          <w:i/>
          <w:iCs/>
          <w:color w:val="000000"/>
          <w:sz w:val="24"/>
          <w:szCs w:val="24"/>
        </w:rPr>
        <w:t>Keywords:</w:t>
      </w:r>
      <w:r w:rsidRPr="00DF51A2">
        <w:rPr>
          <w:rFonts w:ascii="Arial" w:eastAsia="Calibri" w:hAnsi="Arial" w:cs="Arial"/>
          <w:i/>
          <w:iCs/>
          <w:color w:val="000000"/>
          <w:sz w:val="24"/>
          <w:szCs w:val="24"/>
        </w:rPr>
        <w:t xml:space="preserve"> </w:t>
      </w:r>
      <w:r w:rsidR="00651B01">
        <w:rPr>
          <w:rFonts w:ascii="Arial" w:eastAsia="Calibri" w:hAnsi="Arial" w:cs="Arial"/>
          <w:i/>
          <w:iCs/>
          <w:color w:val="000000"/>
          <w:sz w:val="24"/>
          <w:szCs w:val="24"/>
        </w:rPr>
        <w:t xml:space="preserve">Asset Management </w:t>
      </w:r>
      <w:r w:rsidRPr="00DF51A2">
        <w:rPr>
          <w:rFonts w:ascii="Arial" w:eastAsia="Calibri" w:hAnsi="Arial" w:cs="Arial"/>
          <w:i/>
          <w:iCs/>
          <w:color w:val="000000"/>
          <w:sz w:val="24"/>
          <w:szCs w:val="24"/>
        </w:rPr>
        <w:t>Checklist,</w:t>
      </w:r>
      <w:r w:rsidR="00651B01">
        <w:rPr>
          <w:rFonts w:ascii="Arial" w:eastAsia="Calibri" w:hAnsi="Arial" w:cs="Arial"/>
          <w:i/>
          <w:iCs/>
          <w:color w:val="000000"/>
          <w:sz w:val="24"/>
          <w:szCs w:val="24"/>
        </w:rPr>
        <w:t xml:space="preserve"> 232 Healthcare</w:t>
      </w:r>
      <w:r w:rsidRPr="00DF51A2">
        <w:rPr>
          <w:rFonts w:ascii="Arial" w:eastAsia="Calibri" w:hAnsi="Arial" w:cs="Arial"/>
          <w:i/>
          <w:iCs/>
          <w:color w:val="000000"/>
          <w:sz w:val="24"/>
          <w:szCs w:val="24"/>
        </w:rPr>
        <w:t xml:space="preserve"> Portal</w:t>
      </w:r>
    </w:p>
    <w:p w14:paraId="2D5637FB" w14:textId="67D94A65" w:rsidR="00DF51A2" w:rsidRDefault="00DF51A2" w:rsidP="00DF51A2">
      <w:pPr>
        <w:spacing w:after="0" w:line="240" w:lineRule="auto"/>
        <w:rPr>
          <w:rFonts w:ascii="Arial" w:eastAsia="Calibri" w:hAnsi="Arial" w:cs="Arial"/>
          <w:b/>
          <w:sz w:val="24"/>
          <w:szCs w:val="24"/>
        </w:rPr>
      </w:pPr>
    </w:p>
    <w:p w14:paraId="2AD6E2E5" w14:textId="77777777" w:rsidR="00A526D6" w:rsidRPr="001754B1" w:rsidRDefault="001B72A7" w:rsidP="00A526D6">
      <w:pPr>
        <w:spacing w:after="0" w:line="240" w:lineRule="auto"/>
        <w:rPr>
          <w:rFonts w:ascii="Arial" w:eastAsia="Calibri" w:hAnsi="Arial" w:cs="Arial"/>
          <w:color w:val="2F5496" w:themeColor="accent1" w:themeShade="BF"/>
          <w:sz w:val="24"/>
          <w:szCs w:val="24"/>
          <w:u w:val="single"/>
        </w:rPr>
      </w:pPr>
      <w:hyperlink w:anchor="_top" w:history="1">
        <w:r w:rsidR="00A526D6" w:rsidRPr="001754B1">
          <w:rPr>
            <w:rFonts w:ascii="Arial" w:eastAsia="Calibri" w:hAnsi="Arial" w:cs="Arial"/>
            <w:color w:val="2F5496" w:themeColor="accent1" w:themeShade="BF"/>
            <w:sz w:val="24"/>
            <w:szCs w:val="24"/>
            <w:u w:val="single"/>
          </w:rPr>
          <w:t>Back to top</w:t>
        </w:r>
      </w:hyperlink>
    </w:p>
    <w:p w14:paraId="3407D082" w14:textId="77777777" w:rsidR="00A526D6" w:rsidRPr="00DF51A2" w:rsidRDefault="00A526D6" w:rsidP="00DF51A2">
      <w:pPr>
        <w:spacing w:after="0" w:line="240" w:lineRule="auto"/>
        <w:rPr>
          <w:rFonts w:ascii="Arial" w:eastAsia="Calibri" w:hAnsi="Arial" w:cs="Arial"/>
          <w:b/>
          <w:sz w:val="24"/>
          <w:szCs w:val="24"/>
        </w:rPr>
      </w:pPr>
    </w:p>
    <w:p w14:paraId="5FAE7578" w14:textId="0EC172F5" w:rsidR="00DF51A2" w:rsidRDefault="00DF51A2" w:rsidP="00DF51A2">
      <w:pPr>
        <w:spacing w:after="0" w:line="240" w:lineRule="auto"/>
        <w:rPr>
          <w:rFonts w:ascii="Arial" w:eastAsia="Calibri" w:hAnsi="Arial" w:cs="Arial"/>
          <w:b/>
          <w:sz w:val="24"/>
          <w:szCs w:val="24"/>
        </w:rPr>
      </w:pPr>
    </w:p>
    <w:p w14:paraId="2E63DE72" w14:textId="582724F8" w:rsidR="00C01682" w:rsidRDefault="00C01682" w:rsidP="00DF51A2">
      <w:pPr>
        <w:spacing w:after="0" w:line="240" w:lineRule="auto"/>
        <w:rPr>
          <w:rFonts w:ascii="Arial" w:eastAsia="Calibri" w:hAnsi="Arial" w:cs="Arial"/>
          <w:b/>
          <w:sz w:val="24"/>
          <w:szCs w:val="24"/>
        </w:rPr>
      </w:pPr>
    </w:p>
    <w:p w14:paraId="70C22831" w14:textId="665A4723" w:rsidR="00C01682" w:rsidRDefault="00C01682" w:rsidP="00DF51A2">
      <w:pPr>
        <w:spacing w:after="0" w:line="240" w:lineRule="auto"/>
        <w:rPr>
          <w:rFonts w:ascii="Arial" w:eastAsia="Calibri" w:hAnsi="Arial" w:cs="Arial"/>
          <w:b/>
          <w:sz w:val="24"/>
          <w:szCs w:val="24"/>
        </w:rPr>
      </w:pPr>
    </w:p>
    <w:p w14:paraId="3067FAC8" w14:textId="266EBC3C" w:rsidR="00C01682" w:rsidRDefault="00C01682" w:rsidP="00DF51A2">
      <w:pPr>
        <w:spacing w:after="0" w:line="240" w:lineRule="auto"/>
        <w:rPr>
          <w:rFonts w:ascii="Arial" w:eastAsia="Calibri" w:hAnsi="Arial" w:cs="Arial"/>
          <w:b/>
          <w:sz w:val="24"/>
          <w:szCs w:val="24"/>
        </w:rPr>
      </w:pPr>
    </w:p>
    <w:p w14:paraId="01380405" w14:textId="77777777" w:rsidR="00C01682" w:rsidRPr="00DF51A2" w:rsidRDefault="00C01682" w:rsidP="00DF51A2">
      <w:pPr>
        <w:spacing w:after="0" w:line="240" w:lineRule="auto"/>
        <w:rPr>
          <w:rFonts w:ascii="Arial" w:eastAsia="Calibri" w:hAnsi="Arial" w:cs="Arial"/>
          <w:b/>
          <w:sz w:val="24"/>
          <w:szCs w:val="24"/>
        </w:rPr>
      </w:pPr>
    </w:p>
    <w:p w14:paraId="42DD5BE7" w14:textId="77777777" w:rsidR="00DF51A2" w:rsidRPr="00DF51A2" w:rsidRDefault="00DF51A2" w:rsidP="00DF51A2">
      <w:pPr>
        <w:spacing w:after="120" w:line="240" w:lineRule="auto"/>
        <w:outlineLvl w:val="0"/>
        <w:rPr>
          <w:rFonts w:ascii="Arial" w:eastAsia="Calibri" w:hAnsi="Arial" w:cs="Times New Roman"/>
          <w:bCs/>
          <w:caps/>
          <w:color w:val="000066"/>
          <w:sz w:val="28"/>
          <w:szCs w:val="32"/>
        </w:rPr>
      </w:pPr>
      <w:bookmarkStart w:id="28" w:name="_Toc396209070"/>
      <w:bookmarkStart w:id="29" w:name="_Toc33003852"/>
      <w:r w:rsidRPr="00DF51A2">
        <w:rPr>
          <w:rFonts w:ascii="Arial" w:eastAsia="Calibri" w:hAnsi="Arial" w:cs="Times New Roman"/>
          <w:bCs/>
          <w:caps/>
          <w:color w:val="000066"/>
          <w:sz w:val="28"/>
          <w:szCs w:val="32"/>
        </w:rPr>
        <w:lastRenderedPageBreak/>
        <w:t>FROM THE CLOSING CORNER</w:t>
      </w:r>
      <w:bookmarkEnd w:id="28"/>
      <w:bookmarkEnd w:id="29"/>
    </w:p>
    <w:p w14:paraId="411B888E" w14:textId="77777777" w:rsidR="00DF51A2" w:rsidRPr="00DF51A2" w:rsidRDefault="00DF51A2" w:rsidP="00DF51A2">
      <w:pPr>
        <w:spacing w:after="120" w:line="240" w:lineRule="auto"/>
        <w:outlineLvl w:val="1"/>
        <w:rPr>
          <w:rFonts w:ascii="Arial" w:eastAsia="Calibri" w:hAnsi="Arial" w:cs="Arial"/>
          <w:bCs/>
          <w:color w:val="000066"/>
          <w:sz w:val="28"/>
          <w:szCs w:val="24"/>
        </w:rPr>
      </w:pPr>
      <w:bookmarkStart w:id="30" w:name="_Toc33003853"/>
      <w:r w:rsidRPr="00DF51A2">
        <w:rPr>
          <w:rFonts w:ascii="Arial" w:eastAsia="Calibri" w:hAnsi="Arial" w:cs="Arial"/>
          <w:bCs/>
          <w:color w:val="000066"/>
          <w:sz w:val="28"/>
          <w:szCs w:val="24"/>
        </w:rPr>
        <w:t>Last Minute Issues Prior to Closing – Procedures for Newly Discovered Litigation</w:t>
      </w:r>
      <w:bookmarkEnd w:id="30"/>
    </w:p>
    <w:p w14:paraId="58528F0B" w14:textId="16F0C33E"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As a reminder, as stated in the</w:t>
      </w:r>
      <w:r w:rsidR="008C0D14">
        <w:rPr>
          <w:rFonts w:ascii="Arial" w:eastAsia="Calibri" w:hAnsi="Arial" w:cs="Arial"/>
          <w:sz w:val="24"/>
          <w:szCs w:val="24"/>
        </w:rPr>
        <w:t xml:space="preserve"> </w:t>
      </w:r>
      <w:r w:rsidR="00C53236">
        <w:rPr>
          <w:rFonts w:ascii="Arial" w:eastAsia="Calibri" w:hAnsi="Arial" w:cs="Arial"/>
          <w:sz w:val="24"/>
          <w:szCs w:val="24"/>
        </w:rPr>
        <w:t>August 28, 2013</w:t>
      </w:r>
      <w:r w:rsidRPr="00DF51A2">
        <w:rPr>
          <w:rFonts w:ascii="Arial" w:eastAsia="Calibri" w:hAnsi="Arial" w:cs="Arial"/>
          <w:sz w:val="24"/>
          <w:szCs w:val="24"/>
        </w:rPr>
        <w:t xml:space="preserve">, </w:t>
      </w:r>
      <w:r w:rsidR="00C53236">
        <w:rPr>
          <w:rFonts w:ascii="Arial" w:eastAsia="Calibri" w:hAnsi="Arial" w:cs="Arial"/>
          <w:sz w:val="24"/>
          <w:szCs w:val="24"/>
        </w:rPr>
        <w:t xml:space="preserve">February 27, 2014, </w:t>
      </w:r>
      <w:r w:rsidRPr="00DF51A2">
        <w:rPr>
          <w:rFonts w:ascii="Arial" w:eastAsia="Calibri" w:hAnsi="Arial" w:cs="Arial"/>
          <w:sz w:val="24"/>
          <w:szCs w:val="24"/>
        </w:rPr>
        <w:t xml:space="preserve">and </w:t>
      </w:r>
      <w:r w:rsidR="00C53236">
        <w:rPr>
          <w:rFonts w:ascii="Arial" w:eastAsia="Calibri" w:hAnsi="Arial" w:cs="Arial"/>
          <w:sz w:val="24"/>
          <w:szCs w:val="24"/>
        </w:rPr>
        <w:t>December 21, 2016</w:t>
      </w:r>
      <w:r w:rsidRPr="00DF51A2">
        <w:rPr>
          <w:rFonts w:ascii="Arial" w:eastAsia="Calibri" w:hAnsi="Arial" w:cs="Arial"/>
          <w:sz w:val="24"/>
          <w:szCs w:val="24"/>
        </w:rPr>
        <w:t xml:space="preserve"> Email Blasts, to help to avoid delays in closing </w:t>
      </w:r>
      <w:r w:rsidR="00E31942">
        <w:rPr>
          <w:rFonts w:ascii="Arial" w:eastAsia="Calibri" w:hAnsi="Arial" w:cs="Arial"/>
          <w:sz w:val="24"/>
          <w:szCs w:val="24"/>
        </w:rPr>
        <w:t xml:space="preserve">Section </w:t>
      </w:r>
      <w:r w:rsidRPr="00DF51A2">
        <w:rPr>
          <w:rFonts w:ascii="Arial" w:eastAsia="Calibri" w:hAnsi="Arial" w:cs="Arial"/>
          <w:sz w:val="24"/>
          <w:szCs w:val="24"/>
        </w:rPr>
        <w:t xml:space="preserve">232 projects,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is restating procedures for newly discovered litigation.</w:t>
      </w:r>
    </w:p>
    <w:p w14:paraId="72468291" w14:textId="77777777" w:rsidR="00DF51A2" w:rsidRPr="00DF51A2" w:rsidRDefault="00DF51A2" w:rsidP="00DF51A2">
      <w:pPr>
        <w:spacing w:after="0" w:line="240" w:lineRule="auto"/>
        <w:rPr>
          <w:rFonts w:ascii="Arial" w:eastAsia="Calibri" w:hAnsi="Arial" w:cs="Arial"/>
          <w:sz w:val="24"/>
          <w:szCs w:val="24"/>
        </w:rPr>
      </w:pPr>
    </w:p>
    <w:p w14:paraId="160BF242" w14:textId="77777777" w:rsidR="00DF51A2" w:rsidRPr="00DF51A2" w:rsidRDefault="00DF51A2" w:rsidP="00DF51A2">
      <w:pPr>
        <w:spacing w:after="0" w:line="240" w:lineRule="auto"/>
        <w:rPr>
          <w:rFonts w:ascii="Arial" w:eastAsia="Calibri" w:hAnsi="Arial" w:cs="Arial"/>
          <w:sz w:val="24"/>
          <w:szCs w:val="24"/>
        </w:rPr>
      </w:pP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no longer collects litigation searches (except where required by the Attorney’s Opinion as an Exhibit).  Please note that the Attorney’s Opinion form requires the attorney signing it to opine that, to such attorney’s knowledge, based on the Docket Searches and the Attorney’s Opinion Certification, there is no litigation or other claim pending before any court or administrative or other governmental body against the Borrower or General Partner/Managing Member, Operator or the Project except as has been disclosed in Exhibit F to the Opinion.</w:t>
      </w:r>
    </w:p>
    <w:p w14:paraId="635991EF" w14:textId="77777777" w:rsidR="00DF51A2" w:rsidRPr="00DF51A2" w:rsidRDefault="00DF51A2" w:rsidP="00DF51A2">
      <w:pPr>
        <w:spacing w:after="0" w:line="240" w:lineRule="auto"/>
        <w:rPr>
          <w:rFonts w:ascii="Arial" w:eastAsia="Calibri" w:hAnsi="Arial" w:cs="Arial"/>
          <w:b/>
          <w:bCs/>
          <w:sz w:val="24"/>
          <w:szCs w:val="24"/>
          <w:u w:val="single"/>
        </w:rPr>
      </w:pPr>
    </w:p>
    <w:p w14:paraId="7E40745B" w14:textId="77777777" w:rsidR="00DF51A2" w:rsidRPr="00DF51A2" w:rsidRDefault="00DF51A2" w:rsidP="00DF51A2">
      <w:pPr>
        <w:spacing w:after="0" w:line="240" w:lineRule="auto"/>
        <w:rPr>
          <w:rFonts w:ascii="Arial" w:eastAsia="Calibri" w:hAnsi="Arial" w:cs="Arial"/>
          <w:b/>
          <w:bCs/>
          <w:sz w:val="24"/>
          <w:szCs w:val="24"/>
          <w:u w:val="single"/>
        </w:rPr>
      </w:pPr>
      <w:r w:rsidRPr="00DF51A2">
        <w:rPr>
          <w:rFonts w:ascii="Arial" w:eastAsia="Calibri" w:hAnsi="Arial" w:cs="Arial"/>
          <w:b/>
          <w:bCs/>
          <w:sz w:val="24"/>
          <w:szCs w:val="24"/>
          <w:u w:val="single"/>
        </w:rPr>
        <w:t>Please keep in mind the following timeframes:</w:t>
      </w:r>
    </w:p>
    <w:p w14:paraId="09BCD4E7" w14:textId="77777777" w:rsidR="00DF51A2" w:rsidRPr="00DF51A2" w:rsidRDefault="00DF51A2" w:rsidP="00DF51A2">
      <w:pPr>
        <w:numPr>
          <w:ilvl w:val="0"/>
          <w:numId w:val="3"/>
        </w:numPr>
        <w:spacing w:after="0" w:line="240" w:lineRule="auto"/>
        <w:rPr>
          <w:rFonts w:ascii="Arial" w:eastAsia="Times New Roman" w:hAnsi="Arial" w:cs="Arial"/>
          <w:sz w:val="24"/>
          <w:szCs w:val="24"/>
        </w:rPr>
      </w:pPr>
      <w:r w:rsidRPr="00DF51A2">
        <w:rPr>
          <w:rFonts w:ascii="Arial" w:eastAsia="Times New Roman" w:hAnsi="Arial" w:cs="Arial"/>
          <w:b/>
          <w:bCs/>
          <w:sz w:val="24"/>
          <w:szCs w:val="24"/>
          <w:u w:val="single"/>
        </w:rPr>
        <w:t xml:space="preserve">Searches: </w:t>
      </w:r>
      <w:r w:rsidRPr="00DF51A2">
        <w:rPr>
          <w:rFonts w:ascii="Arial" w:eastAsia="Times New Roman" w:hAnsi="Arial" w:cs="Arial"/>
          <w:sz w:val="24"/>
          <w:szCs w:val="24"/>
        </w:rPr>
        <w:t xml:space="preserve"> Searches should be run and analyzed by the Lender </w:t>
      </w:r>
      <w:r w:rsidRPr="00DF51A2">
        <w:rPr>
          <w:rFonts w:ascii="Arial" w:eastAsia="Times New Roman" w:hAnsi="Arial" w:cs="Arial"/>
          <w:b/>
          <w:bCs/>
          <w:i/>
          <w:iCs/>
          <w:sz w:val="24"/>
          <w:szCs w:val="24"/>
        </w:rPr>
        <w:t>no earlier than 30 days before closing and no later than 10 business days before closing</w:t>
      </w:r>
      <w:r w:rsidRPr="00DF51A2">
        <w:rPr>
          <w:rFonts w:ascii="Arial" w:eastAsia="Times New Roman" w:hAnsi="Arial" w:cs="Arial"/>
          <w:sz w:val="24"/>
          <w:szCs w:val="24"/>
        </w:rPr>
        <w:t xml:space="preserve">.  </w:t>
      </w:r>
    </w:p>
    <w:p w14:paraId="2C404F8D" w14:textId="77777777" w:rsidR="00DF51A2" w:rsidRPr="00DF51A2" w:rsidRDefault="00DF51A2" w:rsidP="00DF51A2">
      <w:pPr>
        <w:spacing w:after="0" w:line="240" w:lineRule="auto"/>
        <w:rPr>
          <w:rFonts w:ascii="Arial" w:eastAsia="Calibri" w:hAnsi="Arial" w:cs="Arial"/>
          <w:b/>
          <w:bCs/>
          <w:i/>
          <w:iCs/>
          <w:sz w:val="24"/>
          <w:szCs w:val="24"/>
          <w:u w:val="single"/>
        </w:rPr>
      </w:pPr>
    </w:p>
    <w:p w14:paraId="3A389F74" w14:textId="77777777" w:rsidR="00DF51A2" w:rsidRPr="00DF51A2" w:rsidRDefault="00DF51A2" w:rsidP="00DF51A2">
      <w:pPr>
        <w:numPr>
          <w:ilvl w:val="0"/>
          <w:numId w:val="3"/>
        </w:numPr>
        <w:spacing w:after="0" w:line="240" w:lineRule="auto"/>
        <w:rPr>
          <w:rFonts w:ascii="Arial" w:eastAsia="Times New Roman" w:hAnsi="Arial" w:cs="Arial"/>
          <w:sz w:val="24"/>
          <w:szCs w:val="24"/>
        </w:rPr>
      </w:pPr>
      <w:r w:rsidRPr="00DF51A2">
        <w:rPr>
          <w:rFonts w:ascii="Arial" w:eastAsia="Times New Roman" w:hAnsi="Arial" w:cs="Arial"/>
          <w:b/>
          <w:bCs/>
          <w:i/>
          <w:iCs/>
          <w:sz w:val="24"/>
          <w:szCs w:val="24"/>
          <w:u w:val="single"/>
        </w:rPr>
        <w:t>Newly Discovered Litigation?</w:t>
      </w:r>
      <w:r w:rsidRPr="00DF51A2">
        <w:rPr>
          <w:rFonts w:ascii="Arial" w:eastAsia="Times New Roman" w:hAnsi="Arial" w:cs="Arial"/>
          <w:i/>
          <w:iCs/>
          <w:sz w:val="24"/>
          <w:szCs w:val="24"/>
        </w:rPr>
        <w:t xml:space="preserve">  </w:t>
      </w:r>
      <w:r w:rsidRPr="00DF51A2">
        <w:rPr>
          <w:rFonts w:ascii="Arial" w:eastAsia="Times New Roman" w:hAnsi="Arial" w:cs="Arial"/>
          <w:b/>
          <w:bCs/>
          <w:i/>
          <w:iCs/>
          <w:sz w:val="24"/>
          <w:szCs w:val="24"/>
          <w:u w:val="single"/>
        </w:rPr>
        <w:t>No later than 5 business days prior to the scheduled closing</w:t>
      </w:r>
      <w:r w:rsidRPr="00DF51A2">
        <w:rPr>
          <w:rFonts w:ascii="Arial" w:eastAsia="Times New Roman" w:hAnsi="Arial" w:cs="Arial"/>
          <w:sz w:val="24"/>
          <w:szCs w:val="24"/>
        </w:rPr>
        <w:t xml:space="preserve">, Lenders must disclose to HUD any newly discovered litigation (“newly” meaning not previously disclosed to </w:t>
      </w:r>
      <w:proofErr w:type="spellStart"/>
      <w:r w:rsidRPr="00DF51A2">
        <w:rPr>
          <w:rFonts w:ascii="Arial" w:eastAsia="Times New Roman" w:hAnsi="Arial" w:cs="Arial"/>
          <w:sz w:val="24"/>
          <w:szCs w:val="24"/>
        </w:rPr>
        <w:t>ORCF</w:t>
      </w:r>
      <w:proofErr w:type="spellEnd"/>
      <w:r w:rsidRPr="00DF51A2">
        <w:rPr>
          <w:rFonts w:ascii="Arial" w:eastAsia="Times New Roman" w:hAnsi="Arial" w:cs="Arial"/>
          <w:sz w:val="24"/>
          <w:szCs w:val="24"/>
        </w:rPr>
        <w:t xml:space="preserve"> in the application process), the Lender must also address the following:</w:t>
      </w:r>
    </w:p>
    <w:p w14:paraId="2949E6B4" w14:textId="77777777" w:rsidR="00DF51A2" w:rsidRPr="00DF51A2" w:rsidRDefault="00DF51A2" w:rsidP="00DF51A2">
      <w:pPr>
        <w:numPr>
          <w:ilvl w:val="0"/>
          <w:numId w:val="4"/>
        </w:numPr>
        <w:spacing w:after="0" w:line="240" w:lineRule="auto"/>
        <w:rPr>
          <w:rFonts w:ascii="Arial" w:eastAsia="Times New Roman" w:hAnsi="Arial" w:cs="Arial"/>
          <w:sz w:val="24"/>
          <w:szCs w:val="24"/>
        </w:rPr>
      </w:pPr>
      <w:r w:rsidRPr="00DF51A2">
        <w:rPr>
          <w:rFonts w:ascii="Arial" w:eastAsia="Times New Roman" w:hAnsi="Arial" w:cs="Arial"/>
          <w:sz w:val="24"/>
          <w:szCs w:val="24"/>
        </w:rPr>
        <w:t xml:space="preserve">Name and discussion of each newly discovered lawsuit, including estimated potential </w:t>
      </w:r>
      <w:proofErr w:type="gramStart"/>
      <w:r w:rsidRPr="00DF51A2">
        <w:rPr>
          <w:rFonts w:ascii="Arial" w:eastAsia="Times New Roman" w:hAnsi="Arial" w:cs="Arial"/>
          <w:sz w:val="24"/>
          <w:szCs w:val="24"/>
        </w:rPr>
        <w:t>liability;</w:t>
      </w:r>
      <w:proofErr w:type="gramEnd"/>
    </w:p>
    <w:p w14:paraId="13245EC3" w14:textId="77777777" w:rsidR="00DF51A2" w:rsidRPr="00DF51A2" w:rsidRDefault="00DF51A2" w:rsidP="00DF51A2">
      <w:pPr>
        <w:numPr>
          <w:ilvl w:val="0"/>
          <w:numId w:val="4"/>
        </w:numPr>
        <w:spacing w:after="0" w:line="240" w:lineRule="auto"/>
        <w:rPr>
          <w:rFonts w:ascii="Arial" w:eastAsia="Times New Roman" w:hAnsi="Arial" w:cs="Arial"/>
          <w:sz w:val="24"/>
          <w:szCs w:val="24"/>
        </w:rPr>
      </w:pPr>
      <w:r w:rsidRPr="00DF51A2">
        <w:rPr>
          <w:rFonts w:ascii="Arial" w:eastAsia="Times New Roman" w:hAnsi="Arial" w:cs="Arial"/>
          <w:sz w:val="24"/>
          <w:szCs w:val="24"/>
        </w:rPr>
        <w:t xml:space="preserve">Whether each newly discovered lawsuit is of the type covered by insurance or whether the lawsuit is for a claim not covered by </w:t>
      </w:r>
      <w:proofErr w:type="gramStart"/>
      <w:r w:rsidRPr="00DF51A2">
        <w:rPr>
          <w:rFonts w:ascii="Arial" w:eastAsia="Times New Roman" w:hAnsi="Arial" w:cs="Arial"/>
          <w:sz w:val="24"/>
          <w:szCs w:val="24"/>
        </w:rPr>
        <w:t>insurance;</w:t>
      </w:r>
      <w:proofErr w:type="gramEnd"/>
      <w:r w:rsidRPr="00DF51A2">
        <w:rPr>
          <w:rFonts w:ascii="Arial" w:eastAsia="Times New Roman" w:hAnsi="Arial" w:cs="Arial"/>
          <w:sz w:val="24"/>
          <w:szCs w:val="24"/>
        </w:rPr>
        <w:t xml:space="preserve">  </w:t>
      </w:r>
    </w:p>
    <w:p w14:paraId="75540A5F" w14:textId="77777777" w:rsidR="00DF51A2" w:rsidRPr="00DF51A2" w:rsidRDefault="00DF51A2" w:rsidP="00DF51A2">
      <w:pPr>
        <w:numPr>
          <w:ilvl w:val="0"/>
          <w:numId w:val="4"/>
        </w:numPr>
        <w:spacing w:after="0" w:line="240" w:lineRule="auto"/>
        <w:rPr>
          <w:rFonts w:ascii="Arial" w:eastAsia="Times New Roman" w:hAnsi="Arial" w:cs="Arial"/>
          <w:sz w:val="24"/>
          <w:szCs w:val="24"/>
        </w:rPr>
      </w:pPr>
      <w:r w:rsidRPr="00DF51A2">
        <w:rPr>
          <w:rFonts w:ascii="Arial" w:eastAsia="Times New Roman" w:hAnsi="Arial" w:cs="Arial"/>
          <w:sz w:val="24"/>
          <w:szCs w:val="24"/>
        </w:rPr>
        <w:t>The amount of liability insurance available to cover each newly discovered lawsuit and other pending claims and judgments and the estimated potential liability for such other lawsuits/judgments; and</w:t>
      </w:r>
    </w:p>
    <w:p w14:paraId="341ECCCF" w14:textId="77777777" w:rsidR="00DF51A2" w:rsidRPr="00DF51A2" w:rsidRDefault="00DF51A2" w:rsidP="00DF51A2">
      <w:pPr>
        <w:numPr>
          <w:ilvl w:val="0"/>
          <w:numId w:val="4"/>
        </w:numPr>
        <w:spacing w:after="0" w:line="240" w:lineRule="auto"/>
        <w:rPr>
          <w:rFonts w:ascii="Arial" w:eastAsia="Times New Roman" w:hAnsi="Arial" w:cs="Arial"/>
          <w:sz w:val="24"/>
          <w:szCs w:val="24"/>
        </w:rPr>
      </w:pPr>
      <w:r w:rsidRPr="00DF51A2">
        <w:rPr>
          <w:rFonts w:ascii="Arial" w:eastAsia="Times New Roman" w:hAnsi="Arial" w:cs="Arial"/>
          <w:sz w:val="24"/>
          <w:szCs w:val="24"/>
        </w:rPr>
        <w:t>Identify who bears the cost of defense of each newly discovered lawsuit and whether the insurance company is participating in the defense.</w:t>
      </w:r>
    </w:p>
    <w:p w14:paraId="1CA3E310" w14:textId="77777777" w:rsidR="00DF51A2" w:rsidRPr="00DF51A2" w:rsidRDefault="00DF51A2" w:rsidP="00DF51A2">
      <w:pPr>
        <w:numPr>
          <w:ilvl w:val="0"/>
          <w:numId w:val="4"/>
        </w:numPr>
        <w:spacing w:after="0" w:line="240" w:lineRule="auto"/>
        <w:rPr>
          <w:rFonts w:ascii="Arial" w:eastAsia="Times New Roman" w:hAnsi="Arial" w:cs="Arial"/>
          <w:b/>
          <w:bCs/>
          <w:i/>
          <w:iCs/>
          <w:sz w:val="24"/>
          <w:szCs w:val="24"/>
          <w:u w:val="single"/>
        </w:rPr>
      </w:pPr>
      <w:r w:rsidRPr="00DF51A2">
        <w:rPr>
          <w:rFonts w:ascii="Arial" w:eastAsia="Times New Roman" w:hAnsi="Arial" w:cs="Arial"/>
          <w:b/>
          <w:bCs/>
          <w:i/>
          <w:iCs/>
          <w:sz w:val="24"/>
          <w:szCs w:val="24"/>
          <w:u w:val="single"/>
        </w:rPr>
        <w:t>An opinion from the Lender’s Underwriter that the litigation is mitigated (e.g. covered by insurance) and will have no material impact on the project or underwriting.</w:t>
      </w:r>
    </w:p>
    <w:p w14:paraId="564AA9B0" w14:textId="77777777" w:rsidR="00DF51A2" w:rsidRPr="00DF51A2" w:rsidRDefault="00DF51A2" w:rsidP="00DF51A2">
      <w:pPr>
        <w:spacing w:after="0" w:line="240" w:lineRule="auto"/>
        <w:rPr>
          <w:rFonts w:ascii="Arial" w:eastAsia="Calibri" w:hAnsi="Arial" w:cs="Arial"/>
          <w:sz w:val="24"/>
          <w:szCs w:val="24"/>
        </w:rPr>
      </w:pPr>
    </w:p>
    <w:p w14:paraId="095CACB8" w14:textId="76D54851" w:rsidR="00DF51A2" w:rsidRPr="00DF51A2" w:rsidRDefault="00DF51A2" w:rsidP="00DF51A2">
      <w:pPr>
        <w:spacing w:after="0" w:line="240" w:lineRule="auto"/>
        <w:ind w:left="720"/>
        <w:rPr>
          <w:rFonts w:ascii="Arial" w:eastAsia="Calibri" w:hAnsi="Arial" w:cs="Arial"/>
          <w:sz w:val="24"/>
          <w:szCs w:val="24"/>
        </w:rPr>
      </w:pPr>
      <w:r w:rsidRPr="00DF51A2">
        <w:rPr>
          <w:rFonts w:ascii="Arial" w:eastAsia="Calibri" w:hAnsi="Arial" w:cs="Arial"/>
          <w:sz w:val="24"/>
          <w:szCs w:val="24"/>
        </w:rPr>
        <w:t xml:space="preserve">Any issues will need to be cleared by </w:t>
      </w:r>
      <w:proofErr w:type="spellStart"/>
      <w:r w:rsidRPr="00DF51A2">
        <w:rPr>
          <w:rFonts w:ascii="Arial" w:eastAsia="Calibri" w:hAnsi="Arial" w:cs="Arial"/>
          <w:sz w:val="24"/>
          <w:szCs w:val="24"/>
        </w:rPr>
        <w:t>ORCF</w:t>
      </w:r>
      <w:proofErr w:type="spellEnd"/>
      <w:r w:rsidRPr="00DF51A2">
        <w:rPr>
          <w:rFonts w:ascii="Arial" w:eastAsia="Calibri" w:hAnsi="Arial" w:cs="Arial"/>
          <w:sz w:val="24"/>
          <w:szCs w:val="24"/>
        </w:rPr>
        <w:t xml:space="preserve"> and </w:t>
      </w:r>
      <w:r w:rsidR="00C53236">
        <w:rPr>
          <w:rFonts w:ascii="Arial" w:eastAsia="Calibri" w:hAnsi="Arial" w:cs="Arial"/>
          <w:sz w:val="24"/>
          <w:szCs w:val="24"/>
        </w:rPr>
        <w:t>HUD’s Office of General Counsel</w:t>
      </w:r>
      <w:r w:rsidR="008C0D14">
        <w:rPr>
          <w:rFonts w:ascii="Arial" w:eastAsia="Calibri" w:hAnsi="Arial" w:cs="Arial"/>
          <w:sz w:val="24"/>
          <w:szCs w:val="24"/>
        </w:rPr>
        <w:t xml:space="preserve"> </w:t>
      </w:r>
      <w:r w:rsidRPr="00DF51A2">
        <w:rPr>
          <w:rFonts w:ascii="Arial" w:eastAsia="Calibri" w:hAnsi="Arial" w:cs="Arial"/>
          <w:sz w:val="24"/>
          <w:szCs w:val="24"/>
        </w:rPr>
        <w:t xml:space="preserve">prior to closing. Prompt disclosure to HUD of newly discovered litigation will minimize the risks of delays in closing. </w:t>
      </w:r>
    </w:p>
    <w:p w14:paraId="435AB1E9" w14:textId="77777777" w:rsidR="00DF51A2" w:rsidRPr="00DF51A2" w:rsidRDefault="00DF51A2" w:rsidP="00DF51A2">
      <w:pPr>
        <w:spacing w:after="0" w:line="240" w:lineRule="auto"/>
        <w:rPr>
          <w:rFonts w:ascii="Arial" w:eastAsia="Calibri" w:hAnsi="Arial" w:cs="Arial"/>
          <w:b/>
          <w:sz w:val="24"/>
          <w:szCs w:val="24"/>
        </w:rPr>
      </w:pPr>
    </w:p>
    <w:p w14:paraId="096811C9" w14:textId="357C6316" w:rsidR="00DF51A2" w:rsidRPr="00DF51A2" w:rsidRDefault="00DF51A2" w:rsidP="00DF51A2">
      <w:pPr>
        <w:spacing w:after="0" w:line="240" w:lineRule="auto"/>
        <w:rPr>
          <w:rFonts w:ascii="Arial" w:eastAsia="MS Mincho" w:hAnsi="Arial" w:cs="Arial"/>
          <w:i/>
          <w:sz w:val="24"/>
          <w:szCs w:val="24"/>
        </w:rPr>
      </w:pPr>
      <w:r w:rsidRPr="00DF51A2">
        <w:rPr>
          <w:rFonts w:ascii="Arial" w:eastAsia="MS Mincho" w:hAnsi="Arial" w:cs="Arial"/>
          <w:b/>
          <w:i/>
          <w:sz w:val="24"/>
          <w:szCs w:val="24"/>
        </w:rPr>
        <w:t>Keywords:</w:t>
      </w:r>
      <w:r w:rsidRPr="00DF51A2">
        <w:rPr>
          <w:rFonts w:ascii="Arial" w:eastAsia="MS Mincho" w:hAnsi="Arial" w:cs="Arial"/>
          <w:i/>
          <w:sz w:val="24"/>
          <w:szCs w:val="24"/>
        </w:rPr>
        <w:tab/>
      </w:r>
      <w:r w:rsidR="000F3A58">
        <w:rPr>
          <w:rFonts w:ascii="Arial" w:eastAsia="MS Mincho" w:hAnsi="Arial" w:cs="Arial"/>
          <w:i/>
          <w:sz w:val="24"/>
          <w:szCs w:val="24"/>
        </w:rPr>
        <w:t>Litigation/</w:t>
      </w:r>
      <w:r w:rsidR="00744B78">
        <w:rPr>
          <w:rFonts w:ascii="Arial" w:eastAsia="MS Mincho" w:hAnsi="Arial" w:cs="Arial"/>
          <w:i/>
          <w:iCs/>
          <w:sz w:val="24"/>
          <w:szCs w:val="24"/>
        </w:rPr>
        <w:t>Docket Searches,</w:t>
      </w:r>
      <w:r w:rsidRPr="00DF51A2">
        <w:rPr>
          <w:rFonts w:ascii="Arial" w:eastAsia="MS Mincho" w:hAnsi="Arial" w:cs="Arial"/>
          <w:i/>
          <w:iCs/>
          <w:sz w:val="24"/>
          <w:szCs w:val="24"/>
        </w:rPr>
        <w:t xml:space="preserve"> Closing</w:t>
      </w:r>
      <w:r w:rsidR="00744B78">
        <w:rPr>
          <w:rFonts w:ascii="Arial" w:eastAsia="MS Mincho" w:hAnsi="Arial" w:cs="Arial"/>
          <w:i/>
          <w:iCs/>
          <w:sz w:val="24"/>
          <w:szCs w:val="24"/>
        </w:rPr>
        <w:t>s</w:t>
      </w:r>
    </w:p>
    <w:p w14:paraId="787F1333" w14:textId="77777777" w:rsidR="00DF51A2" w:rsidRPr="00DF51A2" w:rsidRDefault="00DF51A2" w:rsidP="00DF51A2">
      <w:pPr>
        <w:spacing w:after="0" w:line="240" w:lineRule="auto"/>
        <w:rPr>
          <w:rFonts w:ascii="Arial" w:eastAsia="MS Mincho" w:hAnsi="Arial" w:cs="Arial"/>
          <w:b/>
          <w:sz w:val="24"/>
          <w:szCs w:val="24"/>
        </w:rPr>
      </w:pPr>
    </w:p>
    <w:p w14:paraId="3E107ACC" w14:textId="77777777" w:rsidR="00DF51A2" w:rsidRPr="001754B1" w:rsidRDefault="001B72A7" w:rsidP="00DF51A2">
      <w:pPr>
        <w:spacing w:after="0" w:line="240" w:lineRule="auto"/>
        <w:rPr>
          <w:rFonts w:ascii="Arial" w:eastAsia="Calibri" w:hAnsi="Arial" w:cs="Arial"/>
          <w:color w:val="2F5496" w:themeColor="accent1" w:themeShade="BF"/>
          <w:sz w:val="24"/>
          <w:szCs w:val="24"/>
          <w:u w:val="single"/>
        </w:rPr>
      </w:pPr>
      <w:hyperlink w:anchor="_top" w:history="1">
        <w:r w:rsidR="00DF51A2" w:rsidRPr="001754B1">
          <w:rPr>
            <w:rFonts w:ascii="Arial" w:eastAsia="Calibri" w:hAnsi="Arial" w:cs="Arial"/>
            <w:color w:val="2F5496" w:themeColor="accent1" w:themeShade="BF"/>
            <w:sz w:val="24"/>
            <w:szCs w:val="24"/>
            <w:u w:val="single"/>
          </w:rPr>
          <w:t>Back to top</w:t>
        </w:r>
      </w:hyperlink>
    </w:p>
    <w:p w14:paraId="1943B3E9" w14:textId="4BAA1BAE" w:rsidR="00DF51A2" w:rsidRDefault="00DF51A2" w:rsidP="00DF51A2">
      <w:pPr>
        <w:spacing w:after="0" w:line="240" w:lineRule="auto"/>
        <w:rPr>
          <w:rFonts w:ascii="Arial" w:eastAsia="Calibri" w:hAnsi="Arial" w:cs="Arial"/>
          <w:b/>
          <w:sz w:val="24"/>
          <w:szCs w:val="24"/>
        </w:rPr>
      </w:pPr>
    </w:p>
    <w:p w14:paraId="57F4C245" w14:textId="77777777" w:rsidR="00C01682" w:rsidRPr="00DF51A2" w:rsidRDefault="00C01682" w:rsidP="00DF51A2">
      <w:pPr>
        <w:spacing w:after="0" w:line="240" w:lineRule="auto"/>
        <w:rPr>
          <w:rFonts w:ascii="Arial" w:eastAsia="Calibri" w:hAnsi="Arial" w:cs="Arial"/>
          <w:b/>
          <w:sz w:val="24"/>
          <w:szCs w:val="24"/>
        </w:rPr>
      </w:pPr>
    </w:p>
    <w:p w14:paraId="5559B647" w14:textId="4568AB36" w:rsidR="00DF51A2" w:rsidRPr="00DF51A2" w:rsidRDefault="00DF51A2" w:rsidP="00DF51A2">
      <w:pPr>
        <w:spacing w:after="120" w:line="240" w:lineRule="auto"/>
        <w:outlineLvl w:val="1"/>
        <w:rPr>
          <w:rFonts w:ascii="Arial" w:eastAsia="Calibri" w:hAnsi="Arial" w:cs="Arial"/>
          <w:bCs/>
          <w:color w:val="000066"/>
          <w:sz w:val="28"/>
          <w:szCs w:val="24"/>
        </w:rPr>
      </w:pPr>
      <w:bookmarkStart w:id="31" w:name="_Toc401056504"/>
      <w:bookmarkStart w:id="32" w:name="_Toc33003854"/>
      <w:bookmarkEnd w:id="31"/>
      <w:r w:rsidRPr="00DF51A2">
        <w:rPr>
          <w:rFonts w:ascii="Arial" w:eastAsia="Calibri" w:hAnsi="Arial" w:cs="Arial"/>
          <w:bCs/>
          <w:color w:val="000066"/>
          <w:sz w:val="28"/>
          <w:szCs w:val="24"/>
        </w:rPr>
        <w:lastRenderedPageBreak/>
        <w:t xml:space="preserve">Reminder for </w:t>
      </w:r>
      <w:r w:rsidR="00E31942">
        <w:rPr>
          <w:rFonts w:ascii="Arial" w:eastAsia="Calibri" w:hAnsi="Arial" w:cs="Arial"/>
          <w:bCs/>
          <w:color w:val="000066"/>
          <w:sz w:val="28"/>
          <w:szCs w:val="24"/>
        </w:rPr>
        <w:t xml:space="preserve">Section </w:t>
      </w:r>
      <w:r w:rsidRPr="00DF51A2">
        <w:rPr>
          <w:rFonts w:ascii="Arial" w:eastAsia="Calibri" w:hAnsi="Arial" w:cs="Arial"/>
          <w:bCs/>
          <w:color w:val="000066"/>
          <w:sz w:val="28"/>
          <w:szCs w:val="24"/>
        </w:rPr>
        <w:t>232 New Construction Contracts</w:t>
      </w:r>
      <w:bookmarkEnd w:id="32"/>
    </w:p>
    <w:p w14:paraId="6DB2AA51" w14:textId="294C7FF3" w:rsidR="00DF51A2" w:rsidRPr="00DF51A2" w:rsidRDefault="00DF51A2" w:rsidP="00DF51A2">
      <w:pPr>
        <w:spacing w:after="0" w:line="240" w:lineRule="auto"/>
        <w:rPr>
          <w:rFonts w:ascii="Arial" w:eastAsia="Calibri" w:hAnsi="Arial" w:cs="Arial"/>
          <w:sz w:val="24"/>
          <w:szCs w:val="24"/>
        </w:rPr>
      </w:pPr>
      <w:r w:rsidRPr="00DF51A2">
        <w:rPr>
          <w:rFonts w:ascii="Arial" w:eastAsia="Calibri" w:hAnsi="Arial" w:cs="Arial"/>
          <w:sz w:val="24"/>
          <w:szCs w:val="24"/>
        </w:rPr>
        <w:t xml:space="preserve">Please remember that </w:t>
      </w:r>
      <w:proofErr w:type="spellStart"/>
      <w:r w:rsidRPr="00DF51A2">
        <w:rPr>
          <w:rFonts w:ascii="Arial" w:eastAsia="Calibri" w:hAnsi="Arial" w:cs="Arial"/>
          <w:sz w:val="24"/>
          <w:szCs w:val="24"/>
        </w:rPr>
        <w:t>ORCF’s</w:t>
      </w:r>
      <w:proofErr w:type="spellEnd"/>
      <w:r w:rsidRPr="00DF51A2">
        <w:rPr>
          <w:rFonts w:ascii="Arial" w:eastAsia="Calibri" w:hAnsi="Arial" w:cs="Arial"/>
          <w:sz w:val="24"/>
          <w:szCs w:val="24"/>
        </w:rPr>
        <w:t xml:space="preserve"> policy for Retainage Reduction Riders attached to executed HUD Construction Contracts must be in accordance with Healthcare’s policy found in </w:t>
      </w:r>
      <w:r w:rsidR="008C0D14">
        <w:rPr>
          <w:rFonts w:ascii="Arial" w:eastAsia="Calibri" w:hAnsi="Arial" w:cs="Arial"/>
          <w:sz w:val="24"/>
          <w:szCs w:val="24"/>
        </w:rPr>
        <w:t>Handbook</w:t>
      </w:r>
      <w:r w:rsidRPr="00DF51A2">
        <w:rPr>
          <w:rFonts w:ascii="Arial" w:eastAsia="Calibri" w:hAnsi="Arial" w:cs="Arial"/>
          <w:sz w:val="24"/>
          <w:szCs w:val="24"/>
        </w:rPr>
        <w:t xml:space="preserve"> 4232.1, Section II, Chapter 10.15</w:t>
      </w:r>
      <w:r w:rsidR="008C0D14">
        <w:rPr>
          <w:rFonts w:ascii="Arial" w:eastAsia="Calibri" w:hAnsi="Arial" w:cs="Arial"/>
          <w:sz w:val="24"/>
          <w:szCs w:val="24"/>
        </w:rPr>
        <w:t>.</w:t>
      </w:r>
      <w:r w:rsidRPr="00DF51A2">
        <w:rPr>
          <w:rFonts w:ascii="Arial" w:eastAsia="Calibri" w:hAnsi="Arial" w:cs="Arial"/>
          <w:sz w:val="24"/>
          <w:szCs w:val="24"/>
        </w:rPr>
        <w:t xml:space="preserve">D.  This section, which reads, in part: </w:t>
      </w:r>
    </w:p>
    <w:p w14:paraId="7A3CCE2C" w14:textId="77777777" w:rsidR="00DF51A2" w:rsidRPr="00DF51A2" w:rsidRDefault="00DF51A2" w:rsidP="00DF51A2">
      <w:pPr>
        <w:spacing w:after="0" w:line="240" w:lineRule="auto"/>
        <w:rPr>
          <w:rFonts w:ascii="Arial" w:eastAsia="Calibri" w:hAnsi="Arial" w:cs="Arial"/>
          <w:sz w:val="24"/>
          <w:szCs w:val="24"/>
        </w:rPr>
      </w:pPr>
    </w:p>
    <w:p w14:paraId="09BE6BCB" w14:textId="77777777" w:rsidR="00DF51A2" w:rsidRPr="00DF51A2" w:rsidRDefault="00DF51A2" w:rsidP="00DF51A2">
      <w:pPr>
        <w:spacing w:after="0" w:line="240" w:lineRule="auto"/>
        <w:ind w:left="720"/>
        <w:rPr>
          <w:rFonts w:ascii="Arial" w:eastAsia="Calibri" w:hAnsi="Arial" w:cs="Arial"/>
          <w:sz w:val="24"/>
          <w:szCs w:val="24"/>
        </w:rPr>
      </w:pPr>
      <w:r w:rsidRPr="00DF51A2">
        <w:rPr>
          <w:rFonts w:ascii="Arial" w:eastAsia="Calibri" w:hAnsi="Arial" w:cs="Arial"/>
          <w:i/>
          <w:iCs/>
          <w:sz w:val="24"/>
          <w:szCs w:val="24"/>
        </w:rPr>
        <w:t xml:space="preserve">“…the existing standard of 10% retainage will be required only until </w:t>
      </w:r>
      <w:r w:rsidRPr="00DF51A2">
        <w:rPr>
          <w:rFonts w:ascii="Arial" w:eastAsia="Calibri" w:hAnsi="Arial" w:cs="Arial"/>
          <w:b/>
          <w:bCs/>
          <w:i/>
          <w:iCs/>
          <w:sz w:val="24"/>
          <w:szCs w:val="24"/>
        </w:rPr>
        <w:t>90%</w:t>
      </w:r>
      <w:r w:rsidRPr="00DF51A2">
        <w:rPr>
          <w:rFonts w:ascii="Arial" w:eastAsia="Calibri" w:hAnsi="Arial" w:cs="Arial"/>
          <w:i/>
          <w:iCs/>
          <w:sz w:val="24"/>
          <w:szCs w:val="24"/>
        </w:rPr>
        <w:t xml:space="preserve"> completion. After 90% completion, the requirement will be 5% retainage until </w:t>
      </w:r>
      <w:r w:rsidRPr="00DF51A2">
        <w:rPr>
          <w:rFonts w:ascii="Arial" w:eastAsia="Calibri" w:hAnsi="Arial" w:cs="Arial"/>
          <w:b/>
          <w:bCs/>
          <w:i/>
          <w:iCs/>
          <w:sz w:val="24"/>
          <w:szCs w:val="24"/>
        </w:rPr>
        <w:t>100%</w:t>
      </w:r>
      <w:r w:rsidRPr="00DF51A2">
        <w:rPr>
          <w:rFonts w:ascii="Arial" w:eastAsia="Calibri" w:hAnsi="Arial" w:cs="Arial"/>
          <w:i/>
          <w:iCs/>
          <w:sz w:val="24"/>
          <w:szCs w:val="24"/>
        </w:rPr>
        <w:t xml:space="preserve"> completion and 2.5% retainage until the loan reaches Final Closing.”</w:t>
      </w:r>
    </w:p>
    <w:p w14:paraId="6939FD52" w14:textId="77777777" w:rsidR="00DF51A2" w:rsidRPr="00DF51A2" w:rsidRDefault="00DF51A2" w:rsidP="00DF51A2">
      <w:pPr>
        <w:autoSpaceDE w:val="0"/>
        <w:autoSpaceDN w:val="0"/>
        <w:spacing w:after="0" w:line="240" w:lineRule="auto"/>
        <w:rPr>
          <w:rFonts w:ascii="Arial" w:eastAsia="Calibri" w:hAnsi="Arial" w:cs="Arial"/>
          <w:color w:val="000000"/>
          <w:sz w:val="24"/>
          <w:szCs w:val="24"/>
        </w:rPr>
      </w:pPr>
    </w:p>
    <w:p w14:paraId="70B823EE" w14:textId="2C71EAE1" w:rsidR="00DF51A2" w:rsidRPr="00DF51A2" w:rsidRDefault="00DF51A2" w:rsidP="00DF51A2">
      <w:pPr>
        <w:autoSpaceDE w:val="0"/>
        <w:autoSpaceDN w:val="0"/>
        <w:spacing w:after="0" w:line="240" w:lineRule="auto"/>
        <w:rPr>
          <w:rFonts w:ascii="Arial" w:eastAsia="Calibri" w:hAnsi="Arial" w:cs="Arial"/>
          <w:color w:val="000000"/>
          <w:sz w:val="24"/>
          <w:szCs w:val="24"/>
        </w:rPr>
      </w:pPr>
      <w:r w:rsidRPr="00DF51A2">
        <w:rPr>
          <w:rFonts w:ascii="Arial" w:eastAsia="Calibri" w:hAnsi="Arial" w:cs="Arial"/>
          <w:color w:val="000000"/>
          <w:sz w:val="24"/>
          <w:szCs w:val="24"/>
        </w:rPr>
        <w:t xml:space="preserve">Please note that this is different than current </w:t>
      </w:r>
      <w:r w:rsidR="006304F2">
        <w:rPr>
          <w:rFonts w:ascii="Arial" w:eastAsia="Calibri" w:hAnsi="Arial" w:cs="Arial"/>
          <w:color w:val="000000"/>
          <w:sz w:val="24"/>
          <w:szCs w:val="24"/>
        </w:rPr>
        <w:t xml:space="preserve">HUD Office of </w:t>
      </w:r>
      <w:r w:rsidRPr="00DF51A2">
        <w:rPr>
          <w:rFonts w:ascii="Arial" w:eastAsia="Calibri" w:hAnsi="Arial" w:cs="Arial"/>
          <w:color w:val="000000"/>
          <w:sz w:val="24"/>
          <w:szCs w:val="24"/>
        </w:rPr>
        <w:t>Multifamily Housing</w:t>
      </w:r>
      <w:r w:rsidR="006304F2">
        <w:rPr>
          <w:rFonts w:ascii="Arial" w:eastAsia="Calibri" w:hAnsi="Arial" w:cs="Arial"/>
          <w:color w:val="000000"/>
          <w:sz w:val="24"/>
          <w:szCs w:val="24"/>
        </w:rPr>
        <w:t xml:space="preserve"> Programs</w:t>
      </w:r>
      <w:r w:rsidRPr="00DF51A2">
        <w:rPr>
          <w:rFonts w:ascii="Arial" w:eastAsia="Calibri" w:hAnsi="Arial" w:cs="Arial"/>
          <w:color w:val="000000"/>
          <w:sz w:val="24"/>
          <w:szCs w:val="24"/>
        </w:rPr>
        <w:t xml:space="preserve"> policy. </w:t>
      </w:r>
      <w:r w:rsidR="008C0D14">
        <w:rPr>
          <w:rFonts w:ascii="Arial" w:eastAsia="Calibri" w:hAnsi="Arial" w:cs="Arial"/>
          <w:color w:val="000000"/>
          <w:sz w:val="24"/>
          <w:szCs w:val="24"/>
        </w:rPr>
        <w:t xml:space="preserve"> </w:t>
      </w:r>
      <w:r w:rsidRPr="00DF51A2">
        <w:rPr>
          <w:rFonts w:ascii="Arial" w:eastAsia="Calibri" w:hAnsi="Arial" w:cs="Arial"/>
          <w:color w:val="000000"/>
          <w:sz w:val="24"/>
          <w:szCs w:val="24"/>
        </w:rPr>
        <w:t>Multifamily Housing Riders will not be accepted.</w:t>
      </w:r>
    </w:p>
    <w:p w14:paraId="634745F0" w14:textId="77777777" w:rsidR="00DF51A2" w:rsidRPr="00DF51A2" w:rsidRDefault="00DF51A2" w:rsidP="00DF51A2">
      <w:pPr>
        <w:spacing w:after="0" w:line="240" w:lineRule="auto"/>
        <w:rPr>
          <w:rFonts w:ascii="Arial" w:eastAsia="Calibri" w:hAnsi="Arial" w:cs="Arial"/>
          <w:sz w:val="24"/>
          <w:szCs w:val="24"/>
        </w:rPr>
      </w:pPr>
    </w:p>
    <w:p w14:paraId="4052F85B" w14:textId="77777777" w:rsidR="00DF51A2" w:rsidRPr="00DF51A2" w:rsidRDefault="00DF51A2" w:rsidP="00DF51A2">
      <w:pPr>
        <w:spacing w:after="0" w:line="240" w:lineRule="auto"/>
        <w:rPr>
          <w:rFonts w:ascii="Arial" w:eastAsia="MS Mincho" w:hAnsi="Arial" w:cs="Arial"/>
          <w:i/>
          <w:sz w:val="24"/>
          <w:szCs w:val="24"/>
        </w:rPr>
      </w:pPr>
      <w:r w:rsidRPr="00DF51A2">
        <w:rPr>
          <w:rFonts w:ascii="Arial" w:eastAsia="MS Mincho" w:hAnsi="Arial" w:cs="Arial"/>
          <w:b/>
          <w:i/>
          <w:sz w:val="24"/>
          <w:szCs w:val="24"/>
        </w:rPr>
        <w:t>Keywords:</w:t>
      </w:r>
      <w:r w:rsidRPr="00DF51A2">
        <w:rPr>
          <w:rFonts w:ascii="Arial" w:eastAsia="MS Mincho" w:hAnsi="Arial" w:cs="Arial"/>
          <w:i/>
          <w:sz w:val="24"/>
          <w:szCs w:val="24"/>
        </w:rPr>
        <w:tab/>
        <w:t>Retainage Reduction Rider</w:t>
      </w:r>
    </w:p>
    <w:p w14:paraId="4A0E91AD" w14:textId="77777777" w:rsidR="00DF51A2" w:rsidRPr="00DF51A2" w:rsidRDefault="00DF51A2" w:rsidP="00DF51A2">
      <w:pPr>
        <w:spacing w:after="0" w:line="240" w:lineRule="auto"/>
        <w:rPr>
          <w:rFonts w:ascii="Arial" w:eastAsia="MS Mincho" w:hAnsi="Arial" w:cs="Arial"/>
          <w:b/>
          <w:sz w:val="24"/>
          <w:szCs w:val="24"/>
        </w:rPr>
      </w:pPr>
    </w:p>
    <w:p w14:paraId="2BF772CA" w14:textId="77777777" w:rsidR="00DF51A2" w:rsidRPr="001754B1" w:rsidRDefault="001B72A7" w:rsidP="00DF51A2">
      <w:pPr>
        <w:spacing w:after="0" w:line="240" w:lineRule="auto"/>
        <w:rPr>
          <w:rFonts w:ascii="Arial" w:eastAsia="Calibri" w:hAnsi="Arial" w:cs="Arial"/>
          <w:b/>
          <w:color w:val="2F5496" w:themeColor="accent1" w:themeShade="BF"/>
          <w:sz w:val="24"/>
          <w:szCs w:val="24"/>
        </w:rPr>
      </w:pPr>
      <w:hyperlink w:anchor="_top" w:history="1">
        <w:r w:rsidR="00DF51A2" w:rsidRPr="001754B1">
          <w:rPr>
            <w:rFonts w:ascii="Arial" w:eastAsia="Calibri" w:hAnsi="Arial" w:cs="Arial"/>
            <w:color w:val="2F5496" w:themeColor="accent1" w:themeShade="BF"/>
            <w:sz w:val="24"/>
            <w:szCs w:val="24"/>
            <w:u w:val="single"/>
          </w:rPr>
          <w:t>Back to top</w:t>
        </w:r>
      </w:hyperlink>
    </w:p>
    <w:p w14:paraId="4EFB7A29" w14:textId="77777777" w:rsidR="00DF51A2" w:rsidRPr="00DF51A2" w:rsidRDefault="00DF51A2" w:rsidP="00DF51A2">
      <w:pPr>
        <w:spacing w:after="0" w:line="240" w:lineRule="auto"/>
        <w:rPr>
          <w:rFonts w:ascii="Arial" w:eastAsia="MS Mincho" w:hAnsi="Arial" w:cs="Arial"/>
          <w:b/>
          <w:sz w:val="24"/>
          <w:szCs w:val="24"/>
        </w:rPr>
      </w:pPr>
    </w:p>
    <w:p w14:paraId="208A5B60" w14:textId="77777777" w:rsidR="00DF51A2" w:rsidRPr="00DF51A2" w:rsidRDefault="00DF51A2" w:rsidP="00DF51A2">
      <w:pPr>
        <w:spacing w:after="0" w:line="240" w:lineRule="auto"/>
        <w:rPr>
          <w:rFonts w:ascii="Arial" w:eastAsia="MS Mincho" w:hAnsi="Arial" w:cs="Arial"/>
          <w:b/>
          <w:sz w:val="24"/>
          <w:szCs w:val="24"/>
        </w:rPr>
      </w:pPr>
      <w:r w:rsidRPr="00DF51A2">
        <w:rPr>
          <w:rFonts w:ascii="Verdana" w:eastAsia="Calibri" w:hAnsi="Verdana" w:cs="Times New Roman"/>
          <w:noProof/>
          <w:sz w:val="24"/>
        </w:rPr>
        <w:drawing>
          <wp:inline distT="0" distB="0" distL="0" distR="0" wp14:anchorId="3A6FE4DC" wp14:editId="71AB8C22">
            <wp:extent cx="5943600" cy="986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1">
                      <a:extLst>
                        <a:ext uri="{28A0092B-C50C-407E-A947-70E740481C1C}">
                          <a14:useLocalDpi xmlns:a14="http://schemas.microsoft.com/office/drawing/2010/main" val="0"/>
                        </a:ext>
                      </a:extLst>
                    </a:blip>
                    <a:srcRect b="96855"/>
                    <a:stretch/>
                  </pic:blipFill>
                  <pic:spPr bwMode="auto">
                    <a:xfrm>
                      <a:off x="0" y="0"/>
                      <a:ext cx="5943600" cy="98637"/>
                    </a:xfrm>
                    <a:prstGeom prst="rect">
                      <a:avLst/>
                    </a:prstGeom>
                    <a:noFill/>
                    <a:ln>
                      <a:noFill/>
                    </a:ln>
                    <a:extLst>
                      <a:ext uri="{53640926-AAD7-44D8-BBD7-CCE9431645EC}">
                        <a14:shadowObscured xmlns:a14="http://schemas.microsoft.com/office/drawing/2010/main"/>
                      </a:ext>
                    </a:extLst>
                  </pic:spPr>
                </pic:pic>
              </a:graphicData>
            </a:graphic>
          </wp:inline>
        </w:drawing>
      </w:r>
    </w:p>
    <w:bookmarkEnd w:id="1"/>
    <w:p w14:paraId="61D06EDB" w14:textId="77777777" w:rsidR="00AA4CF5" w:rsidRPr="00AA4CF5" w:rsidRDefault="00AA4CF5" w:rsidP="00AA4CF5">
      <w:pPr>
        <w:spacing w:after="0" w:line="240" w:lineRule="auto"/>
        <w:rPr>
          <w:sz w:val="18"/>
          <w:szCs w:val="18"/>
        </w:rPr>
      </w:pPr>
      <w:r w:rsidRPr="00AA4CF5">
        <w:rPr>
          <w:sz w:val="18"/>
          <w:szCs w:val="18"/>
        </w:rPr>
        <w:t xml:space="preserve">Past Lean 232 Updates are </w:t>
      </w:r>
      <w:hyperlink r:id="rId32" w:history="1">
        <w:r w:rsidRPr="00AA4CF5">
          <w:rPr>
            <w:color w:val="0000FF"/>
            <w:sz w:val="18"/>
            <w:szCs w:val="18"/>
            <w:u w:val="single"/>
          </w:rPr>
          <w:t>available online</w:t>
        </w:r>
      </w:hyperlink>
      <w:r w:rsidRPr="00AA4CF5">
        <w:rPr>
          <w:sz w:val="18"/>
          <w:szCs w:val="18"/>
        </w:rPr>
        <w:t>.</w:t>
      </w:r>
    </w:p>
    <w:p w14:paraId="1439C55E" w14:textId="77777777" w:rsidR="00AA4CF5" w:rsidRPr="00AA4CF5" w:rsidRDefault="00AA4CF5" w:rsidP="00AA4CF5">
      <w:pPr>
        <w:spacing w:after="0" w:line="240" w:lineRule="auto"/>
        <w:rPr>
          <w:sz w:val="18"/>
          <w:szCs w:val="18"/>
        </w:rPr>
      </w:pPr>
    </w:p>
    <w:p w14:paraId="075559A7" w14:textId="77777777" w:rsidR="00AA4CF5" w:rsidRPr="00AA4CF5" w:rsidRDefault="00AA4CF5" w:rsidP="00AA4CF5">
      <w:pPr>
        <w:spacing w:after="0" w:line="240" w:lineRule="auto"/>
        <w:rPr>
          <w:sz w:val="18"/>
          <w:szCs w:val="18"/>
        </w:rPr>
      </w:pPr>
      <w:r w:rsidRPr="00AA4CF5">
        <w:rPr>
          <w:sz w:val="18"/>
          <w:szCs w:val="18"/>
        </w:rPr>
        <w:t xml:space="preserve">Have questions about the Lean 232 Program? Please contact </w:t>
      </w:r>
      <w:hyperlink r:id="rId33" w:history="1">
        <w:r w:rsidRPr="00AA4CF5">
          <w:rPr>
            <w:color w:val="0000FF"/>
            <w:sz w:val="18"/>
            <w:szCs w:val="18"/>
            <w:u w:val="single"/>
          </w:rPr>
          <w:t>LeanThinking@hud.gov</w:t>
        </w:r>
      </w:hyperlink>
      <w:r w:rsidRPr="00AA4CF5">
        <w:rPr>
          <w:sz w:val="18"/>
          <w:szCs w:val="18"/>
        </w:rPr>
        <w:t>.</w:t>
      </w:r>
    </w:p>
    <w:p w14:paraId="705D1F7A" w14:textId="77777777" w:rsidR="00AA4CF5" w:rsidRPr="00AA4CF5" w:rsidRDefault="00AA4CF5" w:rsidP="00AA4CF5">
      <w:pPr>
        <w:spacing w:after="0" w:line="240" w:lineRule="auto"/>
        <w:rPr>
          <w:sz w:val="18"/>
          <w:szCs w:val="18"/>
        </w:rPr>
      </w:pPr>
    </w:p>
    <w:p w14:paraId="3F8D73EC" w14:textId="77777777" w:rsidR="00AA4CF5" w:rsidRPr="00AA4CF5" w:rsidRDefault="00AA4CF5" w:rsidP="00AA4CF5">
      <w:pPr>
        <w:spacing w:after="0" w:line="240" w:lineRule="auto"/>
        <w:rPr>
          <w:sz w:val="18"/>
          <w:szCs w:val="18"/>
        </w:rPr>
      </w:pPr>
      <w:r w:rsidRPr="00AA4CF5">
        <w:rPr>
          <w:sz w:val="18"/>
          <w:szCs w:val="18"/>
        </w:rPr>
        <w:t xml:space="preserve">For more information on the Lean 232 Program, check out: </w:t>
      </w:r>
      <w:hyperlink r:id="rId34" w:history="1">
        <w:r w:rsidRPr="00AA4CF5">
          <w:rPr>
            <w:color w:val="0000FF"/>
            <w:sz w:val="18"/>
            <w:szCs w:val="18"/>
            <w:u w:val="single"/>
          </w:rPr>
          <w:t>http://www.hud.gov/healthcare</w:t>
        </w:r>
      </w:hyperlink>
      <w:r w:rsidRPr="00AA4CF5">
        <w:rPr>
          <w:sz w:val="18"/>
          <w:szCs w:val="18"/>
        </w:rPr>
        <w:t>.</w:t>
      </w:r>
    </w:p>
    <w:p w14:paraId="30A4EE17" w14:textId="77777777" w:rsidR="00AA4CF5" w:rsidRPr="00AA4CF5" w:rsidRDefault="00AA4CF5" w:rsidP="00AA4CF5">
      <w:pPr>
        <w:spacing w:after="0" w:line="240" w:lineRule="auto"/>
        <w:rPr>
          <w:sz w:val="18"/>
          <w:szCs w:val="18"/>
        </w:rPr>
      </w:pPr>
    </w:p>
    <w:p w14:paraId="424EBB87" w14:textId="77777777" w:rsidR="00AA4CF5" w:rsidRPr="00AA4CF5" w:rsidRDefault="00AA4CF5" w:rsidP="00AA4CF5">
      <w:pPr>
        <w:spacing w:after="0" w:line="240" w:lineRule="auto"/>
        <w:rPr>
          <w:sz w:val="18"/>
          <w:szCs w:val="18"/>
        </w:rPr>
      </w:pPr>
      <w:r w:rsidRPr="00AA4CF5">
        <w:rPr>
          <w:sz w:val="18"/>
          <w:szCs w:val="18"/>
        </w:rPr>
        <w:t xml:space="preserve">Have your loan servicing colleagues joined our email list? The Email Blasts contain information relevant to them as well. You might suggest they </w:t>
      </w:r>
      <w:hyperlink r:id="rId35" w:history="1">
        <w:r w:rsidRPr="00AA4CF5">
          <w:rPr>
            <w:color w:val="0000FF"/>
            <w:sz w:val="18"/>
            <w:szCs w:val="18"/>
            <w:u w:val="single"/>
          </w:rPr>
          <w:t>Join here</w:t>
        </w:r>
      </w:hyperlink>
      <w:r w:rsidRPr="00AA4CF5">
        <w:rPr>
          <w:sz w:val="18"/>
          <w:szCs w:val="18"/>
        </w:rPr>
        <w:t>.</w:t>
      </w:r>
    </w:p>
    <w:p w14:paraId="617CF558" w14:textId="77777777" w:rsidR="00AA4CF5" w:rsidRPr="00AA4CF5" w:rsidRDefault="00AA4CF5" w:rsidP="00AA4CF5">
      <w:pPr>
        <w:spacing w:after="0" w:line="240" w:lineRule="auto"/>
        <w:rPr>
          <w:sz w:val="18"/>
          <w:szCs w:val="18"/>
        </w:rPr>
      </w:pPr>
    </w:p>
    <w:p w14:paraId="11DD1FDE" w14:textId="77777777" w:rsidR="00AA4CF5" w:rsidRPr="00AA4CF5" w:rsidRDefault="00AA4CF5" w:rsidP="00AA4CF5">
      <w:pPr>
        <w:spacing w:after="0" w:line="240" w:lineRule="auto"/>
        <w:rPr>
          <w:sz w:val="18"/>
          <w:szCs w:val="18"/>
        </w:rPr>
      </w:pPr>
      <w:r w:rsidRPr="00AA4CF5">
        <w:rPr>
          <w:sz w:val="18"/>
          <w:szCs w:val="18"/>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36" w:history="1">
        <w:r w:rsidRPr="00AA4CF5">
          <w:rPr>
            <w:color w:val="0000FF"/>
            <w:sz w:val="18"/>
            <w:szCs w:val="18"/>
            <w:u w:val="single"/>
          </w:rPr>
          <w:t>go here</w:t>
        </w:r>
      </w:hyperlink>
      <w:r w:rsidRPr="00AA4CF5">
        <w:rPr>
          <w:sz w:val="18"/>
          <w:szCs w:val="18"/>
        </w:rPr>
        <w:t>.</w:t>
      </w:r>
    </w:p>
    <w:p w14:paraId="6B1C3487" w14:textId="77777777" w:rsidR="00AA4CF5" w:rsidRPr="00AA4CF5" w:rsidRDefault="00AA4CF5" w:rsidP="00AA4CF5">
      <w:pPr>
        <w:spacing w:after="0" w:line="240" w:lineRule="auto"/>
        <w:rPr>
          <w:sz w:val="18"/>
          <w:szCs w:val="18"/>
        </w:rPr>
      </w:pPr>
    </w:p>
    <w:p w14:paraId="341817AE" w14:textId="77777777" w:rsidR="00AA4CF5" w:rsidRPr="00AA4CF5" w:rsidRDefault="00AA4CF5" w:rsidP="00AA4CF5">
      <w:pPr>
        <w:spacing w:after="0" w:line="240" w:lineRule="auto"/>
        <w:rPr>
          <w:rFonts w:ascii="Times New Roman" w:eastAsia="Times New Roman" w:hAnsi="Times New Roman" w:cs="Times New Roman"/>
          <w:sz w:val="24"/>
          <w:szCs w:val="24"/>
        </w:rPr>
      </w:pPr>
      <w:r w:rsidRPr="00AA4CF5">
        <w:rPr>
          <w:rFonts w:ascii="Calibri" w:eastAsia="Times New Roman" w:hAnsi="Calibri" w:cs="Times New Roman"/>
          <w:i/>
          <w:iCs/>
          <w:color w:val="000000"/>
          <w:kern w:val="24"/>
          <w:sz w:val="18"/>
          <w:szCs w:val="18"/>
        </w:rPr>
        <w:t xml:space="preserve">Lean 232 </w:t>
      </w:r>
      <w:r w:rsidRPr="00AA4CF5">
        <w:rPr>
          <w:rFonts w:ascii="Calibri" w:eastAsia="Times New Roman" w:hAnsi="Calibri" w:cs="Times New Roman"/>
          <w:color w:val="000000"/>
          <w:kern w:val="24"/>
          <w:sz w:val="18"/>
          <w:szCs w:val="18"/>
        </w:rPr>
        <w:t>is a publication of the Federal Housing Administration (FHA) Office of Healthcare Programs, U.S. Department of Housing and Urban Development, 451 7</w:t>
      </w:r>
      <w:proofErr w:type="spellStart"/>
      <w:r w:rsidRPr="00AA4CF5">
        <w:rPr>
          <w:rFonts w:ascii="Calibri" w:eastAsia="Times New Roman" w:hAnsi="Calibri" w:cs="Times New Roman"/>
          <w:color w:val="000000"/>
          <w:kern w:val="24"/>
          <w:position w:val="5"/>
          <w:sz w:val="18"/>
          <w:szCs w:val="18"/>
          <w:vertAlign w:val="superscript"/>
        </w:rPr>
        <w:t>th</w:t>
      </w:r>
      <w:proofErr w:type="spellEnd"/>
      <w:r w:rsidRPr="00AA4CF5">
        <w:rPr>
          <w:rFonts w:ascii="Calibri" w:eastAsia="Times New Roman" w:hAnsi="Calibri" w:cs="Times New Roman"/>
          <w:color w:val="000000"/>
          <w:kern w:val="24"/>
          <w:sz w:val="18"/>
          <w:szCs w:val="18"/>
        </w:rPr>
        <w:t xml:space="preserve"> Street, SE, Washington, DC 20410.</w:t>
      </w:r>
    </w:p>
    <w:p w14:paraId="1B5132C6" w14:textId="77777777" w:rsidR="00AA4CF5" w:rsidRPr="00AA4CF5" w:rsidRDefault="00AA4CF5" w:rsidP="00AA4CF5">
      <w:pPr>
        <w:spacing w:after="0" w:line="240" w:lineRule="auto"/>
        <w:rPr>
          <w:rFonts w:ascii="Calibri" w:eastAsia="Times New Roman" w:hAnsi="Calibri" w:cs="Times New Roman"/>
          <w:color w:val="000000"/>
          <w:kern w:val="24"/>
          <w:sz w:val="18"/>
          <w:szCs w:val="18"/>
        </w:rPr>
      </w:pPr>
    </w:p>
    <w:p w14:paraId="15159120" w14:textId="77777777" w:rsidR="00AA4CF5" w:rsidRPr="00AA4CF5" w:rsidRDefault="00AA4CF5" w:rsidP="00AA4CF5">
      <w:pPr>
        <w:spacing w:after="0" w:line="240" w:lineRule="auto"/>
        <w:rPr>
          <w:rFonts w:ascii="Calibri" w:eastAsia="Times New Roman" w:hAnsi="Calibri" w:cs="Times New Roman"/>
          <w:color w:val="000000"/>
          <w:kern w:val="24"/>
          <w:sz w:val="18"/>
          <w:szCs w:val="18"/>
        </w:rPr>
      </w:pPr>
      <w:r w:rsidRPr="00AA4CF5">
        <w:rPr>
          <w:rFonts w:ascii="Calibri" w:eastAsia="Times New Roman" w:hAnsi="Calibri" w:cs="Times New Roman"/>
          <w:color w:val="000000"/>
          <w:kern w:val="24"/>
          <w:sz w:val="18"/>
          <w:szCs w:val="18"/>
        </w:rPr>
        <w:t xml:space="preserve">Connect with FHA on </w:t>
      </w:r>
      <w:hyperlink r:id="rId37" w:history="1">
        <w:r w:rsidRPr="00AA4CF5">
          <w:rPr>
            <w:rFonts w:ascii="Calibri" w:eastAsia="Times New Roman" w:hAnsi="Calibri" w:cs="Times New Roman"/>
            <w:color w:val="0000FF"/>
            <w:kern w:val="24"/>
            <w:sz w:val="18"/>
            <w:szCs w:val="18"/>
            <w:u w:val="single"/>
          </w:rPr>
          <w:t>Social Media</w:t>
        </w:r>
      </w:hyperlink>
      <w:r w:rsidRPr="00AA4CF5">
        <w:rPr>
          <w:rFonts w:ascii="Calibri" w:eastAsia="Times New Roman" w:hAnsi="Calibri" w:cs="Times New Roman"/>
          <w:color w:val="000000"/>
          <w:kern w:val="24"/>
          <w:sz w:val="18"/>
          <w:szCs w:val="18"/>
        </w:rPr>
        <w:t xml:space="preserve"> </w:t>
      </w:r>
      <w:r w:rsidRPr="00AA4CF5">
        <w:rPr>
          <w:rFonts w:ascii="Calibri" w:eastAsia="Times New Roman" w:hAnsi="Calibri" w:cs="Times New Roman"/>
          <w:noProof/>
          <w:color w:val="000000"/>
          <w:kern w:val="24"/>
          <w:sz w:val="18"/>
          <w:szCs w:val="18"/>
        </w:rPr>
        <w:drawing>
          <wp:inline distT="0" distB="0" distL="0" distR="0" wp14:anchorId="776D3F21" wp14:editId="351BD245">
            <wp:extent cx="152400" cy="133350"/>
            <wp:effectExtent l="0" t="0" r="0" b="0"/>
            <wp:docPr id="27" name="Picture 2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witter"/>
                    <pic:cNvPicPr>
                      <a:picLocks noChangeAspect="1" noChangeArrowheads="1"/>
                    </pic:cNvPicPr>
                  </pic:nvPicPr>
                  <pic:blipFill>
                    <a:blip r:embed="rId38" cstate="print">
                      <a:extLst>
                        <a:ext uri="{28A0092B-C50C-407E-A947-70E740481C1C}">
                          <a14:useLocalDpi xmlns:a14="http://schemas.microsoft.com/office/drawing/2010/main" val="0"/>
                        </a:ext>
                      </a:extLst>
                    </a:blip>
                    <a:srcRect l="49562"/>
                    <a:stretch>
                      <a:fillRect/>
                    </a:stretch>
                  </pic:blipFill>
                  <pic:spPr bwMode="auto">
                    <a:xfrm>
                      <a:off x="0" y="0"/>
                      <a:ext cx="152400" cy="133350"/>
                    </a:xfrm>
                    <a:prstGeom prst="rect">
                      <a:avLst/>
                    </a:prstGeom>
                    <a:noFill/>
                    <a:ln>
                      <a:noFill/>
                    </a:ln>
                  </pic:spPr>
                </pic:pic>
              </a:graphicData>
            </a:graphic>
          </wp:inline>
        </w:drawing>
      </w:r>
      <w:r w:rsidRPr="00AA4CF5">
        <w:rPr>
          <w:rFonts w:ascii="Calibri" w:eastAsia="Times New Roman" w:hAnsi="Calibri" w:cs="Times New Roman"/>
          <w:noProof/>
          <w:color w:val="000000"/>
          <w:kern w:val="24"/>
          <w:sz w:val="18"/>
          <w:szCs w:val="18"/>
        </w:rPr>
        <w:drawing>
          <wp:inline distT="0" distB="0" distL="0" distR="0" wp14:anchorId="075E6F85" wp14:editId="4CE8FB9C">
            <wp:extent cx="151141" cy="151141"/>
            <wp:effectExtent l="0" t="0" r="127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kedIn Logo.png"/>
                    <pic:cNvPicPr/>
                  </pic:nvPicPr>
                  <pic:blipFill>
                    <a:blip r:embed="rId39">
                      <a:extLst>
                        <a:ext uri="{28A0092B-C50C-407E-A947-70E740481C1C}">
                          <a14:useLocalDpi xmlns:a14="http://schemas.microsoft.com/office/drawing/2010/main" val="0"/>
                        </a:ext>
                      </a:extLst>
                    </a:blip>
                    <a:stretch>
                      <a:fillRect/>
                    </a:stretch>
                  </pic:blipFill>
                  <pic:spPr>
                    <a:xfrm>
                      <a:off x="0" y="0"/>
                      <a:ext cx="169129" cy="169129"/>
                    </a:xfrm>
                    <a:prstGeom prst="rect">
                      <a:avLst/>
                    </a:prstGeom>
                  </pic:spPr>
                </pic:pic>
              </a:graphicData>
            </a:graphic>
          </wp:inline>
        </w:drawing>
      </w:r>
    </w:p>
    <w:bookmarkEnd w:id="2"/>
    <w:p w14:paraId="700B42EF" w14:textId="77777777" w:rsidR="00202254" w:rsidRDefault="00202254"/>
    <w:sectPr w:rsidR="00202254" w:rsidSect="00E217E8">
      <w:head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A9508" w14:textId="77777777" w:rsidR="001B72A7" w:rsidRDefault="001B72A7">
      <w:pPr>
        <w:spacing w:after="0" w:line="240" w:lineRule="auto"/>
      </w:pPr>
      <w:r>
        <w:separator/>
      </w:r>
    </w:p>
  </w:endnote>
  <w:endnote w:type="continuationSeparator" w:id="0">
    <w:p w14:paraId="42B16471" w14:textId="77777777" w:rsidR="001B72A7" w:rsidRDefault="001B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9BBC1" w14:textId="77777777" w:rsidR="001B72A7" w:rsidRDefault="001B72A7">
      <w:pPr>
        <w:spacing w:after="0" w:line="240" w:lineRule="auto"/>
      </w:pPr>
      <w:r>
        <w:separator/>
      </w:r>
    </w:p>
  </w:footnote>
  <w:footnote w:type="continuationSeparator" w:id="0">
    <w:p w14:paraId="3EB0A746" w14:textId="77777777" w:rsidR="001B72A7" w:rsidRDefault="001B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7866335F" w14:textId="77777777" w:rsidR="0089592C" w:rsidRDefault="00A526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CDAB11" w14:textId="7E5FC17C" w:rsidR="008F66AB" w:rsidRDefault="001B7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9C53623"/>
    <w:multiLevelType w:val="hybridMultilevel"/>
    <w:tmpl w:val="5A807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33DA9"/>
    <w:multiLevelType w:val="hybridMultilevel"/>
    <w:tmpl w:val="7FB602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7"/>
  </w:num>
  <w:num w:numId="9">
    <w:abstractNumId w:val="2"/>
  </w:num>
  <w:num w:numId="10">
    <w:abstractNumId w:val="5"/>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A2"/>
    <w:rsid w:val="000C36A6"/>
    <w:rsid w:val="000F3A58"/>
    <w:rsid w:val="000F44F9"/>
    <w:rsid w:val="00137EFE"/>
    <w:rsid w:val="001754B1"/>
    <w:rsid w:val="001B72A7"/>
    <w:rsid w:val="00202254"/>
    <w:rsid w:val="00204814"/>
    <w:rsid w:val="00255539"/>
    <w:rsid w:val="002C1DDB"/>
    <w:rsid w:val="003F3A84"/>
    <w:rsid w:val="00470774"/>
    <w:rsid w:val="004D48E7"/>
    <w:rsid w:val="004D661C"/>
    <w:rsid w:val="0058552B"/>
    <w:rsid w:val="006304F2"/>
    <w:rsid w:val="00651B01"/>
    <w:rsid w:val="0069233E"/>
    <w:rsid w:val="006D196A"/>
    <w:rsid w:val="00744B78"/>
    <w:rsid w:val="008C0D14"/>
    <w:rsid w:val="008E5700"/>
    <w:rsid w:val="00A0636D"/>
    <w:rsid w:val="00A526D6"/>
    <w:rsid w:val="00AA4CF5"/>
    <w:rsid w:val="00C01682"/>
    <w:rsid w:val="00C0180B"/>
    <w:rsid w:val="00C0606F"/>
    <w:rsid w:val="00C35D53"/>
    <w:rsid w:val="00C53236"/>
    <w:rsid w:val="00CF6EAC"/>
    <w:rsid w:val="00DF51A2"/>
    <w:rsid w:val="00E31942"/>
    <w:rsid w:val="00F51C38"/>
    <w:rsid w:val="00F87B86"/>
    <w:rsid w:val="00FA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F32A1"/>
  <w15:chartTrackingRefBased/>
  <w15:docId w15:val="{C7D04BB1-C54A-44BF-BE3E-CB05D0B9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1A2"/>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DF51A2"/>
    <w:rPr>
      <w:rFonts w:ascii="Verdana" w:eastAsia="Calibri" w:hAnsi="Verdana" w:cs="Times New Roman"/>
      <w:sz w:val="24"/>
    </w:rPr>
  </w:style>
  <w:style w:type="character" w:styleId="CommentReference">
    <w:name w:val="annotation reference"/>
    <w:basedOn w:val="DefaultParagraphFont"/>
    <w:uiPriority w:val="99"/>
    <w:semiHidden/>
    <w:unhideWhenUsed/>
    <w:rsid w:val="00204814"/>
    <w:rPr>
      <w:sz w:val="16"/>
      <w:szCs w:val="16"/>
    </w:rPr>
  </w:style>
  <w:style w:type="paragraph" w:styleId="CommentText">
    <w:name w:val="annotation text"/>
    <w:basedOn w:val="Normal"/>
    <w:link w:val="CommentTextChar"/>
    <w:uiPriority w:val="99"/>
    <w:semiHidden/>
    <w:unhideWhenUsed/>
    <w:rsid w:val="00204814"/>
    <w:pPr>
      <w:spacing w:line="240" w:lineRule="auto"/>
    </w:pPr>
    <w:rPr>
      <w:sz w:val="20"/>
      <w:szCs w:val="20"/>
    </w:rPr>
  </w:style>
  <w:style w:type="character" w:customStyle="1" w:styleId="CommentTextChar">
    <w:name w:val="Comment Text Char"/>
    <w:basedOn w:val="DefaultParagraphFont"/>
    <w:link w:val="CommentText"/>
    <w:uiPriority w:val="99"/>
    <w:semiHidden/>
    <w:rsid w:val="00204814"/>
    <w:rPr>
      <w:sz w:val="20"/>
      <w:szCs w:val="20"/>
    </w:rPr>
  </w:style>
  <w:style w:type="paragraph" w:styleId="CommentSubject">
    <w:name w:val="annotation subject"/>
    <w:basedOn w:val="CommentText"/>
    <w:next w:val="CommentText"/>
    <w:link w:val="CommentSubjectChar"/>
    <w:uiPriority w:val="99"/>
    <w:semiHidden/>
    <w:unhideWhenUsed/>
    <w:rsid w:val="00204814"/>
    <w:rPr>
      <w:b/>
      <w:bCs/>
    </w:rPr>
  </w:style>
  <w:style w:type="character" w:customStyle="1" w:styleId="CommentSubjectChar">
    <w:name w:val="Comment Subject Char"/>
    <w:basedOn w:val="CommentTextChar"/>
    <w:link w:val="CommentSubject"/>
    <w:uiPriority w:val="99"/>
    <w:semiHidden/>
    <w:rsid w:val="00204814"/>
    <w:rPr>
      <w:b/>
      <w:bCs/>
      <w:sz w:val="20"/>
      <w:szCs w:val="20"/>
    </w:rPr>
  </w:style>
  <w:style w:type="paragraph" w:styleId="BalloonText">
    <w:name w:val="Balloon Text"/>
    <w:basedOn w:val="Normal"/>
    <w:link w:val="BalloonTextChar"/>
    <w:uiPriority w:val="99"/>
    <w:semiHidden/>
    <w:unhideWhenUsed/>
    <w:rsid w:val="00204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814"/>
    <w:rPr>
      <w:rFonts w:ascii="Segoe UI" w:hAnsi="Segoe UI" w:cs="Segoe UI"/>
      <w:sz w:val="18"/>
      <w:szCs w:val="18"/>
    </w:rPr>
  </w:style>
  <w:style w:type="paragraph" w:styleId="ListParagraph">
    <w:name w:val="List Paragraph"/>
    <w:basedOn w:val="Normal"/>
    <w:uiPriority w:val="34"/>
    <w:qFormat/>
    <w:rsid w:val="0058552B"/>
    <w:pPr>
      <w:ind w:left="720"/>
      <w:contextualSpacing/>
    </w:pPr>
  </w:style>
  <w:style w:type="character" w:styleId="Hyperlink">
    <w:name w:val="Hyperlink"/>
    <w:basedOn w:val="DefaultParagraphFont"/>
    <w:uiPriority w:val="99"/>
    <w:unhideWhenUsed/>
    <w:rsid w:val="000C36A6"/>
    <w:rPr>
      <w:color w:val="0563C1" w:themeColor="hyperlink"/>
      <w:u w:val="single"/>
    </w:rPr>
  </w:style>
  <w:style w:type="character" w:styleId="UnresolvedMention">
    <w:name w:val="Unresolved Mention"/>
    <w:basedOn w:val="DefaultParagraphFont"/>
    <w:uiPriority w:val="99"/>
    <w:semiHidden/>
    <w:unhideWhenUsed/>
    <w:rsid w:val="000C3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d.gov/sites/documents/42321S2C8HSGH.PDF" TargetMode="External"/><Relationship Id="rId18" Type="http://schemas.openxmlformats.org/officeDocument/2006/relationships/hyperlink" Target="https://www.hud.gov/sites/dfiles/OCHCO/documents/93335_orcf.docx" TargetMode="External"/><Relationship Id="rId26" Type="http://schemas.openxmlformats.org/officeDocument/2006/relationships/hyperlink" Target="mailto:232FHARequest@hud.gov" TargetMode="External"/><Relationship Id="rId39"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hudexchange.info/programs/environmental-review/explosive-and-flammable-facilities/" TargetMode="External"/><Relationship Id="rId34" Type="http://schemas.openxmlformats.org/officeDocument/2006/relationships/hyperlink" Target="http://www.hud.gov/healthcare"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ederalregister.gov/documents/2016/10/04/2016-23503/medicare-and-medicaid-programs-reform-of-requirements-for-long-term-care-facilities" TargetMode="External"/><Relationship Id="rId17" Type="http://schemas.openxmlformats.org/officeDocument/2006/relationships/hyperlink" Target="https://www.hud.gov/sites/dfiles/OCHCO/documents/93334_orcf.docx" TargetMode="External"/><Relationship Id="rId25" Type="http://schemas.openxmlformats.org/officeDocument/2006/relationships/hyperlink" Target="mailto:LeanThinking@hud.gov" TargetMode="External"/><Relationship Id="rId33" Type="http://schemas.openxmlformats.org/officeDocument/2006/relationships/hyperlink" Target="mailto:LeanThinking@hud.gov" TargetMode="External"/><Relationship Id="rId38"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hud.gov/sites/documents/42321s2c8HSGH.pdf" TargetMode="External"/><Relationship Id="rId20" Type="http://schemas.openxmlformats.org/officeDocument/2006/relationships/hyperlink" Target="https://www.govinfo.gov/content/pkg/FR-2020-01-24/pdf/2020-00440.pdf" TargetMode="External"/><Relationship Id="rId29" Type="http://schemas.openxmlformats.org/officeDocument/2006/relationships/hyperlink" Target="https://www.hud.gov/sites/dfiles/Housing/documents/93335N_orcf.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gov/sites/dfiles/Housing/documents/DecEmailBlast12182019.docx" TargetMode="External"/><Relationship Id="rId24" Type="http://schemas.openxmlformats.org/officeDocument/2006/relationships/hyperlink" Target="https://www.hud.gov/sites/documents/223f_EnvChecklist.xlsx" TargetMode="External"/><Relationship Id="rId32" Type="http://schemas.openxmlformats.org/officeDocument/2006/relationships/hyperlink" Target="http://portal.hud.gov/hudportal/HUD?src=/federal_housing_administration/healthcare_facilities/residential_care/mail_blast_index" TargetMode="External"/><Relationship Id="rId37" Type="http://schemas.openxmlformats.org/officeDocument/2006/relationships/hyperlink" Target="https://portal.hud.gov/hudportal/HUD?src=/program_offices/public_affairs/socialmedia"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hud.gov/sites/documents/FebEmailBlast022316.docx" TargetMode="External"/><Relationship Id="rId23" Type="http://schemas.openxmlformats.org/officeDocument/2006/relationships/hyperlink" Target="https://www.hud.gov/federal_housing_administration/healthcare_facilities/residential_care/environmental_resources" TargetMode="External"/><Relationship Id="rId28" Type="http://schemas.openxmlformats.org/officeDocument/2006/relationships/hyperlink" Target="http://www.hud232portal.com" TargetMode="External"/><Relationship Id="rId36" Type="http://schemas.openxmlformats.org/officeDocument/2006/relationships/hyperlink" Target="http://portal.hud.gov/hudportal/HUD?src=/subscribe/signup&amp;listname=Lean%20232%20Updates&amp;list=LEAN-232-UPDATES-L" TargetMode="External"/><Relationship Id="rId10" Type="http://schemas.openxmlformats.org/officeDocument/2006/relationships/image" Target="media/image1.jpeg"/><Relationship Id="rId19" Type="http://schemas.openxmlformats.org/officeDocument/2006/relationships/hyperlink" Target="https://www.hud.gov/sites/dfiles/OCHCO/documents/91128_orcf.xlsx" TargetMode="External"/><Relationship Id="rId31"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ud.gov/sites/dfiles/Housing/documents/DecEmailBlast12192018.docx" TargetMode="External"/><Relationship Id="rId22" Type="http://schemas.openxmlformats.org/officeDocument/2006/relationships/hyperlink" Target="mailto:LeanThinking@hud.gov" TargetMode="External"/><Relationship Id="rId27" Type="http://schemas.openxmlformats.org/officeDocument/2006/relationships/hyperlink" Target="https://www.hud232portal.com/" TargetMode="External"/><Relationship Id="rId30" Type="http://schemas.openxmlformats.org/officeDocument/2006/relationships/hyperlink" Target="https://www.hud.gov/sites/dfiles/Housing/documents/93334N_orcf.docx" TargetMode="External"/><Relationship Id="rId35" Type="http://schemas.openxmlformats.org/officeDocument/2006/relationships/hyperlink" Target="http://portal.hud.gov/hudportal/HUD?src=/subscribe/signup&amp;listname=Lean%20232%20Updates&amp;list=LEAN-232-UPDATE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3" ma:contentTypeDescription="Create a new document." ma:contentTypeScope="" ma:versionID="3acb7dc618d1b85ff0f538176c7cfeb3">
  <xsd:schema xmlns:xsd="http://www.w3.org/2001/XMLSchema" xmlns:xs="http://www.w3.org/2001/XMLSchema" xmlns:p="http://schemas.microsoft.com/office/2006/metadata/properties" xmlns:ns3="c6d93d11-28f8-4e6d-ae4f-5893c68de00b" xmlns:ns4="750983b6-60eb-446f-a2fd-b09d080777e3" targetNamespace="http://schemas.microsoft.com/office/2006/metadata/properties" ma:root="true" ma:fieldsID="628cabb133b361806dac59ebe4c5e99a" ns3:_="" ns4:_="">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D650B5-93F3-4E88-AB4C-D62E3EF2F2B7}">
  <ds:schemaRefs>
    <ds:schemaRef ds:uri="http://schemas.microsoft.com/sharepoint/v3/contenttype/forms"/>
  </ds:schemaRefs>
</ds:datastoreItem>
</file>

<file path=customXml/itemProps2.xml><?xml version="1.0" encoding="utf-8"?>
<ds:datastoreItem xmlns:ds="http://schemas.openxmlformats.org/officeDocument/2006/customXml" ds:itemID="{A57C488F-67F4-4820-B6D6-A9C2AE435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7F54A-9FD6-449A-89D5-D0A22C0EC0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11</Pages>
  <Words>4196</Words>
  <Characters>23922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14</cp:revision>
  <dcterms:created xsi:type="dcterms:W3CDTF">2020-02-26T17:22:00Z</dcterms:created>
  <dcterms:modified xsi:type="dcterms:W3CDTF">2020-03-18T15:19:00Z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