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AE2E9CF" w:rsidR="008819F8" w:rsidRPr="00863472" w:rsidRDefault="006516EB" w:rsidP="00863472">
      <w:pPr>
        <w:pStyle w:val="NormalWeb"/>
        <w:jc w:val="center"/>
        <w:rPr>
          <w:rFonts w:ascii="Verdana" w:hAnsi="Verdana"/>
          <w:sz w:val="22"/>
          <w:szCs w:val="22"/>
        </w:rPr>
      </w:pPr>
      <w:bookmarkStart w:id="0" w:name="_Hlk33784864"/>
      <w:r>
        <w:rPr>
          <w:rFonts w:ascii="Verdana" w:hAnsi="Verdana"/>
          <w:noProof/>
          <w:sz w:val="22"/>
          <w:szCs w:val="22"/>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863472" w:rsidRDefault="008819F8" w:rsidP="00863472"/>
    <w:p w14:paraId="6E0E6040" w14:textId="31F7148C" w:rsidR="00743DDB" w:rsidRPr="001F5102" w:rsidRDefault="007C180F" w:rsidP="00863472">
      <w:pPr>
        <w:pStyle w:val="NoSpacing"/>
        <w:rPr>
          <w:rFonts w:ascii="Arial" w:hAnsi="Arial" w:cs="Arial"/>
          <w:iCs/>
          <w:sz w:val="28"/>
          <w:szCs w:val="28"/>
        </w:rPr>
      </w:pPr>
      <w:r>
        <w:rPr>
          <w:rFonts w:ascii="Arial" w:hAnsi="Arial" w:cs="Arial"/>
          <w:iCs/>
          <w:sz w:val="28"/>
          <w:szCs w:val="28"/>
        </w:rPr>
        <w:t>February 3</w:t>
      </w:r>
      <w:r w:rsidR="008129A3" w:rsidRPr="001F5102">
        <w:rPr>
          <w:rFonts w:ascii="Arial" w:hAnsi="Arial" w:cs="Arial"/>
          <w:iCs/>
          <w:sz w:val="28"/>
          <w:szCs w:val="28"/>
        </w:rPr>
        <w:t>, 20</w:t>
      </w:r>
      <w:r w:rsidR="001F686F" w:rsidRPr="001F5102">
        <w:rPr>
          <w:rFonts w:ascii="Arial" w:hAnsi="Arial" w:cs="Arial"/>
          <w:iCs/>
          <w:sz w:val="28"/>
          <w:szCs w:val="28"/>
        </w:rPr>
        <w:t>2</w:t>
      </w:r>
      <w:r w:rsidR="006762BB">
        <w:rPr>
          <w:rFonts w:ascii="Arial" w:hAnsi="Arial" w:cs="Arial"/>
          <w:iCs/>
          <w:sz w:val="28"/>
          <w:szCs w:val="28"/>
        </w:rPr>
        <w:t>3</w:t>
      </w:r>
    </w:p>
    <w:p w14:paraId="6E0E6041" w14:textId="26581954" w:rsidR="00E55131" w:rsidRPr="007D54CE" w:rsidRDefault="00E55131" w:rsidP="00863472">
      <w:pPr>
        <w:pStyle w:val="NoSpacing"/>
        <w:rPr>
          <w:rFonts w:ascii="Arial" w:hAnsi="Arial" w:cs="Arial"/>
          <w:i/>
          <w:sz w:val="24"/>
          <w:szCs w:val="24"/>
          <w:u w:val="single"/>
        </w:rPr>
      </w:pPr>
    </w:p>
    <w:p w14:paraId="010705E1" w14:textId="69B22DDD" w:rsidR="007D54CE" w:rsidRDefault="007D54CE" w:rsidP="007D54CE">
      <w:pPr>
        <w:pStyle w:val="NoSpacing"/>
        <w:rPr>
          <w:rFonts w:ascii="Arial" w:hAnsi="Arial" w:cs="Arial"/>
          <w:iCs/>
          <w:color w:val="000066"/>
          <w:sz w:val="24"/>
          <w:szCs w:val="24"/>
        </w:rPr>
      </w:pPr>
      <w:r w:rsidRPr="007D54CE">
        <w:rPr>
          <w:rFonts w:ascii="Arial" w:hAnsi="Arial" w:cs="Arial"/>
          <w:iCs/>
          <w:color w:val="000066"/>
          <w:sz w:val="24"/>
          <w:szCs w:val="24"/>
        </w:rPr>
        <w:t>In This Update</w:t>
      </w:r>
    </w:p>
    <w:p w14:paraId="73966E0B" w14:textId="77777777" w:rsidR="003D4720" w:rsidRPr="007D54CE" w:rsidRDefault="003D4720" w:rsidP="007D54CE">
      <w:pPr>
        <w:pStyle w:val="NoSpacing"/>
        <w:rPr>
          <w:rFonts w:ascii="Arial" w:hAnsi="Arial" w:cs="Arial"/>
          <w:iCs/>
          <w:color w:val="000066"/>
          <w:sz w:val="24"/>
          <w:szCs w:val="24"/>
        </w:rPr>
      </w:pPr>
    </w:p>
    <w:p w14:paraId="090AC056" w14:textId="3ACFB9D9" w:rsidR="00305658" w:rsidRPr="007C180F" w:rsidRDefault="00396DB3" w:rsidP="00305658">
      <w:pPr>
        <w:pStyle w:val="TOC1"/>
        <w:rPr>
          <w:rFonts w:asciiTheme="minorHAnsi" w:eastAsiaTheme="minorEastAsia" w:hAnsiTheme="minorHAnsi" w:cstheme="minorBidi"/>
          <w:noProof/>
          <w:color w:val="000066"/>
          <w:sz w:val="22"/>
        </w:rPr>
      </w:pPr>
      <w:r w:rsidRPr="00B62E6A">
        <w:rPr>
          <w:rFonts w:ascii="Arial" w:hAnsi="Arial" w:cs="Arial"/>
          <w:i/>
          <w:color w:val="000066"/>
        </w:rPr>
        <w:fldChar w:fldCharType="begin"/>
      </w:r>
      <w:r w:rsidRPr="00B62E6A">
        <w:rPr>
          <w:rFonts w:ascii="Arial" w:hAnsi="Arial" w:cs="Arial"/>
          <w:i/>
          <w:color w:val="000066"/>
        </w:rPr>
        <w:instrText xml:space="preserve"> TOC \o "1-3" \n \h \z \u </w:instrText>
      </w:r>
      <w:r w:rsidRPr="00B62E6A">
        <w:rPr>
          <w:rFonts w:ascii="Arial" w:hAnsi="Arial" w:cs="Arial"/>
          <w:i/>
          <w:color w:val="000066"/>
        </w:rPr>
        <w:fldChar w:fldCharType="separate"/>
      </w:r>
      <w:hyperlink w:anchor="_Toc126307626" w:history="1">
        <w:r w:rsidR="00305658" w:rsidRPr="007C180F">
          <w:rPr>
            <w:rStyle w:val="Hyperlink"/>
            <w:noProof/>
            <w:color w:val="000066"/>
          </w:rPr>
          <w:t xml:space="preserve">Section 232 Healthcare Facility Documents Renewed (OMB 2502-0605 - </w:t>
        </w:r>
        <w:r w:rsidR="00305658" w:rsidRPr="007C180F">
          <w:rPr>
            <w:rStyle w:val="Hyperlink"/>
            <w:i/>
            <w:iCs/>
            <w:noProof/>
            <w:color w:val="000066"/>
          </w:rPr>
          <w:t>Comprehensive Listing of Transactional Documents for Mortgagors, Mortgagees and Contractors</w:t>
        </w:r>
        <w:r w:rsidR="00305658" w:rsidRPr="007C180F">
          <w:rPr>
            <w:rStyle w:val="Hyperlink"/>
            <w:noProof/>
            <w:color w:val="000066"/>
          </w:rPr>
          <w:t>) – Including Green Mortgage Insurance Premium (MIP) Documents</w:t>
        </w:r>
      </w:hyperlink>
    </w:p>
    <w:p w14:paraId="7C814DB9" w14:textId="46629DBC" w:rsidR="00305658" w:rsidRPr="007C180F" w:rsidRDefault="00000000" w:rsidP="00305658">
      <w:pPr>
        <w:pStyle w:val="TOC1"/>
        <w:rPr>
          <w:rFonts w:asciiTheme="minorHAnsi" w:eastAsiaTheme="minorEastAsia" w:hAnsiTheme="minorHAnsi" w:cstheme="minorBidi"/>
          <w:noProof/>
          <w:color w:val="000066"/>
          <w:sz w:val="22"/>
        </w:rPr>
      </w:pPr>
      <w:hyperlink w:anchor="_Toc126307627" w:history="1">
        <w:r w:rsidR="00305658" w:rsidRPr="007C180F">
          <w:rPr>
            <w:rStyle w:val="Hyperlink"/>
            <w:noProof/>
            <w:color w:val="000066"/>
          </w:rPr>
          <w:t>Adoption of New Phase I Environmental Site Assessment Standard, ASTM E1527-21</w:t>
        </w:r>
      </w:hyperlink>
    </w:p>
    <w:p w14:paraId="078FB20A" w14:textId="4316F031" w:rsidR="00305658" w:rsidRPr="007C180F" w:rsidRDefault="00000000" w:rsidP="00305658">
      <w:pPr>
        <w:pStyle w:val="TOC1"/>
        <w:rPr>
          <w:rFonts w:asciiTheme="minorHAnsi" w:eastAsiaTheme="minorEastAsia" w:hAnsiTheme="minorHAnsi" w:cstheme="minorBidi"/>
          <w:noProof/>
          <w:color w:val="000066"/>
          <w:sz w:val="22"/>
        </w:rPr>
      </w:pPr>
      <w:hyperlink w:anchor="_Toc126307628" w:history="1">
        <w:r w:rsidR="00305658" w:rsidRPr="007C180F">
          <w:rPr>
            <w:rStyle w:val="Hyperlink"/>
            <w:noProof/>
            <w:color w:val="000066"/>
          </w:rPr>
          <w:t>Extension of Authorization to Lenders and Their Representatives to Initiate Consultation with State Historic Preservation Offices (SHPOs)</w:t>
        </w:r>
      </w:hyperlink>
    </w:p>
    <w:p w14:paraId="6E0E6047" w14:textId="2EADD89D" w:rsidR="00743DDB" w:rsidRPr="001F5102" w:rsidRDefault="00396DB3" w:rsidP="00B62E6A">
      <w:pPr>
        <w:spacing w:before="120"/>
        <w:rPr>
          <w:rFonts w:ascii="Arial" w:hAnsi="Arial" w:cs="Arial"/>
          <w:iCs/>
        </w:rPr>
      </w:pPr>
      <w:r w:rsidRPr="00B62E6A">
        <w:rPr>
          <w:rFonts w:ascii="Arial" w:hAnsi="Arial" w:cs="Arial"/>
          <w:i/>
          <w:color w:val="000066"/>
        </w:rPr>
        <w:fldChar w:fldCharType="end"/>
      </w:r>
    </w:p>
    <w:p w14:paraId="5A625462" w14:textId="77777777" w:rsidR="000112A7" w:rsidRPr="001F5102" w:rsidRDefault="000112A7" w:rsidP="00863472">
      <w:pPr>
        <w:rPr>
          <w:rFonts w:ascii="Arial" w:hAnsi="Arial" w:cs="Arial"/>
          <w:iCs/>
        </w:rPr>
      </w:pPr>
    </w:p>
    <w:p w14:paraId="32D8A0E2" w14:textId="07E89511" w:rsidR="000D49B8" w:rsidRPr="00C02531" w:rsidRDefault="000D49B8" w:rsidP="000D49B8">
      <w:pPr>
        <w:pStyle w:val="EmailBlast"/>
      </w:pPr>
      <w:bookmarkStart w:id="1" w:name="_Toc380585836"/>
      <w:bookmarkStart w:id="2" w:name="_Toc120698455"/>
      <w:bookmarkStart w:id="3" w:name="_Toc126307626"/>
      <w:bookmarkEnd w:id="1"/>
      <w:r w:rsidRPr="009D7BAD">
        <w:rPr>
          <w:szCs w:val="24"/>
        </w:rPr>
        <w:t>S</w:t>
      </w:r>
      <w:r>
        <w:rPr>
          <w:szCs w:val="24"/>
        </w:rPr>
        <w:t>ection 232</w:t>
      </w:r>
      <w:r w:rsidRPr="009D7BAD">
        <w:rPr>
          <w:szCs w:val="24"/>
        </w:rPr>
        <w:t xml:space="preserve"> H</w:t>
      </w:r>
      <w:r>
        <w:rPr>
          <w:szCs w:val="24"/>
        </w:rPr>
        <w:t>ealthcare</w:t>
      </w:r>
      <w:r w:rsidRPr="009D7BAD">
        <w:rPr>
          <w:szCs w:val="24"/>
        </w:rPr>
        <w:t xml:space="preserve"> F</w:t>
      </w:r>
      <w:r>
        <w:rPr>
          <w:szCs w:val="24"/>
        </w:rPr>
        <w:t>acility</w:t>
      </w:r>
      <w:r w:rsidRPr="009D7BAD">
        <w:rPr>
          <w:szCs w:val="24"/>
        </w:rPr>
        <w:t xml:space="preserve"> D</w:t>
      </w:r>
      <w:r>
        <w:rPr>
          <w:szCs w:val="24"/>
        </w:rPr>
        <w:t>ocuments Renewed</w:t>
      </w:r>
      <w:r w:rsidR="00D6541E">
        <w:rPr>
          <w:szCs w:val="24"/>
        </w:rPr>
        <w:t xml:space="preserve"> (</w:t>
      </w:r>
      <w:r w:rsidR="00756969">
        <w:rPr>
          <w:szCs w:val="24"/>
        </w:rPr>
        <w:t xml:space="preserve">OMB 2502-0605 - </w:t>
      </w:r>
      <w:r w:rsidR="00D6541E" w:rsidRPr="00756969">
        <w:rPr>
          <w:i/>
          <w:iCs/>
          <w:szCs w:val="24"/>
        </w:rPr>
        <w:t>Comprehensive Listing of Transactional Documents for Mortgagors, Mortgagees and Contractors</w:t>
      </w:r>
      <w:r w:rsidR="00756969">
        <w:rPr>
          <w:szCs w:val="24"/>
        </w:rPr>
        <w:t>)</w:t>
      </w:r>
      <w:r>
        <w:rPr>
          <w:szCs w:val="24"/>
        </w:rPr>
        <w:t xml:space="preserve"> – Including Green M</w:t>
      </w:r>
      <w:r w:rsidR="00563A11">
        <w:rPr>
          <w:szCs w:val="24"/>
        </w:rPr>
        <w:t xml:space="preserve">ortgage </w:t>
      </w:r>
      <w:r>
        <w:rPr>
          <w:szCs w:val="24"/>
        </w:rPr>
        <w:t>I</w:t>
      </w:r>
      <w:r w:rsidR="00563A11">
        <w:rPr>
          <w:szCs w:val="24"/>
        </w:rPr>
        <w:t>n</w:t>
      </w:r>
      <w:r w:rsidR="00176BBA">
        <w:rPr>
          <w:szCs w:val="24"/>
        </w:rPr>
        <w:t>surance Premium (MIP)</w:t>
      </w:r>
      <w:r>
        <w:rPr>
          <w:szCs w:val="24"/>
        </w:rPr>
        <w:t xml:space="preserve"> Documents</w:t>
      </w:r>
      <w:bookmarkEnd w:id="2"/>
      <w:bookmarkEnd w:id="3"/>
      <w:r w:rsidRPr="009D7BAD">
        <w:rPr>
          <w:szCs w:val="24"/>
        </w:rPr>
        <w:t xml:space="preserve"> </w:t>
      </w:r>
    </w:p>
    <w:p w14:paraId="442571B7" w14:textId="7C7405B5" w:rsidR="00E24FE5" w:rsidRPr="00E24FE5" w:rsidRDefault="00E24FE5" w:rsidP="00E24FE5">
      <w:pPr>
        <w:rPr>
          <w:rFonts w:ascii="Arial" w:hAnsi="Arial" w:cs="Arial"/>
          <w:szCs w:val="24"/>
        </w:rPr>
      </w:pPr>
      <w:r w:rsidRPr="00E24FE5">
        <w:rPr>
          <w:rFonts w:ascii="Arial" w:hAnsi="Arial" w:cs="Arial"/>
          <w:szCs w:val="24"/>
        </w:rPr>
        <w:t xml:space="preserve">The Section 232 Healthcare Facility documents (OMB 2502-0605 - </w:t>
      </w:r>
      <w:r w:rsidRPr="00E24FE5">
        <w:rPr>
          <w:rFonts w:ascii="Arial" w:hAnsi="Arial" w:cs="Arial"/>
          <w:i/>
          <w:iCs/>
          <w:szCs w:val="24"/>
        </w:rPr>
        <w:t>Comprehensive Listing of Transactional Documents for Mortgagors, Mortgagees and Contractors</w:t>
      </w:r>
      <w:r w:rsidRPr="00E24FE5">
        <w:rPr>
          <w:rFonts w:ascii="Arial" w:hAnsi="Arial" w:cs="Arial"/>
          <w:szCs w:val="24"/>
        </w:rPr>
        <w:t xml:space="preserve">) have been renewed. The documents have been published on </w:t>
      </w:r>
      <w:hyperlink r:id="rId12" w:history="1">
        <w:r w:rsidRPr="00E24FE5">
          <w:rPr>
            <w:rStyle w:val="Hyperlink"/>
            <w:rFonts w:ascii="Arial" w:hAnsi="Arial" w:cs="Arial"/>
            <w:szCs w:val="24"/>
          </w:rPr>
          <w:t>HUD's Client Information Policy Systems (HUDCLIPS)</w:t>
        </w:r>
      </w:hyperlink>
      <w:r w:rsidRPr="00E24FE5">
        <w:rPr>
          <w:rFonts w:ascii="Arial" w:hAnsi="Arial" w:cs="Arial"/>
          <w:szCs w:val="24"/>
          <w:u w:val="single"/>
        </w:rPr>
        <w:t>.</w:t>
      </w:r>
      <w:r w:rsidRPr="00E24FE5">
        <w:rPr>
          <w:rFonts w:ascii="Arial" w:hAnsi="Arial" w:cs="Arial"/>
          <w:szCs w:val="24"/>
        </w:rPr>
        <w:t xml:space="preserve"> Minor changes were made to OMB 2502-0605 as detailed in the </w:t>
      </w:r>
      <w:hyperlink r:id="rId13" w:history="1">
        <w:r w:rsidRPr="00E24FE5">
          <w:rPr>
            <w:rStyle w:val="Hyperlink"/>
            <w:rFonts w:ascii="Arial" w:hAnsi="Arial" w:cs="Arial"/>
            <w:szCs w:val="24"/>
          </w:rPr>
          <w:t>November 12, 2021 60-Day Notice of Proposed Information Collection</w:t>
        </w:r>
      </w:hyperlink>
      <w:r w:rsidRPr="00E24FE5">
        <w:rPr>
          <w:rFonts w:ascii="Arial" w:hAnsi="Arial" w:cs="Arial"/>
          <w:szCs w:val="24"/>
        </w:rPr>
        <w:t xml:space="preserve">. Documents with Green Mortgage Insurance (MIP) initiative related edits were detailed in the </w:t>
      </w:r>
      <w:hyperlink r:id="rId14" w:history="1">
        <w:r w:rsidRPr="00E24FE5">
          <w:rPr>
            <w:rStyle w:val="Hyperlink"/>
            <w:rFonts w:ascii="Arial" w:hAnsi="Arial" w:cs="Arial"/>
            <w:szCs w:val="24"/>
          </w:rPr>
          <w:t>August 26, 2022 30-Day Notice of Proposed Information Collection</w:t>
        </w:r>
      </w:hyperlink>
      <w:r w:rsidRPr="00E24FE5">
        <w:rPr>
          <w:rFonts w:ascii="Arial" w:hAnsi="Arial" w:cs="Arial"/>
          <w:szCs w:val="24"/>
        </w:rPr>
        <w:t>.  The Office of Residential Care Facilities is allowing a transition period until May 1, 2023. During this transition time, old documents can still be used, however, please see the following details:</w:t>
      </w:r>
    </w:p>
    <w:p w14:paraId="6B8856B0" w14:textId="77777777" w:rsidR="00E24FE5" w:rsidRPr="00E24FE5" w:rsidRDefault="00E24FE5" w:rsidP="00E24FE5">
      <w:pPr>
        <w:rPr>
          <w:rFonts w:ascii="Arial" w:hAnsi="Arial" w:cs="Arial"/>
          <w:szCs w:val="24"/>
        </w:rPr>
      </w:pPr>
    </w:p>
    <w:p w14:paraId="68729CA4" w14:textId="77777777" w:rsidR="00E24FE5" w:rsidRPr="00E24FE5" w:rsidRDefault="00E24FE5" w:rsidP="00E24FE5">
      <w:pPr>
        <w:rPr>
          <w:rFonts w:ascii="Arial" w:hAnsi="Arial" w:cs="Arial"/>
          <w:szCs w:val="24"/>
        </w:rPr>
      </w:pPr>
      <w:r w:rsidRPr="00E24FE5">
        <w:rPr>
          <w:rFonts w:ascii="Arial" w:hAnsi="Arial" w:cs="Arial"/>
          <w:b/>
          <w:bCs/>
          <w:szCs w:val="24"/>
          <w:u w:val="single"/>
        </w:rPr>
        <w:t>Production:</w:t>
      </w:r>
      <w:r w:rsidRPr="00E24FE5">
        <w:rPr>
          <w:rFonts w:ascii="Arial" w:hAnsi="Arial" w:cs="Arial"/>
          <w:szCs w:val="24"/>
        </w:rPr>
        <w:t xml:space="preserve"> All new Firm Commitment application documents will be required for Firm applications submitted on or after May 1.  If an applicant chooses to use new Firm Commitment application documents before that date, then the applicant must also use new closing documents, regardless of closing date.  Additionally, all new closing </w:t>
      </w:r>
      <w:r w:rsidRPr="00E24FE5">
        <w:rPr>
          <w:rFonts w:ascii="Arial" w:hAnsi="Arial" w:cs="Arial"/>
          <w:szCs w:val="24"/>
        </w:rPr>
        <w:lastRenderedPageBreak/>
        <w:t xml:space="preserve">documents must be used for any project that receives a Firm Commitment on or after May 1. </w:t>
      </w:r>
    </w:p>
    <w:p w14:paraId="0FF01F6A" w14:textId="77777777" w:rsidR="00E24FE5" w:rsidRPr="00E24FE5" w:rsidRDefault="00E24FE5" w:rsidP="00E24FE5">
      <w:pPr>
        <w:rPr>
          <w:rFonts w:ascii="Arial" w:hAnsi="Arial" w:cs="Arial"/>
          <w:szCs w:val="24"/>
        </w:rPr>
      </w:pPr>
    </w:p>
    <w:p w14:paraId="09F1E533" w14:textId="77777777" w:rsidR="00E24FE5" w:rsidRPr="00E24FE5" w:rsidRDefault="00E24FE5" w:rsidP="00E24FE5">
      <w:pPr>
        <w:rPr>
          <w:rFonts w:ascii="Arial" w:hAnsi="Arial" w:cs="Arial"/>
          <w:szCs w:val="24"/>
        </w:rPr>
      </w:pPr>
      <w:r w:rsidRPr="00E24FE5">
        <w:rPr>
          <w:rFonts w:ascii="Arial" w:hAnsi="Arial" w:cs="Arial"/>
          <w:b/>
          <w:bCs/>
          <w:szCs w:val="24"/>
          <w:u w:val="single"/>
        </w:rPr>
        <w:t>Asset Management:</w:t>
      </w:r>
      <w:r w:rsidRPr="00E24FE5">
        <w:rPr>
          <w:rFonts w:ascii="Arial" w:hAnsi="Arial" w:cs="Arial"/>
          <w:szCs w:val="24"/>
        </w:rPr>
        <w:t>  All Asset Management transactions must use new documents on or after May 1.</w:t>
      </w:r>
    </w:p>
    <w:p w14:paraId="1FF29824" w14:textId="77777777" w:rsidR="00E24FE5" w:rsidRPr="00E24FE5" w:rsidRDefault="00E24FE5" w:rsidP="00E24FE5">
      <w:pPr>
        <w:rPr>
          <w:rFonts w:ascii="Arial" w:hAnsi="Arial" w:cs="Arial"/>
          <w:szCs w:val="24"/>
        </w:rPr>
      </w:pPr>
    </w:p>
    <w:p w14:paraId="38C362E9" w14:textId="77777777" w:rsidR="00E24FE5" w:rsidRPr="00E24FE5" w:rsidRDefault="00E24FE5" w:rsidP="00E24FE5">
      <w:pPr>
        <w:rPr>
          <w:rFonts w:ascii="Arial" w:hAnsi="Arial" w:cs="Arial"/>
          <w:szCs w:val="24"/>
        </w:rPr>
      </w:pPr>
      <w:r w:rsidRPr="00E24FE5">
        <w:rPr>
          <w:rFonts w:ascii="Arial" w:hAnsi="Arial" w:cs="Arial"/>
          <w:b/>
          <w:bCs/>
          <w:szCs w:val="24"/>
          <w:u w:val="single"/>
        </w:rPr>
        <w:t>Green MIP:</w:t>
      </w:r>
      <w:r w:rsidRPr="00E24FE5">
        <w:rPr>
          <w:rFonts w:ascii="Arial" w:hAnsi="Arial" w:cs="Arial"/>
          <w:szCs w:val="24"/>
        </w:rPr>
        <w:t xml:space="preserve"> The following fifteen documents have edits related to the Section 232 Green Mortgage Insurance Premium (MIP) initiative. These documents must be used for all Green MIP transactions: </w:t>
      </w:r>
    </w:p>
    <w:p w14:paraId="116E42C5" w14:textId="77777777" w:rsidR="000D2F66" w:rsidRDefault="000D2F66" w:rsidP="00BE3320">
      <w:pPr>
        <w:rPr>
          <w:rFonts w:ascii="Arial" w:hAnsi="Arial" w:cs="Arial"/>
          <w:szCs w:val="24"/>
        </w:rPr>
      </w:pPr>
    </w:p>
    <w:p w14:paraId="1434DF00" w14:textId="14E7888D" w:rsidR="00BE3320" w:rsidRPr="00BE3320" w:rsidRDefault="00BE3320" w:rsidP="000D2F66">
      <w:pPr>
        <w:ind w:left="720"/>
        <w:rPr>
          <w:rFonts w:ascii="Arial" w:hAnsi="Arial" w:cs="Arial"/>
          <w:szCs w:val="24"/>
        </w:rPr>
      </w:pPr>
      <w:r w:rsidRPr="00BE3320">
        <w:rPr>
          <w:rFonts w:ascii="Arial" w:hAnsi="Arial" w:cs="Arial"/>
          <w:szCs w:val="24"/>
        </w:rPr>
        <w:t xml:space="preserve">HUD-9001-ORCF - Lender Narrative - 223a7 </w:t>
      </w:r>
    </w:p>
    <w:p w14:paraId="4B5BBB45" w14:textId="77777777" w:rsidR="00BE3320" w:rsidRPr="00BE3320" w:rsidRDefault="00BE3320" w:rsidP="000D2F66">
      <w:pPr>
        <w:ind w:left="720"/>
        <w:rPr>
          <w:rFonts w:ascii="Arial" w:hAnsi="Arial" w:cs="Arial"/>
          <w:szCs w:val="24"/>
        </w:rPr>
      </w:pPr>
      <w:r w:rsidRPr="00BE3320">
        <w:rPr>
          <w:rFonts w:ascii="Arial" w:hAnsi="Arial" w:cs="Arial"/>
          <w:szCs w:val="24"/>
        </w:rPr>
        <w:t>HUD-9002-ORCF - Lender Narrative 223f</w:t>
      </w:r>
    </w:p>
    <w:p w14:paraId="192C2FB8" w14:textId="77777777" w:rsidR="00BE3320" w:rsidRPr="00BE3320" w:rsidRDefault="00BE3320" w:rsidP="000D2F66">
      <w:pPr>
        <w:ind w:left="720"/>
        <w:rPr>
          <w:rFonts w:ascii="Arial" w:hAnsi="Arial" w:cs="Arial"/>
          <w:szCs w:val="24"/>
        </w:rPr>
      </w:pPr>
      <w:r w:rsidRPr="00BE3320">
        <w:rPr>
          <w:rFonts w:ascii="Arial" w:hAnsi="Arial" w:cs="Arial"/>
          <w:szCs w:val="24"/>
        </w:rPr>
        <w:t>HUD-9003-ORCF - Lender Narrative 241a</w:t>
      </w:r>
    </w:p>
    <w:p w14:paraId="4F2F5DAA" w14:textId="77777777" w:rsidR="00BE3320" w:rsidRPr="00BE3320" w:rsidRDefault="00BE3320" w:rsidP="000D2F66">
      <w:pPr>
        <w:ind w:left="720"/>
        <w:rPr>
          <w:rFonts w:ascii="Arial" w:hAnsi="Arial" w:cs="Arial"/>
          <w:szCs w:val="24"/>
        </w:rPr>
      </w:pPr>
      <w:r w:rsidRPr="00BE3320">
        <w:rPr>
          <w:rFonts w:ascii="Arial" w:hAnsi="Arial" w:cs="Arial"/>
          <w:szCs w:val="24"/>
        </w:rPr>
        <w:t>HUD-9004-ORCF - Lender Narrative - New Construction - Single Stage</w:t>
      </w:r>
    </w:p>
    <w:p w14:paraId="672928F5" w14:textId="77777777" w:rsidR="00BE3320" w:rsidRPr="00BE3320" w:rsidRDefault="00BE3320" w:rsidP="00E82918">
      <w:pPr>
        <w:ind w:left="2790" w:hanging="2070"/>
        <w:rPr>
          <w:rFonts w:ascii="Arial" w:hAnsi="Arial" w:cs="Arial"/>
          <w:szCs w:val="24"/>
        </w:rPr>
      </w:pPr>
      <w:r w:rsidRPr="00BE3320">
        <w:rPr>
          <w:rFonts w:ascii="Arial" w:hAnsi="Arial" w:cs="Arial"/>
          <w:szCs w:val="24"/>
        </w:rPr>
        <w:t>HUD-9005-ORCF - Lender Narrative - New Construction - 2 Stage - Initial Submittal</w:t>
      </w:r>
    </w:p>
    <w:p w14:paraId="311535EB" w14:textId="77777777" w:rsidR="00BE3320" w:rsidRPr="00BE3320" w:rsidRDefault="00BE3320" w:rsidP="00E82918">
      <w:pPr>
        <w:ind w:left="2880" w:hanging="2160"/>
        <w:rPr>
          <w:rFonts w:ascii="Arial" w:hAnsi="Arial" w:cs="Arial"/>
          <w:szCs w:val="24"/>
        </w:rPr>
      </w:pPr>
      <w:r w:rsidRPr="00BE3320">
        <w:rPr>
          <w:rFonts w:ascii="Arial" w:hAnsi="Arial" w:cs="Arial"/>
          <w:szCs w:val="24"/>
        </w:rPr>
        <w:t>HUD-9005a-ORCF - Lender Narrative - New Construction - 2 Stage Final Submittal</w:t>
      </w:r>
    </w:p>
    <w:p w14:paraId="15C235F7" w14:textId="77777777" w:rsidR="00BE3320" w:rsidRPr="00BE3320" w:rsidRDefault="00BE3320" w:rsidP="000D2F66">
      <w:pPr>
        <w:ind w:left="720"/>
        <w:rPr>
          <w:rFonts w:ascii="Arial" w:hAnsi="Arial" w:cs="Arial"/>
          <w:szCs w:val="24"/>
        </w:rPr>
      </w:pPr>
      <w:r w:rsidRPr="00BE3320">
        <w:rPr>
          <w:rFonts w:ascii="Arial" w:hAnsi="Arial" w:cs="Arial"/>
          <w:szCs w:val="24"/>
        </w:rPr>
        <w:t>HUD-9006-ORCF - Lender Narrative - Substantial Rehabilitation - Single Stage</w:t>
      </w:r>
    </w:p>
    <w:p w14:paraId="569D040B" w14:textId="77777777" w:rsidR="00BE3320" w:rsidRPr="00BE3320" w:rsidRDefault="00BE3320" w:rsidP="00E82918">
      <w:pPr>
        <w:ind w:left="2790" w:hanging="2070"/>
        <w:rPr>
          <w:rFonts w:ascii="Arial" w:hAnsi="Arial" w:cs="Arial"/>
          <w:szCs w:val="24"/>
        </w:rPr>
      </w:pPr>
      <w:r w:rsidRPr="00BE3320">
        <w:rPr>
          <w:rFonts w:ascii="Arial" w:hAnsi="Arial" w:cs="Arial"/>
          <w:szCs w:val="24"/>
        </w:rPr>
        <w:t>HUD-9007-ORCF - Lender Narrative - Substantial Rehabilitation - 2 Stage Initial Submittal</w:t>
      </w:r>
    </w:p>
    <w:p w14:paraId="60B1067E" w14:textId="77777777" w:rsidR="00BE3320" w:rsidRPr="00BE3320" w:rsidRDefault="00BE3320" w:rsidP="00E24FE5">
      <w:pPr>
        <w:ind w:left="2880" w:hanging="2160"/>
        <w:rPr>
          <w:rFonts w:ascii="Arial" w:hAnsi="Arial" w:cs="Arial"/>
          <w:szCs w:val="24"/>
        </w:rPr>
      </w:pPr>
      <w:r w:rsidRPr="00BE3320">
        <w:rPr>
          <w:rFonts w:ascii="Arial" w:hAnsi="Arial" w:cs="Arial"/>
          <w:szCs w:val="24"/>
        </w:rPr>
        <w:t>HUD-9007a-ORCF - Lender Narrative - Substantial Rehabilitation - 2 Stage Final Submittal</w:t>
      </w:r>
    </w:p>
    <w:p w14:paraId="0252EA37" w14:textId="77777777" w:rsidR="00BE3320" w:rsidRPr="00BE3320" w:rsidRDefault="00BE3320" w:rsidP="000D2F66">
      <w:pPr>
        <w:ind w:left="720"/>
        <w:rPr>
          <w:rFonts w:ascii="Arial" w:hAnsi="Arial" w:cs="Arial"/>
          <w:szCs w:val="24"/>
        </w:rPr>
      </w:pPr>
      <w:r w:rsidRPr="00BE3320">
        <w:rPr>
          <w:rFonts w:ascii="Arial" w:hAnsi="Arial" w:cs="Arial"/>
          <w:szCs w:val="24"/>
        </w:rPr>
        <w:t>HUD-90013-ORCF - Consolidated Certification – Borrower</w:t>
      </w:r>
    </w:p>
    <w:p w14:paraId="41EFFCAC" w14:textId="77777777" w:rsidR="00BE3320" w:rsidRPr="00BE3320" w:rsidRDefault="00BE3320" w:rsidP="000D2F66">
      <w:pPr>
        <w:ind w:left="720"/>
        <w:rPr>
          <w:rFonts w:ascii="Arial" w:hAnsi="Arial" w:cs="Arial"/>
          <w:szCs w:val="24"/>
        </w:rPr>
      </w:pPr>
      <w:r w:rsidRPr="00BE3320">
        <w:rPr>
          <w:rFonts w:ascii="Arial" w:hAnsi="Arial" w:cs="Arial"/>
          <w:szCs w:val="24"/>
        </w:rPr>
        <w:t>HUD-91124-ORCF - Design Architect Certification</w:t>
      </w:r>
    </w:p>
    <w:p w14:paraId="2EBD3146" w14:textId="77777777" w:rsidR="00BE3320" w:rsidRPr="00BE3320" w:rsidRDefault="00BE3320" w:rsidP="000D2F66">
      <w:pPr>
        <w:ind w:left="720"/>
        <w:rPr>
          <w:rFonts w:ascii="Arial" w:hAnsi="Arial" w:cs="Arial"/>
          <w:szCs w:val="24"/>
        </w:rPr>
      </w:pPr>
      <w:r w:rsidRPr="00BE3320">
        <w:rPr>
          <w:rFonts w:ascii="Arial" w:hAnsi="Arial" w:cs="Arial"/>
          <w:szCs w:val="24"/>
        </w:rPr>
        <w:t>HUD-92464-ORCF - Request Approval Advance of Escrow Funds</w:t>
      </w:r>
    </w:p>
    <w:p w14:paraId="2B180C4B" w14:textId="77777777" w:rsidR="00BE3320" w:rsidRPr="00BE3320" w:rsidRDefault="00BE3320" w:rsidP="000D2F66">
      <w:pPr>
        <w:ind w:left="720"/>
        <w:rPr>
          <w:rFonts w:ascii="Arial" w:hAnsi="Arial" w:cs="Arial"/>
          <w:szCs w:val="24"/>
        </w:rPr>
      </w:pPr>
      <w:r w:rsidRPr="00BE3320">
        <w:rPr>
          <w:rFonts w:ascii="Arial" w:hAnsi="Arial" w:cs="Arial"/>
          <w:szCs w:val="24"/>
        </w:rPr>
        <w:t>HUD-92466-ORCF - Healthcare Regulatory Agreement – Borrower</w:t>
      </w:r>
    </w:p>
    <w:p w14:paraId="549C661F" w14:textId="77777777" w:rsidR="00BE3320" w:rsidRPr="00BE3320" w:rsidRDefault="00BE3320" w:rsidP="00E82918">
      <w:pPr>
        <w:ind w:left="2970" w:hanging="2250"/>
        <w:rPr>
          <w:rFonts w:ascii="Arial" w:hAnsi="Arial" w:cs="Arial"/>
          <w:szCs w:val="24"/>
        </w:rPr>
      </w:pPr>
      <w:r w:rsidRPr="00BE3320">
        <w:rPr>
          <w:rFonts w:ascii="Arial" w:hAnsi="Arial" w:cs="Arial"/>
          <w:szCs w:val="24"/>
        </w:rPr>
        <w:t>HUD-92467-ORCF - Supplemental Healthcare Regulatory Agreement – Borrower</w:t>
      </w:r>
    </w:p>
    <w:p w14:paraId="3BA0D0AC" w14:textId="0F069B0A" w:rsidR="000D49B8" w:rsidRPr="00E165B8" w:rsidRDefault="00BE3320" w:rsidP="000D2F66">
      <w:pPr>
        <w:ind w:left="720"/>
        <w:rPr>
          <w:rFonts w:ascii="Arial" w:hAnsi="Arial" w:cs="Arial"/>
          <w:szCs w:val="24"/>
        </w:rPr>
      </w:pPr>
      <w:r w:rsidRPr="00BE3320">
        <w:rPr>
          <w:rFonts w:ascii="Arial" w:hAnsi="Arial" w:cs="Arial"/>
          <w:szCs w:val="24"/>
        </w:rPr>
        <w:t>HUD-92476-ORCF - Escrow Agreement Noncritical Deferred Repairs</w:t>
      </w:r>
    </w:p>
    <w:p w14:paraId="237236C5" w14:textId="77777777" w:rsidR="000D49B8" w:rsidRPr="00E165B8" w:rsidRDefault="000D49B8" w:rsidP="000D49B8">
      <w:pPr>
        <w:rPr>
          <w:rFonts w:ascii="Arial" w:hAnsi="Arial" w:cs="Arial"/>
          <w:szCs w:val="24"/>
        </w:rPr>
      </w:pPr>
    </w:p>
    <w:p w14:paraId="6FABE6B3" w14:textId="77777777" w:rsidR="000D49B8" w:rsidRPr="00E165B8" w:rsidRDefault="000D49B8" w:rsidP="000D49B8">
      <w:pPr>
        <w:rPr>
          <w:rFonts w:ascii="Arial" w:hAnsi="Arial" w:cs="Arial"/>
          <w:i/>
          <w:iCs/>
          <w:szCs w:val="24"/>
        </w:rPr>
      </w:pPr>
      <w:r w:rsidRPr="00E165B8">
        <w:rPr>
          <w:rFonts w:ascii="Arial" w:hAnsi="Arial" w:cs="Arial"/>
          <w:b/>
          <w:bCs/>
          <w:i/>
          <w:iCs/>
          <w:szCs w:val="24"/>
        </w:rPr>
        <w:t xml:space="preserve">Keywords: </w:t>
      </w:r>
      <w:r>
        <w:rPr>
          <w:rFonts w:ascii="Arial" w:hAnsi="Arial" w:cs="Arial"/>
          <w:i/>
          <w:iCs/>
          <w:szCs w:val="24"/>
        </w:rPr>
        <w:t>Section 232 Documents, Green MIP</w:t>
      </w:r>
      <w:r w:rsidRPr="00E165B8">
        <w:rPr>
          <w:rFonts w:ascii="Arial" w:hAnsi="Arial" w:cs="Arial"/>
          <w:i/>
          <w:iCs/>
          <w:szCs w:val="24"/>
        </w:rPr>
        <w:t xml:space="preserve"> </w:t>
      </w:r>
    </w:p>
    <w:p w14:paraId="30BE57A4" w14:textId="77777777" w:rsidR="000D49B8" w:rsidRPr="00E165B8" w:rsidRDefault="000D49B8" w:rsidP="000D49B8">
      <w:pPr>
        <w:rPr>
          <w:rFonts w:ascii="Arial" w:hAnsi="Arial" w:cs="Arial"/>
          <w:i/>
          <w:iCs/>
          <w:szCs w:val="24"/>
        </w:rPr>
      </w:pPr>
    </w:p>
    <w:p w14:paraId="359A89B1" w14:textId="77777777" w:rsidR="000D49B8" w:rsidRPr="001F5102" w:rsidRDefault="00000000" w:rsidP="000D49B8">
      <w:pPr>
        <w:rPr>
          <w:rFonts w:ascii="Arial" w:hAnsi="Arial" w:cs="Arial"/>
          <w:b/>
          <w:color w:val="365F91" w:themeColor="accent1" w:themeShade="BF"/>
          <w:szCs w:val="24"/>
        </w:rPr>
      </w:pPr>
      <w:hyperlink w:anchor="_top" w:history="1">
        <w:r w:rsidR="000D49B8" w:rsidRPr="001F5102">
          <w:rPr>
            <w:rFonts w:ascii="Arial" w:hAnsi="Arial" w:cs="Arial"/>
            <w:color w:val="365F91" w:themeColor="accent1" w:themeShade="BF"/>
            <w:szCs w:val="24"/>
            <w:u w:val="single"/>
          </w:rPr>
          <w:t>Back to top</w:t>
        </w:r>
      </w:hyperlink>
    </w:p>
    <w:p w14:paraId="587C47BA" w14:textId="77777777" w:rsidR="000D49B8" w:rsidRDefault="000D49B8" w:rsidP="005C1E0A">
      <w:pPr>
        <w:pStyle w:val="EmailBlast"/>
      </w:pPr>
    </w:p>
    <w:p w14:paraId="374935E6" w14:textId="562159BB" w:rsidR="00D85732" w:rsidRPr="00D85732" w:rsidRDefault="00D85732" w:rsidP="005C1E0A">
      <w:pPr>
        <w:pStyle w:val="EmailBlast"/>
      </w:pPr>
      <w:bookmarkStart w:id="4" w:name="_Toc126307627"/>
      <w:r w:rsidRPr="00D85732">
        <w:t>Adoption of New Phase I Environmental Site Assessment Standard, ASTM E1527-21</w:t>
      </w:r>
      <w:bookmarkEnd w:id="4"/>
      <w:r w:rsidRPr="00D85732">
        <w:t xml:space="preserve"> </w:t>
      </w:r>
    </w:p>
    <w:p w14:paraId="7EBD7794" w14:textId="468A7B5A" w:rsidR="00D85732" w:rsidRPr="00D85732" w:rsidRDefault="00D85732" w:rsidP="00D85732">
      <w:pPr>
        <w:rPr>
          <w:rFonts w:ascii="Arial" w:hAnsi="Arial" w:cs="Arial"/>
        </w:rPr>
      </w:pPr>
      <w:r w:rsidRPr="00D85732">
        <w:rPr>
          <w:rFonts w:ascii="Arial" w:hAnsi="Arial" w:cs="Arial"/>
        </w:rPr>
        <w:t>ASTM, Inc., published a new standard for Phase I Environmental Site Assessments (ESAs) titled ASTM E1527-21 on November 2, 2021.  On December 15, 2022, the Environmental Protection Agency (EPA) published a final rule to amend its All Appropriate Inquiries (AAI) rule at 40 CFR 312.11 to reference the new standard as sufficient to satisfy the requirements of the rule, with an effective date of February 13</w:t>
      </w:r>
      <w:r w:rsidRPr="00D85732">
        <w:rPr>
          <w:rFonts w:ascii="Arial" w:hAnsi="Arial" w:cs="Arial"/>
          <w:vertAlign w:val="superscript"/>
        </w:rPr>
        <w:t>th</w:t>
      </w:r>
      <w:r w:rsidRPr="00D85732">
        <w:rPr>
          <w:rFonts w:ascii="Arial" w:hAnsi="Arial" w:cs="Arial"/>
        </w:rPr>
        <w:t xml:space="preserve">, 2023.  The EPA rule also established a sunset period through February 13, </w:t>
      </w:r>
      <w:r w:rsidR="004B0E37" w:rsidRPr="00D85732">
        <w:rPr>
          <w:rFonts w:ascii="Arial" w:hAnsi="Arial" w:cs="Arial"/>
        </w:rPr>
        <w:t>2024,</w:t>
      </w:r>
      <w:r w:rsidRPr="00D85732">
        <w:rPr>
          <w:rFonts w:ascii="Arial" w:hAnsi="Arial" w:cs="Arial"/>
        </w:rPr>
        <w:t xml:space="preserve"> for the ASTM E 1527-13 standard.</w:t>
      </w:r>
    </w:p>
    <w:p w14:paraId="45A1667F" w14:textId="77777777" w:rsidR="00D85732" w:rsidRPr="00D85732" w:rsidRDefault="00D85732" w:rsidP="00D85732">
      <w:pPr>
        <w:rPr>
          <w:rFonts w:ascii="Arial" w:hAnsi="Arial" w:cs="Arial"/>
        </w:rPr>
      </w:pPr>
    </w:p>
    <w:p w14:paraId="5BE5E82F" w14:textId="1CBE3563" w:rsidR="00D85732" w:rsidRPr="00D85732" w:rsidRDefault="004B0E37" w:rsidP="00D85732">
      <w:pPr>
        <w:rPr>
          <w:rFonts w:ascii="Arial" w:hAnsi="Arial" w:cs="Arial"/>
        </w:rPr>
      </w:pPr>
      <w:r>
        <w:rPr>
          <w:rFonts w:ascii="Arial" w:hAnsi="Arial" w:cs="Arial"/>
        </w:rPr>
        <w:lastRenderedPageBreak/>
        <w:t>Handbook 4232.1, Section II, Chapter</w:t>
      </w:r>
      <w:r w:rsidR="00D85732" w:rsidRPr="00D85732">
        <w:rPr>
          <w:rFonts w:ascii="Arial" w:hAnsi="Arial" w:cs="Arial"/>
        </w:rPr>
        <w:t xml:space="preserve"> 7.3.A.1.b</w:t>
      </w:r>
      <w:r>
        <w:rPr>
          <w:rFonts w:ascii="Arial" w:hAnsi="Arial" w:cs="Arial"/>
        </w:rPr>
        <w:t xml:space="preserve"> </w:t>
      </w:r>
      <w:r w:rsidR="00D85732" w:rsidRPr="00D85732">
        <w:rPr>
          <w:rFonts w:ascii="Arial" w:hAnsi="Arial" w:cs="Arial"/>
        </w:rPr>
        <w:t>requires use of the most recent edition of industry standards for compliance with environmental laws and regulations.  For the ASTM E1527 standard, HUD requires the most recent standard that EPA has adopted and referenced in the AAI rule.  Although the EPA has established an effective date of February 13th, 2023, the final rule states that EPA determined the ASTM E1527-21 standard to be compliant with the requirements of the All Appropriate Inquiries rule. Therefore, Section 232 applications submitted after the EPA final rule’s publication on December 15, 2022 and prior to February 14, 2024 may use either ASTM 1527-21 or ASTM 1527-13.   </w:t>
      </w:r>
    </w:p>
    <w:p w14:paraId="1E0928F2" w14:textId="77777777" w:rsidR="00D85732" w:rsidRPr="00D85732" w:rsidRDefault="00D85732" w:rsidP="00D85732">
      <w:pPr>
        <w:rPr>
          <w:rFonts w:ascii="Arial" w:hAnsi="Arial" w:cs="Arial"/>
        </w:rPr>
      </w:pPr>
    </w:p>
    <w:p w14:paraId="60748588" w14:textId="4699015A" w:rsidR="00D85732" w:rsidRPr="00D85732" w:rsidRDefault="00D85732" w:rsidP="00D85732">
      <w:pPr>
        <w:rPr>
          <w:rFonts w:ascii="Arial" w:hAnsi="Arial" w:cs="Arial"/>
        </w:rPr>
      </w:pPr>
      <w:r w:rsidRPr="00D85732">
        <w:rPr>
          <w:rFonts w:ascii="Arial" w:hAnsi="Arial" w:cs="Arial"/>
        </w:rPr>
        <w:t>Applications submitted prior to February 14, 2024 that included a Phase I ESA using E1527-13 and that met time frame requirements at Section 7.3.A.1.c. in Handbook 4232.1 Rev-1, Section II will not have to submit a new Phase I ESA to conform with the new standard.</w:t>
      </w:r>
    </w:p>
    <w:p w14:paraId="7133A664" w14:textId="77777777" w:rsidR="00D85732" w:rsidRPr="00D85732" w:rsidRDefault="00D85732" w:rsidP="00D85732">
      <w:pPr>
        <w:rPr>
          <w:rFonts w:ascii="Arial" w:hAnsi="Arial" w:cs="Arial"/>
        </w:rPr>
      </w:pPr>
    </w:p>
    <w:p w14:paraId="6583516C" w14:textId="138B671F" w:rsidR="00D85732" w:rsidRPr="00D85732" w:rsidRDefault="00D85732" w:rsidP="00D85732">
      <w:pPr>
        <w:rPr>
          <w:rFonts w:ascii="Arial" w:hAnsi="Arial" w:cs="Arial"/>
        </w:rPr>
      </w:pPr>
      <w:r w:rsidRPr="00D85732">
        <w:rPr>
          <w:rFonts w:ascii="Arial" w:hAnsi="Arial" w:cs="Arial"/>
        </w:rPr>
        <w:t xml:space="preserve">For new applications after February 13, 2024, all Phase I ESAs must conform to ASTM E1527-21. </w:t>
      </w:r>
    </w:p>
    <w:p w14:paraId="25A76171" w14:textId="77777777" w:rsidR="007F1DFA" w:rsidRPr="007F1DFA" w:rsidRDefault="007F1DFA" w:rsidP="007F1DFA">
      <w:pPr>
        <w:rPr>
          <w:rFonts w:ascii="Arial" w:hAnsi="Arial" w:cs="Arial"/>
        </w:rPr>
      </w:pPr>
    </w:p>
    <w:p w14:paraId="60CD439D" w14:textId="1C98DBC2" w:rsidR="007F1DFA" w:rsidRPr="007F1DFA" w:rsidRDefault="005C1E0A" w:rsidP="007F1DFA">
      <w:pPr>
        <w:rPr>
          <w:rFonts w:ascii="Arial" w:hAnsi="Arial" w:cs="Arial"/>
        </w:rPr>
      </w:pPr>
      <w:r w:rsidRPr="004B62C4">
        <w:rPr>
          <w:rFonts w:ascii="Arial" w:hAnsi="Arial" w:cs="Arial"/>
          <w:b/>
          <w:i/>
        </w:rPr>
        <w:t>Keywords:</w:t>
      </w:r>
      <w:r w:rsidRPr="004B62C4">
        <w:rPr>
          <w:rFonts w:ascii="Arial" w:hAnsi="Arial" w:cs="Arial"/>
          <w:i/>
        </w:rPr>
        <w:t xml:space="preserve"> </w:t>
      </w:r>
      <w:r w:rsidR="00DE08B4" w:rsidRPr="00DE08B4">
        <w:rPr>
          <w:i/>
          <w:iCs/>
        </w:rPr>
        <w:t>Phase I, Environmental, ASTM E1527</w:t>
      </w:r>
    </w:p>
    <w:p w14:paraId="6A7B9F14" w14:textId="7B1903EC" w:rsidR="00B2122A" w:rsidRDefault="00B2122A" w:rsidP="00B2122A">
      <w:pPr>
        <w:rPr>
          <w:rFonts w:ascii="Arial" w:eastAsia="MS Mincho" w:hAnsi="Arial" w:cs="Arial"/>
          <w:b/>
          <w:szCs w:val="24"/>
        </w:rPr>
      </w:pPr>
    </w:p>
    <w:p w14:paraId="682647E3" w14:textId="77777777" w:rsidR="00B7164F" w:rsidRPr="001F5102" w:rsidRDefault="00000000"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492CECAF" w14:textId="063E371D" w:rsidR="00997C33" w:rsidRPr="001F5102" w:rsidRDefault="00997C33" w:rsidP="00997C33">
      <w:pPr>
        <w:rPr>
          <w:rFonts w:ascii="Arial" w:hAnsi="Arial" w:cs="Arial"/>
        </w:rPr>
      </w:pPr>
    </w:p>
    <w:p w14:paraId="08B8DB84" w14:textId="22CF8A2F" w:rsidR="002C450B" w:rsidRPr="002C450B" w:rsidRDefault="002C450B" w:rsidP="002C450B">
      <w:pPr>
        <w:pStyle w:val="EmailBlast"/>
      </w:pPr>
      <w:bookmarkStart w:id="5" w:name="_Toc126307628"/>
      <w:r w:rsidRPr="002C450B">
        <w:t>E</w:t>
      </w:r>
      <w:r>
        <w:t>xtension of</w:t>
      </w:r>
      <w:r w:rsidRPr="002C450B">
        <w:t xml:space="preserve"> A</w:t>
      </w:r>
      <w:r>
        <w:t xml:space="preserve">uthorization to </w:t>
      </w:r>
      <w:r w:rsidRPr="002C450B">
        <w:t>L</w:t>
      </w:r>
      <w:r>
        <w:t>enders and</w:t>
      </w:r>
      <w:r w:rsidRPr="002C450B">
        <w:t xml:space="preserve"> T</w:t>
      </w:r>
      <w:r>
        <w:t>heir</w:t>
      </w:r>
      <w:r w:rsidRPr="002C450B">
        <w:t xml:space="preserve"> R</w:t>
      </w:r>
      <w:r>
        <w:t>epresentatives to</w:t>
      </w:r>
      <w:r w:rsidRPr="002C450B">
        <w:t xml:space="preserve"> I</w:t>
      </w:r>
      <w:r>
        <w:t xml:space="preserve">nitiate </w:t>
      </w:r>
      <w:r w:rsidRPr="002C450B">
        <w:t>C</w:t>
      </w:r>
      <w:r>
        <w:t xml:space="preserve">onsultation with </w:t>
      </w:r>
      <w:r w:rsidRPr="002C450B">
        <w:t>S</w:t>
      </w:r>
      <w:r>
        <w:t xml:space="preserve">tate </w:t>
      </w:r>
      <w:r w:rsidRPr="002C450B">
        <w:t>H</w:t>
      </w:r>
      <w:r>
        <w:t>istoric</w:t>
      </w:r>
      <w:r w:rsidRPr="002C450B">
        <w:t xml:space="preserve"> P</w:t>
      </w:r>
      <w:r>
        <w:t>reservation</w:t>
      </w:r>
      <w:r w:rsidRPr="002C450B">
        <w:t xml:space="preserve"> O</w:t>
      </w:r>
      <w:r>
        <w:t xml:space="preserve">ffices </w:t>
      </w:r>
      <w:r w:rsidRPr="002C450B">
        <w:t>(SHPOs)</w:t>
      </w:r>
      <w:bookmarkEnd w:id="5"/>
    </w:p>
    <w:p w14:paraId="36CA088E" w14:textId="34533EDD" w:rsidR="002C450B" w:rsidRDefault="002C450B" w:rsidP="002C450B">
      <w:pPr>
        <w:rPr>
          <w:rFonts w:ascii="Arial" w:hAnsi="Arial" w:cs="Arial"/>
        </w:rPr>
      </w:pPr>
      <w:r w:rsidRPr="002C450B">
        <w:rPr>
          <w:rFonts w:ascii="Arial" w:hAnsi="Arial" w:cs="Arial"/>
        </w:rPr>
        <w:t xml:space="preserve">On March 18, 2021, HUD issued a formal authorization under 36 CFR 800.2(c)(4) for lenders and their authorized representatives using specific FHA Multifamily or Healthcare programs to initiate and carry out Section 106 consultation under certain conditions.  This authorization was optional, and lenders could choose to follow the Memorandum or request HUD staff to continue to initiate consultation.  HUD has tracked its use and found that a majority of FHA applications that require Section 106 SHPO consultation have used the authorization.  </w:t>
      </w:r>
    </w:p>
    <w:p w14:paraId="6545DCCE" w14:textId="77777777" w:rsidR="0073185B" w:rsidRPr="002C450B" w:rsidRDefault="0073185B" w:rsidP="002C450B">
      <w:pPr>
        <w:rPr>
          <w:rFonts w:ascii="Arial" w:hAnsi="Arial" w:cs="Arial"/>
        </w:rPr>
      </w:pPr>
    </w:p>
    <w:p w14:paraId="7FB712DD" w14:textId="77777777" w:rsidR="002C450B" w:rsidRPr="002C450B" w:rsidRDefault="002C450B" w:rsidP="002C450B">
      <w:pPr>
        <w:rPr>
          <w:rFonts w:ascii="Arial" w:hAnsi="Arial" w:cs="Arial"/>
        </w:rPr>
      </w:pPr>
      <w:r w:rsidRPr="002C450B">
        <w:rPr>
          <w:rFonts w:ascii="Arial" w:hAnsi="Arial" w:cs="Arial"/>
        </w:rPr>
        <w:t>Based on its extensive use and positive feedback from users, HUD has decided to extend the authorization for 5 years with minor edits.  Edits include the following:</w:t>
      </w:r>
    </w:p>
    <w:p w14:paraId="30C5D213" w14:textId="77777777" w:rsidR="002C450B" w:rsidRDefault="002C450B" w:rsidP="002C450B">
      <w:pPr>
        <w:ind w:left="1080"/>
        <w:rPr>
          <w:rFonts w:ascii="Arial" w:hAnsi="Arial" w:cs="Arial"/>
        </w:rPr>
      </w:pPr>
    </w:p>
    <w:p w14:paraId="2D5B9BFA" w14:textId="3AAD98A5" w:rsidR="002C450B" w:rsidRPr="002C450B" w:rsidRDefault="002C450B" w:rsidP="002C450B">
      <w:pPr>
        <w:numPr>
          <w:ilvl w:val="0"/>
          <w:numId w:val="41"/>
        </w:numPr>
        <w:rPr>
          <w:rFonts w:ascii="Arial" w:hAnsi="Arial" w:cs="Arial"/>
        </w:rPr>
      </w:pPr>
      <w:r w:rsidRPr="002C450B">
        <w:rPr>
          <w:rFonts w:ascii="Arial" w:hAnsi="Arial" w:cs="Arial"/>
        </w:rPr>
        <w:t>Extend authorization for 5 years and update HUD staff contacts.</w:t>
      </w:r>
    </w:p>
    <w:p w14:paraId="2E7B8AAE" w14:textId="77777777" w:rsidR="002C450B" w:rsidRPr="002C450B" w:rsidRDefault="002C450B" w:rsidP="002C450B">
      <w:pPr>
        <w:numPr>
          <w:ilvl w:val="0"/>
          <w:numId w:val="41"/>
        </w:numPr>
        <w:rPr>
          <w:rFonts w:ascii="Arial" w:hAnsi="Arial" w:cs="Arial"/>
        </w:rPr>
      </w:pPr>
      <w:r w:rsidRPr="002C450B">
        <w:rPr>
          <w:rFonts w:ascii="Arial" w:hAnsi="Arial" w:cs="Arial"/>
        </w:rPr>
        <w:t xml:space="preserve">Synthesize the memo by removing confusing and unnecessary content that does not apply to the authorization. </w:t>
      </w:r>
    </w:p>
    <w:p w14:paraId="54840C47" w14:textId="77777777" w:rsidR="002C450B" w:rsidRPr="002C450B" w:rsidRDefault="002C450B" w:rsidP="002C450B">
      <w:pPr>
        <w:numPr>
          <w:ilvl w:val="0"/>
          <w:numId w:val="41"/>
        </w:numPr>
        <w:rPr>
          <w:rFonts w:ascii="Arial" w:hAnsi="Arial" w:cs="Arial"/>
        </w:rPr>
      </w:pPr>
      <w:r w:rsidRPr="002C450B">
        <w:rPr>
          <w:rFonts w:ascii="Arial" w:hAnsi="Arial" w:cs="Arial"/>
        </w:rPr>
        <w:t xml:space="preserve">At the request of the Advisory Council on Historic Preservation, add direct reference to implementation language in the MAP Guide, Chapter 9 and the Section 232 Handbook, Section II, Chapter 7. </w:t>
      </w:r>
    </w:p>
    <w:p w14:paraId="68D7DC2D" w14:textId="77777777" w:rsidR="002C450B" w:rsidRPr="002C450B" w:rsidRDefault="002C450B" w:rsidP="002C450B">
      <w:pPr>
        <w:numPr>
          <w:ilvl w:val="0"/>
          <w:numId w:val="41"/>
        </w:numPr>
        <w:rPr>
          <w:rFonts w:ascii="Arial" w:hAnsi="Arial" w:cs="Arial"/>
        </w:rPr>
      </w:pPr>
      <w:r w:rsidRPr="002C450B">
        <w:rPr>
          <w:rFonts w:ascii="Arial" w:hAnsi="Arial" w:cs="Arial"/>
        </w:rPr>
        <w:t>Add and clarify specific details about how HUD staff consult with Tribes and consider tribal input.</w:t>
      </w:r>
    </w:p>
    <w:p w14:paraId="3C26A920" w14:textId="77777777" w:rsidR="002C450B" w:rsidRPr="002C450B" w:rsidRDefault="002C450B" w:rsidP="002C450B">
      <w:pPr>
        <w:numPr>
          <w:ilvl w:val="0"/>
          <w:numId w:val="41"/>
        </w:numPr>
        <w:rPr>
          <w:rFonts w:ascii="Arial" w:hAnsi="Arial" w:cs="Arial"/>
        </w:rPr>
      </w:pPr>
      <w:r w:rsidRPr="002C450B">
        <w:rPr>
          <w:rFonts w:ascii="Arial" w:hAnsi="Arial" w:cs="Arial"/>
        </w:rPr>
        <w:lastRenderedPageBreak/>
        <w:t xml:space="preserve">Clarify that this does not constitute a full delegation and that HUD staff complete the Section 106 review and make the final determination. </w:t>
      </w:r>
    </w:p>
    <w:p w14:paraId="093B1552" w14:textId="77777777" w:rsidR="002C450B" w:rsidRDefault="002C450B" w:rsidP="002C450B">
      <w:pPr>
        <w:rPr>
          <w:rFonts w:ascii="Arial" w:hAnsi="Arial" w:cs="Arial"/>
        </w:rPr>
      </w:pPr>
    </w:p>
    <w:p w14:paraId="3233175A" w14:textId="21CCD449" w:rsidR="002C450B" w:rsidRPr="002C450B" w:rsidRDefault="002C450B" w:rsidP="002C450B">
      <w:pPr>
        <w:rPr>
          <w:rFonts w:ascii="Arial" w:hAnsi="Arial" w:cs="Arial"/>
        </w:rPr>
      </w:pPr>
      <w:r w:rsidRPr="002C450B">
        <w:rPr>
          <w:rFonts w:ascii="Arial" w:hAnsi="Arial" w:cs="Arial"/>
        </w:rPr>
        <w:t xml:space="preserve">It is important to note that this authorization does not extend to consultation with Tribes.  HUD staff will maintain the critical responsibility and relationship in consulting with Tribal Historic Preservation Officers (THPOs) and Tribes.  Lenders should continue to submit early Tribal consultation requests to ORCF via </w:t>
      </w:r>
      <w:hyperlink r:id="rId15" w:history="1">
        <w:r w:rsidRPr="002C450B">
          <w:rPr>
            <w:rStyle w:val="Hyperlink"/>
            <w:rFonts w:ascii="Arial" w:hAnsi="Arial" w:cs="Arial"/>
          </w:rPr>
          <w:t>LeanThinking@hud.gov</w:t>
        </w:r>
      </w:hyperlink>
      <w:r w:rsidRPr="002C450B">
        <w:rPr>
          <w:rFonts w:ascii="Arial" w:hAnsi="Arial" w:cs="Arial"/>
        </w:rPr>
        <w:t xml:space="preserve"> when a project requires Tribal consultation, such as when ground disturbance is proposed.  When the results of HUD’s Section 106 Tribal consultation are needed prior to initiating SHPO consultation, lenders and their consultants should follow the process described in the June 29, 2022 Email Blast.  If the lender and its consultant do not believe the receipt of Tribal responses is necessary prior to initiating SHPO consultation based on their research at the site, they may initiate consultation with the SHPO prior to receiving the Tribal responses, and HUD will ensure all Tribal comments are incorporated into the Section 106 process. </w:t>
      </w:r>
    </w:p>
    <w:p w14:paraId="6D13B2A8" w14:textId="77777777" w:rsidR="002C450B" w:rsidRPr="002C450B" w:rsidRDefault="002C450B" w:rsidP="002C450B">
      <w:pPr>
        <w:rPr>
          <w:rFonts w:ascii="Arial" w:hAnsi="Arial" w:cs="Arial"/>
        </w:rPr>
      </w:pPr>
    </w:p>
    <w:p w14:paraId="27B9C481" w14:textId="77777777" w:rsidR="002C450B" w:rsidRPr="002C450B" w:rsidRDefault="002C450B" w:rsidP="002C450B">
      <w:pPr>
        <w:rPr>
          <w:rFonts w:ascii="Arial" w:hAnsi="Arial" w:cs="Arial"/>
        </w:rPr>
      </w:pPr>
      <w:r w:rsidRPr="002C450B">
        <w:rPr>
          <w:rFonts w:ascii="Arial" w:hAnsi="Arial" w:cs="Arial"/>
        </w:rPr>
        <w:t>In addition, although HUD is authorizing lenders and their authorized representatives to initiate consultation with the SHPO and non-tribal consulting parties, the Section 106 review is not complete until HUD staff independently review and certify the sufficiency and appropriateness of the Section 106 processes performed and the documentation provided in HUD’s Environmental Review Online System (HEROS).</w:t>
      </w:r>
    </w:p>
    <w:p w14:paraId="1CB44AE1" w14:textId="77777777" w:rsidR="002C450B" w:rsidRPr="002C450B" w:rsidRDefault="002C450B" w:rsidP="002C450B">
      <w:pPr>
        <w:rPr>
          <w:rFonts w:ascii="Arial" w:hAnsi="Arial" w:cs="Arial"/>
        </w:rPr>
      </w:pPr>
    </w:p>
    <w:p w14:paraId="4BA94E30" w14:textId="21D9392E" w:rsidR="002C450B" w:rsidRDefault="002C450B" w:rsidP="002C450B">
      <w:pPr>
        <w:rPr>
          <w:rFonts w:ascii="Arial" w:hAnsi="Arial" w:cs="Arial"/>
        </w:rPr>
      </w:pPr>
      <w:r w:rsidRPr="002C450B">
        <w:rPr>
          <w:rFonts w:ascii="Arial" w:hAnsi="Arial" w:cs="Arial"/>
        </w:rPr>
        <w:t xml:space="preserve">Effective January 1, 2023, the Department extends the authorization to Multifamily Accelerated Processing (MAP)- and Office of Healthcare Program (OHP)-approved lenders and their authorized representatives to act on behalf of HUD to initiate the Section 106 review process with SHPOs and other consulting parties except for Tribes, to identify and evaluate historic properties, and to assess effects. The updated Memorandum is available on the </w:t>
      </w:r>
      <w:hyperlink r:id="rId16" w:history="1">
        <w:r w:rsidRPr="003A64CF">
          <w:rPr>
            <w:rStyle w:val="Hyperlink"/>
            <w:rFonts w:ascii="Arial" w:hAnsi="Arial" w:cs="Arial"/>
          </w:rPr>
          <w:t>ORCF Environmental Resources web</w:t>
        </w:r>
        <w:r w:rsidR="008643CB" w:rsidRPr="003A64CF">
          <w:rPr>
            <w:rStyle w:val="Hyperlink"/>
            <w:rFonts w:ascii="Arial" w:hAnsi="Arial" w:cs="Arial"/>
          </w:rPr>
          <w:t>site</w:t>
        </w:r>
      </w:hyperlink>
      <w:r w:rsidR="008643CB">
        <w:rPr>
          <w:rFonts w:ascii="Arial" w:hAnsi="Arial" w:cs="Arial"/>
        </w:rPr>
        <w:t>.</w:t>
      </w:r>
    </w:p>
    <w:p w14:paraId="613A0626" w14:textId="77777777" w:rsidR="008643CB" w:rsidRPr="002C450B" w:rsidRDefault="008643CB" w:rsidP="002C450B">
      <w:pPr>
        <w:rPr>
          <w:rFonts w:ascii="Arial" w:hAnsi="Arial" w:cs="Arial"/>
        </w:rPr>
      </w:pPr>
    </w:p>
    <w:p w14:paraId="392966F9" w14:textId="77777777" w:rsidR="002C450B" w:rsidRPr="002C450B" w:rsidRDefault="002C450B" w:rsidP="002C450B">
      <w:pPr>
        <w:rPr>
          <w:rFonts w:ascii="Arial" w:hAnsi="Arial" w:cs="Arial"/>
        </w:rPr>
      </w:pPr>
      <w:r w:rsidRPr="002C450B">
        <w:rPr>
          <w:rFonts w:ascii="Arial" w:hAnsi="Arial" w:cs="Arial"/>
        </w:rPr>
        <w:t>Lenders and their consultants must follow the Memorandum’s requirements, including sending a copy of the Memorandum when corresponding with the SHPOs.   Consultants must also research and follow specific SHPO protocols, which vary from state to state.</w:t>
      </w:r>
    </w:p>
    <w:p w14:paraId="461038FB" w14:textId="77777777" w:rsidR="0015490F" w:rsidRPr="0015490F" w:rsidRDefault="0015490F" w:rsidP="0015490F">
      <w:pPr>
        <w:rPr>
          <w:rFonts w:ascii="Arial" w:hAnsi="Arial" w:cs="Arial"/>
        </w:rPr>
      </w:pPr>
    </w:p>
    <w:p w14:paraId="7EADDCE3" w14:textId="375E62CC" w:rsidR="004B62C4" w:rsidRPr="004B62C4" w:rsidRDefault="004B62C4" w:rsidP="004B62C4">
      <w:pPr>
        <w:rPr>
          <w:rFonts w:ascii="Arial" w:hAnsi="Arial" w:cs="Arial"/>
          <w:i/>
        </w:rPr>
      </w:pPr>
      <w:r w:rsidRPr="004B62C4">
        <w:rPr>
          <w:rFonts w:ascii="Arial" w:hAnsi="Arial" w:cs="Arial"/>
          <w:b/>
          <w:i/>
        </w:rPr>
        <w:t>Keywords:</w:t>
      </w:r>
      <w:r w:rsidRPr="004B62C4">
        <w:rPr>
          <w:rFonts w:ascii="Arial" w:hAnsi="Arial" w:cs="Arial"/>
          <w:i/>
        </w:rPr>
        <w:t xml:space="preserve"> </w:t>
      </w:r>
      <w:r w:rsidR="008643CB" w:rsidRPr="00021384">
        <w:rPr>
          <w:i/>
          <w:iCs/>
        </w:rPr>
        <w:t>State Historic Preservation Office (SHPO), Environmental</w:t>
      </w:r>
    </w:p>
    <w:p w14:paraId="014B522B" w14:textId="77777777" w:rsidR="0084300D" w:rsidRPr="001F5102" w:rsidRDefault="0084300D" w:rsidP="0084300D">
      <w:pPr>
        <w:rPr>
          <w:rFonts w:ascii="Arial" w:eastAsia="MS Mincho" w:hAnsi="Arial" w:cs="Arial"/>
          <w:b/>
          <w:i/>
        </w:rPr>
      </w:pPr>
    </w:p>
    <w:p w14:paraId="38668F80" w14:textId="02F309E3" w:rsidR="00B7164F" w:rsidRDefault="00000000" w:rsidP="00B7164F">
      <w:pPr>
        <w:rPr>
          <w:rFonts w:ascii="Arial" w:hAnsi="Arial" w:cs="Arial"/>
          <w:color w:val="365F91" w:themeColor="accent1" w:themeShade="BF"/>
          <w:szCs w:val="24"/>
          <w:u w:val="single"/>
        </w:rPr>
      </w:pPr>
      <w:hyperlink w:anchor="_top" w:history="1">
        <w:r w:rsidR="00B7164F" w:rsidRPr="001F5102">
          <w:rPr>
            <w:rFonts w:ascii="Arial" w:hAnsi="Arial" w:cs="Arial"/>
            <w:color w:val="365F91" w:themeColor="accent1" w:themeShade="BF"/>
            <w:szCs w:val="24"/>
            <w:u w:val="single"/>
          </w:rPr>
          <w:t>Back to top</w:t>
        </w:r>
      </w:hyperlink>
    </w:p>
    <w:p w14:paraId="4E16840D" w14:textId="77777777" w:rsidR="00FA646C" w:rsidRDefault="00FA646C" w:rsidP="00FA646C">
      <w:pPr>
        <w:pStyle w:val="EmailBlast"/>
      </w:pPr>
      <w:bookmarkStart w:id="6" w:name="_Toc112316082"/>
    </w:p>
    <w:bookmarkEnd w:id="0"/>
    <w:bookmarkEnd w:id="6"/>
    <w:p w14:paraId="7F5F0FD1" w14:textId="137C7997" w:rsidR="00740D11" w:rsidRPr="00740D11" w:rsidRDefault="008D40DE" w:rsidP="00740D11">
      <w:pPr>
        <w:rPr>
          <w:rFonts w:ascii="Arial" w:eastAsia="MS Mincho" w:hAnsi="Arial" w:cs="Arial"/>
          <w:b/>
          <w:szCs w:val="24"/>
        </w:rPr>
      </w:pPr>
      <w:r>
        <w:rPr>
          <w:rFonts w:ascii="Arial" w:eastAsia="MS Mincho" w:hAnsi="Arial" w:cs="Arial"/>
          <w:b/>
          <w:noProof/>
          <w:szCs w:val="24"/>
        </w:rPr>
        <mc:AlternateContent>
          <mc:Choice Requires="wps">
            <w:drawing>
              <wp:anchor distT="0" distB="0" distL="114300" distR="114300" simplePos="0" relativeHeight="251659264" behindDoc="0" locked="0" layoutInCell="1" allowOverlap="1" wp14:anchorId="1D3FFB79" wp14:editId="3A9F0A47">
                <wp:simplePos x="0" y="0"/>
                <wp:positionH relativeFrom="column">
                  <wp:posOffset>0</wp:posOffset>
                </wp:positionH>
                <wp:positionV relativeFrom="paragraph">
                  <wp:posOffset>86995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546C8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6.85pt" to="4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5678B" w14:paraId="209D4D79" w14:textId="77777777" w:rsidTr="00094BC8">
        <w:trPr>
          <w:tblCellSpacing w:w="0" w:type="dxa"/>
          <w:jc w:val="center"/>
        </w:trPr>
        <w:tc>
          <w:tcPr>
            <w:tcW w:w="0" w:type="auto"/>
            <w:tcMar>
              <w:top w:w="300" w:type="dxa"/>
              <w:left w:w="0" w:type="dxa"/>
              <w:bottom w:w="150" w:type="dxa"/>
              <w:right w:w="0" w:type="dxa"/>
            </w:tcMar>
            <w:vAlign w:val="center"/>
            <w:hideMark/>
          </w:tcPr>
          <w:p w14:paraId="3EFE8846" w14:textId="77777777" w:rsidR="00E5678B" w:rsidRDefault="00E5678B" w:rsidP="00094BC8">
            <w:pPr>
              <w:pStyle w:val="NormalWeb"/>
              <w:spacing w:before="120"/>
              <w:jc w:val="center"/>
              <w:rPr>
                <w:rFonts w:ascii="Calibri" w:hAnsi="Calibri"/>
                <w:sz w:val="20"/>
                <w:szCs w:val="20"/>
              </w:rPr>
            </w:pPr>
            <w:r>
              <w:rPr>
                <w:rFonts w:ascii="Arial" w:hAnsi="Arial" w:cs="Arial"/>
                <w:sz w:val="20"/>
                <w:szCs w:val="20"/>
              </w:rPr>
              <w:t xml:space="preserve">Past Lean 232 Updates are </w:t>
            </w:r>
            <w:hyperlink r:id="rId17" w:tgtFrame="_blank" w:history="1">
              <w:r>
                <w:rPr>
                  <w:rStyle w:val="Hyperlink"/>
                  <w:rFonts w:ascii="Arial" w:hAnsi="Arial" w:cs="Arial"/>
                  <w:sz w:val="20"/>
                  <w:szCs w:val="20"/>
                </w:rPr>
                <w:t>available online</w:t>
              </w:r>
            </w:hyperlink>
            <w:r>
              <w:rPr>
                <w:rFonts w:ascii="Arial" w:hAnsi="Arial" w:cs="Arial"/>
                <w:sz w:val="20"/>
                <w:szCs w:val="20"/>
              </w:rPr>
              <w:t>.</w:t>
            </w:r>
          </w:p>
          <w:p w14:paraId="45BEC197" w14:textId="77777777" w:rsidR="00E5678B" w:rsidRDefault="00E5678B" w:rsidP="00094BC8">
            <w:pPr>
              <w:pStyle w:val="NormalWeb"/>
              <w:spacing w:before="120"/>
              <w:jc w:val="center"/>
              <w:rPr>
                <w:sz w:val="20"/>
                <w:szCs w:val="20"/>
              </w:rPr>
            </w:pPr>
            <w:r>
              <w:rPr>
                <w:rFonts w:ascii="Arial" w:hAnsi="Arial" w:cs="Arial"/>
                <w:sz w:val="20"/>
                <w:szCs w:val="20"/>
              </w:rPr>
              <w:t xml:space="preserve">Have questions about the Lean 232 Program? Please contact </w:t>
            </w:r>
            <w:hyperlink r:id="rId18" w:history="1">
              <w:r>
                <w:rPr>
                  <w:rStyle w:val="Hyperlink"/>
                  <w:rFonts w:ascii="Arial" w:hAnsi="Arial" w:cs="Arial"/>
                  <w:sz w:val="20"/>
                  <w:szCs w:val="20"/>
                </w:rPr>
                <w:t>LeanThinking@hud.gov</w:t>
              </w:r>
            </w:hyperlink>
            <w:r>
              <w:rPr>
                <w:rFonts w:ascii="Arial" w:hAnsi="Arial" w:cs="Arial"/>
                <w:sz w:val="20"/>
                <w:szCs w:val="20"/>
              </w:rPr>
              <w:t>.</w:t>
            </w:r>
          </w:p>
          <w:p w14:paraId="4215A7BB" w14:textId="77777777" w:rsidR="00E5678B" w:rsidRDefault="00E5678B" w:rsidP="00094BC8">
            <w:pPr>
              <w:pStyle w:val="NormalWeb"/>
              <w:spacing w:before="120"/>
              <w:jc w:val="center"/>
              <w:rPr>
                <w:sz w:val="20"/>
                <w:szCs w:val="20"/>
              </w:rPr>
            </w:pPr>
            <w:r>
              <w:rPr>
                <w:rFonts w:ascii="Arial" w:hAnsi="Arial" w:cs="Arial"/>
                <w:sz w:val="20"/>
                <w:szCs w:val="20"/>
              </w:rPr>
              <w:t xml:space="preserve">For more information on the Lean 232 Program, check out: </w:t>
            </w:r>
            <w:hyperlink r:id="rId19" w:history="1">
              <w:r>
                <w:rPr>
                  <w:rStyle w:val="Hyperlink"/>
                  <w:rFonts w:ascii="Arial" w:hAnsi="Arial" w:cs="Arial"/>
                  <w:sz w:val="20"/>
                  <w:szCs w:val="20"/>
                </w:rPr>
                <w:t>http://www.hud.gov/healthcare</w:t>
              </w:r>
            </w:hyperlink>
            <w:r>
              <w:rPr>
                <w:rFonts w:ascii="Arial" w:hAnsi="Arial" w:cs="Arial"/>
                <w:sz w:val="20"/>
                <w:szCs w:val="20"/>
              </w:rPr>
              <w:t>.</w:t>
            </w:r>
          </w:p>
          <w:p w14:paraId="53D07DA9" w14:textId="77777777" w:rsidR="00E5678B" w:rsidRDefault="00E5678B" w:rsidP="00094BC8">
            <w:pPr>
              <w:pStyle w:val="NormalWeb"/>
              <w:jc w:val="center"/>
              <w:rPr>
                <w:sz w:val="20"/>
                <w:szCs w:val="20"/>
              </w:rPr>
            </w:pPr>
            <w:r>
              <w:rPr>
                <w:sz w:val="20"/>
                <w:szCs w:val="20"/>
              </w:rPr>
              <w:t> </w:t>
            </w:r>
          </w:p>
          <w:p w14:paraId="0071963D" w14:textId="77777777" w:rsidR="00E5678B" w:rsidRDefault="00E5678B" w:rsidP="00094BC8">
            <w:pPr>
              <w:pStyle w:val="NormalWeb"/>
              <w:jc w:val="center"/>
              <w:rPr>
                <w:sz w:val="20"/>
                <w:szCs w:val="20"/>
              </w:rPr>
            </w:pPr>
            <w:r>
              <w:rPr>
                <w:rFonts w:ascii="Arial" w:hAnsi="Arial" w:cs="Arial"/>
                <w:sz w:val="20"/>
                <w:szCs w:val="20"/>
              </w:rPr>
              <w:t>Stay Connected with the Office of Housing and the Federal Housing Administration:</w:t>
            </w:r>
          </w:p>
        </w:tc>
      </w:tr>
      <w:tr w:rsidR="00E5678B" w14:paraId="39381646" w14:textId="77777777" w:rsidTr="00094BC8">
        <w:trPr>
          <w:tblCellSpacing w:w="0" w:type="dxa"/>
          <w:jc w:val="center"/>
        </w:trPr>
        <w:tc>
          <w:tcPr>
            <w:tcW w:w="0" w:type="auto"/>
            <w:tcMar>
              <w:top w:w="150" w:type="dxa"/>
              <w:left w:w="150" w:type="dxa"/>
              <w:bottom w:w="150" w:type="dxa"/>
              <w:right w:w="150" w:type="dxa"/>
            </w:tcMar>
            <w:vAlign w:val="center"/>
            <w:hideMark/>
          </w:tcPr>
          <w:p w14:paraId="4DB1CDFC" w14:textId="77777777" w:rsidR="00E5678B" w:rsidRDefault="00E5678B" w:rsidP="00094BC8">
            <w:pPr>
              <w:jc w:val="center"/>
              <w:rPr>
                <w:rFonts w:eastAsia="Times New Roman"/>
                <w:sz w:val="22"/>
              </w:rPr>
            </w:pPr>
            <w:r>
              <w:rPr>
                <w:rFonts w:ascii="Arial" w:eastAsia="Times New Roman" w:hAnsi="Arial" w:cs="Arial"/>
                <w:noProof/>
                <w:color w:val="0000FF"/>
              </w:rPr>
              <w:lastRenderedPageBreak/>
              <w:drawing>
                <wp:inline distT="0" distB="0" distL="0" distR="0" wp14:anchorId="61465648" wp14:editId="6268FF5E">
                  <wp:extent cx="304800" cy="304800"/>
                  <wp:effectExtent l="0" t="0" r="0" b="0"/>
                  <wp:docPr id="4" name="Picture 4"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r>
              <w:rPr>
                <w:rFonts w:ascii="Arial" w:eastAsia="Times New Roman" w:hAnsi="Arial" w:cs="Arial"/>
                <w:noProof/>
                <w:color w:val="0000FF"/>
              </w:rPr>
              <w:drawing>
                <wp:inline distT="0" distB="0" distL="0" distR="0" wp14:anchorId="7119929C" wp14:editId="7D1A663A">
                  <wp:extent cx="304800" cy="304800"/>
                  <wp:effectExtent l="0" t="0" r="0" b="0"/>
                  <wp:docPr id="5" name="Picture 5" descr="LinkedI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p>
        </w:tc>
      </w:tr>
      <w:tr w:rsidR="00E5678B" w14:paraId="28D728D6" w14:textId="77777777" w:rsidTr="00094BC8">
        <w:trPr>
          <w:tblCellSpacing w:w="0" w:type="dxa"/>
          <w:jc w:val="center"/>
        </w:trPr>
        <w:tc>
          <w:tcPr>
            <w:tcW w:w="0" w:type="auto"/>
            <w:tcMar>
              <w:top w:w="150" w:type="dxa"/>
              <w:left w:w="0" w:type="dxa"/>
              <w:bottom w:w="300" w:type="dxa"/>
              <w:right w:w="0" w:type="dxa"/>
            </w:tcMar>
            <w:vAlign w:val="center"/>
            <w:hideMark/>
          </w:tcPr>
          <w:p w14:paraId="37BB55CB" w14:textId="77777777" w:rsidR="00E5678B" w:rsidRDefault="00E5678B" w:rsidP="00094BC8">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24"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25"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tbl>
    <w:p w14:paraId="6E0E606B" w14:textId="2AA10C3B" w:rsidR="00605E4A" w:rsidRPr="00E23EAD" w:rsidRDefault="00605E4A" w:rsidP="00740D11">
      <w:pPr>
        <w:rPr>
          <w:szCs w:val="24"/>
        </w:rPr>
      </w:pPr>
    </w:p>
    <w:sectPr w:rsidR="00605E4A" w:rsidRPr="00E23EAD" w:rsidSect="00E217E8">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1015A" w14:textId="77777777" w:rsidR="00EC764C" w:rsidRDefault="00EC764C" w:rsidP="00E724F7">
      <w:r>
        <w:separator/>
      </w:r>
    </w:p>
  </w:endnote>
  <w:endnote w:type="continuationSeparator" w:id="0">
    <w:p w14:paraId="43939669" w14:textId="77777777" w:rsidR="00EC764C" w:rsidRDefault="00EC764C" w:rsidP="00E724F7">
      <w:r>
        <w:continuationSeparator/>
      </w:r>
    </w:p>
  </w:endnote>
  <w:endnote w:type="continuationNotice" w:id="1">
    <w:p w14:paraId="21C1A590" w14:textId="77777777" w:rsidR="00EC764C" w:rsidRDefault="00EC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8A3B1" w14:textId="77777777" w:rsidR="00EC764C" w:rsidRDefault="00EC764C" w:rsidP="00E724F7">
      <w:r>
        <w:separator/>
      </w:r>
    </w:p>
  </w:footnote>
  <w:footnote w:type="continuationSeparator" w:id="0">
    <w:p w14:paraId="50E0D9A8" w14:textId="77777777" w:rsidR="00EC764C" w:rsidRDefault="00EC764C" w:rsidP="00E724F7">
      <w:r>
        <w:continuationSeparator/>
      </w:r>
    </w:p>
  </w:footnote>
  <w:footnote w:type="continuationNotice" w:id="1">
    <w:p w14:paraId="02FE1E92" w14:textId="77777777" w:rsidR="00EC764C" w:rsidRDefault="00EC7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334ECFD1"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079A5A2C"/>
    <w:multiLevelType w:val="multilevel"/>
    <w:tmpl w:val="05CA9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266BB"/>
    <w:multiLevelType w:val="hybridMultilevel"/>
    <w:tmpl w:val="1C2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6"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105E7"/>
    <w:multiLevelType w:val="hybridMultilevel"/>
    <w:tmpl w:val="7012DEFC"/>
    <w:lvl w:ilvl="0" w:tplc="922411F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117AD"/>
    <w:multiLevelType w:val="hybridMultilevel"/>
    <w:tmpl w:val="1CE6EC9E"/>
    <w:lvl w:ilvl="0" w:tplc="27EA92FA">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76400"/>
    <w:multiLevelType w:val="hybridMultilevel"/>
    <w:tmpl w:val="09CE830C"/>
    <w:lvl w:ilvl="0" w:tplc="E47E5DFE">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15DE5"/>
    <w:multiLevelType w:val="hybridMultilevel"/>
    <w:tmpl w:val="E01294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5"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9D2932"/>
    <w:multiLevelType w:val="hybridMultilevel"/>
    <w:tmpl w:val="5E9CF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B32504"/>
    <w:multiLevelType w:val="multilevel"/>
    <w:tmpl w:val="A7DAF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463E0A70"/>
    <w:multiLevelType w:val="multilevel"/>
    <w:tmpl w:val="1FAEA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733F5"/>
    <w:multiLevelType w:val="hybridMultilevel"/>
    <w:tmpl w:val="086C6AD6"/>
    <w:lvl w:ilvl="0" w:tplc="04090001">
      <w:start w:val="1"/>
      <w:numFmt w:val="bullet"/>
      <w:lvlText w:val=""/>
      <w:lvlJc w:val="left"/>
      <w:pPr>
        <w:ind w:left="851" w:hanging="360"/>
      </w:pPr>
      <w:rPr>
        <w:rFonts w:ascii="Symbol" w:hAnsi="Symbol" w:hint="default"/>
      </w:rPr>
    </w:lvl>
    <w:lvl w:ilvl="1" w:tplc="04090003">
      <w:start w:val="1"/>
      <w:numFmt w:val="bullet"/>
      <w:lvlText w:val="o"/>
      <w:lvlJc w:val="left"/>
      <w:pPr>
        <w:ind w:left="1571" w:hanging="360"/>
      </w:pPr>
      <w:rPr>
        <w:rFonts w:ascii="Courier New" w:hAnsi="Courier New" w:cs="Courier New" w:hint="default"/>
      </w:rPr>
    </w:lvl>
    <w:lvl w:ilvl="2" w:tplc="04090005">
      <w:start w:val="1"/>
      <w:numFmt w:val="bullet"/>
      <w:lvlText w:val=""/>
      <w:lvlJc w:val="left"/>
      <w:pPr>
        <w:ind w:left="2291" w:hanging="360"/>
      </w:pPr>
      <w:rPr>
        <w:rFonts w:ascii="Wingdings" w:hAnsi="Wingdings" w:hint="default"/>
      </w:rPr>
    </w:lvl>
    <w:lvl w:ilvl="3" w:tplc="04090001">
      <w:start w:val="1"/>
      <w:numFmt w:val="bullet"/>
      <w:lvlText w:val=""/>
      <w:lvlJc w:val="left"/>
      <w:pPr>
        <w:ind w:left="3011" w:hanging="360"/>
      </w:pPr>
      <w:rPr>
        <w:rFonts w:ascii="Symbol" w:hAnsi="Symbol" w:hint="default"/>
      </w:rPr>
    </w:lvl>
    <w:lvl w:ilvl="4" w:tplc="04090003">
      <w:start w:val="1"/>
      <w:numFmt w:val="bullet"/>
      <w:lvlText w:val="o"/>
      <w:lvlJc w:val="left"/>
      <w:pPr>
        <w:ind w:left="3731" w:hanging="360"/>
      </w:pPr>
      <w:rPr>
        <w:rFonts w:ascii="Courier New" w:hAnsi="Courier New" w:cs="Courier New" w:hint="default"/>
      </w:rPr>
    </w:lvl>
    <w:lvl w:ilvl="5" w:tplc="04090005">
      <w:start w:val="1"/>
      <w:numFmt w:val="bullet"/>
      <w:lvlText w:val=""/>
      <w:lvlJc w:val="left"/>
      <w:pPr>
        <w:ind w:left="4451" w:hanging="360"/>
      </w:pPr>
      <w:rPr>
        <w:rFonts w:ascii="Wingdings" w:hAnsi="Wingdings" w:hint="default"/>
      </w:rPr>
    </w:lvl>
    <w:lvl w:ilvl="6" w:tplc="04090001">
      <w:start w:val="1"/>
      <w:numFmt w:val="bullet"/>
      <w:lvlText w:val=""/>
      <w:lvlJc w:val="left"/>
      <w:pPr>
        <w:ind w:left="5171" w:hanging="360"/>
      </w:pPr>
      <w:rPr>
        <w:rFonts w:ascii="Symbol" w:hAnsi="Symbol" w:hint="default"/>
      </w:rPr>
    </w:lvl>
    <w:lvl w:ilvl="7" w:tplc="04090003">
      <w:start w:val="1"/>
      <w:numFmt w:val="bullet"/>
      <w:lvlText w:val="o"/>
      <w:lvlJc w:val="left"/>
      <w:pPr>
        <w:ind w:left="5891" w:hanging="360"/>
      </w:pPr>
      <w:rPr>
        <w:rFonts w:ascii="Courier New" w:hAnsi="Courier New" w:cs="Courier New" w:hint="default"/>
      </w:rPr>
    </w:lvl>
    <w:lvl w:ilvl="8" w:tplc="04090005">
      <w:start w:val="1"/>
      <w:numFmt w:val="bullet"/>
      <w:lvlText w:val=""/>
      <w:lvlJc w:val="left"/>
      <w:pPr>
        <w:ind w:left="6611" w:hanging="360"/>
      </w:pPr>
      <w:rPr>
        <w:rFonts w:ascii="Wingdings" w:hAnsi="Wingdings" w:hint="default"/>
      </w:rPr>
    </w:lvl>
  </w:abstractNum>
  <w:abstractNum w:abstractNumId="25" w15:restartNumberingAfterBreak="0">
    <w:nsid w:val="4BEF51CB"/>
    <w:multiLevelType w:val="hybridMultilevel"/>
    <w:tmpl w:val="26120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FDA1395"/>
    <w:multiLevelType w:val="multilevel"/>
    <w:tmpl w:val="03729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A611D"/>
    <w:multiLevelType w:val="hybridMultilevel"/>
    <w:tmpl w:val="8C96C74A"/>
    <w:lvl w:ilvl="0" w:tplc="FCBA29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0920FA7"/>
    <w:multiLevelType w:val="hybridMultilevel"/>
    <w:tmpl w:val="7658AD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91C1D"/>
    <w:multiLevelType w:val="hybridMultilevel"/>
    <w:tmpl w:val="85F81B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7F6B0B02"/>
    <w:multiLevelType w:val="hybridMultilevel"/>
    <w:tmpl w:val="A74A5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FA6626"/>
    <w:multiLevelType w:val="hybridMultilevel"/>
    <w:tmpl w:val="11400D66"/>
    <w:lvl w:ilvl="0" w:tplc="04090005">
      <w:start w:val="1"/>
      <w:numFmt w:val="bullet"/>
      <w:lvlText w:val=""/>
      <w:lvlJc w:val="left"/>
      <w:pPr>
        <w:ind w:left="851" w:hanging="360"/>
      </w:pPr>
      <w:rPr>
        <w:rFonts w:ascii="Wingdings" w:hAnsi="Wingdings" w:hint="default"/>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start w:val="1"/>
      <w:numFmt w:val="bullet"/>
      <w:lvlText w:val=""/>
      <w:lvlJc w:val="left"/>
      <w:pPr>
        <w:ind w:left="3011" w:hanging="360"/>
      </w:pPr>
      <w:rPr>
        <w:rFonts w:ascii="Symbol" w:hAnsi="Symbol" w:hint="default"/>
      </w:rPr>
    </w:lvl>
    <w:lvl w:ilvl="4" w:tplc="FFFFFFFF">
      <w:start w:val="1"/>
      <w:numFmt w:val="bullet"/>
      <w:lvlText w:val="o"/>
      <w:lvlJc w:val="left"/>
      <w:pPr>
        <w:ind w:left="3731" w:hanging="360"/>
      </w:pPr>
      <w:rPr>
        <w:rFonts w:ascii="Courier New" w:hAnsi="Courier New" w:cs="Courier New" w:hint="default"/>
      </w:rPr>
    </w:lvl>
    <w:lvl w:ilvl="5" w:tplc="FFFFFFFF">
      <w:start w:val="1"/>
      <w:numFmt w:val="bullet"/>
      <w:lvlText w:val=""/>
      <w:lvlJc w:val="left"/>
      <w:pPr>
        <w:ind w:left="4451" w:hanging="360"/>
      </w:pPr>
      <w:rPr>
        <w:rFonts w:ascii="Wingdings" w:hAnsi="Wingdings" w:hint="default"/>
      </w:rPr>
    </w:lvl>
    <w:lvl w:ilvl="6" w:tplc="FFFFFFFF">
      <w:start w:val="1"/>
      <w:numFmt w:val="bullet"/>
      <w:lvlText w:val=""/>
      <w:lvlJc w:val="left"/>
      <w:pPr>
        <w:ind w:left="5171" w:hanging="360"/>
      </w:pPr>
      <w:rPr>
        <w:rFonts w:ascii="Symbol" w:hAnsi="Symbol" w:hint="default"/>
      </w:rPr>
    </w:lvl>
    <w:lvl w:ilvl="7" w:tplc="FFFFFFFF">
      <w:start w:val="1"/>
      <w:numFmt w:val="bullet"/>
      <w:lvlText w:val="o"/>
      <w:lvlJc w:val="left"/>
      <w:pPr>
        <w:ind w:left="5891" w:hanging="360"/>
      </w:pPr>
      <w:rPr>
        <w:rFonts w:ascii="Courier New" w:hAnsi="Courier New" w:cs="Courier New" w:hint="default"/>
      </w:rPr>
    </w:lvl>
    <w:lvl w:ilvl="8" w:tplc="FFFFFFFF">
      <w:start w:val="1"/>
      <w:numFmt w:val="bullet"/>
      <w:lvlText w:val=""/>
      <w:lvlJc w:val="left"/>
      <w:pPr>
        <w:ind w:left="6611" w:hanging="360"/>
      </w:pPr>
      <w:rPr>
        <w:rFonts w:ascii="Wingdings" w:hAnsi="Wingdings" w:hint="default"/>
      </w:rPr>
    </w:lvl>
  </w:abstractNum>
  <w:num w:numId="1" w16cid:durableId="20522631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528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41712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5601335">
    <w:abstractNumId w:val="15"/>
  </w:num>
  <w:num w:numId="5" w16cid:durableId="3818335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3759623">
    <w:abstractNumId w:val="14"/>
  </w:num>
  <w:num w:numId="7" w16cid:durableId="2071076737">
    <w:abstractNumId w:val="20"/>
  </w:num>
  <w:num w:numId="8" w16cid:durableId="408817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418025">
    <w:abstractNumId w:val="5"/>
  </w:num>
  <w:num w:numId="10" w16cid:durableId="1273709628">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94124965">
    <w:abstractNumId w:val="28"/>
  </w:num>
  <w:num w:numId="12" w16cid:durableId="787090072">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2120249859">
    <w:abstractNumId w:val="13"/>
  </w:num>
  <w:num w:numId="14" w16cid:durableId="1040327154">
    <w:abstractNumId w:val="6"/>
  </w:num>
  <w:num w:numId="15" w16cid:durableId="1508443688">
    <w:abstractNumId w:val="35"/>
  </w:num>
  <w:num w:numId="16" w16cid:durableId="1866286705">
    <w:abstractNumId w:val="1"/>
  </w:num>
  <w:num w:numId="17" w16cid:durableId="956258601">
    <w:abstractNumId w:val="31"/>
  </w:num>
  <w:num w:numId="18" w16cid:durableId="8393478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77523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3145307">
    <w:abstractNumId w:val="0"/>
  </w:num>
  <w:num w:numId="21" w16cid:durableId="761873126">
    <w:abstractNumId w:val="10"/>
  </w:num>
  <w:num w:numId="22" w16cid:durableId="220873505">
    <w:abstractNumId w:val="7"/>
  </w:num>
  <w:num w:numId="23" w16cid:durableId="1456022646">
    <w:abstractNumId w:val="23"/>
  </w:num>
  <w:num w:numId="24" w16cid:durableId="1345979568">
    <w:abstractNumId w:val="4"/>
  </w:num>
  <w:num w:numId="25" w16cid:durableId="360977411">
    <w:abstractNumId w:val="16"/>
  </w:num>
  <w:num w:numId="26" w16cid:durableId="1964073458">
    <w:abstractNumId w:val="29"/>
  </w:num>
  <w:num w:numId="27" w16cid:durableId="665399667">
    <w:abstractNumId w:val="2"/>
  </w:num>
  <w:num w:numId="28" w16cid:durableId="1135684567">
    <w:abstractNumId w:val="26"/>
  </w:num>
  <w:num w:numId="29" w16cid:durableId="1468430753">
    <w:abstractNumId w:val="22"/>
  </w:num>
  <w:num w:numId="30" w16cid:durableId="1495563491">
    <w:abstractNumId w:val="18"/>
  </w:num>
  <w:num w:numId="31" w16cid:durableId="1228956529">
    <w:abstractNumId w:val="3"/>
  </w:num>
  <w:num w:numId="32" w16cid:durableId="883710768">
    <w:abstractNumId w:val="32"/>
  </w:num>
  <w:num w:numId="33" w16cid:durableId="4485493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4565851">
    <w:abstractNumId w:val="11"/>
  </w:num>
  <w:num w:numId="35" w16cid:durableId="2828982">
    <w:abstractNumId w:val="24"/>
  </w:num>
  <w:num w:numId="36" w16cid:durableId="421687077">
    <w:abstractNumId w:val="38"/>
  </w:num>
  <w:num w:numId="37" w16cid:durableId="1636644373">
    <w:abstractNumId w:val="37"/>
  </w:num>
  <w:num w:numId="38" w16cid:durableId="1961374453">
    <w:abstractNumId w:val="25"/>
  </w:num>
  <w:num w:numId="39" w16cid:durableId="1544245339">
    <w:abstractNumId w:val="30"/>
  </w:num>
  <w:num w:numId="40" w16cid:durableId="1141535342">
    <w:abstractNumId w:val="17"/>
  </w:num>
  <w:num w:numId="41" w16cid:durableId="413164915">
    <w:abstractNumId w:val="8"/>
  </w:num>
  <w:num w:numId="42" w16cid:durableId="2140031839">
    <w:abstractNumId w:val="12"/>
  </w:num>
  <w:num w:numId="43" w16cid:durableId="12781998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2A7"/>
    <w:rsid w:val="00011D16"/>
    <w:rsid w:val="0001456D"/>
    <w:rsid w:val="00014A66"/>
    <w:rsid w:val="000220E1"/>
    <w:rsid w:val="0002519C"/>
    <w:rsid w:val="00026721"/>
    <w:rsid w:val="00027DF5"/>
    <w:rsid w:val="00031481"/>
    <w:rsid w:val="00036CEF"/>
    <w:rsid w:val="0003786A"/>
    <w:rsid w:val="00041F02"/>
    <w:rsid w:val="00042F9C"/>
    <w:rsid w:val="000431CA"/>
    <w:rsid w:val="000452B8"/>
    <w:rsid w:val="000530A7"/>
    <w:rsid w:val="000553FE"/>
    <w:rsid w:val="000579E7"/>
    <w:rsid w:val="00064BEA"/>
    <w:rsid w:val="000747AE"/>
    <w:rsid w:val="00074C29"/>
    <w:rsid w:val="00074C2C"/>
    <w:rsid w:val="00082F31"/>
    <w:rsid w:val="00082FD5"/>
    <w:rsid w:val="00096BE1"/>
    <w:rsid w:val="00096F9D"/>
    <w:rsid w:val="000A686F"/>
    <w:rsid w:val="000B00A2"/>
    <w:rsid w:val="000B5A6A"/>
    <w:rsid w:val="000B7B24"/>
    <w:rsid w:val="000B7CBB"/>
    <w:rsid w:val="000C3107"/>
    <w:rsid w:val="000C337B"/>
    <w:rsid w:val="000C3411"/>
    <w:rsid w:val="000C354A"/>
    <w:rsid w:val="000C3DC6"/>
    <w:rsid w:val="000C3E54"/>
    <w:rsid w:val="000C55E3"/>
    <w:rsid w:val="000C77E8"/>
    <w:rsid w:val="000D1AD7"/>
    <w:rsid w:val="000D2F66"/>
    <w:rsid w:val="000D49B8"/>
    <w:rsid w:val="000D4CB0"/>
    <w:rsid w:val="000D590E"/>
    <w:rsid w:val="000D662C"/>
    <w:rsid w:val="000D7B99"/>
    <w:rsid w:val="000E1C49"/>
    <w:rsid w:val="000E2D9F"/>
    <w:rsid w:val="000E3EFF"/>
    <w:rsid w:val="000E4B11"/>
    <w:rsid w:val="000E5E74"/>
    <w:rsid w:val="000F55F6"/>
    <w:rsid w:val="000F593D"/>
    <w:rsid w:val="000F6E87"/>
    <w:rsid w:val="000F7D2E"/>
    <w:rsid w:val="001007E7"/>
    <w:rsid w:val="001010D0"/>
    <w:rsid w:val="00102E21"/>
    <w:rsid w:val="00102EA3"/>
    <w:rsid w:val="00103273"/>
    <w:rsid w:val="00114E43"/>
    <w:rsid w:val="001166D4"/>
    <w:rsid w:val="00117426"/>
    <w:rsid w:val="001234C0"/>
    <w:rsid w:val="00125568"/>
    <w:rsid w:val="00136D47"/>
    <w:rsid w:val="00136D4E"/>
    <w:rsid w:val="001372A5"/>
    <w:rsid w:val="00140FD8"/>
    <w:rsid w:val="00144F98"/>
    <w:rsid w:val="0015202C"/>
    <w:rsid w:val="0015490F"/>
    <w:rsid w:val="00154C45"/>
    <w:rsid w:val="001551B9"/>
    <w:rsid w:val="001658FA"/>
    <w:rsid w:val="00167964"/>
    <w:rsid w:val="001703D1"/>
    <w:rsid w:val="001748B2"/>
    <w:rsid w:val="001748C6"/>
    <w:rsid w:val="00174F7A"/>
    <w:rsid w:val="00176BBA"/>
    <w:rsid w:val="0019457B"/>
    <w:rsid w:val="00194B8C"/>
    <w:rsid w:val="001A06DA"/>
    <w:rsid w:val="001A286F"/>
    <w:rsid w:val="001A50AE"/>
    <w:rsid w:val="001A5994"/>
    <w:rsid w:val="001A64CB"/>
    <w:rsid w:val="001B1502"/>
    <w:rsid w:val="001B4E70"/>
    <w:rsid w:val="001B72D4"/>
    <w:rsid w:val="001B7C7F"/>
    <w:rsid w:val="001C3886"/>
    <w:rsid w:val="001D230E"/>
    <w:rsid w:val="001D2514"/>
    <w:rsid w:val="001D28DD"/>
    <w:rsid w:val="001D2B57"/>
    <w:rsid w:val="001D32E4"/>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2454C"/>
    <w:rsid w:val="00231312"/>
    <w:rsid w:val="002315E4"/>
    <w:rsid w:val="00233DA8"/>
    <w:rsid w:val="00234B3A"/>
    <w:rsid w:val="002403A0"/>
    <w:rsid w:val="00241BAB"/>
    <w:rsid w:val="002424C2"/>
    <w:rsid w:val="00245A9D"/>
    <w:rsid w:val="00250450"/>
    <w:rsid w:val="00252904"/>
    <w:rsid w:val="002533F5"/>
    <w:rsid w:val="00254E17"/>
    <w:rsid w:val="00266332"/>
    <w:rsid w:val="00275348"/>
    <w:rsid w:val="00276FA2"/>
    <w:rsid w:val="002811AB"/>
    <w:rsid w:val="00283571"/>
    <w:rsid w:val="00291BF9"/>
    <w:rsid w:val="002A43CF"/>
    <w:rsid w:val="002C1693"/>
    <w:rsid w:val="002C1CC2"/>
    <w:rsid w:val="002C450B"/>
    <w:rsid w:val="002C6D9D"/>
    <w:rsid w:val="002E36C5"/>
    <w:rsid w:val="0030081A"/>
    <w:rsid w:val="003016E1"/>
    <w:rsid w:val="00302486"/>
    <w:rsid w:val="00303BBC"/>
    <w:rsid w:val="00305369"/>
    <w:rsid w:val="00305658"/>
    <w:rsid w:val="00313008"/>
    <w:rsid w:val="00323263"/>
    <w:rsid w:val="003375F7"/>
    <w:rsid w:val="00342F09"/>
    <w:rsid w:val="0034362D"/>
    <w:rsid w:val="00345602"/>
    <w:rsid w:val="003514F7"/>
    <w:rsid w:val="00352F9A"/>
    <w:rsid w:val="00361A15"/>
    <w:rsid w:val="00367065"/>
    <w:rsid w:val="00367AC1"/>
    <w:rsid w:val="00370139"/>
    <w:rsid w:val="00370EA2"/>
    <w:rsid w:val="003765F5"/>
    <w:rsid w:val="00380A0E"/>
    <w:rsid w:val="003850CD"/>
    <w:rsid w:val="00385613"/>
    <w:rsid w:val="00385E62"/>
    <w:rsid w:val="00392115"/>
    <w:rsid w:val="00396DB3"/>
    <w:rsid w:val="003976E9"/>
    <w:rsid w:val="003A0DC8"/>
    <w:rsid w:val="003A14CD"/>
    <w:rsid w:val="003A518E"/>
    <w:rsid w:val="003A64CF"/>
    <w:rsid w:val="003A7686"/>
    <w:rsid w:val="003B0B4E"/>
    <w:rsid w:val="003B3640"/>
    <w:rsid w:val="003B3A24"/>
    <w:rsid w:val="003B609D"/>
    <w:rsid w:val="003C256D"/>
    <w:rsid w:val="003C28A2"/>
    <w:rsid w:val="003C74DF"/>
    <w:rsid w:val="003C796D"/>
    <w:rsid w:val="003D288C"/>
    <w:rsid w:val="003D4720"/>
    <w:rsid w:val="003D50FE"/>
    <w:rsid w:val="003D5C49"/>
    <w:rsid w:val="003D6F20"/>
    <w:rsid w:val="003D759C"/>
    <w:rsid w:val="003E4D05"/>
    <w:rsid w:val="003F42BE"/>
    <w:rsid w:val="003F5A47"/>
    <w:rsid w:val="004014E6"/>
    <w:rsid w:val="00403500"/>
    <w:rsid w:val="004044EC"/>
    <w:rsid w:val="0040475F"/>
    <w:rsid w:val="004153A7"/>
    <w:rsid w:val="004165AD"/>
    <w:rsid w:val="00420C01"/>
    <w:rsid w:val="0042314C"/>
    <w:rsid w:val="00423F99"/>
    <w:rsid w:val="00427390"/>
    <w:rsid w:val="0042778E"/>
    <w:rsid w:val="0043705A"/>
    <w:rsid w:val="004501E7"/>
    <w:rsid w:val="00450705"/>
    <w:rsid w:val="00451A3D"/>
    <w:rsid w:val="00455415"/>
    <w:rsid w:val="00463B25"/>
    <w:rsid w:val="00465878"/>
    <w:rsid w:val="0046634C"/>
    <w:rsid w:val="004678DD"/>
    <w:rsid w:val="00475909"/>
    <w:rsid w:val="0047642B"/>
    <w:rsid w:val="00486B21"/>
    <w:rsid w:val="004975EA"/>
    <w:rsid w:val="004A0486"/>
    <w:rsid w:val="004A0E10"/>
    <w:rsid w:val="004A5D11"/>
    <w:rsid w:val="004A6F18"/>
    <w:rsid w:val="004B0E37"/>
    <w:rsid w:val="004B1439"/>
    <w:rsid w:val="004B1446"/>
    <w:rsid w:val="004B182F"/>
    <w:rsid w:val="004B1C9D"/>
    <w:rsid w:val="004B316D"/>
    <w:rsid w:val="004B62C4"/>
    <w:rsid w:val="004D68AA"/>
    <w:rsid w:val="004D6BFF"/>
    <w:rsid w:val="004E35EC"/>
    <w:rsid w:val="004E46F8"/>
    <w:rsid w:val="004E64BA"/>
    <w:rsid w:val="004E6BBE"/>
    <w:rsid w:val="00500157"/>
    <w:rsid w:val="00506220"/>
    <w:rsid w:val="0050749B"/>
    <w:rsid w:val="00507D4A"/>
    <w:rsid w:val="00512271"/>
    <w:rsid w:val="00514249"/>
    <w:rsid w:val="00520297"/>
    <w:rsid w:val="0052057F"/>
    <w:rsid w:val="0052394E"/>
    <w:rsid w:val="0052470D"/>
    <w:rsid w:val="00527CA3"/>
    <w:rsid w:val="00530DFD"/>
    <w:rsid w:val="00532341"/>
    <w:rsid w:val="00536EA6"/>
    <w:rsid w:val="00537E8B"/>
    <w:rsid w:val="00540251"/>
    <w:rsid w:val="00543FEC"/>
    <w:rsid w:val="005456D4"/>
    <w:rsid w:val="00546640"/>
    <w:rsid w:val="005504CA"/>
    <w:rsid w:val="00553043"/>
    <w:rsid w:val="0055355A"/>
    <w:rsid w:val="0055444D"/>
    <w:rsid w:val="0056265C"/>
    <w:rsid w:val="005626F6"/>
    <w:rsid w:val="00563A11"/>
    <w:rsid w:val="0057025A"/>
    <w:rsid w:val="0057105F"/>
    <w:rsid w:val="0057310A"/>
    <w:rsid w:val="00593E55"/>
    <w:rsid w:val="005968CA"/>
    <w:rsid w:val="005A0D50"/>
    <w:rsid w:val="005A208E"/>
    <w:rsid w:val="005A5C2E"/>
    <w:rsid w:val="005B39A1"/>
    <w:rsid w:val="005B56FD"/>
    <w:rsid w:val="005B6CBA"/>
    <w:rsid w:val="005C0D72"/>
    <w:rsid w:val="005C1E0A"/>
    <w:rsid w:val="005C3423"/>
    <w:rsid w:val="005D223B"/>
    <w:rsid w:val="005D370A"/>
    <w:rsid w:val="005D39DB"/>
    <w:rsid w:val="005D5C09"/>
    <w:rsid w:val="005D6571"/>
    <w:rsid w:val="005D6E90"/>
    <w:rsid w:val="005D7F89"/>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3A5A"/>
    <w:rsid w:val="00625406"/>
    <w:rsid w:val="00626403"/>
    <w:rsid w:val="00626DAB"/>
    <w:rsid w:val="00632205"/>
    <w:rsid w:val="0063324F"/>
    <w:rsid w:val="006338EA"/>
    <w:rsid w:val="006373B1"/>
    <w:rsid w:val="006433CA"/>
    <w:rsid w:val="006457D3"/>
    <w:rsid w:val="006460CC"/>
    <w:rsid w:val="006463FD"/>
    <w:rsid w:val="00646656"/>
    <w:rsid w:val="006516EB"/>
    <w:rsid w:val="00653868"/>
    <w:rsid w:val="00653934"/>
    <w:rsid w:val="0065509A"/>
    <w:rsid w:val="00655831"/>
    <w:rsid w:val="006559A6"/>
    <w:rsid w:val="006601D1"/>
    <w:rsid w:val="00660780"/>
    <w:rsid w:val="00665BBC"/>
    <w:rsid w:val="006668CD"/>
    <w:rsid w:val="00666DB8"/>
    <w:rsid w:val="00670C8F"/>
    <w:rsid w:val="006762BB"/>
    <w:rsid w:val="00676689"/>
    <w:rsid w:val="00681FAC"/>
    <w:rsid w:val="006909A3"/>
    <w:rsid w:val="00696BE5"/>
    <w:rsid w:val="00696CFA"/>
    <w:rsid w:val="0069739B"/>
    <w:rsid w:val="006A2DCD"/>
    <w:rsid w:val="006A4F7E"/>
    <w:rsid w:val="006A5A1E"/>
    <w:rsid w:val="006B0D96"/>
    <w:rsid w:val="006B5DA3"/>
    <w:rsid w:val="006C3AD6"/>
    <w:rsid w:val="006C7F7B"/>
    <w:rsid w:val="006D0A86"/>
    <w:rsid w:val="006D7D46"/>
    <w:rsid w:val="006E2BD9"/>
    <w:rsid w:val="006E3544"/>
    <w:rsid w:val="006E63FB"/>
    <w:rsid w:val="006F547F"/>
    <w:rsid w:val="006F5762"/>
    <w:rsid w:val="007011EC"/>
    <w:rsid w:val="00701E9E"/>
    <w:rsid w:val="00702CE9"/>
    <w:rsid w:val="007035E0"/>
    <w:rsid w:val="007054B4"/>
    <w:rsid w:val="007071E2"/>
    <w:rsid w:val="00711FBB"/>
    <w:rsid w:val="00712EA6"/>
    <w:rsid w:val="00713F6A"/>
    <w:rsid w:val="00717140"/>
    <w:rsid w:val="00720B5D"/>
    <w:rsid w:val="007225F5"/>
    <w:rsid w:val="00723EA8"/>
    <w:rsid w:val="0073185B"/>
    <w:rsid w:val="0073355B"/>
    <w:rsid w:val="00735D4D"/>
    <w:rsid w:val="00740D11"/>
    <w:rsid w:val="00743451"/>
    <w:rsid w:val="00743DDB"/>
    <w:rsid w:val="00750ECD"/>
    <w:rsid w:val="00751AF4"/>
    <w:rsid w:val="0075254C"/>
    <w:rsid w:val="00754B66"/>
    <w:rsid w:val="00756969"/>
    <w:rsid w:val="0076226C"/>
    <w:rsid w:val="007629CB"/>
    <w:rsid w:val="00762B2A"/>
    <w:rsid w:val="007633CA"/>
    <w:rsid w:val="00765853"/>
    <w:rsid w:val="007670CF"/>
    <w:rsid w:val="00771538"/>
    <w:rsid w:val="007865C2"/>
    <w:rsid w:val="0078774A"/>
    <w:rsid w:val="0079016E"/>
    <w:rsid w:val="007971B8"/>
    <w:rsid w:val="007A6AF1"/>
    <w:rsid w:val="007A7AD2"/>
    <w:rsid w:val="007B1CB9"/>
    <w:rsid w:val="007B5246"/>
    <w:rsid w:val="007B680A"/>
    <w:rsid w:val="007C180F"/>
    <w:rsid w:val="007C41B9"/>
    <w:rsid w:val="007C570C"/>
    <w:rsid w:val="007C78C0"/>
    <w:rsid w:val="007D0D05"/>
    <w:rsid w:val="007D0FA3"/>
    <w:rsid w:val="007D1CB6"/>
    <w:rsid w:val="007D22CD"/>
    <w:rsid w:val="007D54CE"/>
    <w:rsid w:val="007D55E6"/>
    <w:rsid w:val="007E02EB"/>
    <w:rsid w:val="007E348B"/>
    <w:rsid w:val="007E4EA9"/>
    <w:rsid w:val="007F1DFA"/>
    <w:rsid w:val="007F584C"/>
    <w:rsid w:val="008020BB"/>
    <w:rsid w:val="008036DA"/>
    <w:rsid w:val="008037F0"/>
    <w:rsid w:val="00803C36"/>
    <w:rsid w:val="00804AF0"/>
    <w:rsid w:val="008052FE"/>
    <w:rsid w:val="008060EC"/>
    <w:rsid w:val="00806994"/>
    <w:rsid w:val="00807374"/>
    <w:rsid w:val="008129A3"/>
    <w:rsid w:val="008132F8"/>
    <w:rsid w:val="008144D7"/>
    <w:rsid w:val="00820B0D"/>
    <w:rsid w:val="00823286"/>
    <w:rsid w:val="0082548B"/>
    <w:rsid w:val="008345F6"/>
    <w:rsid w:val="00834693"/>
    <w:rsid w:val="0084300D"/>
    <w:rsid w:val="0084544A"/>
    <w:rsid w:val="00846B2F"/>
    <w:rsid w:val="00850C00"/>
    <w:rsid w:val="00851100"/>
    <w:rsid w:val="008516E7"/>
    <w:rsid w:val="00856481"/>
    <w:rsid w:val="00862CE3"/>
    <w:rsid w:val="00863472"/>
    <w:rsid w:val="008636A0"/>
    <w:rsid w:val="008643CB"/>
    <w:rsid w:val="00865B51"/>
    <w:rsid w:val="00866350"/>
    <w:rsid w:val="00866C75"/>
    <w:rsid w:val="008675F8"/>
    <w:rsid w:val="00877BC5"/>
    <w:rsid w:val="008819F8"/>
    <w:rsid w:val="0088414C"/>
    <w:rsid w:val="0088466C"/>
    <w:rsid w:val="00884D26"/>
    <w:rsid w:val="00886FA2"/>
    <w:rsid w:val="008930F5"/>
    <w:rsid w:val="0089592C"/>
    <w:rsid w:val="008A1765"/>
    <w:rsid w:val="008A7284"/>
    <w:rsid w:val="008A7595"/>
    <w:rsid w:val="008A7867"/>
    <w:rsid w:val="008A7F37"/>
    <w:rsid w:val="008B56DD"/>
    <w:rsid w:val="008B71F2"/>
    <w:rsid w:val="008C018C"/>
    <w:rsid w:val="008C28EE"/>
    <w:rsid w:val="008C2DB4"/>
    <w:rsid w:val="008C3ED8"/>
    <w:rsid w:val="008C5805"/>
    <w:rsid w:val="008C78BE"/>
    <w:rsid w:val="008C79AD"/>
    <w:rsid w:val="008D40DE"/>
    <w:rsid w:val="008D4966"/>
    <w:rsid w:val="008D6545"/>
    <w:rsid w:val="008D7B74"/>
    <w:rsid w:val="008E29C9"/>
    <w:rsid w:val="008E6F7E"/>
    <w:rsid w:val="008E7CC5"/>
    <w:rsid w:val="008F1D31"/>
    <w:rsid w:val="008F2D90"/>
    <w:rsid w:val="008F4A71"/>
    <w:rsid w:val="008F501F"/>
    <w:rsid w:val="008F66AB"/>
    <w:rsid w:val="0090051D"/>
    <w:rsid w:val="00907060"/>
    <w:rsid w:val="00910E23"/>
    <w:rsid w:val="009117CA"/>
    <w:rsid w:val="00912D45"/>
    <w:rsid w:val="00921EAA"/>
    <w:rsid w:val="00932987"/>
    <w:rsid w:val="00934100"/>
    <w:rsid w:val="0093564D"/>
    <w:rsid w:val="00935890"/>
    <w:rsid w:val="00951E70"/>
    <w:rsid w:val="00953CD6"/>
    <w:rsid w:val="00961669"/>
    <w:rsid w:val="00963204"/>
    <w:rsid w:val="00963BF3"/>
    <w:rsid w:val="00967EEB"/>
    <w:rsid w:val="00973B47"/>
    <w:rsid w:val="0097518E"/>
    <w:rsid w:val="00981AE8"/>
    <w:rsid w:val="00981E04"/>
    <w:rsid w:val="009825CE"/>
    <w:rsid w:val="00990150"/>
    <w:rsid w:val="009924BF"/>
    <w:rsid w:val="00995A44"/>
    <w:rsid w:val="009979FA"/>
    <w:rsid w:val="00997C33"/>
    <w:rsid w:val="009A6D83"/>
    <w:rsid w:val="009B3394"/>
    <w:rsid w:val="009C10DF"/>
    <w:rsid w:val="009C3410"/>
    <w:rsid w:val="009C5760"/>
    <w:rsid w:val="009D0FB7"/>
    <w:rsid w:val="009D1AD1"/>
    <w:rsid w:val="009D6D5F"/>
    <w:rsid w:val="009E7AD6"/>
    <w:rsid w:val="009F4D59"/>
    <w:rsid w:val="00A01E02"/>
    <w:rsid w:val="00A10FC0"/>
    <w:rsid w:val="00A22AD1"/>
    <w:rsid w:val="00A25626"/>
    <w:rsid w:val="00A25B2E"/>
    <w:rsid w:val="00A30FDD"/>
    <w:rsid w:val="00A332DE"/>
    <w:rsid w:val="00A33C6C"/>
    <w:rsid w:val="00A36B64"/>
    <w:rsid w:val="00A37D94"/>
    <w:rsid w:val="00A461EB"/>
    <w:rsid w:val="00A537F4"/>
    <w:rsid w:val="00A56EDC"/>
    <w:rsid w:val="00A66B15"/>
    <w:rsid w:val="00A713BC"/>
    <w:rsid w:val="00A76D42"/>
    <w:rsid w:val="00A77F96"/>
    <w:rsid w:val="00AA0603"/>
    <w:rsid w:val="00AA2770"/>
    <w:rsid w:val="00AA2E09"/>
    <w:rsid w:val="00AA705E"/>
    <w:rsid w:val="00AC2FE1"/>
    <w:rsid w:val="00AD0292"/>
    <w:rsid w:val="00AD43A5"/>
    <w:rsid w:val="00AD48A4"/>
    <w:rsid w:val="00AD4BD9"/>
    <w:rsid w:val="00AD6B44"/>
    <w:rsid w:val="00AE26DB"/>
    <w:rsid w:val="00AE2C86"/>
    <w:rsid w:val="00AE43AF"/>
    <w:rsid w:val="00AE43FC"/>
    <w:rsid w:val="00AE491D"/>
    <w:rsid w:val="00AF12FC"/>
    <w:rsid w:val="00AF20E1"/>
    <w:rsid w:val="00AF2F30"/>
    <w:rsid w:val="00B00372"/>
    <w:rsid w:val="00B0162E"/>
    <w:rsid w:val="00B017F1"/>
    <w:rsid w:val="00B2122A"/>
    <w:rsid w:val="00B22440"/>
    <w:rsid w:val="00B22BA0"/>
    <w:rsid w:val="00B22F0F"/>
    <w:rsid w:val="00B23EC5"/>
    <w:rsid w:val="00B243B2"/>
    <w:rsid w:val="00B26C1C"/>
    <w:rsid w:val="00B30118"/>
    <w:rsid w:val="00B3077D"/>
    <w:rsid w:val="00B31B3A"/>
    <w:rsid w:val="00B34BA7"/>
    <w:rsid w:val="00B35DFB"/>
    <w:rsid w:val="00B45ACE"/>
    <w:rsid w:val="00B51EAE"/>
    <w:rsid w:val="00B61253"/>
    <w:rsid w:val="00B62E6A"/>
    <w:rsid w:val="00B66D4E"/>
    <w:rsid w:val="00B713C0"/>
    <w:rsid w:val="00B7164F"/>
    <w:rsid w:val="00B75A8D"/>
    <w:rsid w:val="00B82D2D"/>
    <w:rsid w:val="00B85220"/>
    <w:rsid w:val="00B95455"/>
    <w:rsid w:val="00B962A5"/>
    <w:rsid w:val="00BA0435"/>
    <w:rsid w:val="00BB1493"/>
    <w:rsid w:val="00BB53D7"/>
    <w:rsid w:val="00BC1861"/>
    <w:rsid w:val="00BC1ED8"/>
    <w:rsid w:val="00BC39FA"/>
    <w:rsid w:val="00BC546A"/>
    <w:rsid w:val="00BC70D6"/>
    <w:rsid w:val="00BC7604"/>
    <w:rsid w:val="00BD0D2E"/>
    <w:rsid w:val="00BD2669"/>
    <w:rsid w:val="00BD7A55"/>
    <w:rsid w:val="00BE2F56"/>
    <w:rsid w:val="00BE3320"/>
    <w:rsid w:val="00BE37B1"/>
    <w:rsid w:val="00BE3854"/>
    <w:rsid w:val="00BE5ACC"/>
    <w:rsid w:val="00BF0444"/>
    <w:rsid w:val="00BF16FF"/>
    <w:rsid w:val="00BF2CFC"/>
    <w:rsid w:val="00BF51C8"/>
    <w:rsid w:val="00BF58F3"/>
    <w:rsid w:val="00C01E84"/>
    <w:rsid w:val="00C02DF1"/>
    <w:rsid w:val="00C115E0"/>
    <w:rsid w:val="00C12924"/>
    <w:rsid w:val="00C13032"/>
    <w:rsid w:val="00C1601F"/>
    <w:rsid w:val="00C17185"/>
    <w:rsid w:val="00C21F3E"/>
    <w:rsid w:val="00C32066"/>
    <w:rsid w:val="00C34DE9"/>
    <w:rsid w:val="00C34E86"/>
    <w:rsid w:val="00C35C95"/>
    <w:rsid w:val="00C51267"/>
    <w:rsid w:val="00C539CD"/>
    <w:rsid w:val="00C55261"/>
    <w:rsid w:val="00C56C58"/>
    <w:rsid w:val="00C56E9D"/>
    <w:rsid w:val="00C602B9"/>
    <w:rsid w:val="00C62E34"/>
    <w:rsid w:val="00C64758"/>
    <w:rsid w:val="00C65673"/>
    <w:rsid w:val="00C6586B"/>
    <w:rsid w:val="00C73CFC"/>
    <w:rsid w:val="00C759E1"/>
    <w:rsid w:val="00C81877"/>
    <w:rsid w:val="00C835D5"/>
    <w:rsid w:val="00C84D08"/>
    <w:rsid w:val="00C857F3"/>
    <w:rsid w:val="00C94EB3"/>
    <w:rsid w:val="00C96CE0"/>
    <w:rsid w:val="00CA07E0"/>
    <w:rsid w:val="00CA09BE"/>
    <w:rsid w:val="00CA546A"/>
    <w:rsid w:val="00CB59F4"/>
    <w:rsid w:val="00CB65C5"/>
    <w:rsid w:val="00CC1634"/>
    <w:rsid w:val="00CC1B05"/>
    <w:rsid w:val="00CC4B57"/>
    <w:rsid w:val="00CC6B53"/>
    <w:rsid w:val="00CD3061"/>
    <w:rsid w:val="00CD5E1F"/>
    <w:rsid w:val="00CD6874"/>
    <w:rsid w:val="00CE3666"/>
    <w:rsid w:val="00CE5846"/>
    <w:rsid w:val="00CE75ED"/>
    <w:rsid w:val="00CF04B2"/>
    <w:rsid w:val="00CF070D"/>
    <w:rsid w:val="00CF2541"/>
    <w:rsid w:val="00CF3CA7"/>
    <w:rsid w:val="00D027F2"/>
    <w:rsid w:val="00D0463E"/>
    <w:rsid w:val="00D06893"/>
    <w:rsid w:val="00D15458"/>
    <w:rsid w:val="00D15893"/>
    <w:rsid w:val="00D16B29"/>
    <w:rsid w:val="00D16BAE"/>
    <w:rsid w:val="00D173BE"/>
    <w:rsid w:val="00D22E0C"/>
    <w:rsid w:val="00D22E2E"/>
    <w:rsid w:val="00D36FAA"/>
    <w:rsid w:val="00D37106"/>
    <w:rsid w:val="00D37F4F"/>
    <w:rsid w:val="00D411ED"/>
    <w:rsid w:val="00D413C4"/>
    <w:rsid w:val="00D42FFF"/>
    <w:rsid w:val="00D50CB8"/>
    <w:rsid w:val="00D5116C"/>
    <w:rsid w:val="00D52A61"/>
    <w:rsid w:val="00D55967"/>
    <w:rsid w:val="00D57F37"/>
    <w:rsid w:val="00D61A9F"/>
    <w:rsid w:val="00D62356"/>
    <w:rsid w:val="00D6541E"/>
    <w:rsid w:val="00D71BD4"/>
    <w:rsid w:val="00D72348"/>
    <w:rsid w:val="00D72DA8"/>
    <w:rsid w:val="00D72FBA"/>
    <w:rsid w:val="00D822D0"/>
    <w:rsid w:val="00D84FD4"/>
    <w:rsid w:val="00D85732"/>
    <w:rsid w:val="00D914EA"/>
    <w:rsid w:val="00D94614"/>
    <w:rsid w:val="00D95B5F"/>
    <w:rsid w:val="00DA0410"/>
    <w:rsid w:val="00DA1056"/>
    <w:rsid w:val="00DA2126"/>
    <w:rsid w:val="00DA2230"/>
    <w:rsid w:val="00DA31D4"/>
    <w:rsid w:val="00DA5A5A"/>
    <w:rsid w:val="00DA72F3"/>
    <w:rsid w:val="00DC0C97"/>
    <w:rsid w:val="00DC6BD6"/>
    <w:rsid w:val="00DD138A"/>
    <w:rsid w:val="00DD42D7"/>
    <w:rsid w:val="00DD6A76"/>
    <w:rsid w:val="00DE08B4"/>
    <w:rsid w:val="00DE5952"/>
    <w:rsid w:val="00DF0114"/>
    <w:rsid w:val="00DF0DFA"/>
    <w:rsid w:val="00DF13D9"/>
    <w:rsid w:val="00DF1937"/>
    <w:rsid w:val="00DF25BF"/>
    <w:rsid w:val="00DF6AC9"/>
    <w:rsid w:val="00DF7B47"/>
    <w:rsid w:val="00E03189"/>
    <w:rsid w:val="00E101B9"/>
    <w:rsid w:val="00E115E8"/>
    <w:rsid w:val="00E1332F"/>
    <w:rsid w:val="00E217E8"/>
    <w:rsid w:val="00E23EAD"/>
    <w:rsid w:val="00E24238"/>
    <w:rsid w:val="00E24FE5"/>
    <w:rsid w:val="00E26A71"/>
    <w:rsid w:val="00E33DB6"/>
    <w:rsid w:val="00E40451"/>
    <w:rsid w:val="00E426DA"/>
    <w:rsid w:val="00E43543"/>
    <w:rsid w:val="00E52379"/>
    <w:rsid w:val="00E55131"/>
    <w:rsid w:val="00E56473"/>
    <w:rsid w:val="00E5678B"/>
    <w:rsid w:val="00E619E9"/>
    <w:rsid w:val="00E627A9"/>
    <w:rsid w:val="00E65A1B"/>
    <w:rsid w:val="00E66073"/>
    <w:rsid w:val="00E70DA9"/>
    <w:rsid w:val="00E724F7"/>
    <w:rsid w:val="00E7390B"/>
    <w:rsid w:val="00E75A3F"/>
    <w:rsid w:val="00E77B9C"/>
    <w:rsid w:val="00E815B3"/>
    <w:rsid w:val="00E8206B"/>
    <w:rsid w:val="00E82918"/>
    <w:rsid w:val="00E91ED5"/>
    <w:rsid w:val="00E933A0"/>
    <w:rsid w:val="00E95B28"/>
    <w:rsid w:val="00EA7708"/>
    <w:rsid w:val="00EB5431"/>
    <w:rsid w:val="00EB6A53"/>
    <w:rsid w:val="00EB6B2A"/>
    <w:rsid w:val="00EC2BF5"/>
    <w:rsid w:val="00EC3328"/>
    <w:rsid w:val="00EC3F20"/>
    <w:rsid w:val="00EC66B3"/>
    <w:rsid w:val="00EC7192"/>
    <w:rsid w:val="00EC764C"/>
    <w:rsid w:val="00ED73B3"/>
    <w:rsid w:val="00EE1ADD"/>
    <w:rsid w:val="00EE201B"/>
    <w:rsid w:val="00EE2194"/>
    <w:rsid w:val="00EE5159"/>
    <w:rsid w:val="00EE6E3B"/>
    <w:rsid w:val="00EF0134"/>
    <w:rsid w:val="00F01A93"/>
    <w:rsid w:val="00F01E9B"/>
    <w:rsid w:val="00F0328A"/>
    <w:rsid w:val="00F03E9E"/>
    <w:rsid w:val="00F14266"/>
    <w:rsid w:val="00F1564F"/>
    <w:rsid w:val="00F21965"/>
    <w:rsid w:val="00F21C16"/>
    <w:rsid w:val="00F25F13"/>
    <w:rsid w:val="00F30127"/>
    <w:rsid w:val="00F43BCF"/>
    <w:rsid w:val="00F603BF"/>
    <w:rsid w:val="00F64758"/>
    <w:rsid w:val="00F649F0"/>
    <w:rsid w:val="00F65977"/>
    <w:rsid w:val="00F66FF8"/>
    <w:rsid w:val="00F72754"/>
    <w:rsid w:val="00F728BA"/>
    <w:rsid w:val="00F72BF6"/>
    <w:rsid w:val="00F733E7"/>
    <w:rsid w:val="00F76151"/>
    <w:rsid w:val="00F772F3"/>
    <w:rsid w:val="00F83D4D"/>
    <w:rsid w:val="00FA014D"/>
    <w:rsid w:val="00FA59C6"/>
    <w:rsid w:val="00FA646C"/>
    <w:rsid w:val="00FB21E7"/>
    <w:rsid w:val="00FB5F9A"/>
    <w:rsid w:val="00FC691D"/>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305658"/>
    <w:pPr>
      <w:numPr>
        <w:numId w:val="43"/>
      </w:numPr>
      <w:tabs>
        <w:tab w:val="right" w:leader="dot" w:pos="9350"/>
      </w:tabs>
      <w:spacing w:before="120"/>
    </w:p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0112A7"/>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1359662">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3402776">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89264100">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7166451">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26258219">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2814247">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079747363">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nfo.gov/content/pkg/FR-2021-11-12/pdf/2021-24650.pdf" TargetMode="External"/><Relationship Id="rId18" Type="http://schemas.openxmlformats.org/officeDocument/2006/relationships/hyperlink" Target="mailto:LeanThinking@hud.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hud.gov/program_offices/administration/hudclips/" TargetMode="External"/><Relationship Id="rId17"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25"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 Id="rId2" Type="http://schemas.openxmlformats.org/officeDocument/2006/relationships/customXml" Target="../customXml/item2.xml"/><Relationship Id="rId16" Type="http://schemas.openxmlformats.org/officeDocument/2006/relationships/hyperlink" Target="https://www.hud.gov/federal_housing_administration/healthcare_facilities/residential_care/environmental_resources" TargetMode="External"/><Relationship Id="rId20"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5" Type="http://schemas.openxmlformats.org/officeDocument/2006/relationships/numbering" Target="numbering.xml"/><Relationship Id="rId15" Type="http://schemas.openxmlformats.org/officeDocument/2006/relationships/hyperlink" Target="mailto:LeanThinking@hud.gov"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nfo.gov/content/pkg/FR-2022-08-26/pdf/2022-18414.pdf" TargetMode="External"/><Relationship Id="rId22"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2.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customXml/itemProps4.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11028</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5</cp:revision>
  <cp:lastPrinted>2014-08-11T13:53:00Z</cp:lastPrinted>
  <dcterms:created xsi:type="dcterms:W3CDTF">2023-02-03T14:43:00Z</dcterms:created>
  <dcterms:modified xsi:type="dcterms:W3CDTF">2023-02-03T15:01:00Z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