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34E21" w14:textId="77777777" w:rsidR="00A86E85" w:rsidRPr="00A86E85" w:rsidRDefault="00A86E85" w:rsidP="00A86E85">
      <w:pPr>
        <w:spacing w:after="0" w:line="240" w:lineRule="auto"/>
        <w:jc w:val="center"/>
        <w:rPr>
          <w:rFonts w:ascii="Verdana" w:eastAsia="Calibri" w:hAnsi="Verdana" w:cs="Times New Roman"/>
          <w:b/>
          <w:sz w:val="32"/>
          <w:szCs w:val="32"/>
          <w:u w:val="single"/>
        </w:rPr>
      </w:pPr>
      <w:bookmarkStart w:id="0" w:name="_top"/>
      <w:bookmarkEnd w:id="0"/>
      <w:r w:rsidRPr="00A86E85">
        <w:rPr>
          <w:rFonts w:ascii="Verdana" w:eastAsia="Calibri" w:hAnsi="Verdana" w:cs="Times New Roman"/>
          <w:b/>
          <w:sz w:val="32"/>
          <w:szCs w:val="32"/>
          <w:u w:val="single"/>
        </w:rPr>
        <w:t>HUD’s Lean 232 Program</w:t>
      </w:r>
    </w:p>
    <w:p w14:paraId="13A918D7" w14:textId="77777777" w:rsidR="00A86E85" w:rsidRPr="00A86E85" w:rsidRDefault="00A86E85" w:rsidP="00A86E85">
      <w:pPr>
        <w:spacing w:after="0" w:line="240" w:lineRule="auto"/>
        <w:jc w:val="center"/>
        <w:rPr>
          <w:rFonts w:ascii="Verdana" w:eastAsia="Calibri" w:hAnsi="Verdana" w:cs="Times New Roman"/>
          <w:b/>
          <w:sz w:val="32"/>
          <w:szCs w:val="32"/>
        </w:rPr>
      </w:pPr>
      <w:r w:rsidRPr="00A86E85">
        <w:rPr>
          <w:rFonts w:ascii="Verdana" w:eastAsia="Calibri" w:hAnsi="Verdana" w:cs="Times New Roman"/>
          <w:b/>
          <w:sz w:val="32"/>
          <w:szCs w:val="32"/>
        </w:rPr>
        <w:t>Office of Residential Care Facilities (ORCF)</w:t>
      </w:r>
    </w:p>
    <w:p w14:paraId="592AA335" w14:textId="77777777" w:rsidR="00A86E85" w:rsidRPr="00A86E85" w:rsidRDefault="00A86E85" w:rsidP="00A86E85">
      <w:pPr>
        <w:spacing w:after="0" w:line="240" w:lineRule="auto"/>
        <w:jc w:val="center"/>
        <w:rPr>
          <w:rFonts w:ascii="Verdana" w:eastAsia="Calibri" w:hAnsi="Verdana" w:cs="Times New Roman"/>
          <w:b/>
          <w:sz w:val="32"/>
          <w:szCs w:val="32"/>
          <w:u w:val="single"/>
        </w:rPr>
      </w:pPr>
      <w:r w:rsidRPr="00A86E85">
        <w:rPr>
          <w:rFonts w:ascii="Verdana" w:eastAsia="Calibri" w:hAnsi="Verdana" w:cs="Times New Roman"/>
          <w:b/>
          <w:sz w:val="32"/>
          <w:szCs w:val="32"/>
          <w:u w:val="single"/>
        </w:rPr>
        <w:t>Update as of December 19, 2018</w:t>
      </w:r>
    </w:p>
    <w:p w14:paraId="53C3FD72" w14:textId="77777777" w:rsidR="00A86E85" w:rsidRPr="00A86E85" w:rsidRDefault="00A86E85" w:rsidP="00A86E85">
      <w:pPr>
        <w:spacing w:after="0" w:line="240" w:lineRule="auto"/>
        <w:jc w:val="center"/>
        <w:rPr>
          <w:rFonts w:ascii="Verdana" w:eastAsia="Calibri" w:hAnsi="Verdana" w:cs="Times New Roman"/>
        </w:rPr>
      </w:pPr>
      <w:r w:rsidRPr="00A86E85">
        <w:rPr>
          <w:rFonts w:ascii="Verdana" w:eastAsia="Calibri" w:hAnsi="Verdana" w:cs="Times New Roman"/>
          <w:noProof/>
          <w:color w:val="1F497D"/>
        </w:rPr>
        <w:drawing>
          <wp:inline distT="0" distB="0" distL="0" distR="0" wp14:anchorId="239AA0BF" wp14:editId="7E15740F">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20DEEC69" w14:textId="77777777" w:rsidR="00A86E85" w:rsidRPr="00A86E85" w:rsidRDefault="00A86E85" w:rsidP="00A86E85">
      <w:pPr>
        <w:spacing w:after="0" w:line="240" w:lineRule="auto"/>
        <w:rPr>
          <w:rFonts w:ascii="Verdana" w:eastAsia="Calibri" w:hAnsi="Verdana" w:cs="Times New Roman"/>
          <w:sz w:val="24"/>
        </w:rPr>
      </w:pPr>
    </w:p>
    <w:p w14:paraId="23204480" w14:textId="77777777" w:rsidR="00A86E85" w:rsidRPr="00A86E85" w:rsidRDefault="00A86E85" w:rsidP="00A86E85">
      <w:pPr>
        <w:spacing w:after="0" w:line="240" w:lineRule="auto"/>
        <w:rPr>
          <w:rFonts w:ascii="Verdana" w:eastAsia="Calibri" w:hAnsi="Verdana" w:cs="Times New Roman"/>
          <w:sz w:val="24"/>
        </w:rPr>
      </w:pPr>
    </w:p>
    <w:p w14:paraId="27F09980" w14:textId="77777777" w:rsidR="00A86E85" w:rsidRPr="00A86E85" w:rsidRDefault="00A86E85" w:rsidP="00A86E85">
      <w:pPr>
        <w:spacing w:after="0" w:line="240" w:lineRule="auto"/>
        <w:rPr>
          <w:rFonts w:ascii="Verdana" w:eastAsia="Calibri" w:hAnsi="Verdana" w:cs="Times New Roman"/>
          <w:i/>
          <w:sz w:val="32"/>
          <w:u w:val="single"/>
        </w:rPr>
      </w:pPr>
      <w:r w:rsidRPr="00A86E85">
        <w:rPr>
          <w:rFonts w:ascii="Verdana" w:eastAsia="Calibri" w:hAnsi="Verdana" w:cs="Times New Roman"/>
          <w:i/>
          <w:sz w:val="32"/>
          <w:u w:val="single"/>
        </w:rPr>
        <w:t>December 19, 2018 Contents</w:t>
      </w:r>
    </w:p>
    <w:p w14:paraId="543D836A" w14:textId="77777777" w:rsidR="00A86E85" w:rsidRPr="00A86E85" w:rsidRDefault="00A86E85" w:rsidP="00A86E85">
      <w:pPr>
        <w:spacing w:after="0" w:line="240" w:lineRule="auto"/>
        <w:rPr>
          <w:rFonts w:ascii="Verdana" w:eastAsia="Calibri" w:hAnsi="Verdana" w:cs="Times New Roman"/>
          <w:b/>
          <w:i/>
          <w:sz w:val="32"/>
          <w:u w:val="single"/>
        </w:rPr>
      </w:pPr>
      <w:bookmarkStart w:id="1" w:name="_GoBack"/>
      <w:bookmarkEnd w:id="1"/>
    </w:p>
    <w:p w14:paraId="56E75106" w14:textId="77777777" w:rsidR="00A86E85" w:rsidRPr="00A86E85" w:rsidRDefault="00A86E85" w:rsidP="00A86E85">
      <w:pPr>
        <w:tabs>
          <w:tab w:val="right" w:leader="dot" w:pos="9350"/>
        </w:tabs>
        <w:spacing w:after="0" w:line="240" w:lineRule="auto"/>
        <w:ind w:left="270" w:hanging="270"/>
        <w:rPr>
          <w:rFonts w:ascii="Calibri" w:eastAsia="Times New Roman" w:hAnsi="Calibri" w:cs="Times New Roman"/>
          <w:noProof/>
        </w:rPr>
      </w:pPr>
      <w:r w:rsidRPr="00A86E85">
        <w:rPr>
          <w:rFonts w:ascii="Verdana" w:eastAsia="Calibri" w:hAnsi="Verdana" w:cs="Times New Roman"/>
          <w:i/>
          <w:sz w:val="24"/>
        </w:rPr>
        <w:fldChar w:fldCharType="begin"/>
      </w:r>
      <w:r w:rsidRPr="00A86E85">
        <w:rPr>
          <w:rFonts w:ascii="Verdana" w:eastAsia="Calibri" w:hAnsi="Verdana" w:cs="Times New Roman"/>
          <w:i/>
          <w:sz w:val="24"/>
        </w:rPr>
        <w:instrText xml:space="preserve"> TOC \o "1-3" \n \h \z \u </w:instrText>
      </w:r>
      <w:r w:rsidRPr="00A86E85">
        <w:rPr>
          <w:rFonts w:ascii="Verdana" w:eastAsia="Calibri" w:hAnsi="Verdana" w:cs="Times New Roman"/>
          <w:i/>
          <w:sz w:val="24"/>
        </w:rPr>
        <w:fldChar w:fldCharType="separate"/>
      </w:r>
      <w:hyperlink w:anchor="_Toc532304972" w:history="1">
        <w:r w:rsidRPr="00A86E85">
          <w:rPr>
            <w:rFonts w:ascii="Verdana" w:eastAsia="Calibri" w:hAnsi="Verdana" w:cs="Times New Roman"/>
            <w:noProof/>
            <w:color w:val="0000FF"/>
            <w:sz w:val="24"/>
            <w:u w:val="single"/>
          </w:rPr>
          <w:t>Addressing Quality of Care Issues in Application</w:t>
        </w:r>
      </w:hyperlink>
    </w:p>
    <w:p w14:paraId="031C3304" w14:textId="77777777" w:rsidR="00A86E85" w:rsidRPr="00A86E85" w:rsidRDefault="00A86E85" w:rsidP="00A86E85">
      <w:pPr>
        <w:tabs>
          <w:tab w:val="right" w:leader="dot" w:pos="9350"/>
        </w:tabs>
        <w:spacing w:after="0" w:line="240" w:lineRule="auto"/>
        <w:ind w:left="270" w:hanging="270"/>
        <w:rPr>
          <w:rFonts w:ascii="Calibri" w:eastAsia="Times New Roman" w:hAnsi="Calibri" w:cs="Times New Roman"/>
          <w:noProof/>
        </w:rPr>
      </w:pPr>
      <w:hyperlink w:anchor="_Toc532304973" w:history="1">
        <w:r w:rsidRPr="00A86E85">
          <w:rPr>
            <w:rFonts w:ascii="Verdana" w:eastAsia="Calibri" w:hAnsi="Verdana" w:cs="Times New Roman"/>
            <w:noProof/>
            <w:color w:val="0000FF"/>
            <w:sz w:val="24"/>
            <w:u w:val="single"/>
          </w:rPr>
          <w:t>Professional Liability Insurance (PLI) and Valuation</w:t>
        </w:r>
      </w:hyperlink>
    </w:p>
    <w:p w14:paraId="6BDDE024" w14:textId="77777777" w:rsidR="00A86E85" w:rsidRPr="00A86E85" w:rsidRDefault="00A86E85" w:rsidP="00A86E85">
      <w:pPr>
        <w:tabs>
          <w:tab w:val="right" w:leader="dot" w:pos="9350"/>
        </w:tabs>
        <w:spacing w:after="0" w:line="240" w:lineRule="auto"/>
        <w:ind w:left="270" w:hanging="270"/>
        <w:rPr>
          <w:rFonts w:ascii="Calibri" w:eastAsia="Times New Roman" w:hAnsi="Calibri" w:cs="Times New Roman"/>
          <w:noProof/>
        </w:rPr>
      </w:pPr>
      <w:hyperlink w:anchor="_Toc532304974" w:history="1">
        <w:r w:rsidRPr="00A86E85">
          <w:rPr>
            <w:rFonts w:ascii="Verdana" w:eastAsia="Calibri" w:hAnsi="Verdana" w:cs="Times New Roman"/>
            <w:noProof/>
            <w:color w:val="0000FF"/>
            <w:sz w:val="24"/>
            <w:u w:val="single"/>
          </w:rPr>
          <w:t>Helpful Tips for Contacting ORCF Outside the Portal</w:t>
        </w:r>
      </w:hyperlink>
    </w:p>
    <w:p w14:paraId="39ECAE0E" w14:textId="77777777" w:rsidR="00A86E85" w:rsidRPr="00A86E85" w:rsidRDefault="00A86E85" w:rsidP="00A86E85">
      <w:pPr>
        <w:tabs>
          <w:tab w:val="right" w:leader="dot" w:pos="9350"/>
        </w:tabs>
        <w:spacing w:after="0" w:line="240" w:lineRule="auto"/>
        <w:ind w:left="270" w:hanging="270"/>
        <w:rPr>
          <w:rFonts w:ascii="Calibri" w:eastAsia="Times New Roman" w:hAnsi="Calibri" w:cs="Times New Roman"/>
          <w:noProof/>
        </w:rPr>
      </w:pPr>
      <w:hyperlink w:anchor="_Toc532304975" w:history="1">
        <w:r w:rsidRPr="00A86E85">
          <w:rPr>
            <w:rFonts w:ascii="Verdana" w:eastAsia="Calibri" w:hAnsi="Verdana" w:cs="Times New Roman"/>
            <w:noProof/>
            <w:color w:val="0000FF"/>
            <w:sz w:val="24"/>
            <w:u w:val="single"/>
          </w:rPr>
          <w:t>Section 106 Historic Preservation Reviews in the State of Minnesota</w:t>
        </w:r>
      </w:hyperlink>
    </w:p>
    <w:p w14:paraId="47DE2BEC" w14:textId="77777777" w:rsidR="00A86E85" w:rsidRPr="00A86E85" w:rsidRDefault="00A86E85" w:rsidP="00A86E85">
      <w:pPr>
        <w:tabs>
          <w:tab w:val="right" w:leader="dot" w:pos="9350"/>
        </w:tabs>
        <w:spacing w:after="0" w:line="240" w:lineRule="auto"/>
        <w:ind w:left="270" w:hanging="270"/>
        <w:rPr>
          <w:rFonts w:ascii="Calibri" w:eastAsia="Times New Roman" w:hAnsi="Calibri" w:cs="Times New Roman"/>
          <w:noProof/>
        </w:rPr>
      </w:pPr>
      <w:hyperlink w:anchor="_Toc532304976" w:history="1">
        <w:r w:rsidRPr="00A86E85">
          <w:rPr>
            <w:rFonts w:ascii="Verdana" w:eastAsia="Calibri" w:hAnsi="Verdana" w:cs="Times New Roman"/>
            <w:noProof/>
            <w:color w:val="0000FF"/>
            <w:sz w:val="24"/>
            <w:u w:val="single"/>
          </w:rPr>
          <w:t>FROM THE CLOSING CORNER</w:t>
        </w:r>
      </w:hyperlink>
    </w:p>
    <w:p w14:paraId="3147D899" w14:textId="77777777" w:rsidR="00A86E85" w:rsidRPr="00A86E85" w:rsidRDefault="00A86E85" w:rsidP="00A86E85">
      <w:pPr>
        <w:tabs>
          <w:tab w:val="right" w:leader="dot" w:pos="9350"/>
        </w:tabs>
        <w:spacing w:after="0" w:line="240" w:lineRule="auto"/>
        <w:ind w:left="270"/>
        <w:rPr>
          <w:rFonts w:ascii="Calibri" w:eastAsia="Times New Roman" w:hAnsi="Calibri" w:cs="Times New Roman"/>
          <w:noProof/>
        </w:rPr>
      </w:pPr>
      <w:hyperlink w:anchor="_Toc532304977" w:history="1">
        <w:r w:rsidRPr="00A86E85">
          <w:rPr>
            <w:rFonts w:ascii="Verdana" w:eastAsia="Calibri" w:hAnsi="Verdana" w:cs="Times New Roman"/>
            <w:noProof/>
            <w:color w:val="0000FF"/>
            <w:sz w:val="24"/>
            <w:u w:val="single"/>
          </w:rPr>
          <w:t>Clarification on Completion of Critical and Non-Critical Repairs Prior to Closing</w:t>
        </w:r>
      </w:hyperlink>
    </w:p>
    <w:p w14:paraId="2C4D3395" w14:textId="77777777" w:rsidR="00A86E85" w:rsidRPr="00A86E85" w:rsidRDefault="00A86E85" w:rsidP="00A86E85">
      <w:pPr>
        <w:tabs>
          <w:tab w:val="right" w:leader="dot" w:pos="9350"/>
        </w:tabs>
        <w:spacing w:after="0" w:line="240" w:lineRule="auto"/>
        <w:ind w:left="270" w:hanging="270"/>
        <w:rPr>
          <w:rFonts w:ascii="Calibri" w:eastAsia="Times New Roman" w:hAnsi="Calibri" w:cs="Times New Roman"/>
          <w:noProof/>
        </w:rPr>
      </w:pPr>
      <w:hyperlink w:anchor="_Toc532304978" w:history="1">
        <w:r w:rsidRPr="00A86E85">
          <w:rPr>
            <w:rFonts w:ascii="Verdana" w:eastAsia="Calibri" w:hAnsi="Verdana" w:cs="Times New Roman"/>
            <w:noProof/>
            <w:color w:val="0000FF"/>
            <w:sz w:val="24"/>
            <w:u w:val="single"/>
          </w:rPr>
          <w:t>Document Links Included In This Blast</w:t>
        </w:r>
      </w:hyperlink>
    </w:p>
    <w:p w14:paraId="28C0B857" w14:textId="77777777" w:rsidR="00A86E85" w:rsidRPr="00A86E85" w:rsidRDefault="00A86E85" w:rsidP="00A86E85">
      <w:pPr>
        <w:spacing w:after="0" w:line="240" w:lineRule="auto"/>
        <w:rPr>
          <w:rFonts w:ascii="Verdana" w:eastAsia="Calibri" w:hAnsi="Verdana" w:cs="Times New Roman"/>
          <w:sz w:val="24"/>
        </w:rPr>
      </w:pPr>
      <w:r w:rsidRPr="00A86E85">
        <w:rPr>
          <w:rFonts w:ascii="Verdana" w:eastAsia="Calibri" w:hAnsi="Verdana" w:cs="Times New Roman"/>
          <w:i/>
          <w:sz w:val="24"/>
        </w:rPr>
        <w:fldChar w:fldCharType="end"/>
      </w:r>
    </w:p>
    <w:p w14:paraId="046CB9F3" w14:textId="77777777" w:rsidR="00A86E85" w:rsidRPr="00A86E85" w:rsidRDefault="00A86E85" w:rsidP="00A86E85">
      <w:pPr>
        <w:spacing w:after="0" w:line="240" w:lineRule="auto"/>
        <w:jc w:val="center"/>
        <w:rPr>
          <w:rFonts w:ascii="Verdana" w:eastAsia="Calibri" w:hAnsi="Verdana" w:cs="Times New Roman"/>
          <w:sz w:val="24"/>
        </w:rPr>
      </w:pPr>
      <w:r w:rsidRPr="00A86E85">
        <w:rPr>
          <w:rFonts w:ascii="Verdana" w:eastAsia="Calibri" w:hAnsi="Verdana" w:cs="Times New Roman"/>
          <w:noProof/>
          <w:color w:val="1F497D"/>
        </w:rPr>
        <w:drawing>
          <wp:inline distT="0" distB="0" distL="0" distR="0" wp14:anchorId="181257E4" wp14:editId="12C283CC">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5A2658AC" w14:textId="77777777" w:rsidR="00A86E85" w:rsidRPr="00A86E85" w:rsidRDefault="00A86E85" w:rsidP="00A86E85">
      <w:pPr>
        <w:spacing w:after="0" w:line="240" w:lineRule="auto"/>
        <w:rPr>
          <w:rFonts w:ascii="Verdana" w:eastAsia="Calibri" w:hAnsi="Verdana" w:cs="Times New Roman"/>
          <w:color w:val="000000"/>
          <w:sz w:val="24"/>
        </w:rPr>
      </w:pPr>
      <w:bookmarkStart w:id="2" w:name="_Toc380585836"/>
      <w:bookmarkEnd w:id="2"/>
    </w:p>
    <w:p w14:paraId="0C249D92" w14:textId="77777777" w:rsidR="00A86E85" w:rsidRPr="00A86E85" w:rsidRDefault="00A86E85" w:rsidP="00A86E85">
      <w:pPr>
        <w:spacing w:after="120" w:line="240" w:lineRule="auto"/>
        <w:outlineLvl w:val="0"/>
        <w:rPr>
          <w:rFonts w:ascii="Verdana" w:eastAsia="Calibri" w:hAnsi="Verdana" w:cs="Times New Roman"/>
          <w:b/>
          <w:bCs/>
          <w:caps/>
          <w:sz w:val="28"/>
          <w:szCs w:val="32"/>
          <w:u w:val="single"/>
        </w:rPr>
      </w:pPr>
      <w:bookmarkStart w:id="3" w:name="_Toc532304972"/>
      <w:r w:rsidRPr="00A86E85">
        <w:rPr>
          <w:rFonts w:ascii="Verdana" w:eastAsia="Calibri" w:hAnsi="Verdana" w:cs="Times New Roman"/>
          <w:b/>
          <w:bCs/>
          <w:caps/>
          <w:sz w:val="28"/>
          <w:szCs w:val="32"/>
          <w:u w:val="single"/>
        </w:rPr>
        <w:t>Addressing Quality of Care Issues in Application</w:t>
      </w:r>
      <w:bookmarkEnd w:id="3"/>
    </w:p>
    <w:p w14:paraId="73BDB0C5" w14:textId="77777777" w:rsidR="00A86E85" w:rsidRPr="00A86E85" w:rsidRDefault="00A86E85" w:rsidP="00A86E85">
      <w:pPr>
        <w:spacing w:after="0" w:line="240" w:lineRule="auto"/>
        <w:rPr>
          <w:rFonts w:ascii="Verdana" w:eastAsia="Calibri" w:hAnsi="Verdana" w:cs="Times New Roman"/>
          <w:sz w:val="24"/>
        </w:rPr>
      </w:pPr>
      <w:r w:rsidRPr="00A86E85">
        <w:rPr>
          <w:rFonts w:ascii="Verdana" w:eastAsia="Calibri" w:hAnsi="Verdana" w:cs="Times New Roman"/>
          <w:sz w:val="24"/>
        </w:rPr>
        <w:t>Quality of care issues are of paramount importance during underwriting review, as the Lender Narrative template makes clear.  In that regard, when data suggests quality of care concerns, ORCF expects the lender to provide detailed explanation about those matters in the Lender Narrative.  Examples are situations when:</w:t>
      </w:r>
    </w:p>
    <w:p w14:paraId="4F336163" w14:textId="77777777" w:rsidR="00A86E85" w:rsidRPr="00A86E85" w:rsidRDefault="00A86E85" w:rsidP="00A86E85">
      <w:pPr>
        <w:spacing w:after="0" w:line="240" w:lineRule="auto"/>
        <w:rPr>
          <w:rFonts w:ascii="Verdana" w:eastAsia="Calibri" w:hAnsi="Verdana" w:cs="Times New Roman"/>
          <w:sz w:val="24"/>
        </w:rPr>
      </w:pPr>
    </w:p>
    <w:p w14:paraId="012BFB7E" w14:textId="77777777" w:rsidR="00A86E85" w:rsidRPr="00A86E85" w:rsidRDefault="00A86E85" w:rsidP="00A86E85">
      <w:pPr>
        <w:numPr>
          <w:ilvl w:val="0"/>
          <w:numId w:val="4"/>
        </w:numPr>
        <w:spacing w:after="0" w:line="240" w:lineRule="auto"/>
        <w:rPr>
          <w:rFonts w:ascii="Verdana" w:eastAsia="Calibri" w:hAnsi="Verdana" w:cs="Times New Roman"/>
          <w:sz w:val="24"/>
          <w:szCs w:val="24"/>
        </w:rPr>
      </w:pPr>
      <w:r w:rsidRPr="00A86E85">
        <w:rPr>
          <w:rFonts w:ascii="Verdana" w:eastAsia="Calibri" w:hAnsi="Verdana" w:cs="Times New Roman"/>
          <w:sz w:val="24"/>
          <w:szCs w:val="24"/>
        </w:rPr>
        <w:t>There is a 1 Star CMS rating for overall or health inspections,</w:t>
      </w:r>
    </w:p>
    <w:p w14:paraId="0F5BD32A" w14:textId="77777777" w:rsidR="00A86E85" w:rsidRPr="00A86E85" w:rsidRDefault="00A86E85" w:rsidP="00A86E85">
      <w:pPr>
        <w:numPr>
          <w:ilvl w:val="0"/>
          <w:numId w:val="4"/>
        </w:numPr>
        <w:spacing w:after="0" w:line="240" w:lineRule="auto"/>
        <w:rPr>
          <w:rFonts w:ascii="Verdana" w:eastAsia="Calibri" w:hAnsi="Verdana" w:cs="Times New Roman"/>
          <w:sz w:val="24"/>
          <w:szCs w:val="24"/>
        </w:rPr>
      </w:pPr>
      <w:r w:rsidRPr="00A86E85">
        <w:rPr>
          <w:rFonts w:ascii="Verdana" w:eastAsia="Calibri" w:hAnsi="Verdana" w:cs="Times New Roman"/>
          <w:sz w:val="24"/>
          <w:szCs w:val="24"/>
        </w:rPr>
        <w:t xml:space="preserve">There have been “G” or Higher survey tags in the past year, or </w:t>
      </w:r>
    </w:p>
    <w:p w14:paraId="50C0A330" w14:textId="77777777" w:rsidR="00A86E85" w:rsidRPr="00A86E85" w:rsidRDefault="00A86E85" w:rsidP="00A86E85">
      <w:pPr>
        <w:numPr>
          <w:ilvl w:val="0"/>
          <w:numId w:val="4"/>
        </w:numPr>
        <w:spacing w:after="0" w:line="240" w:lineRule="auto"/>
        <w:rPr>
          <w:rFonts w:ascii="Verdana" w:eastAsia="Calibri" w:hAnsi="Verdana" w:cs="Times New Roman"/>
          <w:sz w:val="24"/>
          <w:szCs w:val="24"/>
        </w:rPr>
      </w:pPr>
      <w:r w:rsidRPr="00A86E85">
        <w:rPr>
          <w:rFonts w:ascii="Verdana" w:eastAsia="Calibri" w:hAnsi="Verdana" w:cs="Times New Roman"/>
          <w:sz w:val="24"/>
          <w:szCs w:val="24"/>
        </w:rPr>
        <w:t>There have been other care related issues.</w:t>
      </w:r>
    </w:p>
    <w:p w14:paraId="09413EDF" w14:textId="77777777" w:rsidR="00A86E85" w:rsidRPr="00A86E85" w:rsidRDefault="00A86E85" w:rsidP="00A86E85">
      <w:pPr>
        <w:spacing w:after="0" w:line="240" w:lineRule="auto"/>
        <w:rPr>
          <w:rFonts w:ascii="Verdana" w:eastAsia="Calibri" w:hAnsi="Verdana" w:cs="Times New Roman"/>
          <w:sz w:val="24"/>
        </w:rPr>
      </w:pPr>
    </w:p>
    <w:p w14:paraId="2715A550" w14:textId="77777777" w:rsidR="00A86E85" w:rsidRPr="00A86E85" w:rsidRDefault="00A86E85" w:rsidP="00A86E85">
      <w:pPr>
        <w:spacing w:after="0" w:line="240" w:lineRule="auto"/>
        <w:rPr>
          <w:rFonts w:ascii="Verdana" w:eastAsia="Calibri" w:hAnsi="Verdana" w:cs="Times New Roman"/>
          <w:sz w:val="24"/>
        </w:rPr>
      </w:pPr>
      <w:r w:rsidRPr="00A86E85">
        <w:rPr>
          <w:rFonts w:ascii="Verdana" w:eastAsia="Calibri" w:hAnsi="Verdana" w:cs="Times New Roman"/>
          <w:sz w:val="24"/>
        </w:rPr>
        <w:t>When these quality of care issues are present, the lender should address these issues by providing details, including the following information:</w:t>
      </w:r>
    </w:p>
    <w:p w14:paraId="0473BFAA" w14:textId="77777777" w:rsidR="00A86E85" w:rsidRPr="00A86E85" w:rsidRDefault="00A86E85" w:rsidP="00A86E85">
      <w:pPr>
        <w:spacing w:after="0" w:line="240" w:lineRule="auto"/>
        <w:rPr>
          <w:rFonts w:ascii="Verdana" w:eastAsia="Calibri" w:hAnsi="Verdana" w:cs="Times New Roman"/>
          <w:sz w:val="24"/>
        </w:rPr>
      </w:pPr>
    </w:p>
    <w:p w14:paraId="678C88D0" w14:textId="77777777" w:rsidR="00A86E85" w:rsidRPr="00A86E85" w:rsidRDefault="00A86E85" w:rsidP="00A86E85">
      <w:pPr>
        <w:numPr>
          <w:ilvl w:val="0"/>
          <w:numId w:val="1"/>
        </w:numPr>
        <w:spacing w:after="0" w:line="240" w:lineRule="auto"/>
        <w:rPr>
          <w:rFonts w:ascii="Verdana" w:eastAsia="Times New Roman" w:hAnsi="Verdana" w:cs="Times New Roman"/>
          <w:sz w:val="24"/>
          <w:szCs w:val="24"/>
        </w:rPr>
      </w:pPr>
      <w:r w:rsidRPr="00A86E85">
        <w:rPr>
          <w:rFonts w:ascii="Verdana" w:eastAsia="Times New Roman" w:hAnsi="Verdana" w:cs="Times New Roman"/>
          <w:sz w:val="24"/>
          <w:szCs w:val="24"/>
        </w:rPr>
        <w:t xml:space="preserve">What specific steps has the operator taken to improve the overall quality of care.  This should address the specific survey tags, </w:t>
      </w:r>
      <w:proofErr w:type="gramStart"/>
      <w:r w:rsidRPr="00A86E85">
        <w:rPr>
          <w:rFonts w:ascii="Verdana" w:eastAsia="Times New Roman" w:hAnsi="Verdana" w:cs="Times New Roman"/>
          <w:sz w:val="24"/>
          <w:szCs w:val="24"/>
        </w:rPr>
        <w:t>and also</w:t>
      </w:r>
      <w:proofErr w:type="gramEnd"/>
      <w:r w:rsidRPr="00A86E85">
        <w:rPr>
          <w:rFonts w:ascii="Verdana" w:eastAsia="Times New Roman" w:hAnsi="Verdana" w:cs="Times New Roman"/>
          <w:sz w:val="24"/>
          <w:szCs w:val="24"/>
        </w:rPr>
        <w:t xml:space="preserve"> quality of care in general.</w:t>
      </w:r>
    </w:p>
    <w:p w14:paraId="15698C46" w14:textId="77777777" w:rsidR="00A86E85" w:rsidRPr="00A86E85" w:rsidRDefault="00A86E85" w:rsidP="00A86E85">
      <w:pPr>
        <w:numPr>
          <w:ilvl w:val="0"/>
          <w:numId w:val="1"/>
        </w:numPr>
        <w:spacing w:after="0" w:line="240" w:lineRule="auto"/>
        <w:rPr>
          <w:rFonts w:ascii="Verdana" w:eastAsia="Times New Roman" w:hAnsi="Verdana" w:cs="Times New Roman"/>
          <w:sz w:val="24"/>
          <w:szCs w:val="24"/>
        </w:rPr>
      </w:pPr>
      <w:r w:rsidRPr="00A86E85">
        <w:rPr>
          <w:rFonts w:ascii="Verdana" w:eastAsia="Times New Roman" w:hAnsi="Verdana" w:cs="Times New Roman"/>
          <w:sz w:val="24"/>
          <w:szCs w:val="24"/>
        </w:rPr>
        <w:t>Evidence that these steps have led to improved care and survey results.</w:t>
      </w:r>
    </w:p>
    <w:p w14:paraId="0D3724D0" w14:textId="77777777" w:rsidR="00A86E85" w:rsidRPr="00A86E85" w:rsidRDefault="00A86E85" w:rsidP="00A86E85">
      <w:pPr>
        <w:numPr>
          <w:ilvl w:val="0"/>
          <w:numId w:val="1"/>
        </w:numPr>
        <w:spacing w:after="0" w:line="240" w:lineRule="auto"/>
        <w:rPr>
          <w:rFonts w:ascii="Verdana" w:eastAsia="Times New Roman" w:hAnsi="Verdana" w:cs="Times New Roman"/>
          <w:sz w:val="24"/>
          <w:szCs w:val="24"/>
        </w:rPr>
      </w:pPr>
      <w:r w:rsidRPr="00A86E85">
        <w:rPr>
          <w:rFonts w:ascii="Verdana" w:eastAsia="Times New Roman" w:hAnsi="Verdana" w:cs="Times New Roman"/>
          <w:sz w:val="24"/>
          <w:szCs w:val="24"/>
        </w:rPr>
        <w:t xml:space="preserve">Facility names and addresses for their other facilities, Star Ratings, an explanation of survey history at those projects and information on any Denials of Payment or Civil Money Penalties at these facilities to </w:t>
      </w:r>
      <w:r w:rsidRPr="00A86E85">
        <w:rPr>
          <w:rFonts w:ascii="Verdana" w:eastAsia="Times New Roman" w:hAnsi="Verdana" w:cs="Times New Roman"/>
          <w:sz w:val="24"/>
          <w:szCs w:val="24"/>
        </w:rPr>
        <w:lastRenderedPageBreak/>
        <w:t xml:space="preserve">provide evidence that the operator </w:t>
      </w:r>
      <w:proofErr w:type="gramStart"/>
      <w:r w:rsidRPr="00A86E85">
        <w:rPr>
          <w:rFonts w:ascii="Verdana" w:eastAsia="Times New Roman" w:hAnsi="Verdana" w:cs="Times New Roman"/>
          <w:sz w:val="24"/>
          <w:szCs w:val="24"/>
        </w:rPr>
        <w:t>is capable of providing</w:t>
      </w:r>
      <w:proofErr w:type="gramEnd"/>
      <w:r w:rsidRPr="00A86E85">
        <w:rPr>
          <w:rFonts w:ascii="Verdana" w:eastAsia="Times New Roman" w:hAnsi="Verdana" w:cs="Times New Roman"/>
          <w:sz w:val="24"/>
          <w:szCs w:val="24"/>
        </w:rPr>
        <w:t xml:space="preserve"> strong quality of care. </w:t>
      </w:r>
    </w:p>
    <w:p w14:paraId="178BE8B3" w14:textId="77777777" w:rsidR="00A86E85" w:rsidRPr="00A86E85" w:rsidRDefault="00A86E85" w:rsidP="00A86E85">
      <w:pPr>
        <w:spacing w:after="0" w:line="240" w:lineRule="auto"/>
        <w:rPr>
          <w:rFonts w:ascii="Verdana" w:eastAsia="Calibri" w:hAnsi="Verdana" w:cs="Times New Roman"/>
          <w:sz w:val="24"/>
        </w:rPr>
      </w:pPr>
    </w:p>
    <w:p w14:paraId="6D6AEA26" w14:textId="77777777" w:rsidR="00A86E85" w:rsidRPr="00A86E85" w:rsidRDefault="00A86E85" w:rsidP="00A86E85">
      <w:pPr>
        <w:spacing w:after="0" w:line="240" w:lineRule="auto"/>
        <w:rPr>
          <w:rFonts w:ascii="Verdana" w:eastAsia="Calibri" w:hAnsi="Verdana" w:cs="Times New Roman"/>
          <w:sz w:val="24"/>
        </w:rPr>
      </w:pPr>
      <w:r w:rsidRPr="00A86E85">
        <w:rPr>
          <w:rFonts w:ascii="Verdana" w:eastAsia="Calibri" w:hAnsi="Verdana" w:cs="Times New Roman"/>
          <w:sz w:val="24"/>
        </w:rPr>
        <w:t xml:space="preserve">It is not </w:t>
      </w:r>
      <w:proofErr w:type="gramStart"/>
      <w:r w:rsidRPr="00A86E85">
        <w:rPr>
          <w:rFonts w:ascii="Verdana" w:eastAsia="Calibri" w:hAnsi="Verdana" w:cs="Times New Roman"/>
          <w:sz w:val="24"/>
        </w:rPr>
        <w:t>sufficient</w:t>
      </w:r>
      <w:proofErr w:type="gramEnd"/>
      <w:r w:rsidRPr="00A86E85">
        <w:rPr>
          <w:rFonts w:ascii="Verdana" w:eastAsia="Calibri" w:hAnsi="Verdana" w:cs="Times New Roman"/>
          <w:sz w:val="24"/>
        </w:rPr>
        <w:t xml:space="preserve"> to simply add a one-time risk assessment or a third-party risk management program special condition without including the above information.</w:t>
      </w:r>
    </w:p>
    <w:p w14:paraId="39A5ACD1" w14:textId="77777777" w:rsidR="00A86E85" w:rsidRPr="00A86E85" w:rsidRDefault="00A86E85" w:rsidP="00A86E85">
      <w:pPr>
        <w:spacing w:after="0" w:line="240" w:lineRule="auto"/>
        <w:rPr>
          <w:rFonts w:ascii="Verdana" w:eastAsia="Calibri" w:hAnsi="Verdana" w:cs="Times New Roman"/>
          <w:sz w:val="24"/>
        </w:rPr>
      </w:pPr>
    </w:p>
    <w:p w14:paraId="23E38EE4" w14:textId="77777777" w:rsidR="00A86E85" w:rsidRPr="00A86E85" w:rsidRDefault="00A86E85" w:rsidP="00A86E85">
      <w:pPr>
        <w:spacing w:after="0" w:line="240" w:lineRule="auto"/>
        <w:rPr>
          <w:rFonts w:ascii="Verdana" w:eastAsia="MS Mincho" w:hAnsi="Verdana" w:cs="Times New Roman"/>
          <w:i/>
          <w:sz w:val="24"/>
          <w:szCs w:val="24"/>
        </w:rPr>
      </w:pPr>
      <w:r w:rsidRPr="00A86E85">
        <w:rPr>
          <w:rFonts w:ascii="Verdana" w:eastAsia="MS Mincho" w:hAnsi="Verdana" w:cs="Times New Roman"/>
          <w:b/>
          <w:i/>
          <w:sz w:val="24"/>
          <w:szCs w:val="24"/>
        </w:rPr>
        <w:t>Keywords:</w:t>
      </w:r>
      <w:r w:rsidRPr="00A86E85">
        <w:rPr>
          <w:rFonts w:ascii="Verdana" w:eastAsia="MS Mincho" w:hAnsi="Verdana" w:cs="Times New Roman"/>
          <w:i/>
          <w:sz w:val="24"/>
          <w:szCs w:val="24"/>
        </w:rPr>
        <w:tab/>
        <w:t>Quality of Care</w:t>
      </w:r>
    </w:p>
    <w:p w14:paraId="6BED86CF" w14:textId="77777777" w:rsidR="00A86E85" w:rsidRPr="00A86E85" w:rsidRDefault="00A86E85" w:rsidP="00A86E85">
      <w:pPr>
        <w:spacing w:after="0" w:line="240" w:lineRule="auto"/>
        <w:rPr>
          <w:rFonts w:ascii="Verdana" w:eastAsia="MS Mincho" w:hAnsi="Verdana" w:cs="Times New Roman"/>
          <w:b/>
          <w:sz w:val="24"/>
          <w:szCs w:val="24"/>
        </w:rPr>
      </w:pPr>
    </w:p>
    <w:p w14:paraId="1259A611" w14:textId="77777777" w:rsidR="00A86E85" w:rsidRPr="00A86E85" w:rsidRDefault="00A86E85" w:rsidP="00A86E85">
      <w:pPr>
        <w:spacing w:after="0" w:line="240" w:lineRule="auto"/>
        <w:rPr>
          <w:rFonts w:ascii="Verdana" w:eastAsia="Calibri" w:hAnsi="Verdana" w:cs="Times New Roman"/>
          <w:color w:val="0000FF"/>
          <w:sz w:val="24"/>
          <w:u w:val="single"/>
        </w:rPr>
      </w:pPr>
      <w:hyperlink w:anchor="_top" w:history="1">
        <w:r w:rsidRPr="00A86E85">
          <w:rPr>
            <w:rFonts w:ascii="Verdana" w:eastAsia="Calibri" w:hAnsi="Verdana" w:cs="Times New Roman"/>
            <w:color w:val="0000FF"/>
            <w:sz w:val="24"/>
            <w:u w:val="single"/>
          </w:rPr>
          <w:t>Back to top</w:t>
        </w:r>
      </w:hyperlink>
    </w:p>
    <w:p w14:paraId="14449F30" w14:textId="77777777" w:rsidR="00A86E85" w:rsidRPr="00A86E85" w:rsidRDefault="00A86E85" w:rsidP="00A86E85">
      <w:pPr>
        <w:spacing w:after="0" w:line="240" w:lineRule="auto"/>
        <w:rPr>
          <w:rFonts w:ascii="Verdana" w:eastAsia="Calibri" w:hAnsi="Verdana" w:cs="Times New Roman"/>
          <w:sz w:val="24"/>
        </w:rPr>
      </w:pPr>
    </w:p>
    <w:p w14:paraId="279BB314" w14:textId="77777777" w:rsidR="00A86E85" w:rsidRPr="00A86E85" w:rsidRDefault="00A86E85" w:rsidP="00A86E85">
      <w:pPr>
        <w:spacing w:after="120" w:line="240" w:lineRule="auto"/>
        <w:outlineLvl w:val="0"/>
        <w:rPr>
          <w:rFonts w:ascii="Verdana" w:eastAsia="Calibri" w:hAnsi="Verdana" w:cs="Times New Roman"/>
          <w:b/>
          <w:bCs/>
          <w:caps/>
          <w:sz w:val="28"/>
          <w:szCs w:val="32"/>
          <w:u w:val="single"/>
        </w:rPr>
      </w:pPr>
      <w:bookmarkStart w:id="4" w:name="_Toc532304973"/>
      <w:r w:rsidRPr="00A86E85">
        <w:rPr>
          <w:rFonts w:ascii="Verdana" w:eastAsia="Calibri" w:hAnsi="Verdana" w:cs="Times New Roman"/>
          <w:b/>
          <w:bCs/>
          <w:caps/>
          <w:sz w:val="28"/>
          <w:szCs w:val="32"/>
          <w:u w:val="single"/>
        </w:rPr>
        <w:t>Professional Liability Insurance (PLI) and Valuation</w:t>
      </w:r>
      <w:bookmarkEnd w:id="4"/>
    </w:p>
    <w:p w14:paraId="1B31DA6A" w14:textId="77777777" w:rsidR="00A86E85" w:rsidRPr="00A86E85" w:rsidRDefault="00A86E85" w:rsidP="00A86E85">
      <w:pPr>
        <w:spacing w:after="0" w:line="240" w:lineRule="auto"/>
        <w:rPr>
          <w:rFonts w:ascii="Verdana" w:eastAsia="Calibri" w:hAnsi="Verdana" w:cs="Times New Roman"/>
          <w:sz w:val="24"/>
          <w:szCs w:val="24"/>
        </w:rPr>
      </w:pPr>
      <w:r w:rsidRPr="00A86E85">
        <w:rPr>
          <w:rFonts w:ascii="Verdana" w:eastAsia="Calibri" w:hAnsi="Verdana" w:cs="Times New Roman"/>
          <w:sz w:val="24"/>
          <w:szCs w:val="24"/>
        </w:rPr>
        <w:t>In developing a market value for loan sizing, Handbook 4232.1, Section II, Chapter 5.3.D states that the appraisal should “mimic the processes of the market and estimate the most probable sales price of the going-concern.”  The Advisory Note in Chapter 5.3.R also states that “Revenue and expenses should always be estimated based on market expectations as a stand-alone facility of that particular asset type and class”.  When estimating the expense of Professional Liability Insurance, please do not simply select an average market expense for an average user.  The rate going forward to any owner is dependent on the actual history of claims, as well as the care/star rating.  Therefore, the going-concern of a low rated property with a history of high claim rates would have a higher conclusion for market PLI expense than a highly rated property with a low rate of claims.  ORCF implements this guidance to portfolios on a property by property basis, rather than applying the same PLI expense per bed across the entire portfolio.</w:t>
      </w:r>
    </w:p>
    <w:p w14:paraId="6294C74F" w14:textId="77777777" w:rsidR="00A86E85" w:rsidRPr="00A86E85" w:rsidRDefault="00A86E85" w:rsidP="00A86E85">
      <w:pPr>
        <w:autoSpaceDE w:val="0"/>
        <w:autoSpaceDN w:val="0"/>
        <w:spacing w:after="0" w:line="240" w:lineRule="auto"/>
        <w:rPr>
          <w:rFonts w:ascii="Verdana" w:eastAsia="Calibri" w:hAnsi="Verdana" w:cs="Times New Roman"/>
          <w:sz w:val="24"/>
          <w:szCs w:val="24"/>
        </w:rPr>
      </w:pPr>
    </w:p>
    <w:p w14:paraId="00AF0163" w14:textId="77777777" w:rsidR="00A86E85" w:rsidRPr="00A86E85" w:rsidRDefault="00A86E85" w:rsidP="00A86E85">
      <w:pPr>
        <w:spacing w:after="0" w:line="240" w:lineRule="auto"/>
        <w:rPr>
          <w:rFonts w:ascii="Verdana" w:eastAsia="MS Mincho" w:hAnsi="Verdana" w:cs="Times New Roman"/>
          <w:i/>
          <w:sz w:val="24"/>
          <w:szCs w:val="24"/>
        </w:rPr>
      </w:pPr>
      <w:r w:rsidRPr="00A86E85">
        <w:rPr>
          <w:rFonts w:ascii="Verdana" w:eastAsia="MS Mincho" w:hAnsi="Verdana" w:cs="Times New Roman"/>
          <w:b/>
          <w:i/>
          <w:sz w:val="24"/>
          <w:szCs w:val="24"/>
        </w:rPr>
        <w:t>Keywords:</w:t>
      </w:r>
      <w:r w:rsidRPr="00A86E85">
        <w:rPr>
          <w:rFonts w:ascii="Verdana" w:eastAsia="MS Mincho" w:hAnsi="Verdana" w:cs="Times New Roman"/>
          <w:i/>
          <w:sz w:val="24"/>
          <w:szCs w:val="24"/>
        </w:rPr>
        <w:tab/>
        <w:t>Professional Liability Insurance, Expense, Market Value</w:t>
      </w:r>
    </w:p>
    <w:p w14:paraId="54D4E4B7" w14:textId="77777777" w:rsidR="00A86E85" w:rsidRPr="00A86E85" w:rsidRDefault="00A86E85" w:rsidP="00A86E85">
      <w:pPr>
        <w:spacing w:after="0" w:line="240" w:lineRule="auto"/>
        <w:rPr>
          <w:rFonts w:ascii="Verdana" w:eastAsia="MS Mincho" w:hAnsi="Verdana" w:cs="Times New Roman"/>
          <w:b/>
          <w:sz w:val="24"/>
          <w:szCs w:val="24"/>
        </w:rPr>
      </w:pPr>
    </w:p>
    <w:p w14:paraId="065731B4" w14:textId="77777777" w:rsidR="00A86E85" w:rsidRPr="00A86E85" w:rsidRDefault="00A86E85" w:rsidP="00A86E85">
      <w:pPr>
        <w:spacing w:after="0" w:line="240" w:lineRule="auto"/>
        <w:rPr>
          <w:rFonts w:ascii="Verdana" w:eastAsia="Calibri" w:hAnsi="Verdana" w:cs="Times New Roman"/>
          <w:color w:val="0000FF"/>
          <w:sz w:val="24"/>
          <w:u w:val="single"/>
        </w:rPr>
      </w:pPr>
      <w:hyperlink w:anchor="_top" w:history="1">
        <w:r w:rsidRPr="00A86E85">
          <w:rPr>
            <w:rFonts w:ascii="Verdana" w:eastAsia="Calibri" w:hAnsi="Verdana" w:cs="Times New Roman"/>
            <w:color w:val="0000FF"/>
            <w:sz w:val="24"/>
            <w:u w:val="single"/>
          </w:rPr>
          <w:t>Back to top</w:t>
        </w:r>
      </w:hyperlink>
    </w:p>
    <w:p w14:paraId="5A1A7093" w14:textId="77777777" w:rsidR="00A86E85" w:rsidRPr="00A86E85" w:rsidRDefault="00A86E85" w:rsidP="00A86E85">
      <w:pPr>
        <w:spacing w:after="0" w:line="240" w:lineRule="auto"/>
        <w:rPr>
          <w:rFonts w:ascii="Verdana" w:eastAsia="Calibri" w:hAnsi="Verdana" w:cs="Times New Roman"/>
          <w:sz w:val="24"/>
        </w:rPr>
      </w:pPr>
    </w:p>
    <w:p w14:paraId="435D9B5B" w14:textId="77777777" w:rsidR="00A86E85" w:rsidRPr="00A86E85" w:rsidRDefault="00A86E85" w:rsidP="00A86E85">
      <w:pPr>
        <w:spacing w:after="120" w:line="240" w:lineRule="auto"/>
        <w:outlineLvl w:val="0"/>
        <w:rPr>
          <w:rFonts w:ascii="Verdana" w:eastAsia="Calibri" w:hAnsi="Verdana" w:cs="Times New Roman"/>
          <w:b/>
          <w:bCs/>
          <w:caps/>
          <w:sz w:val="28"/>
          <w:szCs w:val="32"/>
          <w:u w:val="single"/>
        </w:rPr>
      </w:pPr>
      <w:bookmarkStart w:id="5" w:name="_Toc532304974"/>
      <w:r w:rsidRPr="00A86E85">
        <w:rPr>
          <w:rFonts w:ascii="Verdana" w:eastAsia="Calibri" w:hAnsi="Verdana" w:cs="Times New Roman"/>
          <w:b/>
          <w:bCs/>
          <w:caps/>
          <w:sz w:val="28"/>
          <w:szCs w:val="32"/>
          <w:u w:val="single"/>
        </w:rPr>
        <w:t>Helpful Tips for Contacting ORCF Outside the Portal</w:t>
      </w:r>
      <w:bookmarkEnd w:id="5"/>
    </w:p>
    <w:p w14:paraId="791DD7BC" w14:textId="77777777" w:rsidR="00A86E85" w:rsidRPr="00A86E85" w:rsidRDefault="00A86E85" w:rsidP="00A86E85">
      <w:pPr>
        <w:spacing w:after="0" w:line="240" w:lineRule="auto"/>
        <w:rPr>
          <w:rFonts w:ascii="Verdana" w:eastAsia="Calibri" w:hAnsi="Verdana" w:cs="Times New Roman"/>
          <w:sz w:val="24"/>
        </w:rPr>
      </w:pPr>
      <w:r w:rsidRPr="00A86E85">
        <w:rPr>
          <w:rFonts w:ascii="Verdana" w:eastAsia="Calibri" w:hAnsi="Verdana" w:cs="Times New Roman"/>
          <w:sz w:val="24"/>
        </w:rPr>
        <w:t>While most ORCF transactions can and should now be completed using the 232 Healthcare Portal</w:t>
      </w:r>
      <w:r w:rsidRPr="00A86E85">
        <w:rPr>
          <w:rFonts w:ascii="Verdana" w:eastAsia="Calibri" w:hAnsi="Verdana" w:cs="Times New Roman"/>
          <w:sz w:val="24"/>
          <w:szCs w:val="24"/>
        </w:rPr>
        <w:t xml:space="preserve"> (</w:t>
      </w:r>
      <w:hyperlink r:id="rId6" w:history="1">
        <w:r w:rsidRPr="00A86E85">
          <w:rPr>
            <w:rFonts w:ascii="Verdana" w:eastAsia="Calibri" w:hAnsi="Verdana" w:cs="Times New Roman"/>
            <w:color w:val="0000FF"/>
            <w:sz w:val="24"/>
            <w:szCs w:val="24"/>
            <w:u w:val="single"/>
          </w:rPr>
          <w:t>here</w:t>
        </w:r>
      </w:hyperlink>
      <w:r w:rsidRPr="00A86E85">
        <w:rPr>
          <w:rFonts w:ascii="Verdana" w:eastAsia="Calibri" w:hAnsi="Verdana" w:cs="Times New Roman"/>
          <w:sz w:val="24"/>
          <w:szCs w:val="24"/>
        </w:rPr>
        <w:t xml:space="preserve">), </w:t>
      </w:r>
      <w:r w:rsidRPr="00A86E85">
        <w:rPr>
          <w:rFonts w:ascii="Verdana" w:eastAsia="Calibri" w:hAnsi="Verdana" w:cs="Times New Roman"/>
          <w:sz w:val="24"/>
        </w:rPr>
        <w:t>we recognize that there are some times when additional assistance is needed. Please see the chart below for additional resources:</w:t>
      </w:r>
    </w:p>
    <w:p w14:paraId="08EA33CC" w14:textId="77777777" w:rsidR="00A86E85" w:rsidRPr="00A86E85" w:rsidRDefault="00A86E85" w:rsidP="00A86E85">
      <w:pPr>
        <w:spacing w:after="0" w:line="240" w:lineRule="auto"/>
        <w:rPr>
          <w:rFonts w:ascii="Verdana" w:eastAsia="Calibri" w:hAnsi="Verdana" w:cs="Times New Roman"/>
          <w:color w:val="0000FF"/>
          <w:sz w:val="24"/>
          <w:szCs w:val="24"/>
        </w:rPr>
      </w:pPr>
    </w:p>
    <w:tbl>
      <w:tblPr>
        <w:tblW w:w="0" w:type="auto"/>
        <w:tblCellMar>
          <w:left w:w="0" w:type="dxa"/>
          <w:right w:w="0" w:type="dxa"/>
        </w:tblCellMar>
        <w:tblLook w:val="04A0" w:firstRow="1" w:lastRow="0" w:firstColumn="1" w:lastColumn="0" w:noHBand="0" w:noVBand="1"/>
      </w:tblPr>
      <w:tblGrid>
        <w:gridCol w:w="4551"/>
        <w:gridCol w:w="3117"/>
      </w:tblGrid>
      <w:tr w:rsidR="00A86E85" w:rsidRPr="00A86E85" w14:paraId="62B36A1C" w14:textId="77777777" w:rsidTr="00B96AB9">
        <w:tc>
          <w:tcPr>
            <w:tcW w:w="4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D1CD30" w14:textId="77777777" w:rsidR="00A86E85" w:rsidRPr="00A86E85" w:rsidRDefault="00A86E85" w:rsidP="00A86E85">
            <w:pPr>
              <w:spacing w:after="0" w:line="240" w:lineRule="auto"/>
              <w:rPr>
                <w:rFonts w:ascii="Verdana" w:eastAsia="Calibri" w:hAnsi="Verdana" w:cs="Calibri"/>
              </w:rPr>
            </w:pPr>
            <w:r w:rsidRPr="00A86E85">
              <w:rPr>
                <w:rFonts w:ascii="Verdana" w:eastAsia="Calibri" w:hAnsi="Verdana" w:cs="Times New Roman"/>
                <w:sz w:val="24"/>
              </w:rPr>
              <w:t xml:space="preserve">Account Executive Facility Assignments Contact Listing </w:t>
            </w:r>
          </w:p>
          <w:p w14:paraId="5AB96721" w14:textId="77777777" w:rsidR="00A86E85" w:rsidRPr="00A86E85" w:rsidRDefault="00A86E85" w:rsidP="00A86E85">
            <w:pPr>
              <w:spacing w:after="0" w:line="240" w:lineRule="auto"/>
              <w:rPr>
                <w:rFonts w:ascii="Verdana" w:eastAsia="Calibri" w:hAnsi="Verdana" w:cs="Times New Roman"/>
                <w:sz w:val="24"/>
              </w:rPr>
            </w:pPr>
            <w:hyperlink r:id="rId7" w:history="1">
              <w:r w:rsidRPr="00A86E85">
                <w:rPr>
                  <w:rFonts w:ascii="Verdana" w:eastAsia="Calibri" w:hAnsi="Verdana" w:cs="Times New Roman"/>
                  <w:color w:val="0000FF"/>
                  <w:sz w:val="24"/>
                  <w:u w:val="single"/>
                </w:rPr>
                <w:t>here</w:t>
              </w:r>
            </w:hyperlink>
          </w:p>
          <w:p w14:paraId="15B63BC7" w14:textId="77777777" w:rsidR="00A86E85" w:rsidRPr="00A86E85" w:rsidRDefault="00A86E85" w:rsidP="00A86E85">
            <w:pPr>
              <w:spacing w:after="0" w:line="240" w:lineRule="auto"/>
              <w:rPr>
                <w:rFonts w:ascii="Verdana" w:eastAsia="Calibri" w:hAnsi="Verdana" w:cs="Times New Roman"/>
                <w:sz w:val="24"/>
              </w:rPr>
            </w:pP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1FEC28" w14:textId="77777777" w:rsidR="00A86E85" w:rsidRPr="00A86E85" w:rsidRDefault="00A86E85" w:rsidP="00A86E85">
            <w:pPr>
              <w:spacing w:after="0" w:line="240" w:lineRule="auto"/>
              <w:rPr>
                <w:rFonts w:ascii="Verdana" w:eastAsia="Calibri" w:hAnsi="Verdana" w:cs="Times New Roman"/>
                <w:sz w:val="24"/>
              </w:rPr>
            </w:pPr>
            <w:r w:rsidRPr="00A86E85">
              <w:rPr>
                <w:rFonts w:ascii="Verdana" w:eastAsia="Calibri" w:hAnsi="Verdana" w:cs="Times New Roman"/>
                <w:sz w:val="24"/>
              </w:rPr>
              <w:lastRenderedPageBreak/>
              <w:t xml:space="preserve">To find the assigned Account Executive for </w:t>
            </w:r>
            <w:r w:rsidRPr="00A86E85">
              <w:rPr>
                <w:rFonts w:ascii="Verdana" w:eastAsia="Calibri" w:hAnsi="Verdana" w:cs="Times New Roman"/>
                <w:sz w:val="24"/>
              </w:rPr>
              <w:lastRenderedPageBreak/>
              <w:t>projects under management</w:t>
            </w:r>
          </w:p>
        </w:tc>
      </w:tr>
      <w:tr w:rsidR="00A86E85" w:rsidRPr="00A86E85" w14:paraId="14D8ADB9" w14:textId="77777777" w:rsidTr="00B96AB9">
        <w:tc>
          <w:tcPr>
            <w:tcW w:w="45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FA9B20" w14:textId="77777777" w:rsidR="00A86E85" w:rsidRPr="00A86E85" w:rsidRDefault="00A86E85" w:rsidP="00A86E85">
            <w:pPr>
              <w:spacing w:after="0" w:line="240" w:lineRule="auto"/>
              <w:rPr>
                <w:rFonts w:ascii="Verdana" w:eastAsia="Calibri" w:hAnsi="Verdana" w:cs="Times New Roman"/>
                <w:sz w:val="24"/>
              </w:rPr>
            </w:pPr>
            <w:hyperlink r:id="rId8" w:history="1">
              <w:r w:rsidRPr="00A86E85">
                <w:rPr>
                  <w:rFonts w:ascii="Verdana" w:eastAsia="Calibri" w:hAnsi="Verdana" w:cs="Times New Roman"/>
                  <w:color w:val="0000FF"/>
                  <w:sz w:val="24"/>
                  <w:u w:val="single"/>
                </w:rPr>
                <w:t>HHCP@hud.gov</w:t>
              </w:r>
            </w:hyperlink>
          </w:p>
          <w:p w14:paraId="041DE422" w14:textId="77777777" w:rsidR="00A86E85" w:rsidRPr="00A86E85" w:rsidRDefault="00A86E85" w:rsidP="00A86E85">
            <w:pPr>
              <w:spacing w:after="0" w:line="240" w:lineRule="auto"/>
              <w:rPr>
                <w:rFonts w:ascii="Verdana" w:eastAsia="Calibri" w:hAnsi="Verdana" w:cs="Times New Roman"/>
                <w:sz w:val="24"/>
              </w:rPr>
            </w:pPr>
          </w:p>
          <w:p w14:paraId="09C5A719" w14:textId="77777777" w:rsidR="00A86E85" w:rsidRPr="00A86E85" w:rsidRDefault="00A86E85" w:rsidP="00A86E85">
            <w:pPr>
              <w:spacing w:after="0" w:line="240" w:lineRule="auto"/>
              <w:rPr>
                <w:rFonts w:ascii="Verdana" w:eastAsia="Calibri" w:hAnsi="Verdana" w:cs="Times New Roman"/>
                <w:sz w:val="24"/>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EA82D24" w14:textId="77777777" w:rsidR="00A86E85" w:rsidRPr="00A86E85" w:rsidRDefault="00A86E85" w:rsidP="00A86E85">
            <w:pPr>
              <w:spacing w:after="0" w:line="240" w:lineRule="auto"/>
              <w:rPr>
                <w:rFonts w:ascii="Verdana" w:eastAsia="Calibri" w:hAnsi="Verdana" w:cs="Times New Roman"/>
                <w:sz w:val="24"/>
              </w:rPr>
            </w:pPr>
            <w:r w:rsidRPr="00A86E85">
              <w:rPr>
                <w:rFonts w:ascii="Verdana" w:eastAsia="Calibri" w:hAnsi="Verdana" w:cs="Times New Roman"/>
                <w:sz w:val="24"/>
              </w:rPr>
              <w:t>For technical assistance or issues with the Portal</w:t>
            </w:r>
          </w:p>
        </w:tc>
      </w:tr>
      <w:tr w:rsidR="00A86E85" w:rsidRPr="00A86E85" w14:paraId="57E1E7F9" w14:textId="77777777" w:rsidTr="00B96AB9">
        <w:tc>
          <w:tcPr>
            <w:tcW w:w="45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8D5E8F" w14:textId="77777777" w:rsidR="00A86E85" w:rsidRPr="00A86E85" w:rsidRDefault="00A86E85" w:rsidP="00A86E85">
            <w:pPr>
              <w:spacing w:after="0" w:line="240" w:lineRule="auto"/>
              <w:rPr>
                <w:rFonts w:ascii="Verdana" w:eastAsia="Calibri" w:hAnsi="Verdana" w:cs="Times New Roman"/>
                <w:sz w:val="24"/>
              </w:rPr>
            </w:pPr>
            <w:hyperlink r:id="rId9" w:history="1">
              <w:r w:rsidRPr="00A86E85">
                <w:rPr>
                  <w:rFonts w:ascii="Verdana" w:eastAsia="Calibri" w:hAnsi="Verdana" w:cs="Times New Roman"/>
                  <w:color w:val="0000FF"/>
                  <w:sz w:val="24"/>
                  <w:u w:val="single"/>
                </w:rPr>
                <w:t>232R4RRequest@hud.gov</w:t>
              </w:r>
            </w:hyperlink>
            <w:r w:rsidRPr="00A86E85">
              <w:rPr>
                <w:rFonts w:ascii="Verdana" w:eastAsia="Calibri" w:hAnsi="Verdana" w:cs="Times New Roman"/>
                <w:sz w:val="24"/>
              </w:rPr>
              <w:t xml:space="preserve">, </w:t>
            </w:r>
          </w:p>
          <w:p w14:paraId="6571714F" w14:textId="77777777" w:rsidR="00A86E85" w:rsidRPr="00A86E85" w:rsidRDefault="00A86E85" w:rsidP="00A86E85">
            <w:pPr>
              <w:spacing w:after="0" w:line="240" w:lineRule="auto"/>
              <w:rPr>
                <w:rFonts w:ascii="Verdana" w:eastAsia="Calibri" w:hAnsi="Verdana" w:cs="Times New Roman"/>
                <w:sz w:val="24"/>
              </w:rPr>
            </w:pPr>
            <w:hyperlink r:id="rId10" w:history="1">
              <w:r w:rsidRPr="00A86E85">
                <w:rPr>
                  <w:rFonts w:ascii="Verdana" w:eastAsia="Calibri" w:hAnsi="Verdana" w:cs="Times New Roman"/>
                  <w:color w:val="0000FF"/>
                  <w:sz w:val="24"/>
                  <w:u w:val="single"/>
                </w:rPr>
                <w:t>232TPA@hud.gov</w:t>
              </w:r>
            </w:hyperlink>
          </w:p>
          <w:p w14:paraId="4C14C9FA" w14:textId="77777777" w:rsidR="00A86E85" w:rsidRPr="00A86E85" w:rsidRDefault="00A86E85" w:rsidP="00A86E85">
            <w:pPr>
              <w:spacing w:after="0" w:line="240" w:lineRule="auto"/>
              <w:rPr>
                <w:rFonts w:ascii="Verdana" w:eastAsia="Calibri" w:hAnsi="Verdana" w:cs="Times New Roman"/>
                <w:sz w:val="24"/>
              </w:rPr>
            </w:pPr>
            <w:hyperlink r:id="rId11" w:history="1">
              <w:r w:rsidRPr="00A86E85">
                <w:rPr>
                  <w:rFonts w:ascii="Verdana" w:eastAsia="Calibri" w:hAnsi="Verdana" w:cs="Times New Roman"/>
                  <w:color w:val="0000FF"/>
                  <w:sz w:val="24"/>
                  <w:u w:val="single"/>
                </w:rPr>
                <w:t>OHPTribeNotice@hud.gov</w:t>
              </w:r>
            </w:hyperlink>
          </w:p>
          <w:p w14:paraId="54955356" w14:textId="77777777" w:rsidR="00A86E85" w:rsidRPr="00A86E85" w:rsidRDefault="00A86E85" w:rsidP="00A86E85">
            <w:pPr>
              <w:spacing w:after="0" w:line="240" w:lineRule="auto"/>
              <w:rPr>
                <w:rFonts w:ascii="Verdana" w:eastAsia="Calibri" w:hAnsi="Verdana" w:cs="Times New Roman"/>
                <w:sz w:val="24"/>
              </w:rPr>
            </w:pPr>
          </w:p>
          <w:p w14:paraId="7FAAEA12" w14:textId="77777777" w:rsidR="00A86E85" w:rsidRPr="00A86E85" w:rsidRDefault="00A86E85" w:rsidP="00A86E85">
            <w:pPr>
              <w:spacing w:after="0" w:line="240" w:lineRule="auto"/>
              <w:rPr>
                <w:rFonts w:ascii="Verdana" w:eastAsia="Calibri" w:hAnsi="Verdana" w:cs="Times New Roman"/>
                <w:sz w:val="24"/>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5AE2C0F4" w14:textId="77777777" w:rsidR="00A86E85" w:rsidRPr="00A86E85" w:rsidRDefault="00A86E85" w:rsidP="00A86E85">
            <w:pPr>
              <w:spacing w:after="0" w:line="240" w:lineRule="auto"/>
              <w:rPr>
                <w:rFonts w:ascii="Verdana" w:eastAsia="Calibri" w:hAnsi="Verdana" w:cs="Times New Roman"/>
                <w:sz w:val="24"/>
              </w:rPr>
            </w:pPr>
            <w:r w:rsidRPr="00A86E85">
              <w:rPr>
                <w:rFonts w:ascii="Verdana" w:eastAsia="Calibri" w:hAnsi="Verdana" w:cs="Times New Roman"/>
                <w:sz w:val="24"/>
              </w:rPr>
              <w:t>For servicing Lenders temporarily without Portal access who need to submit specific loan servicing transactions to Asset Management (R4R, TPA or Asset Management Tribal Notice only)</w:t>
            </w:r>
          </w:p>
          <w:p w14:paraId="481139C4" w14:textId="77777777" w:rsidR="00A86E85" w:rsidRPr="00A86E85" w:rsidRDefault="00A86E85" w:rsidP="00A86E85">
            <w:pPr>
              <w:spacing w:after="0" w:line="240" w:lineRule="auto"/>
              <w:rPr>
                <w:rFonts w:ascii="Verdana" w:eastAsia="Calibri" w:hAnsi="Verdana" w:cs="Times New Roman"/>
                <w:sz w:val="24"/>
              </w:rPr>
            </w:pPr>
          </w:p>
        </w:tc>
      </w:tr>
      <w:tr w:rsidR="00A86E85" w:rsidRPr="00A86E85" w14:paraId="52743DC4" w14:textId="77777777" w:rsidTr="00B96AB9">
        <w:tc>
          <w:tcPr>
            <w:tcW w:w="45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8D1826" w14:textId="77777777" w:rsidR="00A86E85" w:rsidRPr="00A86E85" w:rsidRDefault="00A86E85" w:rsidP="00A86E85">
            <w:pPr>
              <w:spacing w:after="0" w:line="240" w:lineRule="auto"/>
              <w:rPr>
                <w:rFonts w:ascii="Verdana" w:eastAsia="Calibri" w:hAnsi="Verdana" w:cs="Times New Roman"/>
                <w:sz w:val="24"/>
              </w:rPr>
            </w:pPr>
          </w:p>
          <w:p w14:paraId="0FE4115F" w14:textId="77777777" w:rsidR="00A86E85" w:rsidRPr="00A86E85" w:rsidRDefault="00A86E85" w:rsidP="00A86E85">
            <w:pPr>
              <w:spacing w:after="0" w:line="240" w:lineRule="auto"/>
              <w:rPr>
                <w:rFonts w:ascii="Verdana" w:eastAsia="Calibri" w:hAnsi="Verdana" w:cs="Times New Roman"/>
                <w:sz w:val="24"/>
              </w:rPr>
            </w:pPr>
            <w:hyperlink r:id="rId12" w:history="1">
              <w:r w:rsidRPr="00A86E85">
                <w:rPr>
                  <w:rFonts w:ascii="Verdana" w:eastAsia="Calibri" w:hAnsi="Verdana" w:cs="Times New Roman"/>
                  <w:color w:val="0000FF"/>
                  <w:sz w:val="24"/>
                  <w:u w:val="single"/>
                </w:rPr>
                <w:t>LeanThinking@hud.gov</w:t>
              </w:r>
            </w:hyperlink>
          </w:p>
          <w:p w14:paraId="3B7B1964" w14:textId="77777777" w:rsidR="00A86E85" w:rsidRPr="00A86E85" w:rsidRDefault="00A86E85" w:rsidP="00A86E85">
            <w:pPr>
              <w:spacing w:after="0" w:line="240" w:lineRule="auto"/>
              <w:rPr>
                <w:rFonts w:ascii="Verdana" w:eastAsia="Calibri" w:hAnsi="Verdana" w:cs="Times New Roman"/>
                <w:sz w:val="24"/>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C89EDC9" w14:textId="77777777" w:rsidR="00A86E85" w:rsidRPr="00A86E85" w:rsidRDefault="00A86E85" w:rsidP="00A86E85">
            <w:pPr>
              <w:spacing w:after="0" w:line="240" w:lineRule="auto"/>
              <w:rPr>
                <w:rFonts w:ascii="Verdana" w:eastAsia="Calibri" w:hAnsi="Verdana" w:cs="Times New Roman"/>
                <w:sz w:val="24"/>
              </w:rPr>
            </w:pPr>
            <w:r w:rsidRPr="00A86E85">
              <w:rPr>
                <w:rFonts w:ascii="Verdana" w:eastAsia="Calibri" w:hAnsi="Verdana" w:cs="Times New Roman"/>
                <w:sz w:val="24"/>
              </w:rPr>
              <w:t>For comments or questions on the website and for program questions when no AE, UW or closer assigned.</w:t>
            </w:r>
          </w:p>
        </w:tc>
      </w:tr>
      <w:tr w:rsidR="00A86E85" w:rsidRPr="00A86E85" w14:paraId="23AF759C" w14:textId="77777777" w:rsidTr="00B96AB9">
        <w:tc>
          <w:tcPr>
            <w:tcW w:w="4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26AE2" w14:textId="77777777" w:rsidR="00A86E85" w:rsidRPr="00A86E85" w:rsidRDefault="00A86E85" w:rsidP="00A86E85">
            <w:pPr>
              <w:spacing w:after="0" w:line="240" w:lineRule="auto"/>
              <w:rPr>
                <w:rFonts w:ascii="Verdana" w:eastAsia="Calibri" w:hAnsi="Verdana" w:cs="Times New Roman"/>
                <w:sz w:val="24"/>
              </w:rPr>
            </w:pPr>
            <w:r w:rsidRPr="00A86E85">
              <w:rPr>
                <w:rFonts w:ascii="Verdana" w:eastAsia="Calibri" w:hAnsi="Verdana" w:cs="Times New Roman"/>
                <w:b/>
                <w:bCs/>
                <w:sz w:val="24"/>
              </w:rPr>
              <w:t>Helpful emails outside of ORCF:</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507B4268" w14:textId="77777777" w:rsidR="00A86E85" w:rsidRPr="00A86E85" w:rsidRDefault="00A86E85" w:rsidP="00A86E85">
            <w:pPr>
              <w:spacing w:after="0" w:line="240" w:lineRule="auto"/>
              <w:rPr>
                <w:rFonts w:ascii="Verdana" w:eastAsia="Calibri" w:hAnsi="Verdana" w:cs="Times New Roman"/>
                <w:sz w:val="24"/>
              </w:rPr>
            </w:pPr>
          </w:p>
        </w:tc>
      </w:tr>
      <w:tr w:rsidR="00A86E85" w:rsidRPr="00A86E85" w14:paraId="2E58A17D" w14:textId="77777777" w:rsidTr="00B96AB9">
        <w:tc>
          <w:tcPr>
            <w:tcW w:w="45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3FB5BE" w14:textId="77777777" w:rsidR="00A86E85" w:rsidRPr="00A86E85" w:rsidRDefault="00A86E85" w:rsidP="00A86E85">
            <w:pPr>
              <w:spacing w:after="0" w:line="240" w:lineRule="auto"/>
              <w:rPr>
                <w:rFonts w:ascii="Verdana" w:eastAsia="Calibri" w:hAnsi="Verdana" w:cs="Times New Roman"/>
                <w:sz w:val="24"/>
              </w:rPr>
            </w:pPr>
            <w:hyperlink r:id="rId13" w:history="1">
              <w:r w:rsidRPr="00A86E85">
                <w:rPr>
                  <w:rFonts w:ascii="Verdana" w:eastAsia="Calibri" w:hAnsi="Verdana" w:cs="Times New Roman"/>
                  <w:color w:val="0000FF"/>
                  <w:sz w:val="24"/>
                  <w:u w:val="single"/>
                </w:rPr>
                <w:t>Apps-F24@hud.gov</w:t>
              </w:r>
            </w:hyperlink>
          </w:p>
          <w:p w14:paraId="302C0C39" w14:textId="77777777" w:rsidR="00A86E85" w:rsidRPr="00A86E85" w:rsidRDefault="00A86E85" w:rsidP="00A86E85">
            <w:pPr>
              <w:spacing w:after="0" w:line="240" w:lineRule="auto"/>
              <w:rPr>
                <w:rFonts w:ascii="Verdana" w:eastAsia="Calibri" w:hAnsi="Verdana" w:cs="Times New Roman"/>
                <w:sz w:val="24"/>
              </w:rPr>
            </w:pPr>
          </w:p>
          <w:p w14:paraId="24DDA426" w14:textId="77777777" w:rsidR="00A86E85" w:rsidRPr="00A86E85" w:rsidRDefault="00A86E85" w:rsidP="00A86E85">
            <w:pPr>
              <w:spacing w:after="0" w:line="240" w:lineRule="auto"/>
              <w:rPr>
                <w:rFonts w:ascii="Verdana" w:eastAsia="Calibri" w:hAnsi="Verdana" w:cs="Times New Roman"/>
                <w:sz w:val="24"/>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65EF1D8B" w14:textId="77777777" w:rsidR="00A86E85" w:rsidRPr="00A86E85" w:rsidRDefault="00A86E85" w:rsidP="00A86E85">
            <w:pPr>
              <w:spacing w:after="0" w:line="240" w:lineRule="auto"/>
              <w:rPr>
                <w:rFonts w:ascii="Verdana" w:eastAsia="Calibri" w:hAnsi="Verdana" w:cs="Times New Roman"/>
                <w:sz w:val="24"/>
              </w:rPr>
            </w:pPr>
            <w:r w:rsidRPr="00A86E85">
              <w:rPr>
                <w:rFonts w:ascii="Verdana" w:eastAsia="Calibri" w:hAnsi="Verdana" w:cs="Times New Roman"/>
                <w:sz w:val="24"/>
              </w:rPr>
              <w:t>For technical assistance with APPS:</w:t>
            </w:r>
          </w:p>
          <w:p w14:paraId="214D523D" w14:textId="77777777" w:rsidR="00A86E85" w:rsidRPr="00A86E85" w:rsidRDefault="00A86E85" w:rsidP="00A86E85">
            <w:pPr>
              <w:spacing w:after="0" w:line="240" w:lineRule="auto"/>
              <w:rPr>
                <w:rFonts w:ascii="Verdana" w:eastAsia="Calibri" w:hAnsi="Verdana" w:cs="Times New Roman"/>
                <w:sz w:val="24"/>
              </w:rPr>
            </w:pPr>
          </w:p>
        </w:tc>
      </w:tr>
      <w:tr w:rsidR="00A86E85" w:rsidRPr="00A86E85" w14:paraId="52F01B61" w14:textId="77777777" w:rsidTr="00B96AB9">
        <w:trPr>
          <w:trHeight w:val="1115"/>
        </w:trPr>
        <w:tc>
          <w:tcPr>
            <w:tcW w:w="4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7FC26" w14:textId="77777777" w:rsidR="00A86E85" w:rsidRPr="00A86E85" w:rsidRDefault="00A86E85" w:rsidP="00A86E85">
            <w:pPr>
              <w:spacing w:after="0" w:line="240" w:lineRule="auto"/>
              <w:rPr>
                <w:rFonts w:ascii="Verdana" w:eastAsia="Calibri" w:hAnsi="Verdana" w:cs="Times New Roman"/>
                <w:sz w:val="24"/>
              </w:rPr>
            </w:pPr>
            <w:hyperlink r:id="rId14" w:history="1">
              <w:r w:rsidRPr="00A86E85">
                <w:rPr>
                  <w:rFonts w:ascii="Verdana" w:eastAsia="Calibri" w:hAnsi="Verdana" w:cs="Times New Roman"/>
                  <w:color w:val="0000FF"/>
                  <w:sz w:val="24"/>
                  <w:u w:val="single"/>
                </w:rPr>
                <w:t>REAC_TAC@hud.gov</w:t>
              </w:r>
            </w:hyperlink>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3D0F913" w14:textId="77777777" w:rsidR="00A86E85" w:rsidRPr="00A86E85" w:rsidRDefault="00A86E85" w:rsidP="00A86E85">
            <w:pPr>
              <w:spacing w:after="0" w:line="240" w:lineRule="auto"/>
              <w:rPr>
                <w:rFonts w:ascii="Verdana" w:eastAsia="Calibri" w:hAnsi="Verdana" w:cs="Times New Roman"/>
                <w:sz w:val="24"/>
              </w:rPr>
            </w:pPr>
            <w:r w:rsidRPr="00A86E85">
              <w:rPr>
                <w:rFonts w:ascii="Verdana" w:eastAsia="Calibri" w:hAnsi="Verdana" w:cs="Times New Roman"/>
                <w:sz w:val="24"/>
              </w:rPr>
              <w:t>Technical Support for FASS and PASS</w:t>
            </w:r>
          </w:p>
        </w:tc>
      </w:tr>
      <w:tr w:rsidR="00A86E85" w:rsidRPr="00A86E85" w14:paraId="1D54C0DB" w14:textId="77777777" w:rsidTr="00B96AB9">
        <w:trPr>
          <w:trHeight w:val="1115"/>
        </w:trPr>
        <w:tc>
          <w:tcPr>
            <w:tcW w:w="4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72B08" w14:textId="77777777" w:rsidR="00A86E85" w:rsidRPr="00A86E85" w:rsidRDefault="00A86E85" w:rsidP="00A86E85">
            <w:pPr>
              <w:spacing w:after="0" w:line="240" w:lineRule="auto"/>
              <w:rPr>
                <w:rFonts w:ascii="Verdana" w:eastAsia="Calibri" w:hAnsi="Verdana" w:cs="Times New Roman"/>
                <w:sz w:val="24"/>
              </w:rPr>
            </w:pPr>
            <w:hyperlink r:id="rId15" w:history="1">
              <w:r w:rsidRPr="00A86E85">
                <w:rPr>
                  <w:rFonts w:ascii="Verdana" w:eastAsia="Calibri" w:hAnsi="Verdana" w:cs="Times New Roman"/>
                  <w:color w:val="0000FF"/>
                  <w:sz w:val="24"/>
                  <w:u w:val="single"/>
                </w:rPr>
                <w:t>Revised9807Terminations@hud.gov</w:t>
              </w:r>
            </w:hyperlink>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B1AC719" w14:textId="77777777" w:rsidR="00A86E85" w:rsidRPr="00A86E85" w:rsidRDefault="00A86E85" w:rsidP="00A86E85">
            <w:pPr>
              <w:autoSpaceDE w:val="0"/>
              <w:autoSpaceDN w:val="0"/>
              <w:spacing w:after="0" w:line="240" w:lineRule="auto"/>
              <w:rPr>
                <w:rFonts w:ascii="Verdana" w:eastAsia="Calibri" w:hAnsi="Verdana" w:cs="Times New Roman"/>
                <w:sz w:val="24"/>
              </w:rPr>
            </w:pPr>
            <w:r w:rsidRPr="00A86E85">
              <w:rPr>
                <w:rFonts w:ascii="Verdana" w:eastAsia="Calibri" w:hAnsi="Verdana" w:cs="Times New Roman"/>
                <w:color w:val="000000"/>
                <w:sz w:val="24"/>
                <w:szCs w:val="24"/>
              </w:rPr>
              <w:t>For final mortgage insurance termination processing only (after all conditions noted in the prepayment approval have been met).</w:t>
            </w:r>
          </w:p>
        </w:tc>
      </w:tr>
    </w:tbl>
    <w:p w14:paraId="577762EE" w14:textId="77777777" w:rsidR="00A86E85" w:rsidRPr="00A86E85" w:rsidRDefault="00A86E85" w:rsidP="00A86E85">
      <w:pPr>
        <w:spacing w:after="0" w:line="240" w:lineRule="auto"/>
        <w:rPr>
          <w:rFonts w:ascii="Verdana" w:eastAsia="Calibri" w:hAnsi="Verdana" w:cs="Calibri"/>
        </w:rPr>
      </w:pPr>
    </w:p>
    <w:p w14:paraId="1A1B2858" w14:textId="77777777" w:rsidR="00A86E85" w:rsidRPr="00A86E85" w:rsidRDefault="00A86E85" w:rsidP="00A86E85">
      <w:pPr>
        <w:spacing w:after="0" w:line="240" w:lineRule="auto"/>
        <w:rPr>
          <w:rFonts w:ascii="Verdana" w:eastAsia="MS Mincho" w:hAnsi="Verdana" w:cs="Times New Roman"/>
          <w:i/>
          <w:sz w:val="24"/>
          <w:szCs w:val="24"/>
        </w:rPr>
      </w:pPr>
      <w:bookmarkStart w:id="6" w:name="_Hlk531609679"/>
      <w:r w:rsidRPr="00A86E85">
        <w:rPr>
          <w:rFonts w:ascii="Verdana" w:eastAsia="MS Mincho" w:hAnsi="Verdana" w:cs="Times New Roman"/>
          <w:b/>
          <w:i/>
          <w:sz w:val="24"/>
          <w:szCs w:val="24"/>
        </w:rPr>
        <w:t>Keywords:</w:t>
      </w:r>
      <w:r w:rsidRPr="00A86E85">
        <w:rPr>
          <w:rFonts w:ascii="Verdana" w:eastAsia="MS Mincho" w:hAnsi="Verdana" w:cs="Times New Roman"/>
          <w:i/>
          <w:sz w:val="24"/>
          <w:szCs w:val="24"/>
        </w:rPr>
        <w:tab/>
        <w:t xml:space="preserve">232 </w:t>
      </w:r>
      <w:r w:rsidRPr="00A86E85">
        <w:rPr>
          <w:rFonts w:ascii="Verdana" w:eastAsia="Calibri" w:hAnsi="Verdana" w:cs="Times New Roman"/>
          <w:i/>
          <w:sz w:val="24"/>
        </w:rPr>
        <w:t xml:space="preserve">Healthcare Portal, Asset Management, </w:t>
      </w:r>
      <w:proofErr w:type="spellStart"/>
      <w:r w:rsidRPr="00A86E85">
        <w:rPr>
          <w:rFonts w:ascii="Verdana" w:eastAsia="Calibri" w:hAnsi="Verdana" w:cs="Times New Roman"/>
          <w:i/>
          <w:sz w:val="24"/>
        </w:rPr>
        <w:t>LeanThinking</w:t>
      </w:r>
      <w:proofErr w:type="spellEnd"/>
    </w:p>
    <w:p w14:paraId="1EE77051" w14:textId="77777777" w:rsidR="00A86E85" w:rsidRPr="00A86E85" w:rsidRDefault="00A86E85" w:rsidP="00A86E85">
      <w:pPr>
        <w:spacing w:after="0" w:line="240" w:lineRule="auto"/>
        <w:rPr>
          <w:rFonts w:ascii="Verdana" w:eastAsia="Calibri" w:hAnsi="Verdana" w:cs="Times New Roman"/>
          <w:b/>
          <w:sz w:val="24"/>
        </w:rPr>
      </w:pPr>
    </w:p>
    <w:bookmarkEnd w:id="6"/>
    <w:p w14:paraId="2FCC9DAE" w14:textId="77777777" w:rsidR="00A86E85" w:rsidRPr="00A86E85" w:rsidRDefault="00A86E85" w:rsidP="00A86E85">
      <w:pPr>
        <w:spacing w:after="0" w:line="240" w:lineRule="auto"/>
        <w:rPr>
          <w:rFonts w:ascii="Verdana" w:eastAsia="Calibri" w:hAnsi="Verdana" w:cs="Times New Roman"/>
          <w:color w:val="0000FF"/>
          <w:sz w:val="24"/>
          <w:u w:val="single"/>
        </w:rPr>
      </w:pPr>
      <w:r w:rsidRPr="00A86E85">
        <w:rPr>
          <w:rFonts w:ascii="Verdana" w:eastAsia="Calibri" w:hAnsi="Verdana" w:cs="Times New Roman"/>
          <w:color w:val="0000FF"/>
          <w:sz w:val="24"/>
          <w:u w:val="single"/>
        </w:rPr>
        <w:fldChar w:fldCharType="begin"/>
      </w:r>
      <w:r w:rsidRPr="00A86E85">
        <w:rPr>
          <w:rFonts w:ascii="Verdana" w:eastAsia="Calibri" w:hAnsi="Verdana" w:cs="Times New Roman"/>
          <w:color w:val="0000FF"/>
          <w:sz w:val="24"/>
          <w:u w:val="single"/>
        </w:rPr>
        <w:instrText xml:space="preserve"> HYPERLINK \l "_top" </w:instrText>
      </w:r>
      <w:r w:rsidRPr="00A86E85">
        <w:rPr>
          <w:rFonts w:ascii="Verdana" w:eastAsia="Calibri" w:hAnsi="Verdana" w:cs="Times New Roman"/>
          <w:color w:val="0000FF"/>
          <w:sz w:val="24"/>
          <w:u w:val="single"/>
        </w:rPr>
        <w:fldChar w:fldCharType="separate"/>
      </w:r>
      <w:r w:rsidRPr="00A86E85">
        <w:rPr>
          <w:rFonts w:ascii="Verdana" w:eastAsia="Calibri" w:hAnsi="Verdana" w:cs="Times New Roman"/>
          <w:color w:val="0000FF"/>
          <w:sz w:val="24"/>
          <w:u w:val="single"/>
        </w:rPr>
        <w:t>Back to top</w:t>
      </w:r>
      <w:r w:rsidRPr="00A86E85">
        <w:rPr>
          <w:rFonts w:ascii="Verdana" w:eastAsia="Calibri" w:hAnsi="Verdana" w:cs="Times New Roman"/>
          <w:color w:val="0000FF"/>
          <w:sz w:val="24"/>
          <w:u w:val="single"/>
        </w:rPr>
        <w:fldChar w:fldCharType="end"/>
      </w:r>
    </w:p>
    <w:p w14:paraId="57C9F646" w14:textId="77777777" w:rsidR="00A86E85" w:rsidRPr="00A86E85" w:rsidRDefault="00A86E85" w:rsidP="00A86E85">
      <w:pPr>
        <w:spacing w:after="120" w:line="240" w:lineRule="auto"/>
        <w:outlineLvl w:val="0"/>
        <w:rPr>
          <w:rFonts w:ascii="Verdana" w:eastAsia="Calibri" w:hAnsi="Verdana" w:cs="Times New Roman"/>
          <w:b/>
          <w:bCs/>
          <w:caps/>
          <w:sz w:val="28"/>
          <w:szCs w:val="32"/>
          <w:u w:val="single"/>
        </w:rPr>
      </w:pPr>
    </w:p>
    <w:p w14:paraId="79F9C201" w14:textId="77777777" w:rsidR="00A86E85" w:rsidRPr="00A86E85" w:rsidRDefault="00A86E85" w:rsidP="00A86E85">
      <w:pPr>
        <w:spacing w:after="120" w:line="240" w:lineRule="auto"/>
        <w:outlineLvl w:val="0"/>
        <w:rPr>
          <w:rFonts w:ascii="Verdana" w:eastAsia="Calibri" w:hAnsi="Verdana" w:cs="Times New Roman"/>
          <w:b/>
          <w:bCs/>
          <w:caps/>
          <w:sz w:val="28"/>
          <w:szCs w:val="32"/>
          <w:u w:val="single"/>
        </w:rPr>
      </w:pPr>
      <w:bookmarkStart w:id="7" w:name="_Toc532304975"/>
      <w:r w:rsidRPr="00A86E85">
        <w:rPr>
          <w:rFonts w:ascii="Verdana" w:eastAsia="Calibri" w:hAnsi="Verdana" w:cs="Times New Roman"/>
          <w:b/>
          <w:bCs/>
          <w:caps/>
          <w:sz w:val="28"/>
          <w:szCs w:val="32"/>
          <w:u w:val="single"/>
        </w:rPr>
        <w:t>Section 106 Historic Preservation Reviews in the State of Minnesota</w:t>
      </w:r>
      <w:bookmarkEnd w:id="7"/>
    </w:p>
    <w:p w14:paraId="7D9493C0" w14:textId="77777777" w:rsidR="00A86E85" w:rsidRPr="00A86E85" w:rsidRDefault="00A86E85" w:rsidP="00A86E85">
      <w:pPr>
        <w:spacing w:after="0" w:line="240" w:lineRule="auto"/>
        <w:rPr>
          <w:rFonts w:ascii="Verdana" w:eastAsia="Calibri" w:hAnsi="Verdana" w:cs="Times New Roman"/>
          <w:sz w:val="24"/>
        </w:rPr>
      </w:pPr>
      <w:r w:rsidRPr="00A86E85">
        <w:rPr>
          <w:rFonts w:ascii="Verdana" w:eastAsia="Calibri" w:hAnsi="Verdana" w:cs="Times New Roman"/>
          <w:sz w:val="24"/>
        </w:rPr>
        <w:lastRenderedPageBreak/>
        <w:t>To streamline Section 106 Historic Preservation Reviews, HUD now has a Programmatic Agreement with the Minnesota (MN) State Historic Preservation Office (SHPO).  Lenders and Phase I consultants working on projects located in Minnesota should review the Programmatic Agreement and accompanying instructions which can be found (</w:t>
      </w:r>
      <w:hyperlink r:id="rId16" w:history="1">
        <w:r w:rsidRPr="00A86E85">
          <w:rPr>
            <w:rFonts w:ascii="Verdana" w:eastAsia="Calibri" w:hAnsi="Verdana" w:cs="Times New Roman"/>
            <w:color w:val="0000FF"/>
            <w:sz w:val="24"/>
            <w:u w:val="single"/>
          </w:rPr>
          <w:t>here</w:t>
        </w:r>
      </w:hyperlink>
      <w:r w:rsidRPr="00A86E85">
        <w:rPr>
          <w:rFonts w:ascii="Verdana" w:eastAsia="Calibri" w:hAnsi="Verdana" w:cs="Times New Roman"/>
          <w:sz w:val="24"/>
        </w:rPr>
        <w:t xml:space="preserve">).  Please note that the MN SHPO does NOT accept submissions for Section 106 Reviews from lenders or Phase I consultants.  The HUD Office is responsible for requesting the Section 106 review from the SHPO in instances where a review is required.  </w:t>
      </w:r>
    </w:p>
    <w:p w14:paraId="47F52276" w14:textId="77777777" w:rsidR="00A86E85" w:rsidRPr="00A86E85" w:rsidRDefault="00A86E85" w:rsidP="00A86E85">
      <w:pPr>
        <w:spacing w:after="0" w:line="240" w:lineRule="auto"/>
        <w:rPr>
          <w:rFonts w:ascii="Verdana" w:eastAsia="MS Mincho" w:hAnsi="Verdana" w:cs="Times New Roman"/>
          <w:b/>
          <w:sz w:val="24"/>
          <w:szCs w:val="24"/>
        </w:rPr>
      </w:pPr>
    </w:p>
    <w:p w14:paraId="2237F07F" w14:textId="77777777" w:rsidR="00A86E85" w:rsidRPr="00A86E85" w:rsidRDefault="00A86E85" w:rsidP="00A86E85">
      <w:pPr>
        <w:spacing w:after="0" w:line="240" w:lineRule="auto"/>
        <w:rPr>
          <w:rFonts w:ascii="Verdana" w:eastAsia="MS Mincho" w:hAnsi="Verdana" w:cs="Times New Roman"/>
          <w:i/>
          <w:sz w:val="24"/>
          <w:szCs w:val="24"/>
        </w:rPr>
      </w:pPr>
      <w:r w:rsidRPr="00A86E85">
        <w:rPr>
          <w:rFonts w:ascii="Verdana" w:eastAsia="MS Mincho" w:hAnsi="Verdana" w:cs="Times New Roman"/>
          <w:b/>
          <w:i/>
          <w:sz w:val="24"/>
          <w:szCs w:val="24"/>
        </w:rPr>
        <w:t>Keywords:</w:t>
      </w:r>
      <w:r w:rsidRPr="00A86E85">
        <w:rPr>
          <w:rFonts w:ascii="Verdana" w:eastAsia="MS Mincho" w:hAnsi="Verdana" w:cs="Times New Roman"/>
          <w:i/>
          <w:sz w:val="24"/>
          <w:szCs w:val="24"/>
        </w:rPr>
        <w:tab/>
        <w:t xml:space="preserve"> Section 106</w:t>
      </w:r>
    </w:p>
    <w:p w14:paraId="5711F3A1" w14:textId="77777777" w:rsidR="00A86E85" w:rsidRPr="00A86E85" w:rsidRDefault="00A86E85" w:rsidP="00A86E85">
      <w:pPr>
        <w:spacing w:after="0" w:line="240" w:lineRule="auto"/>
        <w:rPr>
          <w:rFonts w:ascii="Verdana" w:eastAsia="Calibri" w:hAnsi="Verdana" w:cs="Times New Roman"/>
          <w:b/>
          <w:sz w:val="24"/>
        </w:rPr>
      </w:pPr>
    </w:p>
    <w:p w14:paraId="66BC49DE" w14:textId="77777777" w:rsidR="00A86E85" w:rsidRPr="00A86E85" w:rsidRDefault="00A86E85" w:rsidP="00A86E85">
      <w:pPr>
        <w:spacing w:after="0" w:line="240" w:lineRule="auto"/>
        <w:rPr>
          <w:rFonts w:ascii="Verdana" w:eastAsia="Calibri" w:hAnsi="Verdana" w:cs="Times New Roman"/>
          <w:color w:val="0000FF"/>
          <w:sz w:val="24"/>
          <w:u w:val="single"/>
        </w:rPr>
      </w:pPr>
      <w:hyperlink w:anchor="_top" w:history="1">
        <w:r w:rsidRPr="00A86E85">
          <w:rPr>
            <w:rFonts w:ascii="Verdana" w:eastAsia="Calibri" w:hAnsi="Verdana" w:cs="Times New Roman"/>
            <w:color w:val="0000FF"/>
            <w:sz w:val="24"/>
            <w:u w:val="single"/>
          </w:rPr>
          <w:t>Back to top</w:t>
        </w:r>
      </w:hyperlink>
    </w:p>
    <w:p w14:paraId="606AB671" w14:textId="77777777" w:rsidR="00A86E85" w:rsidRPr="00A86E85" w:rsidRDefault="00A86E85" w:rsidP="00A86E85">
      <w:pPr>
        <w:spacing w:after="120" w:line="240" w:lineRule="auto"/>
        <w:outlineLvl w:val="0"/>
        <w:rPr>
          <w:rFonts w:ascii="Verdana" w:eastAsia="Calibri" w:hAnsi="Verdana" w:cs="Times New Roman"/>
          <w:color w:val="0000FF"/>
          <w:sz w:val="24"/>
          <w:u w:val="single"/>
        </w:rPr>
      </w:pPr>
      <w:bookmarkStart w:id="8" w:name="_Toc396209070"/>
    </w:p>
    <w:p w14:paraId="78E6035C" w14:textId="77777777" w:rsidR="00A86E85" w:rsidRPr="00A86E85" w:rsidRDefault="00A86E85" w:rsidP="00A86E85">
      <w:pPr>
        <w:spacing w:after="120" w:line="240" w:lineRule="auto"/>
        <w:outlineLvl w:val="0"/>
        <w:rPr>
          <w:rFonts w:ascii="Verdana" w:eastAsia="Calibri" w:hAnsi="Verdana" w:cs="Times New Roman"/>
          <w:b/>
          <w:bCs/>
          <w:caps/>
          <w:sz w:val="28"/>
          <w:szCs w:val="32"/>
          <w:u w:val="single"/>
        </w:rPr>
      </w:pPr>
      <w:bookmarkStart w:id="9" w:name="_Toc532304976"/>
      <w:r w:rsidRPr="00A86E85">
        <w:rPr>
          <w:rFonts w:ascii="Verdana" w:eastAsia="Calibri" w:hAnsi="Verdana" w:cs="Times New Roman"/>
          <w:b/>
          <w:bCs/>
          <w:caps/>
          <w:sz w:val="28"/>
          <w:szCs w:val="32"/>
          <w:u w:val="single"/>
        </w:rPr>
        <w:t>FROM THE CLOSING CORNER</w:t>
      </w:r>
      <w:bookmarkEnd w:id="8"/>
      <w:bookmarkEnd w:id="9"/>
    </w:p>
    <w:p w14:paraId="2B1BD95C" w14:textId="77777777" w:rsidR="00A86E85" w:rsidRPr="00A86E85" w:rsidRDefault="00A86E85" w:rsidP="00A86E85">
      <w:pPr>
        <w:spacing w:after="120" w:line="240" w:lineRule="auto"/>
        <w:outlineLvl w:val="1"/>
        <w:rPr>
          <w:rFonts w:ascii="Verdana" w:eastAsia="Calibri" w:hAnsi="Verdana" w:cs="Times New Roman"/>
          <w:b/>
          <w:bCs/>
          <w:sz w:val="24"/>
          <w:u w:val="single"/>
        </w:rPr>
      </w:pPr>
      <w:bookmarkStart w:id="10" w:name="_Toc532304977"/>
      <w:r w:rsidRPr="00A86E85">
        <w:rPr>
          <w:rFonts w:ascii="Verdana" w:eastAsia="Calibri" w:hAnsi="Verdana" w:cs="Times New Roman"/>
          <w:b/>
          <w:bCs/>
          <w:sz w:val="24"/>
          <w:u w:val="single"/>
        </w:rPr>
        <w:t>Clarification on Completion of Critical and Non-Critical Repairs Prior to Closing</w:t>
      </w:r>
      <w:bookmarkEnd w:id="10"/>
      <w:r w:rsidRPr="00A86E85">
        <w:rPr>
          <w:rFonts w:ascii="Verdana" w:eastAsia="Calibri" w:hAnsi="Verdana" w:cs="Times New Roman"/>
          <w:b/>
          <w:bCs/>
          <w:sz w:val="24"/>
          <w:u w:val="single"/>
        </w:rPr>
        <w:t xml:space="preserve"> </w:t>
      </w:r>
    </w:p>
    <w:p w14:paraId="666E587D" w14:textId="77777777" w:rsidR="00A86E85" w:rsidRPr="00A86E85" w:rsidRDefault="00A86E85" w:rsidP="00A86E85">
      <w:pPr>
        <w:spacing w:after="0" w:line="240" w:lineRule="auto"/>
        <w:rPr>
          <w:rFonts w:ascii="Verdana" w:eastAsia="Calibri" w:hAnsi="Verdana" w:cs="Times New Roman"/>
          <w:sz w:val="24"/>
          <w:szCs w:val="24"/>
        </w:rPr>
      </w:pPr>
      <w:r w:rsidRPr="00A86E85">
        <w:rPr>
          <w:rFonts w:ascii="Verdana" w:eastAsia="Calibri" w:hAnsi="Verdana" w:cs="Times New Roman"/>
          <w:sz w:val="24"/>
          <w:szCs w:val="24"/>
        </w:rPr>
        <w:t xml:space="preserve">A required exhibit in the draft closing package is the signed/dated Owner’s Certification - Completion of Critical Repairs with photos and invoices.  Lenders should carefully review the critical repair list from the PCNA and discuss Exhibit C – Critical, Non-Critical &amp; Borrower Elective Repairs List, as applicable, of the firm commitment with the borrower in advance of submission of a draft closing package to ensure that the borrower understands the critical repair requirements.  </w:t>
      </w:r>
    </w:p>
    <w:p w14:paraId="3245AAD9" w14:textId="77777777" w:rsidR="00A86E85" w:rsidRPr="00A86E85" w:rsidRDefault="00A86E85" w:rsidP="00A86E85">
      <w:pPr>
        <w:spacing w:after="0" w:line="240" w:lineRule="auto"/>
        <w:rPr>
          <w:rFonts w:ascii="Verdana" w:eastAsia="Calibri" w:hAnsi="Verdana" w:cs="Times New Roman"/>
          <w:sz w:val="24"/>
          <w:szCs w:val="24"/>
        </w:rPr>
      </w:pPr>
    </w:p>
    <w:p w14:paraId="35B80ED7" w14:textId="77777777" w:rsidR="00A86E85" w:rsidRPr="00A86E85" w:rsidRDefault="00A86E85" w:rsidP="00A86E85">
      <w:pPr>
        <w:spacing w:after="0" w:line="240" w:lineRule="auto"/>
        <w:rPr>
          <w:rFonts w:ascii="Verdana" w:eastAsia="Calibri" w:hAnsi="Verdana" w:cs="Times New Roman"/>
          <w:sz w:val="24"/>
          <w:szCs w:val="24"/>
        </w:rPr>
      </w:pPr>
      <w:r w:rsidRPr="00A86E85">
        <w:rPr>
          <w:rFonts w:ascii="Verdana" w:eastAsia="Calibri" w:hAnsi="Verdana" w:cs="Times New Roman"/>
          <w:sz w:val="24"/>
          <w:szCs w:val="24"/>
        </w:rPr>
        <w:t>Lenders may submit a request to move critical repairs to the non-critical repair category for ORCF consideration if:</w:t>
      </w:r>
    </w:p>
    <w:p w14:paraId="711E16EF" w14:textId="77777777" w:rsidR="00A86E85" w:rsidRPr="00A86E85" w:rsidRDefault="00A86E85" w:rsidP="00A86E85">
      <w:pPr>
        <w:spacing w:after="0" w:line="240" w:lineRule="auto"/>
        <w:rPr>
          <w:rFonts w:ascii="Verdana" w:eastAsia="Calibri" w:hAnsi="Verdana" w:cs="Times New Roman"/>
          <w:sz w:val="24"/>
          <w:szCs w:val="24"/>
        </w:rPr>
      </w:pPr>
    </w:p>
    <w:p w14:paraId="2A62BDF2" w14:textId="77777777" w:rsidR="00A86E85" w:rsidRPr="00A86E85" w:rsidRDefault="00A86E85" w:rsidP="00A86E85">
      <w:pPr>
        <w:numPr>
          <w:ilvl w:val="0"/>
          <w:numId w:val="2"/>
        </w:numPr>
        <w:spacing w:after="0" w:line="240" w:lineRule="auto"/>
        <w:rPr>
          <w:rFonts w:ascii="Verdana" w:eastAsia="Times New Roman" w:hAnsi="Verdana" w:cs="Times New Roman"/>
          <w:sz w:val="24"/>
          <w:szCs w:val="24"/>
        </w:rPr>
      </w:pPr>
      <w:r w:rsidRPr="00A86E85">
        <w:rPr>
          <w:rFonts w:ascii="Verdana" w:eastAsia="Times New Roman" w:hAnsi="Verdana" w:cs="Times New Roman"/>
          <w:sz w:val="24"/>
          <w:szCs w:val="24"/>
        </w:rPr>
        <w:t>Weather prohibits the repair from being completed prior to closing.</w:t>
      </w:r>
    </w:p>
    <w:p w14:paraId="291DAEC7" w14:textId="77777777" w:rsidR="00A86E85" w:rsidRPr="00A86E85" w:rsidRDefault="00A86E85" w:rsidP="00A86E85">
      <w:pPr>
        <w:numPr>
          <w:ilvl w:val="0"/>
          <w:numId w:val="2"/>
        </w:numPr>
        <w:spacing w:after="0" w:line="240" w:lineRule="auto"/>
        <w:rPr>
          <w:rFonts w:ascii="Verdana" w:eastAsia="Times New Roman" w:hAnsi="Verdana" w:cs="Times New Roman"/>
          <w:sz w:val="24"/>
          <w:szCs w:val="24"/>
        </w:rPr>
      </w:pPr>
      <w:r w:rsidRPr="00A86E85">
        <w:rPr>
          <w:rFonts w:ascii="Verdana" w:eastAsia="Times New Roman" w:hAnsi="Verdana" w:cs="Times New Roman"/>
          <w:sz w:val="24"/>
          <w:szCs w:val="24"/>
        </w:rPr>
        <w:t>The PCNA analyst incorrectly identified a non-critical repair as a critical repair and documentation from the PCNA analyst correcting the error is provided.</w:t>
      </w:r>
    </w:p>
    <w:p w14:paraId="72C6D52B" w14:textId="77777777" w:rsidR="00A86E85" w:rsidRPr="00A86E85" w:rsidRDefault="00A86E85" w:rsidP="00A86E85">
      <w:pPr>
        <w:spacing w:after="0" w:line="240" w:lineRule="auto"/>
        <w:ind w:left="360"/>
        <w:rPr>
          <w:rFonts w:ascii="Verdana" w:eastAsia="Calibri" w:hAnsi="Verdana" w:cs="Times New Roman"/>
          <w:sz w:val="24"/>
          <w:szCs w:val="24"/>
        </w:rPr>
      </w:pPr>
    </w:p>
    <w:p w14:paraId="50ECBA65" w14:textId="77777777" w:rsidR="00A86E85" w:rsidRPr="00A86E85" w:rsidRDefault="00A86E85" w:rsidP="00A86E85">
      <w:pPr>
        <w:spacing w:after="0" w:line="240" w:lineRule="auto"/>
        <w:rPr>
          <w:rFonts w:ascii="Verdana" w:eastAsia="Calibri" w:hAnsi="Verdana" w:cs="Times New Roman"/>
          <w:sz w:val="24"/>
          <w:szCs w:val="24"/>
        </w:rPr>
      </w:pPr>
      <w:r w:rsidRPr="00A86E85">
        <w:rPr>
          <w:rFonts w:ascii="Verdana" w:eastAsia="Calibri" w:hAnsi="Verdana" w:cs="Times New Roman"/>
          <w:sz w:val="24"/>
          <w:szCs w:val="24"/>
        </w:rPr>
        <w:t>The amendment request should be submitted to the assigned ORCF Closer; ORCF Underwriter approval will be required.</w:t>
      </w:r>
    </w:p>
    <w:p w14:paraId="24B7A490" w14:textId="77777777" w:rsidR="00A86E85" w:rsidRPr="00A86E85" w:rsidRDefault="00A86E85" w:rsidP="00A86E85">
      <w:pPr>
        <w:spacing w:after="0" w:line="240" w:lineRule="auto"/>
        <w:rPr>
          <w:rFonts w:ascii="Verdana" w:eastAsia="Calibri" w:hAnsi="Verdana" w:cs="Times New Roman"/>
          <w:sz w:val="24"/>
          <w:szCs w:val="24"/>
        </w:rPr>
      </w:pPr>
    </w:p>
    <w:p w14:paraId="3430E30F" w14:textId="77777777" w:rsidR="00A86E85" w:rsidRPr="00A86E85" w:rsidRDefault="00A86E85" w:rsidP="00A86E85">
      <w:pPr>
        <w:spacing w:after="0" w:line="240" w:lineRule="auto"/>
        <w:rPr>
          <w:rFonts w:ascii="Verdana" w:eastAsia="Calibri" w:hAnsi="Verdana" w:cs="Times New Roman"/>
          <w:sz w:val="24"/>
          <w:szCs w:val="24"/>
        </w:rPr>
      </w:pPr>
      <w:r w:rsidRPr="00A86E85">
        <w:rPr>
          <w:rFonts w:ascii="Verdana" w:eastAsia="Calibri" w:hAnsi="Verdana" w:cs="Times New Roman"/>
          <w:sz w:val="24"/>
          <w:szCs w:val="24"/>
        </w:rPr>
        <w:t xml:space="preserve">ORCF will </w:t>
      </w:r>
      <w:r w:rsidRPr="00A86E85">
        <w:rPr>
          <w:rFonts w:ascii="Verdana" w:eastAsia="Calibri" w:hAnsi="Verdana" w:cs="Times New Roman"/>
          <w:b/>
          <w:bCs/>
          <w:sz w:val="24"/>
          <w:szCs w:val="24"/>
          <w:u w:val="single"/>
        </w:rPr>
        <w:t>not</w:t>
      </w:r>
      <w:r w:rsidRPr="00A86E85">
        <w:rPr>
          <w:rFonts w:ascii="Verdana" w:eastAsia="Calibri" w:hAnsi="Verdana" w:cs="Times New Roman"/>
          <w:sz w:val="24"/>
          <w:szCs w:val="24"/>
        </w:rPr>
        <w:t xml:space="preserve"> consider requests to move critical repairs to the non-critical repair category in the following situations:</w:t>
      </w:r>
    </w:p>
    <w:p w14:paraId="52837982" w14:textId="77777777" w:rsidR="00A86E85" w:rsidRPr="00A86E85" w:rsidRDefault="00A86E85" w:rsidP="00A86E85">
      <w:pPr>
        <w:spacing w:after="0" w:line="240" w:lineRule="auto"/>
        <w:ind w:left="360"/>
        <w:rPr>
          <w:rFonts w:ascii="Verdana" w:eastAsia="Calibri" w:hAnsi="Verdana" w:cs="Times New Roman"/>
          <w:sz w:val="24"/>
          <w:szCs w:val="24"/>
        </w:rPr>
      </w:pPr>
    </w:p>
    <w:p w14:paraId="18D95FDF" w14:textId="77777777" w:rsidR="00A86E85" w:rsidRPr="00A86E85" w:rsidRDefault="00A86E85" w:rsidP="00A86E85">
      <w:pPr>
        <w:numPr>
          <w:ilvl w:val="0"/>
          <w:numId w:val="3"/>
        </w:numPr>
        <w:spacing w:after="0" w:line="240" w:lineRule="auto"/>
        <w:ind w:left="720"/>
        <w:rPr>
          <w:rFonts w:ascii="Verdana" w:eastAsia="Times New Roman" w:hAnsi="Verdana" w:cs="Times New Roman"/>
          <w:sz w:val="24"/>
          <w:szCs w:val="24"/>
        </w:rPr>
      </w:pPr>
      <w:r w:rsidRPr="00A86E85">
        <w:rPr>
          <w:rFonts w:ascii="Verdana" w:eastAsia="Times New Roman" w:hAnsi="Verdana" w:cs="Times New Roman"/>
          <w:sz w:val="24"/>
          <w:szCs w:val="24"/>
        </w:rPr>
        <w:t>Borrower didn’t get started on the repair quickly enough or the repair was more complicated than the borrower thought it would be.</w:t>
      </w:r>
    </w:p>
    <w:p w14:paraId="663FBA36" w14:textId="77777777" w:rsidR="00A86E85" w:rsidRPr="00A86E85" w:rsidRDefault="00A86E85" w:rsidP="00A86E85">
      <w:pPr>
        <w:numPr>
          <w:ilvl w:val="0"/>
          <w:numId w:val="3"/>
        </w:numPr>
        <w:spacing w:after="0" w:line="240" w:lineRule="auto"/>
        <w:ind w:left="720"/>
        <w:rPr>
          <w:rFonts w:ascii="Verdana" w:eastAsia="Times New Roman" w:hAnsi="Verdana" w:cs="Times New Roman"/>
          <w:sz w:val="24"/>
          <w:szCs w:val="24"/>
        </w:rPr>
      </w:pPr>
      <w:r w:rsidRPr="00A86E85">
        <w:rPr>
          <w:rFonts w:ascii="Verdana" w:eastAsia="Times New Roman" w:hAnsi="Verdana" w:cs="Times New Roman"/>
          <w:sz w:val="24"/>
          <w:szCs w:val="24"/>
        </w:rPr>
        <w:t>Borrower hasn’t decided how they want to complete the repair.</w:t>
      </w:r>
    </w:p>
    <w:p w14:paraId="35D79F68" w14:textId="77777777" w:rsidR="00A86E85" w:rsidRPr="00A86E85" w:rsidRDefault="00A86E85" w:rsidP="00A86E85">
      <w:pPr>
        <w:spacing w:after="0" w:line="240" w:lineRule="auto"/>
        <w:rPr>
          <w:rFonts w:ascii="Verdana" w:eastAsia="Calibri" w:hAnsi="Verdana" w:cs="Times New Roman"/>
          <w:sz w:val="24"/>
          <w:szCs w:val="24"/>
        </w:rPr>
      </w:pPr>
    </w:p>
    <w:p w14:paraId="2C0B20F0" w14:textId="77777777" w:rsidR="00A86E85" w:rsidRPr="00A86E85" w:rsidRDefault="00A86E85" w:rsidP="00A86E85">
      <w:pPr>
        <w:spacing w:after="0" w:line="240" w:lineRule="auto"/>
        <w:rPr>
          <w:rFonts w:ascii="Verdana" w:eastAsia="Calibri" w:hAnsi="Verdana" w:cs="Times New Roman"/>
          <w:sz w:val="24"/>
          <w:szCs w:val="24"/>
        </w:rPr>
      </w:pPr>
      <w:r w:rsidRPr="00A86E85">
        <w:rPr>
          <w:rFonts w:ascii="Verdana" w:eastAsia="Calibri" w:hAnsi="Verdana" w:cs="Times New Roman"/>
          <w:sz w:val="24"/>
          <w:szCs w:val="24"/>
        </w:rPr>
        <w:lastRenderedPageBreak/>
        <w:t>Please contact the assigned ORCF Closer if questions.</w:t>
      </w:r>
    </w:p>
    <w:p w14:paraId="41FB6DF4" w14:textId="77777777" w:rsidR="00A86E85" w:rsidRPr="00A86E85" w:rsidRDefault="00A86E85" w:rsidP="00A86E85">
      <w:pPr>
        <w:spacing w:after="0" w:line="240" w:lineRule="auto"/>
        <w:rPr>
          <w:rFonts w:ascii="Verdana" w:eastAsia="Calibri" w:hAnsi="Verdana" w:cs="Times New Roman"/>
          <w:sz w:val="24"/>
          <w:szCs w:val="24"/>
        </w:rPr>
      </w:pPr>
    </w:p>
    <w:p w14:paraId="65B61084" w14:textId="77777777" w:rsidR="00A86E85" w:rsidRPr="00A86E85" w:rsidRDefault="00A86E85" w:rsidP="00A86E85">
      <w:pPr>
        <w:spacing w:after="0" w:line="240" w:lineRule="auto"/>
        <w:rPr>
          <w:rFonts w:ascii="Verdana" w:eastAsia="MS Mincho" w:hAnsi="Verdana" w:cs="Times New Roman"/>
          <w:i/>
          <w:sz w:val="24"/>
          <w:szCs w:val="24"/>
        </w:rPr>
      </w:pPr>
      <w:r w:rsidRPr="00A86E85">
        <w:rPr>
          <w:rFonts w:ascii="Verdana" w:eastAsia="MS Mincho" w:hAnsi="Verdana" w:cs="Times New Roman"/>
          <w:b/>
          <w:i/>
          <w:sz w:val="24"/>
          <w:szCs w:val="24"/>
        </w:rPr>
        <w:t>Keywords:</w:t>
      </w:r>
      <w:r w:rsidRPr="00A86E85">
        <w:rPr>
          <w:rFonts w:ascii="Verdana" w:eastAsia="MS Mincho" w:hAnsi="Verdana" w:cs="Times New Roman"/>
          <w:i/>
          <w:sz w:val="24"/>
          <w:szCs w:val="24"/>
        </w:rPr>
        <w:tab/>
      </w:r>
      <w:r w:rsidRPr="00A86E85">
        <w:rPr>
          <w:rFonts w:ascii="Verdana" w:eastAsia="Calibri" w:hAnsi="Verdana" w:cs="Times New Roman"/>
          <w:bCs/>
          <w:i/>
          <w:iCs/>
          <w:sz w:val="24"/>
        </w:rPr>
        <w:t>Critical Repairs, Non-Critical Repairs</w:t>
      </w:r>
    </w:p>
    <w:p w14:paraId="14A480DB" w14:textId="77777777" w:rsidR="00A86E85" w:rsidRPr="00A86E85" w:rsidRDefault="00A86E85" w:rsidP="00A86E85">
      <w:pPr>
        <w:spacing w:after="0" w:line="240" w:lineRule="auto"/>
        <w:rPr>
          <w:rFonts w:ascii="Verdana" w:eastAsia="MS Mincho" w:hAnsi="Verdana" w:cs="Times New Roman"/>
          <w:b/>
          <w:sz w:val="24"/>
          <w:szCs w:val="24"/>
        </w:rPr>
      </w:pPr>
    </w:p>
    <w:p w14:paraId="05F0106D" w14:textId="77777777" w:rsidR="00A86E85" w:rsidRPr="00A86E85" w:rsidRDefault="00A86E85" w:rsidP="00A86E85">
      <w:pPr>
        <w:spacing w:after="0" w:line="240" w:lineRule="auto"/>
        <w:rPr>
          <w:rFonts w:ascii="Verdana" w:eastAsia="Calibri" w:hAnsi="Verdana" w:cs="Times New Roman"/>
          <w:color w:val="0000FF"/>
          <w:sz w:val="24"/>
          <w:u w:val="single"/>
        </w:rPr>
      </w:pPr>
      <w:hyperlink w:anchor="_top" w:history="1">
        <w:r w:rsidRPr="00A86E85">
          <w:rPr>
            <w:rFonts w:ascii="Verdana" w:eastAsia="Calibri" w:hAnsi="Verdana" w:cs="Times New Roman"/>
            <w:color w:val="0000FF"/>
            <w:sz w:val="24"/>
            <w:u w:val="single"/>
          </w:rPr>
          <w:t>Back to top</w:t>
        </w:r>
      </w:hyperlink>
    </w:p>
    <w:p w14:paraId="65B2E848" w14:textId="77777777" w:rsidR="00A86E85" w:rsidRPr="00A86E85" w:rsidRDefault="00A86E85" w:rsidP="00A86E85">
      <w:pPr>
        <w:spacing w:after="0" w:line="240" w:lineRule="auto"/>
        <w:rPr>
          <w:rFonts w:ascii="Verdana" w:eastAsia="MS Mincho" w:hAnsi="Verdana" w:cs="Times New Roman"/>
          <w:b/>
          <w:sz w:val="24"/>
          <w:szCs w:val="24"/>
        </w:rPr>
      </w:pPr>
    </w:p>
    <w:p w14:paraId="1B860553" w14:textId="77777777" w:rsidR="00A86E85" w:rsidRPr="00A86E85" w:rsidRDefault="00A86E85" w:rsidP="00A86E85">
      <w:pPr>
        <w:spacing w:after="0" w:line="240" w:lineRule="auto"/>
        <w:outlineLvl w:val="0"/>
        <w:rPr>
          <w:rFonts w:ascii="Verdana" w:eastAsia="Calibri" w:hAnsi="Verdana" w:cs="Times New Roman"/>
          <w:b/>
          <w:bCs/>
          <w:caps/>
          <w:sz w:val="28"/>
          <w:szCs w:val="32"/>
          <w:u w:val="single"/>
        </w:rPr>
      </w:pPr>
      <w:bookmarkStart w:id="11" w:name="_Toc333920723"/>
      <w:bookmarkStart w:id="12" w:name="_Toc532304978"/>
      <w:r w:rsidRPr="00A86E85">
        <w:rPr>
          <w:rFonts w:ascii="Verdana" w:eastAsia="Calibri" w:hAnsi="Verdana" w:cs="Times New Roman"/>
          <w:b/>
          <w:bCs/>
          <w:caps/>
          <w:sz w:val="28"/>
          <w:szCs w:val="32"/>
          <w:u w:val="single"/>
        </w:rPr>
        <w:t>Document Links Included In This Blast</w:t>
      </w:r>
      <w:bookmarkEnd w:id="11"/>
      <w:bookmarkEnd w:id="12"/>
    </w:p>
    <w:p w14:paraId="7F86FB98" w14:textId="77777777" w:rsidR="00A86E85" w:rsidRPr="00A86E85" w:rsidRDefault="00A86E85" w:rsidP="00A86E85">
      <w:pPr>
        <w:spacing w:after="0" w:line="240" w:lineRule="auto"/>
        <w:rPr>
          <w:rFonts w:ascii="Verdana" w:eastAsia="Calibri" w:hAnsi="Verdana" w:cs="Times New Roman"/>
          <w:sz w:val="24"/>
        </w:rPr>
      </w:pPr>
    </w:p>
    <w:p w14:paraId="786EEA21" w14:textId="77777777" w:rsidR="00A86E85" w:rsidRPr="00A86E85" w:rsidRDefault="00A86E85" w:rsidP="00A86E85">
      <w:pPr>
        <w:numPr>
          <w:ilvl w:val="0"/>
          <w:numId w:val="5"/>
        </w:numPr>
        <w:spacing w:after="0" w:line="240" w:lineRule="auto"/>
        <w:rPr>
          <w:rFonts w:ascii="Verdana" w:eastAsia="Calibri" w:hAnsi="Verdana" w:cs="Times New Roman"/>
          <w:color w:val="000000"/>
          <w:sz w:val="24"/>
          <w:szCs w:val="24"/>
        </w:rPr>
      </w:pPr>
      <w:hyperlink r:id="rId17" w:history="1">
        <w:r w:rsidRPr="00A86E85">
          <w:rPr>
            <w:rFonts w:ascii="Verdana" w:eastAsia="Calibri" w:hAnsi="Verdana" w:cs="Times New Roman"/>
            <w:color w:val="0000FF"/>
            <w:sz w:val="24"/>
            <w:szCs w:val="24"/>
            <w:u w:val="single"/>
          </w:rPr>
          <w:t>Programmatic Agreement Between Minnesota SHPO and HUD</w:t>
        </w:r>
      </w:hyperlink>
    </w:p>
    <w:p w14:paraId="5218F431" w14:textId="77777777" w:rsidR="00A86E85" w:rsidRPr="00A86E85" w:rsidRDefault="00A86E85" w:rsidP="00A86E85">
      <w:pPr>
        <w:spacing w:after="0" w:line="240" w:lineRule="auto"/>
        <w:ind w:left="720"/>
        <w:rPr>
          <w:rFonts w:ascii="Verdana" w:eastAsia="Calibri" w:hAnsi="Verdana" w:cs="Times New Roman"/>
          <w:color w:val="000000"/>
          <w:sz w:val="24"/>
          <w:szCs w:val="24"/>
        </w:rPr>
      </w:pPr>
    </w:p>
    <w:p w14:paraId="225CCD8D" w14:textId="77777777" w:rsidR="00A86E85" w:rsidRPr="00A86E85" w:rsidRDefault="00A86E85" w:rsidP="00A86E85">
      <w:pPr>
        <w:spacing w:after="0" w:line="240" w:lineRule="auto"/>
        <w:rPr>
          <w:rFonts w:ascii="Verdana" w:eastAsia="Calibri" w:hAnsi="Verdana" w:cs="Times New Roman"/>
          <w:b/>
          <w:bCs/>
          <w:sz w:val="24"/>
        </w:rPr>
      </w:pPr>
      <w:hyperlink w:anchor="_top" w:history="1">
        <w:r w:rsidRPr="00A86E85">
          <w:rPr>
            <w:rFonts w:ascii="Verdana" w:eastAsia="Calibri" w:hAnsi="Verdana" w:cs="Times New Roman"/>
            <w:color w:val="0000FF"/>
            <w:sz w:val="24"/>
            <w:u w:val="single"/>
          </w:rPr>
          <w:t>Back to top</w:t>
        </w:r>
      </w:hyperlink>
    </w:p>
    <w:p w14:paraId="5D465437" w14:textId="77777777" w:rsidR="00A86E85" w:rsidRPr="00A86E85" w:rsidRDefault="00A86E85" w:rsidP="00A86E85">
      <w:pPr>
        <w:spacing w:after="0" w:line="240" w:lineRule="auto"/>
        <w:rPr>
          <w:rFonts w:ascii="Verdana" w:eastAsia="Calibri" w:hAnsi="Verdana" w:cs="Times New Roman"/>
          <w:sz w:val="24"/>
        </w:rPr>
      </w:pPr>
    </w:p>
    <w:p w14:paraId="6E19B272" w14:textId="77777777" w:rsidR="00A86E85" w:rsidRPr="00A86E85" w:rsidRDefault="00A86E85" w:rsidP="00A86E85">
      <w:pPr>
        <w:spacing w:after="0" w:line="240" w:lineRule="auto"/>
        <w:jc w:val="center"/>
        <w:rPr>
          <w:rFonts w:ascii="Verdana" w:eastAsia="Calibri" w:hAnsi="Verdana" w:cs="Times New Roman"/>
          <w:color w:val="000000"/>
        </w:rPr>
      </w:pPr>
      <w:r w:rsidRPr="00A86E85">
        <w:rPr>
          <w:rFonts w:ascii="Verdana" w:eastAsia="Calibri" w:hAnsi="Verdana" w:cs="Times New Roman"/>
          <w:b/>
          <w:noProof/>
          <w:color w:val="1F497D"/>
        </w:rPr>
        <w:drawing>
          <wp:inline distT="0" distB="0" distL="0" distR="0" wp14:anchorId="4B46E4E7" wp14:editId="79C849CE">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3CCEDE9A" w14:textId="77777777" w:rsidR="00202254" w:rsidRDefault="00202254"/>
    <w:sectPr w:rsidR="00202254" w:rsidSect="00E217E8">
      <w:head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709D8109" w14:textId="77777777" w:rsidR="0089592C" w:rsidRDefault="00C13E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6C211E" w14:textId="1247A565" w:rsidR="008F66AB" w:rsidRDefault="00C13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801C4"/>
    <w:multiLevelType w:val="hybridMultilevel"/>
    <w:tmpl w:val="1144C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F678B6"/>
    <w:multiLevelType w:val="hybridMultilevel"/>
    <w:tmpl w:val="5F9EC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005F6C"/>
    <w:multiLevelType w:val="hybridMultilevel"/>
    <w:tmpl w:val="09741D7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15:restartNumberingAfterBreak="0">
    <w:nsid w:val="664D727E"/>
    <w:multiLevelType w:val="hybridMultilevel"/>
    <w:tmpl w:val="500A0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E5203F0"/>
    <w:multiLevelType w:val="hybridMultilevel"/>
    <w:tmpl w:val="7E40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85"/>
    <w:rsid w:val="00202254"/>
    <w:rsid w:val="00A86E85"/>
    <w:rsid w:val="00C1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9A0A5"/>
  <w15:chartTrackingRefBased/>
  <w15:docId w15:val="{3CEA70FA-D9D6-49BC-86B9-9D3962DE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E85"/>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A86E85"/>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CP@hud.gov" TargetMode="External"/><Relationship Id="rId13" Type="http://schemas.openxmlformats.org/officeDocument/2006/relationships/hyperlink" Target="mailto:Apps-F24@hud.gov"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ud.gov/federal_housing_administration/healthcare_facilities/residential_care/loan_servicing" TargetMode="External"/><Relationship Id="rId12" Type="http://schemas.openxmlformats.org/officeDocument/2006/relationships/hyperlink" Target="mailto:LeanThinking@hud.gov" TargetMode="External"/><Relationship Id="rId17" Type="http://schemas.openxmlformats.org/officeDocument/2006/relationships/hyperlink" Target="https://www.hud.gov/sites/dfiles/Housing/documents/MN_SHPO_PrgAgrt.pdf" TargetMode="External"/><Relationship Id="rId2" Type="http://schemas.openxmlformats.org/officeDocument/2006/relationships/styles" Target="styles.xml"/><Relationship Id="rId16" Type="http://schemas.openxmlformats.org/officeDocument/2006/relationships/hyperlink" Target="https://www.hud.gov/sites/dfiles/Housing/documents/MN_SHPO_PrgAgr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ud.gov/federal_housing_administration/healthcare_facilities/residential_care/232_healthcare_portal" TargetMode="External"/><Relationship Id="rId11" Type="http://schemas.openxmlformats.org/officeDocument/2006/relationships/hyperlink" Target="mailto:OHPTribeNotice@hud.gov" TargetMode="External"/><Relationship Id="rId5" Type="http://schemas.openxmlformats.org/officeDocument/2006/relationships/image" Target="media/image1.png"/><Relationship Id="rId15" Type="http://schemas.openxmlformats.org/officeDocument/2006/relationships/hyperlink" Target="mailto:Revised9807Terminations@hud.gov" TargetMode="External"/><Relationship Id="rId10" Type="http://schemas.openxmlformats.org/officeDocument/2006/relationships/hyperlink" Target="mailto:232TPA@hud.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32R4RRequest@hud.gov" TargetMode="External"/><Relationship Id="rId14" Type="http://schemas.openxmlformats.org/officeDocument/2006/relationships/hyperlink" Target="mailto:REAC_TAC@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2</cp:revision>
  <dcterms:created xsi:type="dcterms:W3CDTF">2018-12-19T12:58:00Z</dcterms:created>
  <dcterms:modified xsi:type="dcterms:W3CDTF">2018-12-19T12:58:00Z</dcterms:modified>
</cp:coreProperties>
</file>