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6F35" w14:textId="77777777" w:rsidR="00CE7A6C" w:rsidRPr="00CE7A6C" w:rsidRDefault="00CE7A6C" w:rsidP="00CE7A6C">
      <w:pPr>
        <w:spacing w:after="0" w:line="240" w:lineRule="auto"/>
        <w:jc w:val="center"/>
        <w:rPr>
          <w:rFonts w:ascii="Verdana" w:eastAsia="Calibri" w:hAnsi="Verdana" w:cs="Times New Roman"/>
          <w:b/>
          <w:sz w:val="32"/>
          <w:szCs w:val="32"/>
          <w:u w:val="single"/>
        </w:rPr>
      </w:pPr>
      <w:bookmarkStart w:id="0" w:name="_top"/>
      <w:bookmarkStart w:id="1" w:name="_Hlk27551449"/>
      <w:bookmarkEnd w:id="0"/>
      <w:r w:rsidRPr="00CE7A6C">
        <w:rPr>
          <w:rFonts w:ascii="Verdana" w:eastAsia="Calibri" w:hAnsi="Verdana" w:cs="Times New Roman"/>
          <w:b/>
          <w:sz w:val="32"/>
          <w:szCs w:val="32"/>
          <w:u w:val="single"/>
        </w:rPr>
        <w:t>HUD’s Lean 232 Program</w:t>
      </w:r>
    </w:p>
    <w:p w14:paraId="150425AA" w14:textId="77777777" w:rsidR="00CE7A6C" w:rsidRPr="00CE7A6C" w:rsidRDefault="00CE7A6C" w:rsidP="00CE7A6C">
      <w:pPr>
        <w:spacing w:after="0" w:line="240" w:lineRule="auto"/>
        <w:jc w:val="center"/>
        <w:rPr>
          <w:rFonts w:ascii="Verdana" w:eastAsia="Calibri" w:hAnsi="Verdana" w:cs="Times New Roman"/>
          <w:b/>
          <w:sz w:val="32"/>
          <w:szCs w:val="32"/>
        </w:rPr>
      </w:pPr>
      <w:r w:rsidRPr="00CE7A6C">
        <w:rPr>
          <w:rFonts w:ascii="Verdana" w:eastAsia="Calibri" w:hAnsi="Verdana" w:cs="Times New Roman"/>
          <w:b/>
          <w:sz w:val="32"/>
          <w:szCs w:val="32"/>
        </w:rPr>
        <w:t>Office of Residential Care Facilities (ORCF)</w:t>
      </w:r>
    </w:p>
    <w:p w14:paraId="5B25A354" w14:textId="77777777" w:rsidR="00CE7A6C" w:rsidRPr="00CE7A6C" w:rsidRDefault="00CE7A6C" w:rsidP="00CE7A6C">
      <w:pPr>
        <w:spacing w:after="0" w:line="240" w:lineRule="auto"/>
        <w:jc w:val="center"/>
        <w:rPr>
          <w:rFonts w:ascii="Verdana" w:eastAsia="Calibri" w:hAnsi="Verdana" w:cs="Times New Roman"/>
          <w:b/>
          <w:sz w:val="32"/>
          <w:szCs w:val="32"/>
          <w:u w:val="single"/>
        </w:rPr>
      </w:pPr>
      <w:r w:rsidRPr="00CE7A6C">
        <w:rPr>
          <w:rFonts w:ascii="Verdana" w:eastAsia="Calibri" w:hAnsi="Verdana" w:cs="Times New Roman"/>
          <w:b/>
          <w:sz w:val="32"/>
          <w:szCs w:val="32"/>
          <w:u w:val="single"/>
        </w:rPr>
        <w:t xml:space="preserve">Update as </w:t>
      </w:r>
      <w:r w:rsidRPr="009A5F79">
        <w:rPr>
          <w:rFonts w:ascii="Verdana" w:eastAsia="Calibri" w:hAnsi="Verdana" w:cs="Times New Roman"/>
          <w:b/>
          <w:sz w:val="32"/>
          <w:szCs w:val="32"/>
          <w:u w:val="single"/>
        </w:rPr>
        <w:t>of December 18, 2019</w:t>
      </w:r>
    </w:p>
    <w:p w14:paraId="4DF7ACAD" w14:textId="77777777" w:rsidR="00CE7A6C" w:rsidRPr="00CE7A6C" w:rsidRDefault="00CE7A6C" w:rsidP="00CE7A6C">
      <w:pPr>
        <w:spacing w:after="0" w:line="240" w:lineRule="auto"/>
        <w:jc w:val="center"/>
        <w:rPr>
          <w:rFonts w:ascii="Verdana" w:eastAsia="Calibri" w:hAnsi="Verdana" w:cs="Times New Roman"/>
        </w:rPr>
      </w:pPr>
      <w:r w:rsidRPr="00CE7A6C">
        <w:rPr>
          <w:rFonts w:ascii="Verdana" w:eastAsia="Calibri" w:hAnsi="Verdana" w:cs="Times New Roman"/>
          <w:noProof/>
          <w:color w:val="1F497D"/>
        </w:rPr>
        <w:drawing>
          <wp:inline distT="0" distB="0" distL="0" distR="0" wp14:anchorId="1864A652" wp14:editId="684D48B7">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1A8368D" w14:textId="77777777" w:rsidR="00CE7A6C" w:rsidRPr="00CE7A6C" w:rsidRDefault="00CE7A6C" w:rsidP="00CE7A6C">
      <w:pPr>
        <w:spacing w:after="0" w:line="240" w:lineRule="auto"/>
        <w:rPr>
          <w:rFonts w:ascii="Verdana" w:eastAsia="Calibri" w:hAnsi="Verdana" w:cs="Times New Roman"/>
          <w:sz w:val="24"/>
        </w:rPr>
      </w:pPr>
    </w:p>
    <w:p w14:paraId="1D418090" w14:textId="77777777" w:rsidR="00CE7A6C" w:rsidRPr="00CE7A6C" w:rsidRDefault="00CE7A6C" w:rsidP="00CE7A6C">
      <w:pPr>
        <w:spacing w:after="0" w:line="240" w:lineRule="auto"/>
        <w:rPr>
          <w:rFonts w:ascii="Verdana" w:eastAsia="Calibri" w:hAnsi="Verdana" w:cs="Times New Roman"/>
          <w:sz w:val="24"/>
        </w:rPr>
      </w:pPr>
    </w:p>
    <w:p w14:paraId="74EDD6C5" w14:textId="77777777" w:rsidR="00CE7A6C" w:rsidRPr="00CE7A6C" w:rsidRDefault="00CE7A6C" w:rsidP="00CE7A6C">
      <w:pPr>
        <w:spacing w:after="0" w:line="240" w:lineRule="auto"/>
        <w:rPr>
          <w:rFonts w:ascii="Verdana" w:eastAsia="Calibri" w:hAnsi="Verdana" w:cs="Times New Roman"/>
          <w:i/>
          <w:sz w:val="32"/>
          <w:u w:val="single"/>
        </w:rPr>
      </w:pPr>
      <w:r w:rsidRPr="00CE7A6C">
        <w:rPr>
          <w:rFonts w:ascii="Verdana" w:eastAsia="Calibri" w:hAnsi="Verdana" w:cs="Times New Roman"/>
          <w:i/>
          <w:sz w:val="32"/>
          <w:u w:val="single"/>
        </w:rPr>
        <w:t>December 18, 2019 Contents</w:t>
      </w:r>
    </w:p>
    <w:p w14:paraId="63554830" w14:textId="77777777" w:rsidR="00CE7A6C" w:rsidRPr="00CE7A6C" w:rsidRDefault="00CE7A6C" w:rsidP="00CE7A6C">
      <w:pPr>
        <w:spacing w:after="0" w:line="240" w:lineRule="auto"/>
        <w:rPr>
          <w:rFonts w:ascii="Verdana" w:eastAsia="Calibri" w:hAnsi="Verdana" w:cs="Times New Roman"/>
          <w:b/>
          <w:i/>
          <w:sz w:val="32"/>
          <w:u w:val="single"/>
        </w:rPr>
      </w:pPr>
    </w:p>
    <w:p w14:paraId="59BF46C2" w14:textId="77777777" w:rsidR="00CE7A6C" w:rsidRPr="00CE7A6C" w:rsidRDefault="00CE7A6C" w:rsidP="00CE7A6C">
      <w:pPr>
        <w:tabs>
          <w:tab w:val="right" w:leader="dot" w:pos="9350"/>
        </w:tabs>
        <w:spacing w:after="0" w:line="240" w:lineRule="auto"/>
        <w:ind w:left="270" w:hanging="270"/>
        <w:rPr>
          <w:rFonts w:ascii="Calibri" w:eastAsia="Times New Roman" w:hAnsi="Calibri" w:cs="Times New Roman"/>
          <w:noProof/>
        </w:rPr>
      </w:pPr>
      <w:r w:rsidRPr="00CE7A6C">
        <w:rPr>
          <w:rFonts w:ascii="Verdana" w:eastAsia="Calibri" w:hAnsi="Verdana" w:cs="Times New Roman"/>
          <w:i/>
          <w:sz w:val="24"/>
        </w:rPr>
        <w:fldChar w:fldCharType="begin"/>
      </w:r>
      <w:r w:rsidRPr="00CE7A6C">
        <w:rPr>
          <w:rFonts w:ascii="Verdana" w:eastAsia="Calibri" w:hAnsi="Verdana" w:cs="Times New Roman"/>
          <w:i/>
          <w:sz w:val="24"/>
        </w:rPr>
        <w:instrText xml:space="preserve"> TOC \o "1-3" \n \h \z \u </w:instrText>
      </w:r>
      <w:r w:rsidRPr="00CE7A6C">
        <w:rPr>
          <w:rFonts w:ascii="Verdana" w:eastAsia="Calibri" w:hAnsi="Verdana" w:cs="Times New Roman"/>
          <w:i/>
          <w:sz w:val="24"/>
        </w:rPr>
        <w:fldChar w:fldCharType="separate"/>
      </w:r>
      <w:hyperlink w:anchor="_Toc27122299" w:history="1">
        <w:r w:rsidRPr="00CE7A6C">
          <w:rPr>
            <w:rFonts w:ascii="Verdana" w:eastAsia="Calibri" w:hAnsi="Verdana" w:cs="Times New Roman"/>
            <w:noProof/>
            <w:color w:val="0000FF"/>
            <w:sz w:val="24"/>
            <w:u w:val="single"/>
          </w:rPr>
          <w:t>Additions to ORCF Leadership</w:t>
        </w:r>
      </w:hyperlink>
    </w:p>
    <w:p w14:paraId="1A0A5AD8" w14:textId="77777777" w:rsidR="00CE7A6C" w:rsidRPr="00CE7A6C" w:rsidRDefault="004A5F9D" w:rsidP="00CE7A6C">
      <w:pPr>
        <w:tabs>
          <w:tab w:val="right" w:leader="dot" w:pos="9350"/>
        </w:tabs>
        <w:spacing w:after="0" w:line="240" w:lineRule="auto"/>
        <w:ind w:left="270" w:hanging="270"/>
        <w:rPr>
          <w:rFonts w:ascii="Calibri" w:eastAsia="Times New Roman" w:hAnsi="Calibri" w:cs="Times New Roman"/>
          <w:noProof/>
        </w:rPr>
      </w:pPr>
      <w:hyperlink w:anchor="_Toc27122300" w:history="1">
        <w:r w:rsidR="00CE7A6C" w:rsidRPr="00CE7A6C">
          <w:rPr>
            <w:rFonts w:ascii="Verdana" w:eastAsia="Calibri" w:hAnsi="Verdana" w:cs="Times New Roman"/>
            <w:noProof/>
            <w:color w:val="0000FF"/>
            <w:sz w:val="24"/>
            <w:u w:val="single"/>
          </w:rPr>
          <w:t>Real Estate Assessment Center’s (REAC) National Standards for the Physical Inspection of Real Estate (NSPIRE) Demonstration</w:t>
        </w:r>
      </w:hyperlink>
    </w:p>
    <w:p w14:paraId="1A4BC632" w14:textId="77777777" w:rsidR="00CE7A6C" w:rsidRPr="00CE7A6C" w:rsidRDefault="004A5F9D" w:rsidP="00CE7A6C">
      <w:pPr>
        <w:tabs>
          <w:tab w:val="right" w:leader="dot" w:pos="9350"/>
        </w:tabs>
        <w:spacing w:after="0" w:line="240" w:lineRule="auto"/>
        <w:ind w:left="270" w:hanging="270"/>
        <w:rPr>
          <w:rFonts w:ascii="Calibri" w:eastAsia="Times New Roman" w:hAnsi="Calibri" w:cs="Times New Roman"/>
          <w:noProof/>
        </w:rPr>
      </w:pPr>
      <w:hyperlink w:anchor="_Toc27122301" w:history="1">
        <w:r w:rsidR="00CE7A6C" w:rsidRPr="00CE7A6C">
          <w:rPr>
            <w:rFonts w:ascii="Verdana" w:eastAsia="Calibri" w:hAnsi="Verdana" w:cs="Times New Roman"/>
            <w:noProof/>
            <w:color w:val="0000FF"/>
            <w:sz w:val="24"/>
            <w:u w:val="single"/>
          </w:rPr>
          <w:t>Fiscal Year 2019 Lender Performance</w:t>
        </w:r>
      </w:hyperlink>
    </w:p>
    <w:p w14:paraId="67FF28B4" w14:textId="77777777" w:rsidR="00CE7A6C" w:rsidRPr="00CE7A6C" w:rsidRDefault="004A5F9D" w:rsidP="00CE7A6C">
      <w:pPr>
        <w:tabs>
          <w:tab w:val="right" w:leader="dot" w:pos="9350"/>
        </w:tabs>
        <w:spacing w:after="0" w:line="240" w:lineRule="auto"/>
        <w:ind w:left="270" w:hanging="270"/>
        <w:rPr>
          <w:rFonts w:ascii="Calibri" w:eastAsia="Times New Roman" w:hAnsi="Calibri" w:cs="Times New Roman"/>
          <w:noProof/>
        </w:rPr>
      </w:pPr>
      <w:hyperlink w:anchor="_Toc27122302" w:history="1">
        <w:r w:rsidR="00CE7A6C" w:rsidRPr="00CE7A6C">
          <w:rPr>
            <w:rFonts w:ascii="Verdana" w:eastAsia="Calibri" w:hAnsi="Verdana" w:cs="Times New Roman"/>
            <w:noProof/>
            <w:color w:val="0000FF"/>
            <w:sz w:val="24"/>
            <w:u w:val="single"/>
          </w:rPr>
          <w:t>FROM THE CLOSING CORNER</w:t>
        </w:r>
      </w:hyperlink>
    </w:p>
    <w:p w14:paraId="42C9789A" w14:textId="77777777" w:rsidR="00CE7A6C" w:rsidRPr="00CE7A6C" w:rsidRDefault="004A5F9D" w:rsidP="00CE7A6C">
      <w:pPr>
        <w:tabs>
          <w:tab w:val="right" w:leader="dot" w:pos="9350"/>
        </w:tabs>
        <w:spacing w:after="0" w:line="240" w:lineRule="auto"/>
        <w:ind w:left="270"/>
        <w:rPr>
          <w:rFonts w:ascii="Calibri" w:eastAsia="Times New Roman" w:hAnsi="Calibri" w:cs="Times New Roman"/>
          <w:noProof/>
        </w:rPr>
      </w:pPr>
      <w:hyperlink w:anchor="_Toc27122303" w:history="1">
        <w:r w:rsidR="00CE7A6C" w:rsidRPr="00CE7A6C">
          <w:rPr>
            <w:rFonts w:ascii="Verdana" w:eastAsia="Calibri" w:hAnsi="Verdana" w:cs="Times New Roman"/>
            <w:noProof/>
            <w:color w:val="0000FF"/>
            <w:sz w:val="24"/>
            <w:u w:val="single"/>
          </w:rPr>
          <w:t>Reminder When Submitting a Closing Package to ORCF</w:t>
        </w:r>
      </w:hyperlink>
    </w:p>
    <w:p w14:paraId="46248569" w14:textId="77777777" w:rsidR="00CE7A6C" w:rsidRPr="00CE7A6C" w:rsidRDefault="004A5F9D" w:rsidP="00CE7A6C">
      <w:pPr>
        <w:tabs>
          <w:tab w:val="right" w:leader="dot" w:pos="9350"/>
        </w:tabs>
        <w:spacing w:after="0" w:line="240" w:lineRule="auto"/>
        <w:ind w:left="270"/>
        <w:rPr>
          <w:rFonts w:ascii="Calibri" w:eastAsia="Times New Roman" w:hAnsi="Calibri" w:cs="Times New Roman"/>
          <w:noProof/>
        </w:rPr>
      </w:pPr>
      <w:hyperlink w:anchor="_Toc27122304" w:history="1">
        <w:r w:rsidR="00CE7A6C" w:rsidRPr="00CE7A6C">
          <w:rPr>
            <w:rFonts w:ascii="Verdana" w:eastAsia="Calibri" w:hAnsi="Verdana" w:cs="Times New Roman"/>
            <w:noProof/>
            <w:color w:val="0000FF"/>
            <w:sz w:val="24"/>
            <w:u w:val="single"/>
          </w:rPr>
          <w:t>Update - Lender Attorney Portal Access</w:t>
        </w:r>
      </w:hyperlink>
    </w:p>
    <w:p w14:paraId="021EE258" w14:textId="77777777" w:rsidR="00CE7A6C" w:rsidRPr="00CE7A6C" w:rsidRDefault="004A5F9D" w:rsidP="00CE7A6C">
      <w:pPr>
        <w:tabs>
          <w:tab w:val="right" w:leader="dot" w:pos="9350"/>
        </w:tabs>
        <w:spacing w:after="0" w:line="240" w:lineRule="auto"/>
        <w:ind w:left="270" w:hanging="270"/>
        <w:rPr>
          <w:rFonts w:ascii="Calibri" w:eastAsia="Times New Roman" w:hAnsi="Calibri" w:cs="Times New Roman"/>
          <w:noProof/>
        </w:rPr>
      </w:pPr>
      <w:hyperlink w:anchor="_Toc27122305" w:history="1">
        <w:r w:rsidR="00CE7A6C" w:rsidRPr="00CE7A6C">
          <w:rPr>
            <w:rFonts w:ascii="Verdana" w:eastAsia="Calibri" w:hAnsi="Verdana" w:cs="Times New Roman"/>
            <w:noProof/>
            <w:color w:val="0000FF"/>
            <w:sz w:val="24"/>
            <w:u w:val="single"/>
          </w:rPr>
          <w:t>Document Links Included In This Blast</w:t>
        </w:r>
      </w:hyperlink>
    </w:p>
    <w:p w14:paraId="75DDEB3C" w14:textId="77777777" w:rsidR="00CE7A6C" w:rsidRPr="00CE7A6C" w:rsidRDefault="00CE7A6C" w:rsidP="00CE7A6C">
      <w:pPr>
        <w:spacing w:after="0" w:line="240" w:lineRule="auto"/>
        <w:rPr>
          <w:rFonts w:ascii="Verdana" w:eastAsia="Calibri" w:hAnsi="Verdana" w:cs="Times New Roman"/>
          <w:sz w:val="24"/>
        </w:rPr>
      </w:pPr>
      <w:r w:rsidRPr="00CE7A6C">
        <w:rPr>
          <w:rFonts w:ascii="Verdana" w:eastAsia="Calibri" w:hAnsi="Verdana" w:cs="Times New Roman"/>
          <w:i/>
          <w:sz w:val="24"/>
        </w:rPr>
        <w:fldChar w:fldCharType="end"/>
      </w:r>
    </w:p>
    <w:p w14:paraId="5D964F83" w14:textId="77777777" w:rsidR="00CE7A6C" w:rsidRPr="00CE7A6C" w:rsidRDefault="00CE7A6C" w:rsidP="00CE7A6C">
      <w:pPr>
        <w:spacing w:after="0" w:line="240" w:lineRule="auto"/>
        <w:jc w:val="center"/>
        <w:rPr>
          <w:rFonts w:ascii="Verdana" w:eastAsia="Calibri" w:hAnsi="Verdana" w:cs="Times New Roman"/>
          <w:sz w:val="24"/>
        </w:rPr>
      </w:pPr>
      <w:r w:rsidRPr="00CE7A6C">
        <w:rPr>
          <w:rFonts w:ascii="Verdana" w:eastAsia="Calibri" w:hAnsi="Verdana" w:cs="Times New Roman"/>
          <w:noProof/>
          <w:color w:val="1F497D"/>
        </w:rPr>
        <w:drawing>
          <wp:inline distT="0" distB="0" distL="0" distR="0" wp14:anchorId="77EB85C5" wp14:editId="2177C8FC">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A7548F4" w14:textId="77777777" w:rsidR="00CE7A6C" w:rsidRPr="00CE7A6C" w:rsidRDefault="00CE7A6C" w:rsidP="00CE7A6C">
      <w:pPr>
        <w:spacing w:after="0" w:line="240" w:lineRule="auto"/>
        <w:rPr>
          <w:rFonts w:ascii="Verdana" w:eastAsia="Calibri" w:hAnsi="Verdana" w:cs="Times New Roman"/>
          <w:color w:val="000000"/>
          <w:sz w:val="24"/>
        </w:rPr>
      </w:pPr>
      <w:bookmarkStart w:id="2" w:name="_Toc380585836"/>
      <w:bookmarkEnd w:id="2"/>
    </w:p>
    <w:p w14:paraId="307C95DA" w14:textId="77777777" w:rsidR="00CE7A6C" w:rsidRPr="00CE7A6C" w:rsidRDefault="00CE7A6C" w:rsidP="00CE7A6C">
      <w:pPr>
        <w:spacing w:after="120" w:line="240" w:lineRule="auto"/>
        <w:outlineLvl w:val="0"/>
        <w:rPr>
          <w:rFonts w:ascii="Verdana" w:eastAsia="Calibri" w:hAnsi="Verdana" w:cs="Times New Roman"/>
          <w:b/>
          <w:bCs/>
          <w:caps/>
          <w:sz w:val="28"/>
          <w:szCs w:val="32"/>
          <w:u w:val="single"/>
        </w:rPr>
      </w:pPr>
      <w:bookmarkStart w:id="3" w:name="_Toc27122299"/>
      <w:r w:rsidRPr="00CE7A6C">
        <w:rPr>
          <w:rFonts w:ascii="Verdana" w:eastAsia="Calibri" w:hAnsi="Verdana" w:cs="Times New Roman"/>
          <w:b/>
          <w:bCs/>
          <w:caps/>
          <w:sz w:val="28"/>
          <w:szCs w:val="32"/>
          <w:u w:val="single"/>
        </w:rPr>
        <w:t>Additions to ORCF Leadership</w:t>
      </w:r>
      <w:bookmarkEnd w:id="3"/>
    </w:p>
    <w:p w14:paraId="368DA489" w14:textId="77777777" w:rsidR="00CE7A6C" w:rsidRPr="00CE7A6C" w:rsidRDefault="00CE7A6C" w:rsidP="00CE7A6C">
      <w:pPr>
        <w:spacing w:after="0" w:line="240" w:lineRule="auto"/>
        <w:rPr>
          <w:rFonts w:ascii="Verdana" w:eastAsia="Calibri" w:hAnsi="Verdana" w:cs="Times New Roman"/>
          <w:sz w:val="24"/>
        </w:rPr>
      </w:pPr>
      <w:r w:rsidRPr="00CE7A6C">
        <w:rPr>
          <w:rFonts w:ascii="Verdana" w:eastAsia="Calibri" w:hAnsi="Verdana" w:cs="Times New Roman"/>
          <w:sz w:val="24"/>
        </w:rPr>
        <w:t>Effective November 24, 2019, ORCF has promoted the following individuals to leadership positions:</w:t>
      </w:r>
    </w:p>
    <w:p w14:paraId="72EDFB86" w14:textId="77777777" w:rsidR="00CE7A6C" w:rsidRPr="00CE7A6C" w:rsidRDefault="00CE7A6C" w:rsidP="00CE7A6C">
      <w:pPr>
        <w:spacing w:after="0" w:line="240" w:lineRule="auto"/>
        <w:rPr>
          <w:rFonts w:ascii="Verdana" w:eastAsia="Calibri" w:hAnsi="Verdana" w:cs="Times New Roman"/>
          <w:sz w:val="24"/>
        </w:rPr>
      </w:pPr>
    </w:p>
    <w:p w14:paraId="2ED74921" w14:textId="77777777" w:rsidR="00CE7A6C" w:rsidRPr="00CE7A6C" w:rsidRDefault="00CE7A6C" w:rsidP="00CE7A6C">
      <w:pPr>
        <w:numPr>
          <w:ilvl w:val="0"/>
          <w:numId w:val="5"/>
        </w:numPr>
        <w:spacing w:after="0" w:line="240" w:lineRule="auto"/>
        <w:rPr>
          <w:rFonts w:ascii="Verdana" w:eastAsia="Times New Roman" w:hAnsi="Verdana" w:cs="Times New Roman"/>
          <w:sz w:val="24"/>
          <w:szCs w:val="24"/>
        </w:rPr>
      </w:pPr>
      <w:r w:rsidRPr="00CE7A6C">
        <w:rPr>
          <w:rFonts w:ascii="Verdana" w:eastAsia="Times New Roman" w:hAnsi="Verdana" w:cs="Times New Roman"/>
          <w:sz w:val="24"/>
          <w:szCs w:val="24"/>
        </w:rPr>
        <w:t>Asset Management Deputy Division Director – Rita Dockery</w:t>
      </w:r>
    </w:p>
    <w:p w14:paraId="141D3DCC" w14:textId="77777777" w:rsidR="00CE7A6C" w:rsidRPr="00CE7A6C" w:rsidRDefault="00CE7A6C" w:rsidP="00CE7A6C">
      <w:pPr>
        <w:numPr>
          <w:ilvl w:val="0"/>
          <w:numId w:val="5"/>
        </w:numPr>
        <w:spacing w:after="0" w:line="240" w:lineRule="auto"/>
        <w:rPr>
          <w:rFonts w:ascii="Verdana" w:eastAsia="Times New Roman" w:hAnsi="Verdana" w:cs="Times New Roman"/>
          <w:sz w:val="24"/>
          <w:szCs w:val="24"/>
        </w:rPr>
      </w:pPr>
      <w:r w:rsidRPr="00CE7A6C">
        <w:rPr>
          <w:rFonts w:ascii="Verdana" w:eastAsia="Times New Roman" w:hAnsi="Verdana" w:cs="Times New Roman"/>
          <w:sz w:val="24"/>
          <w:szCs w:val="24"/>
        </w:rPr>
        <w:t>Production Deputy Division Director – Susan Gosselin</w:t>
      </w:r>
    </w:p>
    <w:p w14:paraId="40D88789" w14:textId="77777777" w:rsidR="00CE7A6C" w:rsidRPr="00CE7A6C" w:rsidRDefault="00CE7A6C" w:rsidP="00CE7A6C">
      <w:pPr>
        <w:numPr>
          <w:ilvl w:val="0"/>
          <w:numId w:val="5"/>
        </w:numPr>
        <w:spacing w:after="0" w:line="240" w:lineRule="auto"/>
        <w:rPr>
          <w:rFonts w:ascii="Verdana" w:eastAsia="Times New Roman" w:hAnsi="Verdana" w:cs="Times New Roman"/>
          <w:sz w:val="24"/>
          <w:szCs w:val="24"/>
        </w:rPr>
      </w:pPr>
      <w:r w:rsidRPr="00CE7A6C">
        <w:rPr>
          <w:rFonts w:ascii="Verdana" w:eastAsia="Times New Roman" w:hAnsi="Verdana" w:cs="Times New Roman"/>
          <w:sz w:val="24"/>
          <w:szCs w:val="24"/>
        </w:rPr>
        <w:t>Operations Manager – Nicole Johnson</w:t>
      </w:r>
    </w:p>
    <w:p w14:paraId="4DD47719" w14:textId="77777777" w:rsidR="00CE7A6C" w:rsidRPr="00CE7A6C" w:rsidRDefault="00CE7A6C" w:rsidP="00CE7A6C">
      <w:pPr>
        <w:spacing w:after="0" w:line="240" w:lineRule="auto"/>
        <w:rPr>
          <w:rFonts w:ascii="Verdana" w:eastAsia="Calibri" w:hAnsi="Verdana" w:cs="Times New Roman"/>
          <w:sz w:val="24"/>
        </w:rPr>
      </w:pPr>
    </w:p>
    <w:p w14:paraId="6AE9DC3C" w14:textId="77777777" w:rsidR="00CE7A6C" w:rsidRPr="00CE7A6C" w:rsidRDefault="00CE7A6C" w:rsidP="00CE7A6C">
      <w:pPr>
        <w:spacing w:after="0" w:line="240" w:lineRule="auto"/>
        <w:rPr>
          <w:rFonts w:ascii="Verdana" w:eastAsia="Calibri" w:hAnsi="Verdana" w:cs="Times New Roman"/>
          <w:i/>
          <w:iCs/>
          <w:sz w:val="24"/>
        </w:rPr>
      </w:pPr>
      <w:r w:rsidRPr="00CE7A6C">
        <w:rPr>
          <w:rFonts w:ascii="Verdana" w:eastAsia="Calibri" w:hAnsi="Verdana" w:cs="Times New Roman"/>
          <w:b/>
          <w:bCs/>
          <w:i/>
          <w:iCs/>
          <w:sz w:val="24"/>
        </w:rPr>
        <w:t>Keyword:</w:t>
      </w:r>
      <w:r w:rsidRPr="00CE7A6C">
        <w:rPr>
          <w:rFonts w:ascii="Verdana" w:eastAsia="Calibri" w:hAnsi="Verdana" w:cs="Times New Roman"/>
          <w:i/>
          <w:iCs/>
          <w:sz w:val="24"/>
        </w:rPr>
        <w:t xml:space="preserve"> ORCF Management Update</w:t>
      </w:r>
    </w:p>
    <w:p w14:paraId="28B2E80E" w14:textId="77777777" w:rsidR="00CE7A6C" w:rsidRPr="00CE7A6C" w:rsidRDefault="00CE7A6C" w:rsidP="00CE7A6C">
      <w:pPr>
        <w:spacing w:after="0" w:line="240" w:lineRule="auto"/>
        <w:rPr>
          <w:rFonts w:ascii="Verdana" w:eastAsia="Calibri" w:hAnsi="Verdana" w:cs="Times New Roman"/>
          <w:color w:val="000000"/>
          <w:sz w:val="24"/>
        </w:rPr>
      </w:pPr>
    </w:p>
    <w:p w14:paraId="727D171B" w14:textId="77777777" w:rsidR="00CE7A6C" w:rsidRPr="00CE7A6C" w:rsidRDefault="004A5F9D" w:rsidP="00CE7A6C">
      <w:pPr>
        <w:spacing w:after="0" w:line="240" w:lineRule="auto"/>
        <w:rPr>
          <w:rFonts w:ascii="Verdana" w:eastAsia="Calibri" w:hAnsi="Verdana" w:cs="Times New Roman"/>
          <w:color w:val="0000FF"/>
          <w:sz w:val="24"/>
          <w:u w:val="single"/>
        </w:rPr>
      </w:pPr>
      <w:hyperlink w:anchor="_top" w:history="1">
        <w:r w:rsidR="00CE7A6C" w:rsidRPr="00CE7A6C">
          <w:rPr>
            <w:rFonts w:ascii="Verdana" w:eastAsia="Calibri" w:hAnsi="Verdana" w:cs="Times New Roman"/>
            <w:color w:val="0000FF"/>
            <w:sz w:val="24"/>
            <w:u w:val="single"/>
          </w:rPr>
          <w:t>Back to top</w:t>
        </w:r>
      </w:hyperlink>
    </w:p>
    <w:p w14:paraId="43EC6596" w14:textId="77777777" w:rsidR="00CE7A6C" w:rsidRPr="00CE7A6C" w:rsidRDefault="00CE7A6C" w:rsidP="00CE7A6C">
      <w:pPr>
        <w:spacing w:after="0" w:line="240" w:lineRule="auto"/>
        <w:rPr>
          <w:rFonts w:ascii="Verdana" w:eastAsia="Calibri" w:hAnsi="Verdana" w:cs="Times New Roman"/>
          <w:color w:val="000000"/>
          <w:sz w:val="24"/>
        </w:rPr>
      </w:pPr>
    </w:p>
    <w:p w14:paraId="5F021238" w14:textId="77777777" w:rsidR="00CE7A6C" w:rsidRPr="00CE7A6C" w:rsidRDefault="00CE7A6C" w:rsidP="00CE7A6C">
      <w:pPr>
        <w:spacing w:after="120" w:line="240" w:lineRule="auto"/>
        <w:outlineLvl w:val="0"/>
        <w:rPr>
          <w:rFonts w:ascii="Verdana" w:eastAsia="Calibri" w:hAnsi="Verdana" w:cs="Times New Roman"/>
          <w:b/>
          <w:bCs/>
          <w:caps/>
          <w:sz w:val="28"/>
          <w:szCs w:val="32"/>
          <w:u w:val="single"/>
        </w:rPr>
      </w:pPr>
      <w:bookmarkStart w:id="4" w:name="_Toc27122300"/>
      <w:r w:rsidRPr="00CE7A6C">
        <w:rPr>
          <w:rFonts w:ascii="Verdana" w:eastAsia="Calibri" w:hAnsi="Verdana" w:cs="Times New Roman"/>
          <w:b/>
          <w:bCs/>
          <w:caps/>
          <w:sz w:val="28"/>
          <w:szCs w:val="28"/>
          <w:u w:val="single"/>
        </w:rPr>
        <w:t>Real Estate Assessment Center’s (REAC) National Standards for the Physical Inspection of Real Estate (NSPIRE) Demonstration</w:t>
      </w:r>
      <w:bookmarkEnd w:id="4"/>
    </w:p>
    <w:p w14:paraId="6D81C94E" w14:textId="77777777" w:rsidR="00CE7A6C" w:rsidRPr="00CE7A6C" w:rsidRDefault="00CE7A6C" w:rsidP="00CE7A6C">
      <w:pPr>
        <w:spacing w:after="0" w:line="240" w:lineRule="auto"/>
        <w:rPr>
          <w:rFonts w:ascii="Verdana" w:eastAsia="Calibri" w:hAnsi="Verdana" w:cs="Times New Roman"/>
          <w:sz w:val="24"/>
        </w:rPr>
      </w:pPr>
      <w:bookmarkStart w:id="5" w:name="_Hlk26175867"/>
      <w:r w:rsidRPr="00CE7A6C">
        <w:rPr>
          <w:rFonts w:ascii="Verdana" w:eastAsia="Calibri" w:hAnsi="Verdana" w:cs="Times New Roman"/>
          <w:sz w:val="24"/>
        </w:rPr>
        <w:t xml:space="preserve">In 2017, Secretary Carson directed a “wholesale reexamination” of HUD’s physical inspection processes.  Subsequently, HUD began to analyze the way inspections were conducted and to better understand areas in which its standards and processes needed to evolve.  As a result of this analysis, HUD’s Real Estate Assessment Center (REAC) began to lay the foundation of a new inspection model based on National Standards for the Physical Inspection of Real Estate (NSPIRE).  For the purpose of identifying potential </w:t>
      </w:r>
      <w:r w:rsidRPr="00CE7A6C">
        <w:rPr>
          <w:rFonts w:ascii="Verdana" w:eastAsia="Calibri" w:hAnsi="Verdana" w:cs="Times New Roman"/>
          <w:sz w:val="24"/>
        </w:rPr>
        <w:lastRenderedPageBreak/>
        <w:t>adjustments to standards, protocols, and processes prior to nationwide implementation, REAC has begun a two-year, voluntary Demonstration.  The Demonstration will involve a diverse, representative group of stakeholders, including REAC, other HUD offices, Public Housing Authorities, and Property Owners and Agents.</w:t>
      </w:r>
    </w:p>
    <w:p w14:paraId="2714A2CF" w14:textId="77777777" w:rsidR="00CE7A6C" w:rsidRPr="00CE7A6C" w:rsidRDefault="00CE7A6C" w:rsidP="00CE7A6C">
      <w:pPr>
        <w:spacing w:after="0" w:line="240" w:lineRule="auto"/>
        <w:rPr>
          <w:rFonts w:ascii="Verdana" w:eastAsia="Calibri" w:hAnsi="Verdana" w:cs="Times New Roman"/>
          <w:sz w:val="24"/>
        </w:rPr>
      </w:pPr>
    </w:p>
    <w:p w14:paraId="5DB6A136" w14:textId="77777777" w:rsidR="00CE7A6C" w:rsidRPr="00CE7A6C" w:rsidRDefault="00CE7A6C" w:rsidP="00CE7A6C">
      <w:pPr>
        <w:spacing w:after="0" w:line="240" w:lineRule="auto"/>
        <w:rPr>
          <w:rFonts w:ascii="Verdana" w:eastAsia="Calibri" w:hAnsi="Verdana" w:cs="Times New Roman"/>
          <w:sz w:val="24"/>
        </w:rPr>
      </w:pPr>
      <w:r w:rsidRPr="00CE7A6C">
        <w:rPr>
          <w:rFonts w:ascii="Verdana" w:eastAsia="Calibri" w:hAnsi="Verdana" w:cs="Times New Roman"/>
          <w:sz w:val="24"/>
        </w:rPr>
        <w:t xml:space="preserve">The NSPIRE Demonstration is now in the implementation phase and REAC is seeking properties to participate in the Demonstration.  For residential care facilities, this would include interested owners whose facilities are currently subject to routine recurring REAC inspections.  </w:t>
      </w:r>
    </w:p>
    <w:p w14:paraId="42536F6E" w14:textId="77777777" w:rsidR="00CE7A6C" w:rsidRPr="00CE7A6C" w:rsidRDefault="00CE7A6C" w:rsidP="00CE7A6C">
      <w:pPr>
        <w:spacing w:after="0" w:line="240" w:lineRule="auto"/>
        <w:rPr>
          <w:rFonts w:ascii="Verdana" w:eastAsia="Calibri" w:hAnsi="Verdana" w:cs="Times New Roman"/>
          <w:sz w:val="24"/>
        </w:rPr>
      </w:pPr>
    </w:p>
    <w:p w14:paraId="15E6AE7F" w14:textId="77777777" w:rsidR="00CE7A6C" w:rsidRPr="00CE7A6C" w:rsidRDefault="00CE7A6C" w:rsidP="00CE7A6C">
      <w:pPr>
        <w:spacing w:after="0" w:line="240" w:lineRule="auto"/>
        <w:rPr>
          <w:rFonts w:ascii="Verdana" w:eastAsia="Calibri" w:hAnsi="Verdana" w:cs="Times New Roman"/>
          <w:sz w:val="24"/>
        </w:rPr>
      </w:pPr>
      <w:r w:rsidRPr="00CE7A6C">
        <w:rPr>
          <w:rFonts w:ascii="Verdana" w:eastAsia="Calibri" w:hAnsi="Verdana" w:cs="Times New Roman"/>
          <w:sz w:val="24"/>
        </w:rPr>
        <w:t>To learn more about NSPIRE and how to volunteer for the Demonstration, please visit the NSPIRE website (</w:t>
      </w:r>
      <w:hyperlink r:id="rId8" w:history="1">
        <w:r w:rsidRPr="00CE7A6C">
          <w:rPr>
            <w:rFonts w:ascii="Verdana" w:eastAsia="Calibri" w:hAnsi="Verdana" w:cs="Times New Roman"/>
            <w:color w:val="0000FF"/>
            <w:sz w:val="24"/>
            <w:u w:val="single"/>
          </w:rPr>
          <w:t>here</w:t>
        </w:r>
      </w:hyperlink>
      <w:r w:rsidRPr="00CE7A6C">
        <w:rPr>
          <w:rFonts w:ascii="Verdana" w:eastAsia="Calibri" w:hAnsi="Verdana" w:cs="Times New Roman"/>
          <w:sz w:val="24"/>
        </w:rPr>
        <w:t>).</w:t>
      </w:r>
    </w:p>
    <w:bookmarkEnd w:id="5"/>
    <w:p w14:paraId="4DC10851" w14:textId="77777777" w:rsidR="00CE7A6C" w:rsidRPr="00CE7A6C" w:rsidRDefault="00CE7A6C" w:rsidP="00CE7A6C">
      <w:pPr>
        <w:spacing w:after="0" w:line="240" w:lineRule="auto"/>
        <w:rPr>
          <w:rFonts w:ascii="Verdana" w:eastAsia="Calibri" w:hAnsi="Verdana" w:cs="Times New Roman"/>
          <w:sz w:val="24"/>
        </w:rPr>
      </w:pPr>
    </w:p>
    <w:p w14:paraId="0168DE87" w14:textId="77777777" w:rsidR="00CE7A6C" w:rsidRPr="00CE7A6C" w:rsidRDefault="00CE7A6C" w:rsidP="00CE7A6C">
      <w:pPr>
        <w:spacing w:after="0" w:line="240" w:lineRule="auto"/>
        <w:rPr>
          <w:rFonts w:ascii="Verdana" w:eastAsia="MS Mincho" w:hAnsi="Verdana" w:cs="Times New Roman"/>
          <w:i/>
          <w:sz w:val="24"/>
          <w:szCs w:val="24"/>
        </w:rPr>
      </w:pPr>
      <w:r w:rsidRPr="00CE7A6C">
        <w:rPr>
          <w:rFonts w:ascii="Verdana" w:eastAsia="MS Mincho" w:hAnsi="Verdana" w:cs="Times New Roman"/>
          <w:b/>
          <w:i/>
          <w:sz w:val="24"/>
          <w:szCs w:val="24"/>
        </w:rPr>
        <w:t>Keywords:</w:t>
      </w:r>
      <w:r w:rsidRPr="00CE7A6C">
        <w:rPr>
          <w:rFonts w:ascii="Verdana" w:eastAsia="MS Mincho" w:hAnsi="Verdana" w:cs="Times New Roman"/>
          <w:i/>
          <w:sz w:val="24"/>
          <w:szCs w:val="24"/>
        </w:rPr>
        <w:tab/>
        <w:t>REAC</w:t>
      </w:r>
    </w:p>
    <w:p w14:paraId="2F2D7F04" w14:textId="77777777" w:rsidR="00CE7A6C" w:rsidRPr="00CE7A6C" w:rsidRDefault="00CE7A6C" w:rsidP="00CE7A6C">
      <w:pPr>
        <w:spacing w:after="0" w:line="240" w:lineRule="auto"/>
        <w:rPr>
          <w:rFonts w:ascii="Verdana" w:eastAsia="MS Mincho" w:hAnsi="Verdana" w:cs="Times New Roman"/>
          <w:b/>
          <w:sz w:val="24"/>
          <w:szCs w:val="24"/>
        </w:rPr>
      </w:pPr>
    </w:p>
    <w:bookmarkStart w:id="6" w:name="_Hlk27122297"/>
    <w:p w14:paraId="7F6E891A" w14:textId="77777777" w:rsidR="00CE7A6C" w:rsidRPr="00CE7A6C" w:rsidRDefault="00CE7A6C" w:rsidP="00CE7A6C">
      <w:pPr>
        <w:spacing w:after="0" w:line="240" w:lineRule="auto"/>
        <w:rPr>
          <w:rFonts w:ascii="Verdana" w:eastAsia="Calibri" w:hAnsi="Verdana" w:cs="Times New Roman"/>
          <w:color w:val="0000FF"/>
          <w:sz w:val="24"/>
          <w:u w:val="single"/>
        </w:rPr>
      </w:pPr>
      <w:r w:rsidRPr="00CE7A6C">
        <w:rPr>
          <w:rFonts w:ascii="Verdana" w:eastAsia="Calibri" w:hAnsi="Verdana" w:cs="Times New Roman"/>
          <w:sz w:val="24"/>
        </w:rPr>
        <w:fldChar w:fldCharType="begin"/>
      </w:r>
      <w:r w:rsidRPr="00CE7A6C">
        <w:rPr>
          <w:rFonts w:ascii="Verdana" w:eastAsia="Calibri" w:hAnsi="Verdana" w:cs="Times New Roman"/>
          <w:sz w:val="24"/>
        </w:rPr>
        <w:instrText xml:space="preserve"> HYPERLINK \l "_top" </w:instrText>
      </w:r>
      <w:r w:rsidRPr="00CE7A6C">
        <w:rPr>
          <w:rFonts w:ascii="Verdana" w:eastAsia="Calibri" w:hAnsi="Verdana" w:cs="Times New Roman"/>
          <w:sz w:val="24"/>
        </w:rPr>
        <w:fldChar w:fldCharType="separate"/>
      </w:r>
      <w:r w:rsidRPr="00CE7A6C">
        <w:rPr>
          <w:rFonts w:ascii="Verdana" w:eastAsia="Calibri" w:hAnsi="Verdana" w:cs="Times New Roman"/>
          <w:color w:val="0000FF"/>
          <w:sz w:val="24"/>
          <w:u w:val="single"/>
        </w:rPr>
        <w:t>Back to top</w:t>
      </w:r>
      <w:r w:rsidRPr="00CE7A6C">
        <w:rPr>
          <w:rFonts w:ascii="Verdana" w:eastAsia="Calibri" w:hAnsi="Verdana" w:cs="Times New Roman"/>
          <w:color w:val="0000FF"/>
          <w:sz w:val="24"/>
          <w:u w:val="single"/>
        </w:rPr>
        <w:fldChar w:fldCharType="end"/>
      </w:r>
    </w:p>
    <w:bookmarkEnd w:id="6"/>
    <w:p w14:paraId="4E8EAF2E" w14:textId="77777777" w:rsidR="00CE7A6C" w:rsidRPr="00CE7A6C" w:rsidRDefault="00CE7A6C" w:rsidP="00CE7A6C">
      <w:pPr>
        <w:spacing w:after="0" w:line="240" w:lineRule="auto"/>
        <w:rPr>
          <w:rFonts w:ascii="Verdana" w:eastAsia="Calibri" w:hAnsi="Verdana" w:cs="Times New Roman"/>
          <w:color w:val="000000"/>
          <w:sz w:val="24"/>
        </w:rPr>
      </w:pPr>
    </w:p>
    <w:p w14:paraId="52E35C30" w14:textId="77777777" w:rsidR="00CE7A6C" w:rsidRPr="00CE7A6C" w:rsidRDefault="00CE7A6C" w:rsidP="00CE7A6C">
      <w:pPr>
        <w:spacing w:after="120" w:line="240" w:lineRule="auto"/>
        <w:outlineLvl w:val="0"/>
        <w:rPr>
          <w:rFonts w:ascii="Verdana" w:eastAsia="Calibri" w:hAnsi="Verdana" w:cs="Times New Roman"/>
          <w:b/>
          <w:bCs/>
          <w:caps/>
          <w:sz w:val="28"/>
          <w:szCs w:val="32"/>
          <w:u w:val="single"/>
        </w:rPr>
      </w:pPr>
      <w:bookmarkStart w:id="7" w:name="_Toc27122301"/>
      <w:r w:rsidRPr="00CE7A6C">
        <w:rPr>
          <w:rFonts w:ascii="Verdana" w:eastAsia="Calibri" w:hAnsi="Verdana" w:cs="Times New Roman"/>
          <w:b/>
          <w:bCs/>
          <w:caps/>
          <w:sz w:val="28"/>
          <w:szCs w:val="32"/>
          <w:u w:val="single"/>
        </w:rPr>
        <w:t>Fiscal Year 2019 Lender Performance</w:t>
      </w:r>
      <w:bookmarkEnd w:id="7"/>
      <w:r w:rsidRPr="00CE7A6C">
        <w:rPr>
          <w:rFonts w:ascii="Verdana" w:eastAsia="Calibri" w:hAnsi="Verdana" w:cs="Times New Roman"/>
          <w:b/>
          <w:bCs/>
          <w:caps/>
          <w:sz w:val="28"/>
          <w:szCs w:val="32"/>
          <w:u w:val="single"/>
        </w:rPr>
        <w:t xml:space="preserve"> </w:t>
      </w:r>
    </w:p>
    <w:p w14:paraId="77548D87"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 xml:space="preserve">ORCF values the expertise of Lean lenders and the extensive effort invested in Section 232 submissions, and ORCF continuously strives to improve its thorough and timely processing of such transactions.  </w:t>
      </w:r>
    </w:p>
    <w:p w14:paraId="01C66A0F" w14:textId="77777777" w:rsidR="00CE7A6C" w:rsidRPr="00CE7A6C" w:rsidRDefault="00CE7A6C" w:rsidP="00CE7A6C">
      <w:pPr>
        <w:spacing w:after="0" w:line="240" w:lineRule="auto"/>
        <w:rPr>
          <w:rFonts w:ascii="Verdana" w:eastAsia="Calibri" w:hAnsi="Verdana" w:cs="Times New Roman"/>
          <w:color w:val="000000"/>
          <w:sz w:val="24"/>
        </w:rPr>
      </w:pPr>
    </w:p>
    <w:p w14:paraId="33DF7839"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 xml:space="preserve">One of the many ways ORCF seeks continuous improvement is by providing feedback to lenders on matters that may have created delays.  In that regard and consistent with longstanding practice, ORCF recently emailed each active Lean lender feedback on transactions that went to Loan Committee and/or closed during the past fiscal year.  </w:t>
      </w:r>
    </w:p>
    <w:p w14:paraId="1F13F415" w14:textId="77777777" w:rsidR="00CE7A6C" w:rsidRPr="00CE7A6C" w:rsidRDefault="00CE7A6C" w:rsidP="00CE7A6C">
      <w:pPr>
        <w:spacing w:after="0" w:line="240" w:lineRule="auto"/>
        <w:rPr>
          <w:rFonts w:ascii="Verdana" w:eastAsia="Calibri" w:hAnsi="Verdana" w:cs="Times New Roman"/>
          <w:color w:val="000000"/>
          <w:sz w:val="24"/>
        </w:rPr>
      </w:pPr>
    </w:p>
    <w:p w14:paraId="5B879E26"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 xml:space="preserve">Lenders have recently inquired about how ORCF’s observations about their own submissions compare to observations regarding recent submissions overall.  We would note that lender issues creating significant delays were observed in 38% of the transactions that went to Loan Committee and/or closed in FY19.  Also, of the categories that ORCF considers, certain topics were more frequently problematic than others, as illustrated below.  </w:t>
      </w:r>
    </w:p>
    <w:p w14:paraId="7CCAED72"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noProof/>
          <w:color w:val="000000"/>
          <w:sz w:val="24"/>
        </w:rPr>
        <w:lastRenderedPageBreak/>
        <w:drawing>
          <wp:inline distT="0" distB="0" distL="0" distR="0" wp14:anchorId="0B662D1D" wp14:editId="69DD6289">
            <wp:extent cx="5467738" cy="4119464"/>
            <wp:effectExtent l="0" t="0" r="0" b="14605"/>
            <wp:docPr id="5" name="Chart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041FDC" w14:textId="77777777" w:rsidR="00CE7A6C" w:rsidRPr="00CE7A6C" w:rsidRDefault="00CE7A6C" w:rsidP="00CE7A6C">
      <w:pPr>
        <w:spacing w:after="0" w:line="240" w:lineRule="auto"/>
        <w:rPr>
          <w:rFonts w:ascii="Verdana" w:eastAsia="Calibri" w:hAnsi="Verdana" w:cs="Times New Roman"/>
          <w:color w:val="000000"/>
          <w:sz w:val="24"/>
        </w:rPr>
      </w:pPr>
    </w:p>
    <w:p w14:paraId="0946EEB3"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Quality Control, Due Diligence and Responsiveness were the most frequently recurring concerns.  Below is a brief description of these three categories as a reminder, followed by some examples of comments included in lender feedback in the FY19 emails.</w:t>
      </w:r>
    </w:p>
    <w:p w14:paraId="01401037" w14:textId="77777777" w:rsidR="00CE7A6C" w:rsidRPr="00CE7A6C" w:rsidRDefault="00CE7A6C" w:rsidP="00CE7A6C">
      <w:pPr>
        <w:spacing w:after="0" w:line="240" w:lineRule="auto"/>
        <w:rPr>
          <w:rFonts w:ascii="Verdana" w:eastAsia="Calibri" w:hAnsi="Verdana" w:cs="Times New Roman"/>
          <w:color w:val="000000"/>
          <w:sz w:val="24"/>
        </w:rPr>
      </w:pPr>
    </w:p>
    <w:p w14:paraId="11BAB087" w14:textId="77777777" w:rsidR="00CE7A6C" w:rsidRPr="00CE7A6C" w:rsidRDefault="00CE7A6C" w:rsidP="00CE7A6C">
      <w:pPr>
        <w:spacing w:after="0" w:line="240" w:lineRule="auto"/>
        <w:rPr>
          <w:rFonts w:ascii="Verdana" w:eastAsia="Calibri" w:hAnsi="Verdana" w:cs="Times New Roman"/>
          <w:b/>
          <w:bCs/>
          <w:sz w:val="24"/>
        </w:rPr>
      </w:pPr>
      <w:r w:rsidRPr="00CE7A6C">
        <w:rPr>
          <w:rFonts w:ascii="Verdana" w:eastAsia="Calibri" w:hAnsi="Verdana" w:cs="Times New Roman"/>
          <w:b/>
          <w:bCs/>
          <w:sz w:val="24"/>
        </w:rPr>
        <w:t xml:space="preserve">Quality Control of Package </w:t>
      </w:r>
    </w:p>
    <w:p w14:paraId="4212D468" w14:textId="77777777" w:rsidR="00CE7A6C" w:rsidRPr="00CE7A6C" w:rsidRDefault="00CE7A6C" w:rsidP="00CE7A6C">
      <w:pPr>
        <w:spacing w:after="0" w:line="240" w:lineRule="auto"/>
        <w:rPr>
          <w:rFonts w:ascii="Verdana" w:eastAsia="Calibri" w:hAnsi="Verdana" w:cs="Times New Roman"/>
          <w:i/>
          <w:iCs/>
          <w:sz w:val="24"/>
        </w:rPr>
      </w:pPr>
      <w:r w:rsidRPr="00CE7A6C">
        <w:rPr>
          <w:rFonts w:ascii="Verdana" w:eastAsia="Calibri" w:hAnsi="Verdana" w:cs="Times New Roman"/>
          <w:i/>
          <w:iCs/>
          <w:sz w:val="24"/>
        </w:rPr>
        <w:t>Considers the completeness, internal consistency and general accuracy of information within the application or closing package, conforming to Lean processing. Examples of errors include:</w:t>
      </w:r>
    </w:p>
    <w:p w14:paraId="676B62F2" w14:textId="77777777" w:rsidR="00CE7A6C" w:rsidRPr="00CE7A6C" w:rsidRDefault="00CE7A6C" w:rsidP="00CE7A6C">
      <w:pPr>
        <w:numPr>
          <w:ilvl w:val="0"/>
          <w:numId w:val="3"/>
        </w:numPr>
        <w:spacing w:after="0" w:line="240" w:lineRule="auto"/>
        <w:rPr>
          <w:rFonts w:ascii="Verdana" w:eastAsia="Calibri" w:hAnsi="Verdana" w:cs="Times New Roman"/>
          <w:sz w:val="24"/>
        </w:rPr>
      </w:pPr>
      <w:r w:rsidRPr="00CE7A6C">
        <w:rPr>
          <w:rFonts w:ascii="Verdana" w:eastAsia="Calibri" w:hAnsi="Verdana" w:cs="Times New Roman"/>
          <w:sz w:val="24"/>
        </w:rPr>
        <w:t>Wrong information on project (e.g. wrong beds/units, other data)</w:t>
      </w:r>
    </w:p>
    <w:p w14:paraId="1DBFD940" w14:textId="77777777" w:rsidR="00CE7A6C" w:rsidRPr="00CE7A6C" w:rsidRDefault="00CE7A6C" w:rsidP="00CE7A6C">
      <w:pPr>
        <w:numPr>
          <w:ilvl w:val="0"/>
          <w:numId w:val="3"/>
        </w:numPr>
        <w:spacing w:after="0" w:line="240" w:lineRule="auto"/>
        <w:rPr>
          <w:rFonts w:ascii="Verdana" w:eastAsia="Calibri" w:hAnsi="Verdana" w:cs="Times New Roman"/>
          <w:sz w:val="24"/>
        </w:rPr>
      </w:pPr>
      <w:r w:rsidRPr="00CE7A6C">
        <w:rPr>
          <w:rFonts w:ascii="Verdana" w:eastAsia="Calibri" w:hAnsi="Verdana" w:cs="Times New Roman"/>
          <w:sz w:val="24"/>
        </w:rPr>
        <w:t>Multiple typographical errors – (e.g. transposed numbers)</w:t>
      </w:r>
    </w:p>
    <w:p w14:paraId="63FE1EF9" w14:textId="77777777" w:rsidR="00CE7A6C" w:rsidRPr="00CE7A6C" w:rsidRDefault="00CE7A6C" w:rsidP="00CE7A6C">
      <w:pPr>
        <w:numPr>
          <w:ilvl w:val="0"/>
          <w:numId w:val="3"/>
        </w:numPr>
        <w:spacing w:after="0" w:line="240" w:lineRule="auto"/>
        <w:rPr>
          <w:rFonts w:ascii="Verdana" w:eastAsia="Calibri" w:hAnsi="Verdana" w:cs="Times New Roman"/>
          <w:sz w:val="24"/>
        </w:rPr>
      </w:pPr>
      <w:r w:rsidRPr="00CE7A6C">
        <w:rPr>
          <w:rFonts w:ascii="Verdana" w:eastAsia="Calibri" w:hAnsi="Verdana" w:cs="Times New Roman"/>
          <w:sz w:val="24"/>
        </w:rPr>
        <w:t>Obsolete, incorrect, incomplete or missing exhibits/other forms</w:t>
      </w:r>
    </w:p>
    <w:p w14:paraId="26F7358A" w14:textId="77777777" w:rsidR="00CE7A6C" w:rsidRPr="00CE7A6C" w:rsidRDefault="00CE7A6C" w:rsidP="00CE7A6C">
      <w:pPr>
        <w:numPr>
          <w:ilvl w:val="0"/>
          <w:numId w:val="3"/>
        </w:numPr>
        <w:spacing w:after="0" w:line="240" w:lineRule="auto"/>
        <w:rPr>
          <w:rFonts w:ascii="Verdana" w:eastAsia="Calibri" w:hAnsi="Verdana" w:cs="Times New Roman"/>
          <w:sz w:val="24"/>
        </w:rPr>
      </w:pPr>
      <w:r w:rsidRPr="00CE7A6C">
        <w:rPr>
          <w:rFonts w:ascii="Verdana" w:eastAsia="Calibri" w:hAnsi="Verdana" w:cs="Times New Roman"/>
          <w:sz w:val="24"/>
        </w:rPr>
        <w:t>Lack of up-to-date financials and other data</w:t>
      </w:r>
    </w:p>
    <w:p w14:paraId="74CDA501" w14:textId="77777777" w:rsidR="00CE7A6C" w:rsidRPr="00CE7A6C" w:rsidRDefault="00CE7A6C" w:rsidP="00CE7A6C">
      <w:pPr>
        <w:numPr>
          <w:ilvl w:val="0"/>
          <w:numId w:val="3"/>
        </w:numPr>
        <w:spacing w:after="0" w:line="240" w:lineRule="auto"/>
        <w:rPr>
          <w:rFonts w:ascii="Verdana" w:eastAsia="Calibri" w:hAnsi="Verdana" w:cs="Times New Roman"/>
          <w:sz w:val="24"/>
        </w:rPr>
      </w:pPr>
      <w:r w:rsidRPr="00CE7A6C">
        <w:rPr>
          <w:rFonts w:ascii="Verdana" w:eastAsia="Calibri" w:hAnsi="Verdana" w:cs="Times New Roman"/>
          <w:sz w:val="24"/>
        </w:rPr>
        <w:t>Failure to timely address environmental matters</w:t>
      </w:r>
    </w:p>
    <w:p w14:paraId="10400835" w14:textId="77777777" w:rsidR="00CE7A6C" w:rsidRPr="00CE7A6C" w:rsidRDefault="00CE7A6C" w:rsidP="00CE7A6C">
      <w:pPr>
        <w:spacing w:after="0" w:line="240" w:lineRule="auto"/>
        <w:ind w:left="1440"/>
        <w:rPr>
          <w:rFonts w:ascii="Verdana" w:eastAsia="Calibri" w:hAnsi="Verdana" w:cs="Times New Roman"/>
          <w:sz w:val="24"/>
        </w:rPr>
      </w:pPr>
    </w:p>
    <w:p w14:paraId="0387A203" w14:textId="77777777" w:rsidR="00CE7A6C" w:rsidRPr="00CE7A6C" w:rsidRDefault="00CE7A6C" w:rsidP="00CE7A6C">
      <w:pPr>
        <w:spacing w:after="0" w:line="240" w:lineRule="auto"/>
        <w:rPr>
          <w:rFonts w:ascii="Verdana" w:eastAsia="Calibri" w:hAnsi="Verdana" w:cs="Times New Roman"/>
          <w:b/>
          <w:bCs/>
          <w:sz w:val="24"/>
        </w:rPr>
      </w:pPr>
      <w:r w:rsidRPr="00CE7A6C">
        <w:rPr>
          <w:rFonts w:ascii="Verdana" w:eastAsia="Calibri" w:hAnsi="Verdana" w:cs="Times New Roman"/>
          <w:b/>
          <w:bCs/>
          <w:sz w:val="24"/>
        </w:rPr>
        <w:t>Due Diligence of Facility’s Performance</w:t>
      </w:r>
    </w:p>
    <w:p w14:paraId="055F0EE1" w14:textId="77777777" w:rsidR="00CE7A6C" w:rsidRPr="00CE7A6C" w:rsidRDefault="00CE7A6C" w:rsidP="00CE7A6C">
      <w:pPr>
        <w:spacing w:after="0" w:line="240" w:lineRule="auto"/>
        <w:rPr>
          <w:rFonts w:ascii="Verdana" w:eastAsia="Calibri" w:hAnsi="Verdana" w:cs="Times New Roman"/>
          <w:i/>
          <w:iCs/>
          <w:sz w:val="24"/>
        </w:rPr>
      </w:pPr>
      <w:r w:rsidRPr="00CE7A6C">
        <w:rPr>
          <w:rFonts w:ascii="Verdana" w:eastAsia="Calibri" w:hAnsi="Verdana" w:cs="Times New Roman"/>
          <w:i/>
          <w:iCs/>
          <w:sz w:val="24"/>
        </w:rPr>
        <w:t>Considers issues with the lender’s familiarity with and analysis of the full scope of the facility in the lender’s underwriting review.  This includes failure to provide a needed explanation in the application with supporting documentation. Examples of errors include:</w:t>
      </w:r>
    </w:p>
    <w:p w14:paraId="2ACA93A6" w14:textId="77777777" w:rsidR="00CE7A6C" w:rsidRPr="00CE7A6C" w:rsidRDefault="00CE7A6C" w:rsidP="00CE7A6C">
      <w:pPr>
        <w:numPr>
          <w:ilvl w:val="0"/>
          <w:numId w:val="4"/>
        </w:numPr>
        <w:spacing w:after="0" w:line="240" w:lineRule="auto"/>
        <w:rPr>
          <w:rFonts w:ascii="Verdana" w:eastAsia="Calibri" w:hAnsi="Verdana" w:cs="Times New Roman"/>
          <w:sz w:val="24"/>
        </w:rPr>
      </w:pPr>
      <w:r w:rsidRPr="00CE7A6C">
        <w:rPr>
          <w:rFonts w:ascii="Verdana" w:eastAsia="Calibri" w:hAnsi="Verdana" w:cs="Times New Roman"/>
          <w:sz w:val="24"/>
        </w:rPr>
        <w:lastRenderedPageBreak/>
        <w:t>Failure to address ongoing survey/quality of care issues</w:t>
      </w:r>
    </w:p>
    <w:p w14:paraId="388F0CD7" w14:textId="77777777" w:rsidR="00CE7A6C" w:rsidRPr="00CE7A6C" w:rsidRDefault="00CE7A6C" w:rsidP="00CE7A6C">
      <w:pPr>
        <w:numPr>
          <w:ilvl w:val="0"/>
          <w:numId w:val="4"/>
        </w:numPr>
        <w:spacing w:after="0" w:line="240" w:lineRule="auto"/>
        <w:rPr>
          <w:rFonts w:ascii="Verdana" w:eastAsia="Calibri" w:hAnsi="Verdana" w:cs="Times New Roman"/>
          <w:sz w:val="24"/>
        </w:rPr>
      </w:pPr>
      <w:r w:rsidRPr="00CE7A6C">
        <w:rPr>
          <w:rFonts w:ascii="Verdana" w:eastAsia="Calibri" w:hAnsi="Verdana" w:cs="Times New Roman"/>
          <w:sz w:val="24"/>
        </w:rPr>
        <w:t>Failure to address negative trends in performance or occupancy</w:t>
      </w:r>
    </w:p>
    <w:p w14:paraId="62EC5D29" w14:textId="77777777" w:rsidR="00CE7A6C" w:rsidRPr="00CE7A6C" w:rsidRDefault="00CE7A6C" w:rsidP="00CE7A6C">
      <w:pPr>
        <w:numPr>
          <w:ilvl w:val="0"/>
          <w:numId w:val="4"/>
        </w:numPr>
        <w:spacing w:after="0" w:line="240" w:lineRule="auto"/>
        <w:rPr>
          <w:rFonts w:ascii="Verdana" w:eastAsia="Calibri" w:hAnsi="Verdana" w:cs="Times New Roman"/>
          <w:sz w:val="24"/>
        </w:rPr>
      </w:pPr>
      <w:r w:rsidRPr="00CE7A6C">
        <w:rPr>
          <w:rFonts w:ascii="Verdana" w:eastAsia="Calibri" w:hAnsi="Verdana" w:cs="Times New Roman"/>
          <w:sz w:val="24"/>
        </w:rPr>
        <w:t>Failure to address ongoing HUD enforcement/compliance issues</w:t>
      </w:r>
    </w:p>
    <w:p w14:paraId="20BECB8F" w14:textId="77777777" w:rsidR="00CE7A6C" w:rsidRPr="00CE7A6C" w:rsidRDefault="00CE7A6C" w:rsidP="00CE7A6C">
      <w:pPr>
        <w:numPr>
          <w:ilvl w:val="0"/>
          <w:numId w:val="4"/>
        </w:numPr>
        <w:spacing w:after="0" w:line="240" w:lineRule="auto"/>
        <w:rPr>
          <w:rFonts w:ascii="Verdana" w:eastAsia="Calibri" w:hAnsi="Verdana" w:cs="Times New Roman"/>
          <w:sz w:val="24"/>
        </w:rPr>
      </w:pPr>
      <w:r w:rsidRPr="00CE7A6C">
        <w:rPr>
          <w:rFonts w:ascii="Verdana" w:eastAsia="Calibri" w:hAnsi="Verdana" w:cs="Times New Roman"/>
          <w:sz w:val="24"/>
        </w:rPr>
        <w:t>Failure to address pattern of high claims, pending litigation</w:t>
      </w:r>
    </w:p>
    <w:p w14:paraId="5293E25F" w14:textId="77777777" w:rsidR="00CE7A6C" w:rsidRPr="00CE7A6C" w:rsidRDefault="00CE7A6C" w:rsidP="00CE7A6C">
      <w:pPr>
        <w:numPr>
          <w:ilvl w:val="0"/>
          <w:numId w:val="4"/>
        </w:numPr>
        <w:spacing w:after="0" w:line="240" w:lineRule="auto"/>
        <w:rPr>
          <w:rFonts w:ascii="Verdana" w:eastAsia="Calibri" w:hAnsi="Verdana" w:cs="Times New Roman"/>
          <w:sz w:val="24"/>
        </w:rPr>
      </w:pPr>
      <w:r w:rsidRPr="00CE7A6C">
        <w:rPr>
          <w:rFonts w:ascii="Verdana" w:eastAsia="Calibri" w:hAnsi="Verdana" w:cs="Times New Roman"/>
          <w:sz w:val="24"/>
        </w:rPr>
        <w:t>Failure to address other pending action impacting risk assessment</w:t>
      </w:r>
    </w:p>
    <w:p w14:paraId="0E6043E9" w14:textId="77777777" w:rsidR="00CE7A6C" w:rsidRPr="00CE7A6C" w:rsidRDefault="00CE7A6C" w:rsidP="00CE7A6C">
      <w:pPr>
        <w:spacing w:after="0" w:line="240" w:lineRule="auto"/>
        <w:rPr>
          <w:rFonts w:ascii="Verdana" w:eastAsia="Calibri" w:hAnsi="Verdana" w:cs="Times New Roman"/>
          <w:color w:val="000000"/>
          <w:sz w:val="24"/>
        </w:rPr>
      </w:pPr>
    </w:p>
    <w:p w14:paraId="1E19FC9E" w14:textId="77777777" w:rsidR="00CE7A6C" w:rsidRPr="00CE7A6C" w:rsidRDefault="00CE7A6C" w:rsidP="00CE7A6C">
      <w:pPr>
        <w:spacing w:after="0" w:line="240" w:lineRule="auto"/>
        <w:rPr>
          <w:rFonts w:ascii="Verdana" w:eastAsia="Calibri" w:hAnsi="Verdana" w:cs="Times New Roman"/>
          <w:b/>
          <w:bCs/>
          <w:sz w:val="24"/>
        </w:rPr>
      </w:pPr>
      <w:r w:rsidRPr="00CE7A6C">
        <w:rPr>
          <w:rFonts w:ascii="Verdana" w:eastAsia="Calibri" w:hAnsi="Verdana" w:cs="Times New Roman"/>
          <w:b/>
          <w:bCs/>
          <w:sz w:val="24"/>
        </w:rPr>
        <w:t>Responsiveness</w:t>
      </w:r>
    </w:p>
    <w:p w14:paraId="65FCEB00" w14:textId="77777777" w:rsidR="00CE7A6C" w:rsidRPr="00CE7A6C" w:rsidRDefault="00CE7A6C" w:rsidP="00CE7A6C">
      <w:pPr>
        <w:spacing w:after="0" w:line="240" w:lineRule="auto"/>
        <w:rPr>
          <w:rFonts w:ascii="Verdana" w:eastAsia="Calibri" w:hAnsi="Verdana" w:cs="Times New Roman"/>
          <w:sz w:val="24"/>
        </w:rPr>
      </w:pPr>
      <w:r w:rsidRPr="00CE7A6C">
        <w:rPr>
          <w:rFonts w:ascii="Verdana" w:eastAsia="Calibri" w:hAnsi="Verdana" w:cs="Times New Roman"/>
          <w:i/>
          <w:iCs/>
          <w:sz w:val="24"/>
        </w:rPr>
        <w:t xml:space="preserve">Considers the completeness and timeliness of response by lender to requests from OHP for correction of deficiencies or additional information to complete underwriting review or closing processing. </w:t>
      </w:r>
    </w:p>
    <w:p w14:paraId="32D04248" w14:textId="77777777" w:rsidR="00CE7A6C" w:rsidRPr="00CE7A6C" w:rsidRDefault="00CE7A6C" w:rsidP="00CE7A6C">
      <w:pPr>
        <w:spacing w:after="0" w:line="240" w:lineRule="auto"/>
        <w:rPr>
          <w:rFonts w:ascii="Verdana" w:eastAsia="Calibri" w:hAnsi="Verdana" w:cs="Times New Roman"/>
          <w:color w:val="000000"/>
          <w:sz w:val="24"/>
        </w:rPr>
      </w:pPr>
    </w:p>
    <w:p w14:paraId="7A8B917B" w14:textId="77777777" w:rsidR="00CE7A6C" w:rsidRPr="00CE7A6C" w:rsidRDefault="00CE7A6C" w:rsidP="00CE7A6C">
      <w:pPr>
        <w:spacing w:after="0" w:line="240" w:lineRule="auto"/>
        <w:rPr>
          <w:rFonts w:ascii="Verdana" w:eastAsia="Calibri" w:hAnsi="Verdana" w:cs="Times New Roman"/>
          <w:b/>
          <w:bCs/>
          <w:color w:val="000000"/>
          <w:sz w:val="24"/>
        </w:rPr>
      </w:pPr>
      <w:r w:rsidRPr="00CE7A6C">
        <w:rPr>
          <w:rFonts w:ascii="Verdana" w:eastAsia="Calibri" w:hAnsi="Verdana" w:cs="Times New Roman"/>
          <w:b/>
          <w:bCs/>
          <w:color w:val="000000"/>
          <w:sz w:val="24"/>
        </w:rPr>
        <w:t>Examples of Comments in FY19 Lender Feedback</w:t>
      </w:r>
    </w:p>
    <w:p w14:paraId="575906E8" w14:textId="77777777" w:rsidR="00CE7A6C" w:rsidRPr="00CE7A6C" w:rsidRDefault="00CE7A6C" w:rsidP="00CE7A6C">
      <w:pPr>
        <w:spacing w:after="0" w:line="240" w:lineRule="auto"/>
        <w:rPr>
          <w:rFonts w:ascii="Verdana" w:eastAsia="Calibri" w:hAnsi="Verdana" w:cs="Times New Roman"/>
          <w:color w:val="000000"/>
          <w:sz w:val="24"/>
        </w:rPr>
      </w:pPr>
    </w:p>
    <w:p w14:paraId="0D6AC96D"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A few examples of concerns raised in recent lender feedback include:</w:t>
      </w:r>
    </w:p>
    <w:p w14:paraId="54BE1797" w14:textId="77777777" w:rsidR="00CE7A6C" w:rsidRPr="00CE7A6C" w:rsidRDefault="00CE7A6C" w:rsidP="00CE7A6C">
      <w:pPr>
        <w:spacing w:after="0" w:line="240" w:lineRule="auto"/>
        <w:rPr>
          <w:rFonts w:ascii="Verdana" w:eastAsia="Calibri" w:hAnsi="Verdana" w:cs="Times New Roman"/>
          <w:color w:val="000000"/>
          <w:sz w:val="24"/>
        </w:rPr>
      </w:pPr>
    </w:p>
    <w:p w14:paraId="1B9BD027" w14:textId="77777777" w:rsidR="00CE7A6C" w:rsidRPr="00CE7A6C" w:rsidRDefault="00CE7A6C" w:rsidP="00CE7A6C">
      <w:pPr>
        <w:numPr>
          <w:ilvl w:val="0"/>
          <w:numId w:val="2"/>
        </w:num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The application did not provide adequate discussion on eligible debt.</w:t>
      </w:r>
    </w:p>
    <w:p w14:paraId="438D28E8" w14:textId="77777777" w:rsidR="00CE7A6C" w:rsidRPr="00CE7A6C" w:rsidRDefault="00CE7A6C" w:rsidP="00CE7A6C">
      <w:pPr>
        <w:numPr>
          <w:ilvl w:val="0"/>
          <w:numId w:val="2"/>
        </w:num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There were numerous issues not properly addressed in the application, including AR Financing and G&amp;A Expenses.</w:t>
      </w:r>
    </w:p>
    <w:p w14:paraId="196723BA" w14:textId="77777777" w:rsidR="00CE7A6C" w:rsidRPr="00CE7A6C" w:rsidRDefault="00CE7A6C" w:rsidP="00CE7A6C">
      <w:pPr>
        <w:numPr>
          <w:ilvl w:val="0"/>
          <w:numId w:val="2"/>
        </w:num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There were delays in several requests for information, specifically relating to waiver requests.</w:t>
      </w:r>
    </w:p>
    <w:p w14:paraId="24D24913" w14:textId="77777777" w:rsidR="00CE7A6C" w:rsidRPr="00CE7A6C" w:rsidRDefault="00CE7A6C" w:rsidP="00CE7A6C">
      <w:pPr>
        <w:numPr>
          <w:ilvl w:val="0"/>
          <w:numId w:val="2"/>
        </w:num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 xml:space="preserve">Environmental issues should have been addressed prior to submission of the application, to ensure compliance with the handbook/regulations.  </w:t>
      </w:r>
    </w:p>
    <w:p w14:paraId="324A21B7" w14:textId="77777777" w:rsidR="00CE7A6C" w:rsidRPr="00CE7A6C" w:rsidRDefault="00CE7A6C" w:rsidP="00CE7A6C">
      <w:pPr>
        <w:numPr>
          <w:ilvl w:val="0"/>
          <w:numId w:val="2"/>
        </w:num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The Lender adjusted historical expenses and NOI without adequate justification.</w:t>
      </w:r>
    </w:p>
    <w:p w14:paraId="60FC2BB7" w14:textId="77777777" w:rsidR="00CE7A6C" w:rsidRPr="00CE7A6C" w:rsidRDefault="00CE7A6C" w:rsidP="00CE7A6C">
      <w:pPr>
        <w:spacing w:after="0" w:line="240" w:lineRule="auto"/>
        <w:rPr>
          <w:rFonts w:ascii="Verdana" w:eastAsia="Calibri" w:hAnsi="Verdana" w:cs="Times New Roman"/>
          <w:color w:val="000000"/>
          <w:sz w:val="24"/>
        </w:rPr>
      </w:pPr>
    </w:p>
    <w:p w14:paraId="4525FB33"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ORCF is happy to discuss any matters raised with a lender, and we also welcome constructive feedback about how ORCF processes can continue to be improved.</w:t>
      </w:r>
    </w:p>
    <w:p w14:paraId="5D22A6B2" w14:textId="77777777" w:rsidR="00CE7A6C" w:rsidRPr="00CE7A6C" w:rsidRDefault="00CE7A6C" w:rsidP="00CE7A6C">
      <w:pPr>
        <w:spacing w:after="0" w:line="240" w:lineRule="auto"/>
        <w:rPr>
          <w:rFonts w:ascii="Verdana" w:eastAsia="Calibri" w:hAnsi="Verdana" w:cs="Times New Roman"/>
          <w:color w:val="000000"/>
          <w:sz w:val="24"/>
        </w:rPr>
      </w:pPr>
    </w:p>
    <w:p w14:paraId="1561EC55"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color w:val="000000"/>
          <w:sz w:val="24"/>
        </w:rPr>
        <w:t>For more information on specific lender volumes for FY 2019, please see the “Queues, Reports, and Statistics” section on the Section 232 Program Website (</w:t>
      </w:r>
      <w:hyperlink r:id="rId10" w:history="1">
        <w:r w:rsidRPr="00CE7A6C">
          <w:rPr>
            <w:rFonts w:ascii="Verdana" w:eastAsia="Calibri" w:hAnsi="Verdana" w:cs="Times New Roman"/>
            <w:color w:val="0000FF"/>
            <w:sz w:val="24"/>
            <w:u w:val="single"/>
          </w:rPr>
          <w:t>here</w:t>
        </w:r>
      </w:hyperlink>
      <w:r w:rsidRPr="00CE7A6C">
        <w:rPr>
          <w:rFonts w:ascii="Verdana" w:eastAsia="Calibri" w:hAnsi="Verdana" w:cs="Times New Roman"/>
          <w:color w:val="000000"/>
          <w:sz w:val="24"/>
        </w:rPr>
        <w:t>).</w:t>
      </w:r>
    </w:p>
    <w:p w14:paraId="68B44168" w14:textId="77777777" w:rsidR="00CE7A6C" w:rsidRPr="00CE7A6C" w:rsidRDefault="00CE7A6C" w:rsidP="00CE7A6C">
      <w:pPr>
        <w:spacing w:after="0" w:line="240" w:lineRule="auto"/>
        <w:rPr>
          <w:rFonts w:ascii="Verdana" w:eastAsia="Calibri" w:hAnsi="Verdana" w:cs="Times New Roman"/>
          <w:color w:val="000000"/>
          <w:sz w:val="24"/>
        </w:rPr>
      </w:pPr>
    </w:p>
    <w:p w14:paraId="663E2C63" w14:textId="77777777" w:rsidR="00CE7A6C" w:rsidRPr="00CE7A6C" w:rsidRDefault="00CE7A6C" w:rsidP="00CE7A6C">
      <w:pPr>
        <w:spacing w:after="0" w:line="240" w:lineRule="auto"/>
        <w:rPr>
          <w:rFonts w:ascii="Verdana" w:eastAsia="Calibri" w:hAnsi="Verdana" w:cs="Times New Roman"/>
          <w:color w:val="000000"/>
          <w:sz w:val="24"/>
        </w:rPr>
      </w:pPr>
      <w:r w:rsidRPr="00CE7A6C">
        <w:rPr>
          <w:rFonts w:ascii="Verdana" w:eastAsia="Calibri" w:hAnsi="Verdana" w:cs="Times New Roman"/>
          <w:b/>
          <w:bCs/>
          <w:color w:val="000000"/>
          <w:sz w:val="24"/>
        </w:rPr>
        <w:t>Keywords:</w:t>
      </w:r>
      <w:r w:rsidRPr="00CE7A6C">
        <w:rPr>
          <w:rFonts w:ascii="Verdana" w:eastAsia="Calibri" w:hAnsi="Verdana" w:cs="Times New Roman"/>
          <w:color w:val="000000"/>
          <w:sz w:val="24"/>
        </w:rPr>
        <w:t xml:space="preserve"> </w:t>
      </w:r>
      <w:r w:rsidRPr="00CE7A6C">
        <w:rPr>
          <w:rFonts w:ascii="Verdana" w:eastAsia="Calibri" w:hAnsi="Verdana" w:cs="Times New Roman"/>
          <w:i/>
          <w:iCs/>
          <w:color w:val="000000"/>
          <w:sz w:val="24"/>
        </w:rPr>
        <w:t>Lender Performance</w:t>
      </w:r>
    </w:p>
    <w:p w14:paraId="7A39CA99" w14:textId="77777777" w:rsidR="00CE7A6C" w:rsidRPr="00CE7A6C" w:rsidRDefault="00CE7A6C" w:rsidP="00CE7A6C">
      <w:pPr>
        <w:spacing w:after="0" w:line="240" w:lineRule="auto"/>
        <w:rPr>
          <w:rFonts w:ascii="Verdana" w:eastAsia="Calibri" w:hAnsi="Verdana" w:cs="Times New Roman"/>
          <w:color w:val="000000"/>
          <w:sz w:val="24"/>
        </w:rPr>
      </w:pPr>
    </w:p>
    <w:p w14:paraId="161E3A5C" w14:textId="77777777" w:rsidR="00CE7A6C" w:rsidRPr="00CE7A6C" w:rsidRDefault="004A5F9D" w:rsidP="00CE7A6C">
      <w:pPr>
        <w:spacing w:after="0" w:line="240" w:lineRule="auto"/>
        <w:rPr>
          <w:rFonts w:ascii="Verdana" w:eastAsia="Calibri" w:hAnsi="Verdana" w:cs="Times New Roman"/>
          <w:color w:val="0000FF"/>
          <w:sz w:val="24"/>
          <w:u w:val="single"/>
        </w:rPr>
      </w:pPr>
      <w:hyperlink w:anchor="_top" w:history="1">
        <w:r w:rsidR="00CE7A6C" w:rsidRPr="00CE7A6C">
          <w:rPr>
            <w:rFonts w:ascii="Verdana" w:eastAsia="Calibri" w:hAnsi="Verdana" w:cs="Times New Roman"/>
            <w:color w:val="0000FF"/>
            <w:sz w:val="24"/>
            <w:u w:val="single"/>
          </w:rPr>
          <w:t>Back to top</w:t>
        </w:r>
      </w:hyperlink>
    </w:p>
    <w:p w14:paraId="20B188C1" w14:textId="77777777" w:rsidR="00CE7A6C" w:rsidRPr="00CE7A6C" w:rsidRDefault="00CE7A6C" w:rsidP="00CE7A6C">
      <w:pPr>
        <w:spacing w:after="0" w:line="240" w:lineRule="auto"/>
        <w:rPr>
          <w:rFonts w:ascii="Verdana" w:eastAsia="Calibri" w:hAnsi="Verdana" w:cs="Times New Roman"/>
          <w:b/>
          <w:sz w:val="24"/>
        </w:rPr>
      </w:pPr>
    </w:p>
    <w:p w14:paraId="60C9A26C" w14:textId="77777777" w:rsidR="00CE7A6C" w:rsidRPr="00CE7A6C" w:rsidRDefault="00CE7A6C" w:rsidP="00CE7A6C">
      <w:pPr>
        <w:spacing w:after="120" w:line="240" w:lineRule="auto"/>
        <w:outlineLvl w:val="0"/>
        <w:rPr>
          <w:rFonts w:ascii="Verdana" w:eastAsia="Calibri" w:hAnsi="Verdana" w:cs="Times New Roman"/>
          <w:b/>
          <w:bCs/>
          <w:caps/>
          <w:sz w:val="28"/>
          <w:szCs w:val="32"/>
          <w:u w:val="single"/>
        </w:rPr>
      </w:pPr>
      <w:bookmarkStart w:id="8" w:name="_Toc396209070"/>
      <w:bookmarkStart w:id="9" w:name="_Toc27122302"/>
      <w:bookmarkStart w:id="10" w:name="_GoBack"/>
      <w:bookmarkEnd w:id="10"/>
      <w:r w:rsidRPr="00CE7A6C">
        <w:rPr>
          <w:rFonts w:ascii="Verdana" w:eastAsia="Calibri" w:hAnsi="Verdana" w:cs="Times New Roman"/>
          <w:b/>
          <w:bCs/>
          <w:caps/>
          <w:sz w:val="28"/>
          <w:szCs w:val="32"/>
          <w:u w:val="single"/>
        </w:rPr>
        <w:t>FROM THE CLOSING CORNER</w:t>
      </w:r>
      <w:bookmarkEnd w:id="8"/>
      <w:bookmarkEnd w:id="9"/>
    </w:p>
    <w:p w14:paraId="32690577" w14:textId="77777777" w:rsidR="00CE7A6C" w:rsidRPr="00CE7A6C" w:rsidRDefault="00CE7A6C" w:rsidP="00CE7A6C">
      <w:pPr>
        <w:spacing w:after="120" w:line="240" w:lineRule="auto"/>
        <w:outlineLvl w:val="1"/>
        <w:rPr>
          <w:rFonts w:ascii="Verdana" w:eastAsia="Calibri" w:hAnsi="Verdana" w:cs="Times New Roman"/>
          <w:b/>
          <w:bCs/>
          <w:sz w:val="24"/>
          <w:szCs w:val="24"/>
          <w:u w:val="single"/>
        </w:rPr>
      </w:pPr>
      <w:bookmarkStart w:id="11" w:name="_Toc27122303"/>
      <w:r w:rsidRPr="00CE7A6C">
        <w:rPr>
          <w:rFonts w:ascii="Verdana" w:eastAsia="Calibri" w:hAnsi="Verdana" w:cs="Times New Roman"/>
          <w:b/>
          <w:bCs/>
          <w:sz w:val="24"/>
          <w:szCs w:val="24"/>
          <w:u w:val="single"/>
        </w:rPr>
        <w:t>Reminder When Submitting a Closing Package to ORCF</w:t>
      </w:r>
      <w:bookmarkEnd w:id="11"/>
    </w:p>
    <w:p w14:paraId="02038638" w14:textId="77777777" w:rsidR="00CE7A6C" w:rsidRPr="00CE7A6C" w:rsidRDefault="00CE7A6C" w:rsidP="00CE7A6C">
      <w:pPr>
        <w:spacing w:after="0" w:line="240" w:lineRule="auto"/>
        <w:rPr>
          <w:rFonts w:ascii="Verdana" w:eastAsia="Calibri" w:hAnsi="Verdana" w:cs="Times New Roman"/>
          <w:sz w:val="24"/>
          <w:szCs w:val="24"/>
        </w:rPr>
      </w:pPr>
      <w:r w:rsidRPr="00CE7A6C">
        <w:rPr>
          <w:rFonts w:ascii="Verdana" w:eastAsia="Calibri" w:hAnsi="Verdana" w:cs="Times New Roman"/>
          <w:sz w:val="24"/>
          <w:szCs w:val="24"/>
        </w:rPr>
        <w:lastRenderedPageBreak/>
        <w:t xml:space="preserve">As a follow-up to the August 28, 2019 LEAN 232 Email Blasts, ORCF is reminding Lenders that </w:t>
      </w:r>
      <w:r w:rsidRPr="00CE7A6C">
        <w:rPr>
          <w:rFonts w:ascii="Verdana" w:eastAsia="Calibri" w:hAnsi="Verdana" w:cs="Times New Roman"/>
          <w:b/>
          <w:bCs/>
          <w:i/>
          <w:iCs/>
          <w:sz w:val="24"/>
          <w:szCs w:val="24"/>
          <w:u w:val="single"/>
        </w:rPr>
        <w:t>after</w:t>
      </w:r>
      <w:r w:rsidRPr="00CE7A6C">
        <w:rPr>
          <w:rFonts w:ascii="Verdana" w:eastAsia="Calibri" w:hAnsi="Verdana" w:cs="Times New Roman"/>
          <w:i/>
          <w:iCs/>
          <w:sz w:val="24"/>
          <w:szCs w:val="24"/>
          <w:u w:val="single"/>
        </w:rPr>
        <w:t xml:space="preserve"> </w:t>
      </w:r>
      <w:r w:rsidRPr="00CE7A6C">
        <w:rPr>
          <w:rFonts w:ascii="Verdana" w:eastAsia="Calibri" w:hAnsi="Verdana" w:cs="Times New Roman"/>
          <w:b/>
          <w:bCs/>
          <w:i/>
          <w:iCs/>
          <w:sz w:val="24"/>
          <w:szCs w:val="24"/>
          <w:u w:val="single"/>
        </w:rPr>
        <w:t>the assigned HUD Attorney has received a “complete” draft closing package, a “complete draft closing package” should be uploaded to the portal.</w:t>
      </w:r>
      <w:r w:rsidRPr="00CE7A6C">
        <w:rPr>
          <w:rFonts w:ascii="Verdana" w:eastAsia="Calibri" w:hAnsi="Verdana" w:cs="Times New Roman"/>
          <w:sz w:val="24"/>
          <w:szCs w:val="24"/>
        </w:rPr>
        <w:t xml:space="preserve"> After this has been done, a request for the assignment of an ORCF Closer should be sent to the Closer Mailbox at </w:t>
      </w:r>
      <w:hyperlink r:id="rId11" w:history="1">
        <w:r w:rsidRPr="00CE7A6C">
          <w:rPr>
            <w:rFonts w:ascii="Verdana" w:eastAsia="Calibri" w:hAnsi="Verdana" w:cs="Times New Roman"/>
            <w:color w:val="0000FF"/>
            <w:sz w:val="24"/>
            <w:szCs w:val="24"/>
            <w:u w:val="single"/>
          </w:rPr>
          <w:t>ORCFCloser@hud.gov</w:t>
        </w:r>
      </w:hyperlink>
      <w:r w:rsidRPr="00CE7A6C">
        <w:rPr>
          <w:rFonts w:ascii="Verdana" w:eastAsia="Calibri" w:hAnsi="Verdana" w:cs="Times New Roman"/>
          <w:sz w:val="24"/>
          <w:szCs w:val="24"/>
        </w:rPr>
        <w:t>.  To assist ORCF’s workload management, the request should include any known</w:t>
      </w:r>
      <w:r w:rsidRPr="00CE7A6C">
        <w:rPr>
          <w:rFonts w:ascii="Verdana" w:eastAsia="Calibri" w:hAnsi="Verdana" w:cs="Times New Roman"/>
          <w:b/>
          <w:bCs/>
          <w:sz w:val="24"/>
          <w:szCs w:val="24"/>
        </w:rPr>
        <w:t xml:space="preserve"> </w:t>
      </w:r>
      <w:r w:rsidRPr="00CE7A6C">
        <w:rPr>
          <w:rFonts w:ascii="Verdana" w:eastAsia="Calibri" w:hAnsi="Verdana" w:cs="Times New Roman"/>
          <w:sz w:val="24"/>
          <w:szCs w:val="24"/>
        </w:rPr>
        <w:t>circumstances</w:t>
      </w:r>
      <w:r w:rsidRPr="00CE7A6C">
        <w:rPr>
          <w:rFonts w:ascii="Verdana" w:eastAsia="Calibri" w:hAnsi="Verdana" w:cs="Times New Roman"/>
          <w:b/>
          <w:bCs/>
          <w:sz w:val="24"/>
          <w:szCs w:val="24"/>
        </w:rPr>
        <w:t xml:space="preserve"> </w:t>
      </w:r>
      <w:r w:rsidRPr="00CE7A6C">
        <w:rPr>
          <w:rFonts w:ascii="Verdana" w:eastAsia="Calibri" w:hAnsi="Verdana" w:cs="Times New Roman"/>
          <w:sz w:val="24"/>
          <w:szCs w:val="24"/>
        </w:rPr>
        <w:t>that influence the closing date.  The Lender will be notified by email when an ORCF Closer has been assigned.</w:t>
      </w:r>
    </w:p>
    <w:p w14:paraId="5C40B99B" w14:textId="77777777" w:rsidR="00CE7A6C" w:rsidRPr="00CE7A6C" w:rsidRDefault="00CE7A6C" w:rsidP="00CE7A6C">
      <w:pPr>
        <w:spacing w:after="0" w:line="240" w:lineRule="auto"/>
        <w:rPr>
          <w:rFonts w:ascii="Verdana" w:eastAsia="Calibri" w:hAnsi="Verdana" w:cs="Times New Roman"/>
          <w:sz w:val="24"/>
          <w:szCs w:val="24"/>
        </w:rPr>
      </w:pPr>
    </w:p>
    <w:p w14:paraId="3A1D500B" w14:textId="77777777" w:rsidR="00CE7A6C" w:rsidRPr="00CE7A6C" w:rsidRDefault="00CE7A6C" w:rsidP="00CE7A6C">
      <w:pPr>
        <w:spacing w:after="0" w:line="240" w:lineRule="auto"/>
        <w:rPr>
          <w:rFonts w:ascii="Verdana" w:eastAsia="Calibri" w:hAnsi="Verdana" w:cs="Times New Roman"/>
          <w:sz w:val="24"/>
          <w:szCs w:val="24"/>
        </w:rPr>
      </w:pPr>
      <w:r w:rsidRPr="00CE7A6C">
        <w:rPr>
          <w:rFonts w:ascii="Verdana" w:eastAsia="Calibri" w:hAnsi="Verdana" w:cs="Times New Roman"/>
          <w:b/>
          <w:bCs/>
          <w:i/>
          <w:iCs/>
          <w:sz w:val="24"/>
          <w:szCs w:val="24"/>
        </w:rPr>
        <w:t>Keywords</w:t>
      </w:r>
      <w:r w:rsidRPr="00CE7A6C">
        <w:rPr>
          <w:rFonts w:ascii="Verdana" w:eastAsia="Calibri" w:hAnsi="Verdana" w:cs="Times New Roman"/>
          <w:i/>
          <w:iCs/>
          <w:sz w:val="24"/>
          <w:szCs w:val="24"/>
        </w:rPr>
        <w:t xml:space="preserve"> –</w:t>
      </w:r>
      <w:r w:rsidRPr="00CE7A6C">
        <w:rPr>
          <w:rFonts w:ascii="Verdana" w:eastAsia="Calibri" w:hAnsi="Verdana" w:cs="Times New Roman"/>
          <w:sz w:val="24"/>
          <w:szCs w:val="24"/>
        </w:rPr>
        <w:t xml:space="preserve"> </w:t>
      </w:r>
      <w:r w:rsidRPr="00CE7A6C">
        <w:rPr>
          <w:rFonts w:ascii="Verdana" w:eastAsia="Calibri" w:hAnsi="Verdana" w:cs="Times New Roman"/>
          <w:i/>
          <w:iCs/>
          <w:sz w:val="24"/>
          <w:szCs w:val="24"/>
        </w:rPr>
        <w:t>Closings, Closing Package, 232 Healthcare Portal</w:t>
      </w:r>
    </w:p>
    <w:p w14:paraId="11949396" w14:textId="77777777" w:rsidR="00CE7A6C" w:rsidRPr="00CE7A6C" w:rsidRDefault="00CE7A6C" w:rsidP="00CE7A6C">
      <w:pPr>
        <w:spacing w:after="0" w:line="240" w:lineRule="auto"/>
        <w:rPr>
          <w:rFonts w:ascii="Verdana" w:eastAsia="Calibri" w:hAnsi="Verdana" w:cs="Calibri"/>
          <w:sz w:val="24"/>
          <w:szCs w:val="24"/>
        </w:rPr>
      </w:pPr>
    </w:p>
    <w:p w14:paraId="0BEE8FF4" w14:textId="77777777" w:rsidR="00CE7A6C" w:rsidRPr="00CE7A6C" w:rsidRDefault="00CE7A6C" w:rsidP="00CE7A6C">
      <w:pPr>
        <w:spacing w:after="120" w:line="240" w:lineRule="auto"/>
        <w:outlineLvl w:val="1"/>
        <w:rPr>
          <w:rFonts w:ascii="Verdana" w:eastAsia="Calibri" w:hAnsi="Verdana" w:cs="Times New Roman"/>
          <w:b/>
          <w:bCs/>
          <w:sz w:val="24"/>
          <w:szCs w:val="24"/>
          <w:u w:val="single"/>
        </w:rPr>
      </w:pPr>
      <w:bookmarkStart w:id="12" w:name="_Toc27122304"/>
      <w:r w:rsidRPr="00CE7A6C">
        <w:rPr>
          <w:rFonts w:ascii="Verdana" w:eastAsia="Calibri" w:hAnsi="Verdana" w:cs="Times New Roman"/>
          <w:b/>
          <w:bCs/>
          <w:sz w:val="24"/>
          <w:szCs w:val="24"/>
          <w:u w:val="single"/>
        </w:rPr>
        <w:t>Update - Lender Attorney Portal Access</w:t>
      </w:r>
      <w:bookmarkEnd w:id="12"/>
    </w:p>
    <w:p w14:paraId="5A15286E" w14:textId="77777777" w:rsidR="00CE7A6C" w:rsidRPr="00CE7A6C" w:rsidRDefault="00CE7A6C" w:rsidP="00CE7A6C">
      <w:pPr>
        <w:spacing w:after="0" w:line="240" w:lineRule="auto"/>
        <w:rPr>
          <w:rFonts w:ascii="Verdana" w:eastAsia="Calibri" w:hAnsi="Verdana" w:cs="Times New Roman"/>
          <w:color w:val="000000"/>
          <w:sz w:val="24"/>
          <w:szCs w:val="24"/>
        </w:rPr>
      </w:pPr>
      <w:r w:rsidRPr="00CE7A6C">
        <w:rPr>
          <w:rFonts w:ascii="Verdana" w:eastAsia="Calibri" w:hAnsi="Verdana" w:cs="Times New Roman"/>
          <w:color w:val="000000"/>
          <w:sz w:val="24"/>
          <w:szCs w:val="24"/>
        </w:rPr>
        <w:t xml:space="preserve">The 232 Healthcare Portal now offers a new role that allows for a </w:t>
      </w:r>
      <w:r w:rsidRPr="00CE7A6C">
        <w:rPr>
          <w:rFonts w:ascii="Verdana" w:eastAsia="Calibri" w:hAnsi="Verdana" w:cs="Times New Roman"/>
          <w:b/>
          <w:bCs/>
          <w:i/>
          <w:iCs/>
          <w:color w:val="000000"/>
          <w:sz w:val="24"/>
          <w:szCs w:val="24"/>
          <w:u w:val="single"/>
        </w:rPr>
        <w:t>Lender Attorney to be assigned to projects within multiple Lenders’ portfolios</w:t>
      </w:r>
      <w:r w:rsidRPr="00CE7A6C">
        <w:rPr>
          <w:rFonts w:ascii="Verdana" w:eastAsia="Calibri" w:hAnsi="Verdana" w:cs="Times New Roman"/>
          <w:color w:val="000000"/>
          <w:sz w:val="24"/>
          <w:szCs w:val="24"/>
        </w:rPr>
        <w:t>.  This role within the portal technology, will allow a Lender Attorney who works with multiple Lenders to be assigned to a single, multiple</w:t>
      </w:r>
      <w:r w:rsidRPr="00CE7A6C">
        <w:rPr>
          <w:rFonts w:ascii="Verdana" w:eastAsia="Calibri" w:hAnsi="Verdana" w:cs="Times New Roman"/>
          <w:sz w:val="24"/>
          <w:szCs w:val="24"/>
        </w:rPr>
        <w:t>,</w:t>
      </w:r>
      <w:r w:rsidRPr="00CE7A6C">
        <w:rPr>
          <w:rFonts w:ascii="Verdana" w:eastAsia="Calibri" w:hAnsi="Verdana" w:cs="Times New Roman"/>
          <w:color w:val="000000"/>
          <w:sz w:val="24"/>
          <w:szCs w:val="24"/>
        </w:rPr>
        <w:t xml:space="preserve"> or the entire portfolio of multiple lenders, using a single Username.  This role is assigned by the Lender Account Managers and Backup Account Managers of a Lender's portfolio and can be given to any Lender Attorney with Portal access.</w:t>
      </w:r>
    </w:p>
    <w:p w14:paraId="78BCE4EA" w14:textId="77777777" w:rsidR="00CE7A6C" w:rsidRPr="00CE7A6C" w:rsidRDefault="00CE7A6C" w:rsidP="00CE7A6C">
      <w:pPr>
        <w:spacing w:after="0" w:line="240" w:lineRule="auto"/>
        <w:rPr>
          <w:rFonts w:ascii="Verdana" w:eastAsia="Calibri" w:hAnsi="Verdana" w:cs="Times New Roman"/>
          <w:color w:val="000000"/>
          <w:sz w:val="24"/>
          <w:szCs w:val="24"/>
        </w:rPr>
      </w:pPr>
    </w:p>
    <w:p w14:paraId="01A6E6DD" w14:textId="77777777" w:rsidR="00CE7A6C" w:rsidRPr="00CE7A6C" w:rsidRDefault="00CE7A6C" w:rsidP="00CE7A6C">
      <w:pPr>
        <w:spacing w:after="0" w:line="240" w:lineRule="auto"/>
        <w:rPr>
          <w:rFonts w:ascii="Verdana" w:eastAsia="Calibri" w:hAnsi="Verdana" w:cs="Times New Roman"/>
          <w:color w:val="000000"/>
          <w:sz w:val="24"/>
          <w:szCs w:val="24"/>
        </w:rPr>
      </w:pPr>
      <w:r w:rsidRPr="00CE7A6C">
        <w:rPr>
          <w:rFonts w:ascii="Verdana" w:eastAsia="Calibri" w:hAnsi="Verdana" w:cs="Times New Roman"/>
          <w:color w:val="000000"/>
          <w:sz w:val="24"/>
          <w:szCs w:val="24"/>
        </w:rPr>
        <w:t>Instructions are attached, which show Lender Account Managers and Backup Account Managers how to assign the Special Option User role and it explains how Special Option Users can access their newly assigned projects.</w:t>
      </w:r>
    </w:p>
    <w:p w14:paraId="7AF35784" w14:textId="77777777" w:rsidR="00CE7A6C" w:rsidRPr="00CE7A6C" w:rsidRDefault="00CE7A6C" w:rsidP="00CE7A6C">
      <w:pPr>
        <w:spacing w:after="0" w:line="240" w:lineRule="auto"/>
        <w:rPr>
          <w:rFonts w:ascii="Verdana" w:eastAsia="Calibri" w:hAnsi="Verdana" w:cs="Times New Roman"/>
          <w:color w:val="000000"/>
          <w:sz w:val="24"/>
          <w:szCs w:val="24"/>
        </w:rPr>
      </w:pPr>
    </w:p>
    <w:p w14:paraId="64715BBD" w14:textId="77777777" w:rsidR="00CE7A6C" w:rsidRPr="00CE7A6C" w:rsidRDefault="00CE7A6C" w:rsidP="00CE7A6C">
      <w:pPr>
        <w:spacing w:after="0" w:line="240" w:lineRule="auto"/>
        <w:rPr>
          <w:rFonts w:ascii="Verdana" w:eastAsia="Calibri" w:hAnsi="Verdana" w:cs="Times New Roman"/>
          <w:color w:val="000000"/>
          <w:sz w:val="24"/>
          <w:szCs w:val="24"/>
        </w:rPr>
      </w:pPr>
      <w:r w:rsidRPr="00CE7A6C">
        <w:rPr>
          <w:rFonts w:ascii="Verdana" w:eastAsia="Calibri" w:hAnsi="Verdana" w:cs="Times New Roman"/>
          <w:color w:val="000000"/>
          <w:sz w:val="24"/>
          <w:szCs w:val="24"/>
        </w:rPr>
        <w:t>If you should have any questions or require additional information regarding this e-mail, please submit a Help Desk Ticket through the 232 Healthcare Portal and title it "SOU".</w:t>
      </w:r>
    </w:p>
    <w:p w14:paraId="6BD93F8B" w14:textId="77777777" w:rsidR="00CE7A6C" w:rsidRPr="00CE7A6C" w:rsidRDefault="00CE7A6C" w:rsidP="00CE7A6C">
      <w:pPr>
        <w:spacing w:after="0" w:line="240" w:lineRule="auto"/>
        <w:rPr>
          <w:rFonts w:ascii="Verdana" w:eastAsia="Calibri" w:hAnsi="Verdana" w:cs="Calibri"/>
          <w:sz w:val="24"/>
          <w:szCs w:val="24"/>
        </w:rPr>
      </w:pPr>
    </w:p>
    <w:p w14:paraId="0867A831" w14:textId="77777777" w:rsidR="00CE7A6C" w:rsidRPr="00CE7A6C" w:rsidRDefault="00CE7A6C" w:rsidP="00CE7A6C">
      <w:pPr>
        <w:spacing w:after="0" w:line="240" w:lineRule="auto"/>
        <w:rPr>
          <w:rFonts w:ascii="Verdana" w:eastAsia="Calibri" w:hAnsi="Verdana" w:cs="Times New Roman"/>
          <w:sz w:val="24"/>
          <w:szCs w:val="24"/>
        </w:rPr>
      </w:pPr>
      <w:r w:rsidRPr="00CE7A6C">
        <w:rPr>
          <w:rFonts w:ascii="Verdana" w:eastAsia="Calibri" w:hAnsi="Verdana" w:cs="Times New Roman"/>
          <w:b/>
          <w:bCs/>
          <w:i/>
          <w:iCs/>
          <w:sz w:val="24"/>
          <w:szCs w:val="24"/>
        </w:rPr>
        <w:t xml:space="preserve">Keywords </w:t>
      </w:r>
      <w:r w:rsidRPr="00CE7A6C">
        <w:rPr>
          <w:rFonts w:ascii="Verdana" w:eastAsia="Calibri" w:hAnsi="Verdana" w:cs="Times New Roman"/>
          <w:i/>
          <w:iCs/>
          <w:sz w:val="24"/>
          <w:szCs w:val="24"/>
        </w:rPr>
        <w:t>–</w:t>
      </w:r>
      <w:r w:rsidRPr="00CE7A6C">
        <w:rPr>
          <w:rFonts w:ascii="Verdana" w:eastAsia="Calibri" w:hAnsi="Verdana" w:cs="Times New Roman"/>
          <w:sz w:val="24"/>
          <w:szCs w:val="24"/>
        </w:rPr>
        <w:t xml:space="preserve"> </w:t>
      </w:r>
      <w:r w:rsidRPr="00CE7A6C">
        <w:rPr>
          <w:rFonts w:ascii="Verdana" w:eastAsia="Calibri" w:hAnsi="Verdana" w:cs="Times New Roman"/>
          <w:i/>
          <w:iCs/>
          <w:sz w:val="24"/>
          <w:szCs w:val="24"/>
        </w:rPr>
        <w:t>Closings, Lender Attorney, 232 Healthcare Portal, Portfolios, Multiple Lenders</w:t>
      </w:r>
    </w:p>
    <w:p w14:paraId="0BAC1A79" w14:textId="77777777" w:rsidR="00CE7A6C" w:rsidRPr="00CE7A6C" w:rsidRDefault="00CE7A6C" w:rsidP="00CE7A6C">
      <w:pPr>
        <w:spacing w:after="0" w:line="240" w:lineRule="auto"/>
        <w:rPr>
          <w:rFonts w:ascii="Verdana" w:eastAsia="MS Mincho" w:hAnsi="Verdana" w:cs="Times New Roman"/>
          <w:b/>
          <w:sz w:val="24"/>
          <w:szCs w:val="24"/>
        </w:rPr>
      </w:pPr>
    </w:p>
    <w:p w14:paraId="6480500C" w14:textId="77777777" w:rsidR="00CE7A6C" w:rsidRPr="00CE7A6C" w:rsidRDefault="004A5F9D" w:rsidP="00CE7A6C">
      <w:pPr>
        <w:spacing w:after="0" w:line="240" w:lineRule="auto"/>
        <w:rPr>
          <w:rFonts w:ascii="Verdana" w:eastAsia="Calibri" w:hAnsi="Verdana" w:cs="Times New Roman"/>
          <w:color w:val="0000FF"/>
          <w:sz w:val="24"/>
          <w:u w:val="single"/>
        </w:rPr>
      </w:pPr>
      <w:hyperlink w:anchor="_top" w:history="1">
        <w:r w:rsidR="00CE7A6C" w:rsidRPr="00CE7A6C">
          <w:rPr>
            <w:rFonts w:ascii="Verdana" w:eastAsia="Calibri" w:hAnsi="Verdana" w:cs="Times New Roman"/>
            <w:color w:val="0000FF"/>
            <w:sz w:val="24"/>
            <w:u w:val="single"/>
          </w:rPr>
          <w:t>Back to top</w:t>
        </w:r>
      </w:hyperlink>
    </w:p>
    <w:p w14:paraId="298BD020" w14:textId="77777777" w:rsidR="00CE7A6C" w:rsidRPr="00CE7A6C" w:rsidRDefault="00CE7A6C" w:rsidP="00CE7A6C">
      <w:pPr>
        <w:spacing w:after="0" w:line="240" w:lineRule="auto"/>
        <w:rPr>
          <w:rFonts w:ascii="Verdana" w:eastAsia="MS Mincho" w:hAnsi="Verdana" w:cs="Times New Roman"/>
          <w:b/>
          <w:sz w:val="24"/>
          <w:szCs w:val="24"/>
        </w:rPr>
      </w:pPr>
    </w:p>
    <w:p w14:paraId="73BC2773" w14:textId="77777777" w:rsidR="00CE7A6C" w:rsidRPr="00CE7A6C" w:rsidRDefault="00CE7A6C" w:rsidP="00CE7A6C">
      <w:pPr>
        <w:spacing w:after="0" w:line="240" w:lineRule="auto"/>
        <w:outlineLvl w:val="0"/>
        <w:rPr>
          <w:rFonts w:ascii="Verdana" w:eastAsia="Calibri" w:hAnsi="Verdana" w:cs="Times New Roman"/>
          <w:b/>
          <w:bCs/>
          <w:caps/>
          <w:sz w:val="28"/>
          <w:szCs w:val="32"/>
          <w:u w:val="single"/>
        </w:rPr>
      </w:pPr>
      <w:bookmarkStart w:id="13" w:name="_Toc333920723"/>
      <w:bookmarkStart w:id="14" w:name="_Toc27122305"/>
      <w:r w:rsidRPr="00CE7A6C">
        <w:rPr>
          <w:rFonts w:ascii="Verdana" w:eastAsia="Calibri" w:hAnsi="Verdana" w:cs="Times New Roman"/>
          <w:b/>
          <w:bCs/>
          <w:caps/>
          <w:sz w:val="28"/>
          <w:szCs w:val="32"/>
          <w:u w:val="single"/>
        </w:rPr>
        <w:t>Document Links Included In This Blast</w:t>
      </w:r>
      <w:bookmarkEnd w:id="13"/>
      <w:bookmarkEnd w:id="14"/>
    </w:p>
    <w:p w14:paraId="14426017" w14:textId="77777777" w:rsidR="00CE7A6C" w:rsidRPr="00CE7A6C" w:rsidRDefault="004A5F9D" w:rsidP="00CE7A6C">
      <w:pPr>
        <w:numPr>
          <w:ilvl w:val="0"/>
          <w:numId w:val="1"/>
        </w:numPr>
        <w:spacing w:after="0" w:line="240" w:lineRule="auto"/>
        <w:rPr>
          <w:rFonts w:ascii="Verdana" w:eastAsia="Calibri" w:hAnsi="Verdana" w:cs="Times New Roman"/>
          <w:color w:val="000000"/>
          <w:sz w:val="24"/>
          <w:szCs w:val="24"/>
        </w:rPr>
      </w:pPr>
      <w:hyperlink r:id="rId12" w:history="1">
        <w:r w:rsidR="00CE7A6C" w:rsidRPr="00CE7A6C">
          <w:rPr>
            <w:rFonts w:ascii="Verdana" w:eastAsia="Calibri" w:hAnsi="Verdana" w:cs="Times New Roman"/>
            <w:color w:val="0000FF"/>
            <w:sz w:val="24"/>
            <w:szCs w:val="24"/>
            <w:u w:val="single"/>
          </w:rPr>
          <w:t>National Standards for the Physical Inspection of Real Estate (NSPIRE) webpage</w:t>
        </w:r>
      </w:hyperlink>
    </w:p>
    <w:p w14:paraId="516D08D4" w14:textId="77777777" w:rsidR="00CE7A6C" w:rsidRPr="00CE7A6C" w:rsidRDefault="004A5F9D" w:rsidP="00CE7A6C">
      <w:pPr>
        <w:numPr>
          <w:ilvl w:val="0"/>
          <w:numId w:val="1"/>
        </w:numPr>
        <w:spacing w:after="0" w:line="240" w:lineRule="auto"/>
        <w:rPr>
          <w:rFonts w:ascii="Verdana" w:eastAsia="Calibri" w:hAnsi="Verdana" w:cs="Times New Roman"/>
          <w:color w:val="000000"/>
          <w:sz w:val="24"/>
          <w:szCs w:val="24"/>
        </w:rPr>
      </w:pPr>
      <w:hyperlink r:id="rId13" w:history="1">
        <w:r w:rsidR="00CE7A6C" w:rsidRPr="00CE7A6C">
          <w:rPr>
            <w:rFonts w:ascii="Verdana" w:eastAsia="Calibri" w:hAnsi="Verdana" w:cs="Times New Roman"/>
            <w:color w:val="0000FF"/>
            <w:sz w:val="24"/>
            <w:szCs w:val="24"/>
            <w:u w:val="single"/>
          </w:rPr>
          <w:t>ORCF Queues, Reports, and Statistics</w:t>
        </w:r>
      </w:hyperlink>
    </w:p>
    <w:p w14:paraId="5EF888E0" w14:textId="77777777" w:rsidR="00CE7A6C" w:rsidRPr="00CE7A6C" w:rsidRDefault="00CE7A6C" w:rsidP="00CE7A6C">
      <w:pPr>
        <w:spacing w:after="0" w:line="240" w:lineRule="auto"/>
        <w:rPr>
          <w:rFonts w:ascii="Verdana" w:eastAsia="Calibri" w:hAnsi="Verdana" w:cs="Times New Roman"/>
          <w:color w:val="000000"/>
          <w:sz w:val="24"/>
        </w:rPr>
      </w:pPr>
    </w:p>
    <w:p w14:paraId="7FA7EDBC" w14:textId="77777777" w:rsidR="00CE7A6C" w:rsidRPr="00CE7A6C" w:rsidRDefault="004A5F9D" w:rsidP="00CE7A6C">
      <w:pPr>
        <w:spacing w:after="0" w:line="240" w:lineRule="auto"/>
        <w:rPr>
          <w:rFonts w:ascii="Verdana" w:eastAsia="Calibri" w:hAnsi="Verdana" w:cs="Times New Roman"/>
          <w:b/>
          <w:bCs/>
          <w:sz w:val="24"/>
        </w:rPr>
      </w:pPr>
      <w:hyperlink w:anchor="_top" w:history="1">
        <w:r w:rsidR="00CE7A6C" w:rsidRPr="00CE7A6C">
          <w:rPr>
            <w:rFonts w:ascii="Verdana" w:eastAsia="Calibri" w:hAnsi="Verdana" w:cs="Times New Roman"/>
            <w:color w:val="0000FF"/>
            <w:sz w:val="24"/>
            <w:u w:val="single"/>
          </w:rPr>
          <w:t>Back to top</w:t>
        </w:r>
      </w:hyperlink>
    </w:p>
    <w:p w14:paraId="685848DE" w14:textId="77777777" w:rsidR="00CE7A6C" w:rsidRPr="00CE7A6C" w:rsidRDefault="00CE7A6C" w:rsidP="00CE7A6C">
      <w:pPr>
        <w:spacing w:after="0" w:line="240" w:lineRule="auto"/>
        <w:rPr>
          <w:rFonts w:ascii="Verdana" w:eastAsia="Calibri" w:hAnsi="Verdana" w:cs="Times New Roman"/>
          <w:sz w:val="24"/>
        </w:rPr>
      </w:pPr>
    </w:p>
    <w:p w14:paraId="1DF06B5B" w14:textId="77777777" w:rsidR="00CE7A6C" w:rsidRPr="00CE7A6C" w:rsidRDefault="00CE7A6C" w:rsidP="00CE7A6C">
      <w:pPr>
        <w:spacing w:after="0" w:line="240" w:lineRule="auto"/>
        <w:jc w:val="center"/>
        <w:rPr>
          <w:rFonts w:ascii="Verdana" w:eastAsia="Calibri" w:hAnsi="Verdana" w:cs="Times New Roman"/>
          <w:color w:val="000000"/>
        </w:rPr>
      </w:pPr>
      <w:r w:rsidRPr="00CE7A6C">
        <w:rPr>
          <w:rFonts w:ascii="Verdana" w:eastAsia="Calibri" w:hAnsi="Verdana" w:cs="Times New Roman"/>
          <w:b/>
          <w:noProof/>
          <w:color w:val="1F497D"/>
        </w:rPr>
        <w:drawing>
          <wp:inline distT="0" distB="0" distL="0" distR="0" wp14:anchorId="6D1A1A07" wp14:editId="1D656CD7">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2B533B75" w14:textId="77777777" w:rsidR="00CE7A6C" w:rsidRPr="00CE7A6C" w:rsidRDefault="00CE7A6C" w:rsidP="00CE7A6C">
      <w:pPr>
        <w:spacing w:before="100" w:beforeAutospacing="1" w:after="100" w:afterAutospacing="1" w:line="240" w:lineRule="auto"/>
        <w:rPr>
          <w:rFonts w:ascii="Verdana" w:eastAsia="Calibri" w:hAnsi="Verdana" w:cs="Times New Roman"/>
          <w:sz w:val="24"/>
          <w:szCs w:val="24"/>
        </w:rPr>
      </w:pPr>
      <w:r w:rsidRPr="00CE7A6C">
        <w:rPr>
          <w:rFonts w:ascii="Verdana" w:eastAsia="Calibri" w:hAnsi="Verdana" w:cs="Times New Roman"/>
          <w:sz w:val="24"/>
          <w:szCs w:val="24"/>
        </w:rPr>
        <w:lastRenderedPageBreak/>
        <w:t xml:space="preserve">Past Lean 232 Updates are </w:t>
      </w:r>
      <w:hyperlink r:id="rId14" w:history="1">
        <w:r w:rsidRPr="00CE7A6C">
          <w:rPr>
            <w:rFonts w:ascii="Verdana" w:eastAsia="Calibri" w:hAnsi="Verdana" w:cs="Times New Roman"/>
            <w:color w:val="0000FF"/>
            <w:sz w:val="24"/>
            <w:szCs w:val="24"/>
            <w:u w:val="single"/>
          </w:rPr>
          <w:t>available online</w:t>
        </w:r>
      </w:hyperlink>
      <w:r w:rsidRPr="00CE7A6C">
        <w:rPr>
          <w:rFonts w:ascii="Verdana" w:eastAsia="Calibri" w:hAnsi="Verdana" w:cs="Times New Roman"/>
          <w:sz w:val="24"/>
          <w:szCs w:val="24"/>
        </w:rPr>
        <w:t>.</w:t>
      </w:r>
    </w:p>
    <w:p w14:paraId="331CB03A" w14:textId="77777777" w:rsidR="00CE7A6C" w:rsidRPr="00CE7A6C" w:rsidRDefault="00CE7A6C" w:rsidP="00CE7A6C">
      <w:pPr>
        <w:spacing w:before="100" w:beforeAutospacing="1" w:after="100" w:afterAutospacing="1" w:line="240" w:lineRule="auto"/>
        <w:rPr>
          <w:rFonts w:ascii="Verdana" w:eastAsia="Calibri" w:hAnsi="Verdana" w:cs="Times New Roman"/>
          <w:sz w:val="24"/>
          <w:szCs w:val="24"/>
        </w:rPr>
      </w:pPr>
      <w:r w:rsidRPr="00CE7A6C">
        <w:rPr>
          <w:rFonts w:ascii="Verdana" w:eastAsia="Calibri" w:hAnsi="Verdana" w:cs="Times New Roman"/>
          <w:sz w:val="24"/>
          <w:szCs w:val="24"/>
        </w:rPr>
        <w:t xml:space="preserve">Have questions about the Lean 232 Program? Please contact </w:t>
      </w:r>
      <w:hyperlink r:id="rId15" w:history="1">
        <w:r w:rsidRPr="00CE7A6C">
          <w:rPr>
            <w:rFonts w:ascii="Verdana" w:eastAsia="Calibri" w:hAnsi="Verdana" w:cs="Times New Roman"/>
            <w:color w:val="0000FF"/>
            <w:sz w:val="24"/>
            <w:szCs w:val="24"/>
            <w:u w:val="single"/>
          </w:rPr>
          <w:t>LeanThinking@hud.gov</w:t>
        </w:r>
      </w:hyperlink>
      <w:r w:rsidRPr="00CE7A6C">
        <w:rPr>
          <w:rFonts w:ascii="Verdana" w:eastAsia="Calibri" w:hAnsi="Verdana" w:cs="Times New Roman"/>
          <w:sz w:val="24"/>
          <w:szCs w:val="24"/>
        </w:rPr>
        <w:t>.</w:t>
      </w:r>
    </w:p>
    <w:p w14:paraId="6EA167CD" w14:textId="77777777" w:rsidR="00CE7A6C" w:rsidRPr="00CE7A6C" w:rsidRDefault="00CE7A6C" w:rsidP="00CE7A6C">
      <w:pPr>
        <w:spacing w:before="100" w:beforeAutospacing="1" w:after="100" w:afterAutospacing="1" w:line="240" w:lineRule="auto"/>
        <w:rPr>
          <w:rFonts w:ascii="Verdana" w:eastAsia="Calibri" w:hAnsi="Verdana" w:cs="Times New Roman"/>
          <w:sz w:val="24"/>
          <w:szCs w:val="24"/>
        </w:rPr>
      </w:pPr>
      <w:r w:rsidRPr="00CE7A6C">
        <w:rPr>
          <w:rFonts w:ascii="Verdana" w:eastAsia="Calibri" w:hAnsi="Verdana" w:cs="Times New Roman"/>
          <w:sz w:val="24"/>
          <w:szCs w:val="24"/>
        </w:rPr>
        <w:t xml:space="preserve">For more information on the Lean 232 Program, check out: </w:t>
      </w:r>
      <w:hyperlink r:id="rId16" w:history="1">
        <w:r w:rsidRPr="00CE7A6C">
          <w:rPr>
            <w:rFonts w:ascii="Verdana" w:eastAsia="Calibri" w:hAnsi="Verdana" w:cs="Times New Roman"/>
            <w:color w:val="0000FF"/>
            <w:sz w:val="24"/>
            <w:szCs w:val="24"/>
            <w:u w:val="single"/>
          </w:rPr>
          <w:t>http://www.hud.gov/healthcare</w:t>
        </w:r>
      </w:hyperlink>
      <w:r w:rsidRPr="00CE7A6C">
        <w:rPr>
          <w:rFonts w:ascii="Verdana" w:eastAsia="Calibri" w:hAnsi="Verdana" w:cs="Times New Roman"/>
          <w:sz w:val="24"/>
          <w:szCs w:val="24"/>
        </w:rPr>
        <w:t>.</w:t>
      </w:r>
    </w:p>
    <w:p w14:paraId="41180F4B" w14:textId="77777777" w:rsidR="00CE7A6C" w:rsidRPr="00CE7A6C" w:rsidRDefault="00CE7A6C" w:rsidP="00CE7A6C">
      <w:pPr>
        <w:spacing w:before="100" w:beforeAutospacing="1" w:after="100" w:afterAutospacing="1" w:line="240" w:lineRule="auto"/>
        <w:rPr>
          <w:rFonts w:ascii="Verdana" w:eastAsia="Calibri" w:hAnsi="Verdana" w:cs="Times New Roman"/>
          <w:sz w:val="24"/>
          <w:szCs w:val="24"/>
        </w:rPr>
      </w:pPr>
      <w:r w:rsidRPr="00CE7A6C">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7" w:history="1">
        <w:r w:rsidRPr="00CE7A6C">
          <w:rPr>
            <w:rFonts w:ascii="Verdana" w:eastAsia="Calibri" w:hAnsi="Verdana" w:cs="Times New Roman"/>
            <w:color w:val="0000FF"/>
            <w:sz w:val="24"/>
            <w:szCs w:val="24"/>
            <w:u w:val="single"/>
          </w:rPr>
          <w:t>Join here</w:t>
        </w:r>
      </w:hyperlink>
      <w:r w:rsidRPr="00CE7A6C">
        <w:rPr>
          <w:rFonts w:ascii="Verdana" w:eastAsia="Calibri" w:hAnsi="Verdana" w:cs="Times New Roman"/>
          <w:sz w:val="24"/>
          <w:szCs w:val="24"/>
        </w:rPr>
        <w:t>.</w:t>
      </w:r>
    </w:p>
    <w:p w14:paraId="530F98C5" w14:textId="77777777" w:rsidR="00CE7A6C" w:rsidRPr="00CE7A6C" w:rsidRDefault="00CE7A6C" w:rsidP="00CE7A6C">
      <w:pPr>
        <w:spacing w:before="100" w:beforeAutospacing="1" w:after="100" w:afterAutospacing="1" w:line="240" w:lineRule="auto"/>
        <w:rPr>
          <w:rFonts w:ascii="Verdana" w:eastAsia="Calibri" w:hAnsi="Verdana" w:cs="Times New Roman"/>
          <w:sz w:val="24"/>
          <w:szCs w:val="24"/>
        </w:rPr>
      </w:pPr>
      <w:r w:rsidRPr="00CE7A6C">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CE7A6C">
          <w:rPr>
            <w:rFonts w:ascii="Verdana" w:eastAsia="Calibri" w:hAnsi="Verdana" w:cs="Times New Roman"/>
            <w:color w:val="0000FF"/>
            <w:sz w:val="24"/>
            <w:szCs w:val="24"/>
            <w:u w:val="single"/>
          </w:rPr>
          <w:t>go here</w:t>
        </w:r>
      </w:hyperlink>
      <w:r w:rsidRPr="00CE7A6C">
        <w:rPr>
          <w:rFonts w:ascii="Verdana" w:eastAsia="Calibri" w:hAnsi="Verdana" w:cs="Times New Roman"/>
          <w:sz w:val="24"/>
          <w:szCs w:val="24"/>
        </w:rPr>
        <w:t>.</w:t>
      </w:r>
      <w:bookmarkEnd w:id="1"/>
    </w:p>
    <w:p w14:paraId="63339123" w14:textId="77777777" w:rsidR="00202254" w:rsidRDefault="00202254"/>
    <w:sectPr w:rsidR="00202254" w:rsidSect="00E217E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6375" w14:textId="77777777" w:rsidR="004A5F9D" w:rsidRDefault="004A5F9D">
      <w:pPr>
        <w:spacing w:after="0" w:line="240" w:lineRule="auto"/>
      </w:pPr>
      <w:r>
        <w:separator/>
      </w:r>
    </w:p>
  </w:endnote>
  <w:endnote w:type="continuationSeparator" w:id="0">
    <w:p w14:paraId="4EF4BD2E" w14:textId="77777777" w:rsidR="004A5F9D" w:rsidRDefault="004A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1FB6" w14:textId="77777777" w:rsidR="004A5F9D" w:rsidRDefault="004A5F9D">
      <w:pPr>
        <w:spacing w:after="0" w:line="240" w:lineRule="auto"/>
      </w:pPr>
      <w:r>
        <w:separator/>
      </w:r>
    </w:p>
  </w:footnote>
  <w:footnote w:type="continuationSeparator" w:id="0">
    <w:p w14:paraId="5EF8C361" w14:textId="77777777" w:rsidR="004A5F9D" w:rsidRDefault="004A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570D35F7" w14:textId="77777777" w:rsidR="0089592C" w:rsidRDefault="00CE7A6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DC37F9" w14:textId="77777777" w:rsidR="008F66AB" w:rsidRDefault="004A5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7C5B"/>
    <w:multiLevelType w:val="hybridMultilevel"/>
    <w:tmpl w:val="E6CA9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D34599A"/>
    <w:multiLevelType w:val="hybridMultilevel"/>
    <w:tmpl w:val="70980A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52E5B"/>
    <w:multiLevelType w:val="hybridMultilevel"/>
    <w:tmpl w:val="0E94C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71034BA1"/>
    <w:multiLevelType w:val="hybridMultilevel"/>
    <w:tmpl w:val="32C64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6C"/>
    <w:rsid w:val="00202254"/>
    <w:rsid w:val="004A5F9D"/>
    <w:rsid w:val="00943F0A"/>
    <w:rsid w:val="009A5F79"/>
    <w:rsid w:val="00CE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A1FB"/>
  <w15:chartTrackingRefBased/>
  <w15:docId w15:val="{4FDCDF62-E752-4404-95E7-70550C7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A6C"/>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CE7A6C"/>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public_indian_housing/reac/nspire" TargetMode="External"/><Relationship Id="rId13" Type="http://schemas.openxmlformats.org/officeDocument/2006/relationships/hyperlink" Target="https://www.hud.gov/federal_housing_administration/healthcare_facilities/residential_care" TargetMode="External"/><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hud.gov/program_offices/public_indian_housing/reac/nspire"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styles" Target="styles.xml"/><Relationship Id="rId16" Type="http://schemas.openxmlformats.org/officeDocument/2006/relationships/hyperlink" Target="http://www.hud.gov/healthc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CFCloser@hud.gov" TargetMode="External"/><Relationship Id="rId5" Type="http://schemas.openxmlformats.org/officeDocument/2006/relationships/footnotes" Target="footnotes.xml"/><Relationship Id="rId15" Type="http://schemas.openxmlformats.org/officeDocument/2006/relationships/hyperlink" Target="mailto:LeanThinking@hud.gov" TargetMode="External"/><Relationship Id="rId10" Type="http://schemas.openxmlformats.org/officeDocument/2006/relationships/hyperlink" Target="https://www.hud.gov/federal_housing_administration/healthcare_facilities/residential_car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portal.hud.gov/hudportal/HUD?src=/federal_housing_administration/healthcare_facilities/residential_care/mail_blast_inde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2000" dirty="0"/>
              <a:t>Significant Issues for All Loans</a:t>
            </a:r>
          </a:p>
        </c:rich>
      </c:tx>
      <c:layout>
        <c:manualLayout>
          <c:xMode val="edge"/>
          <c:yMode val="edge"/>
          <c:x val="0.25599873293124142"/>
          <c:y val="2.15804774601744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cat>
            <c:strRef>
              <c:f>'Portfolio by FY'!$E$2:$J$2</c:f>
              <c:strCache>
                <c:ptCount val="6"/>
                <c:pt idx="0">
                  <c:v>Mathematical Calculations</c:v>
                </c:pt>
                <c:pt idx="1">
                  <c:v>Quality Control</c:v>
                </c:pt>
                <c:pt idx="2">
                  <c:v>Responsiveness</c:v>
                </c:pt>
                <c:pt idx="3">
                  <c:v>Due Diligence</c:v>
                </c:pt>
                <c:pt idx="4">
                  <c:v>Program/Legal</c:v>
                </c:pt>
                <c:pt idx="5">
                  <c:v>3rd Party Reports and Lender Assessment</c:v>
                </c:pt>
              </c:strCache>
            </c:strRef>
          </c:cat>
          <c:val>
            <c:numRef>
              <c:f>'Portfolio by FY'!$E$3:$J$3</c:f>
              <c:numCache>
                <c:formatCode>General</c:formatCode>
                <c:ptCount val="6"/>
                <c:pt idx="0">
                  <c:v>13</c:v>
                </c:pt>
                <c:pt idx="1">
                  <c:v>54</c:v>
                </c:pt>
                <c:pt idx="2">
                  <c:v>44</c:v>
                </c:pt>
                <c:pt idx="3">
                  <c:v>44</c:v>
                </c:pt>
                <c:pt idx="4">
                  <c:v>15</c:v>
                </c:pt>
                <c:pt idx="5">
                  <c:v>26</c:v>
                </c:pt>
              </c:numCache>
            </c:numRef>
          </c:val>
          <c:extLst>
            <c:ext xmlns:c16="http://schemas.microsoft.com/office/drawing/2014/chart" uri="{C3380CC4-5D6E-409C-BE32-E72D297353CC}">
              <c16:uniqueId val="{00000000-F465-4842-9711-39005AB2169F}"/>
            </c:ext>
          </c:extLst>
        </c:ser>
        <c:dLbls>
          <c:showLegendKey val="0"/>
          <c:showVal val="0"/>
          <c:showCatName val="0"/>
          <c:showSerName val="0"/>
          <c:showPercent val="0"/>
          <c:showBubbleSize val="0"/>
        </c:dLbls>
        <c:gapWidth val="150"/>
        <c:shape val="box"/>
        <c:axId val="102828288"/>
        <c:axId val="102830080"/>
        <c:axId val="0"/>
      </c:bar3DChart>
      <c:catAx>
        <c:axId val="102828288"/>
        <c:scaling>
          <c:orientation val="minMax"/>
        </c:scaling>
        <c:delete val="0"/>
        <c:axPos val="b"/>
        <c:numFmt formatCode="General" sourceLinked="0"/>
        <c:majorTickMark val="none"/>
        <c:minorTickMark val="none"/>
        <c:tickLblPos val="nextTo"/>
        <c:crossAx val="102830080"/>
        <c:crosses val="autoZero"/>
        <c:auto val="1"/>
        <c:lblAlgn val="ctr"/>
        <c:lblOffset val="100"/>
        <c:noMultiLvlLbl val="0"/>
      </c:catAx>
      <c:valAx>
        <c:axId val="102830080"/>
        <c:scaling>
          <c:orientation val="minMax"/>
        </c:scaling>
        <c:delete val="0"/>
        <c:axPos val="l"/>
        <c:majorGridlines/>
        <c:numFmt formatCode="General" sourceLinked="1"/>
        <c:majorTickMark val="none"/>
        <c:minorTickMark val="none"/>
        <c:tickLblPos val="nextTo"/>
        <c:crossAx val="102828288"/>
        <c:crosses val="autoZero"/>
        <c:crossBetween val="between"/>
      </c:valAx>
    </c:plotArea>
    <c:plotVisOnly val="1"/>
    <c:dispBlanksAs val="gap"/>
    <c:showDLblsOverMax val="0"/>
  </c:chart>
  <c:spPr>
    <a:ln w="19050"/>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8163</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3</cp:revision>
  <dcterms:created xsi:type="dcterms:W3CDTF">2019-12-18T13:55:00Z</dcterms:created>
  <dcterms:modified xsi:type="dcterms:W3CDTF">2019-12-18T13:58:00Z</dcterms:modified>
</cp:coreProperties>
</file>