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603D" w14:textId="1792C68D" w:rsidR="008819F8" w:rsidRPr="00863472" w:rsidRDefault="008F4A71" w:rsidP="00863472">
      <w:pPr>
        <w:pStyle w:val="NormalWeb"/>
        <w:jc w:val="center"/>
        <w:rPr>
          <w:rFonts w:ascii="Verdana" w:hAnsi="Verdana"/>
          <w:sz w:val="22"/>
          <w:szCs w:val="22"/>
        </w:rPr>
      </w:pPr>
      <w:bookmarkStart w:id="0" w:name="_Hlk33784864"/>
      <w:bookmarkStart w:id="1" w:name="_Hlk59011599"/>
      <w:r>
        <w:rPr>
          <w:noProof/>
        </w:rPr>
        <w:drawing>
          <wp:inline distT="0" distB="0" distL="0" distR="0" wp14:anchorId="29F9F8A2" wp14:editId="390D62ED">
            <wp:extent cx="5943600" cy="957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957580"/>
                    </a:xfrm>
                    <a:prstGeom prst="rect">
                      <a:avLst/>
                    </a:prstGeom>
                    <a:noFill/>
                    <a:ln>
                      <a:noFill/>
                    </a:ln>
                  </pic:spPr>
                </pic:pic>
              </a:graphicData>
            </a:graphic>
          </wp:inline>
        </w:drawing>
      </w:r>
    </w:p>
    <w:p w14:paraId="6E0E603E" w14:textId="77777777" w:rsidR="008819F8" w:rsidRPr="00863472" w:rsidRDefault="008819F8" w:rsidP="00863472"/>
    <w:p w14:paraId="6E0E6040" w14:textId="679E32BD" w:rsidR="00743DDB" w:rsidRPr="001F5102" w:rsidRDefault="00A74A4C" w:rsidP="00863472">
      <w:pPr>
        <w:pStyle w:val="NoSpacing"/>
        <w:rPr>
          <w:rFonts w:ascii="Arial" w:hAnsi="Arial" w:cs="Arial"/>
          <w:iCs/>
          <w:sz w:val="28"/>
          <w:szCs w:val="28"/>
        </w:rPr>
      </w:pPr>
      <w:r>
        <w:rPr>
          <w:rFonts w:ascii="Arial" w:hAnsi="Arial" w:cs="Arial"/>
          <w:iCs/>
          <w:sz w:val="28"/>
          <w:szCs w:val="28"/>
        </w:rPr>
        <w:t>December 16</w:t>
      </w:r>
      <w:r w:rsidR="008129A3" w:rsidRPr="001F5102">
        <w:rPr>
          <w:rFonts w:ascii="Arial" w:hAnsi="Arial" w:cs="Arial"/>
          <w:iCs/>
          <w:sz w:val="28"/>
          <w:szCs w:val="28"/>
        </w:rPr>
        <w:t>, 20</w:t>
      </w:r>
      <w:r w:rsidR="001F686F" w:rsidRPr="001F5102">
        <w:rPr>
          <w:rFonts w:ascii="Arial" w:hAnsi="Arial" w:cs="Arial"/>
          <w:iCs/>
          <w:sz w:val="28"/>
          <w:szCs w:val="28"/>
        </w:rPr>
        <w:t>20</w:t>
      </w:r>
    </w:p>
    <w:p w14:paraId="6E0E6041" w14:textId="77777777" w:rsidR="00E55131" w:rsidRPr="007608BE" w:rsidRDefault="00E55131" w:rsidP="00863472">
      <w:pPr>
        <w:pStyle w:val="NoSpacing"/>
        <w:rPr>
          <w:rFonts w:ascii="Arial" w:hAnsi="Arial" w:cs="Arial"/>
          <w:bCs/>
          <w:iCs/>
          <w:sz w:val="24"/>
          <w:szCs w:val="24"/>
        </w:rPr>
      </w:pPr>
    </w:p>
    <w:p w14:paraId="087D186D" w14:textId="77777777" w:rsidR="007608BE" w:rsidRPr="007608BE" w:rsidRDefault="007608BE" w:rsidP="007608BE">
      <w:pPr>
        <w:pStyle w:val="NoSpacing"/>
        <w:rPr>
          <w:rFonts w:ascii="Arial" w:hAnsi="Arial" w:cs="Arial"/>
          <w:iCs/>
          <w:color w:val="000066"/>
          <w:sz w:val="24"/>
          <w:szCs w:val="24"/>
        </w:rPr>
      </w:pPr>
      <w:r w:rsidRPr="007608BE">
        <w:rPr>
          <w:rFonts w:ascii="Arial" w:hAnsi="Arial" w:cs="Arial"/>
          <w:iCs/>
          <w:color w:val="000066"/>
          <w:sz w:val="24"/>
          <w:szCs w:val="24"/>
        </w:rPr>
        <w:t>In This Update</w:t>
      </w:r>
    </w:p>
    <w:p w14:paraId="1E10E064" w14:textId="77777777" w:rsidR="007608BE" w:rsidRPr="007608BE" w:rsidRDefault="007608BE">
      <w:pPr>
        <w:pStyle w:val="TOC1"/>
        <w:rPr>
          <w:rFonts w:ascii="Arial" w:hAnsi="Arial" w:cs="Arial"/>
          <w:i/>
          <w:szCs w:val="24"/>
        </w:rPr>
      </w:pPr>
    </w:p>
    <w:p w14:paraId="7EA7FCA1" w14:textId="66CB3DDB" w:rsidR="00041796" w:rsidRPr="007608BE" w:rsidRDefault="00396DB3" w:rsidP="007608BE">
      <w:pPr>
        <w:pStyle w:val="TOC1"/>
        <w:numPr>
          <w:ilvl w:val="0"/>
          <w:numId w:val="27"/>
        </w:numPr>
        <w:spacing w:before="120"/>
        <w:rPr>
          <w:rFonts w:ascii="Arial" w:eastAsiaTheme="minorEastAsia" w:hAnsi="Arial" w:cs="Arial"/>
          <w:noProof/>
          <w:color w:val="000066"/>
          <w:sz w:val="22"/>
        </w:rPr>
      </w:pPr>
      <w:r w:rsidRPr="007608BE">
        <w:rPr>
          <w:rFonts w:ascii="Arial" w:hAnsi="Arial" w:cs="Arial"/>
          <w:i/>
          <w:color w:val="000066"/>
        </w:rPr>
        <w:fldChar w:fldCharType="begin"/>
      </w:r>
      <w:r w:rsidRPr="007608BE">
        <w:rPr>
          <w:rFonts w:ascii="Arial" w:hAnsi="Arial" w:cs="Arial"/>
          <w:i/>
          <w:color w:val="000066"/>
        </w:rPr>
        <w:instrText xml:space="preserve"> TOC \o "1-3" \n \h \z \u </w:instrText>
      </w:r>
      <w:r w:rsidRPr="007608BE">
        <w:rPr>
          <w:rFonts w:ascii="Arial" w:hAnsi="Arial" w:cs="Arial"/>
          <w:i/>
          <w:color w:val="000066"/>
        </w:rPr>
        <w:fldChar w:fldCharType="separate"/>
      </w:r>
      <w:hyperlink w:anchor="_Toc58832847" w:history="1">
        <w:r w:rsidR="00041796" w:rsidRPr="007608BE">
          <w:rPr>
            <w:rStyle w:val="Hyperlink"/>
            <w:rFonts w:ascii="Arial" w:hAnsi="Arial" w:cs="Arial"/>
            <w:noProof/>
            <w:color w:val="000066"/>
          </w:rPr>
          <w:t>New FHA Email Delivery System Beginning in 2021</w:t>
        </w:r>
      </w:hyperlink>
    </w:p>
    <w:p w14:paraId="0D93AE31" w14:textId="77777777" w:rsidR="00041796" w:rsidRPr="007608BE" w:rsidRDefault="004F6056" w:rsidP="007608BE">
      <w:pPr>
        <w:pStyle w:val="TOC1"/>
        <w:numPr>
          <w:ilvl w:val="0"/>
          <w:numId w:val="27"/>
        </w:numPr>
        <w:spacing w:before="120"/>
        <w:rPr>
          <w:rFonts w:ascii="Arial" w:eastAsiaTheme="minorEastAsia" w:hAnsi="Arial" w:cs="Arial"/>
          <w:noProof/>
          <w:color w:val="000066"/>
          <w:sz w:val="22"/>
        </w:rPr>
      </w:pPr>
      <w:hyperlink w:anchor="_Toc58832848" w:history="1">
        <w:r w:rsidR="00041796" w:rsidRPr="007608BE">
          <w:rPr>
            <w:rStyle w:val="Hyperlink"/>
            <w:rFonts w:ascii="Arial" w:hAnsi="Arial" w:cs="Arial"/>
            <w:noProof/>
            <w:color w:val="000066"/>
          </w:rPr>
          <w:t>Mortgage Reserve Funds and Debt Service Reserve Escrows on 223(a)(7) Loans</w:t>
        </w:r>
      </w:hyperlink>
    </w:p>
    <w:p w14:paraId="758E5175" w14:textId="77777777" w:rsidR="00041796" w:rsidRPr="007608BE" w:rsidRDefault="004F6056" w:rsidP="007608BE">
      <w:pPr>
        <w:pStyle w:val="TOC1"/>
        <w:numPr>
          <w:ilvl w:val="0"/>
          <w:numId w:val="27"/>
        </w:numPr>
        <w:spacing w:before="120"/>
        <w:rPr>
          <w:rFonts w:ascii="Arial" w:eastAsiaTheme="minorEastAsia" w:hAnsi="Arial" w:cs="Arial"/>
          <w:noProof/>
          <w:color w:val="000066"/>
          <w:sz w:val="22"/>
        </w:rPr>
      </w:pPr>
      <w:hyperlink w:anchor="_Toc58832849" w:history="1">
        <w:r w:rsidR="00041796" w:rsidRPr="007608BE">
          <w:rPr>
            <w:rStyle w:val="Hyperlink"/>
            <w:rFonts w:ascii="Arial" w:hAnsi="Arial" w:cs="Arial"/>
            <w:noProof/>
            <w:color w:val="000066"/>
          </w:rPr>
          <w:t>August 2020 ORCF Lender Risk Monitoring Training Posted Online</w:t>
        </w:r>
      </w:hyperlink>
    </w:p>
    <w:p w14:paraId="6FD7F687" w14:textId="77777777" w:rsidR="00041796" w:rsidRPr="007608BE" w:rsidRDefault="004F6056" w:rsidP="007608BE">
      <w:pPr>
        <w:pStyle w:val="TOC1"/>
        <w:numPr>
          <w:ilvl w:val="0"/>
          <w:numId w:val="27"/>
        </w:numPr>
        <w:spacing w:before="120"/>
        <w:rPr>
          <w:rFonts w:ascii="Arial" w:eastAsiaTheme="minorEastAsia" w:hAnsi="Arial" w:cs="Arial"/>
          <w:noProof/>
          <w:color w:val="000066"/>
          <w:sz w:val="22"/>
        </w:rPr>
      </w:pPr>
      <w:hyperlink w:anchor="_Toc58832850" w:history="1">
        <w:r w:rsidR="00041796" w:rsidRPr="007608BE">
          <w:rPr>
            <w:rStyle w:val="Hyperlink"/>
            <w:rFonts w:ascii="Arial" w:hAnsi="Arial" w:cs="Arial"/>
            <w:noProof/>
            <w:color w:val="000066"/>
          </w:rPr>
          <w:t>November 2020 ORCF Webinar Presentation Focusing Primarily on Asset Management Matters Related to the Covid-19 Pandemic Available Online</w:t>
        </w:r>
      </w:hyperlink>
    </w:p>
    <w:p w14:paraId="4B199127" w14:textId="77777777" w:rsidR="00041796" w:rsidRPr="007608BE" w:rsidRDefault="004F6056" w:rsidP="007608BE">
      <w:pPr>
        <w:pStyle w:val="TOC1"/>
        <w:numPr>
          <w:ilvl w:val="0"/>
          <w:numId w:val="27"/>
        </w:numPr>
        <w:spacing w:before="120"/>
        <w:rPr>
          <w:rFonts w:ascii="Arial" w:eastAsiaTheme="minorEastAsia" w:hAnsi="Arial" w:cs="Arial"/>
          <w:noProof/>
          <w:color w:val="000066"/>
          <w:sz w:val="22"/>
        </w:rPr>
      </w:pPr>
      <w:hyperlink w:anchor="_Toc58832851" w:history="1">
        <w:r w:rsidR="00041796" w:rsidRPr="007608BE">
          <w:rPr>
            <w:rStyle w:val="Hyperlink"/>
            <w:rFonts w:ascii="Arial" w:hAnsi="Arial" w:cs="Arial"/>
            <w:noProof/>
            <w:color w:val="000066"/>
          </w:rPr>
          <w:t>FROM THE CLOSING CORNER</w:t>
        </w:r>
      </w:hyperlink>
    </w:p>
    <w:p w14:paraId="2EE2659A" w14:textId="77777777" w:rsidR="00041796" w:rsidRPr="007608BE" w:rsidRDefault="004F6056" w:rsidP="007608BE">
      <w:pPr>
        <w:pStyle w:val="TOC2"/>
        <w:numPr>
          <w:ilvl w:val="1"/>
          <w:numId w:val="28"/>
        </w:numPr>
        <w:spacing w:before="120"/>
        <w:rPr>
          <w:rFonts w:ascii="Arial" w:eastAsiaTheme="minorEastAsia" w:hAnsi="Arial" w:cs="Arial"/>
          <w:noProof/>
          <w:color w:val="000066"/>
          <w:sz w:val="22"/>
        </w:rPr>
      </w:pPr>
      <w:hyperlink w:anchor="_Toc58832852" w:history="1">
        <w:r w:rsidR="00041796" w:rsidRPr="007608BE">
          <w:rPr>
            <w:rStyle w:val="Hyperlink"/>
            <w:rFonts w:ascii="Arial" w:hAnsi="Arial" w:cs="Arial"/>
            <w:noProof/>
            <w:color w:val="000066"/>
          </w:rPr>
          <w:t>Insurance Requirements Prior to Issuance of Permission to Occupy (PTO)</w:t>
        </w:r>
      </w:hyperlink>
    </w:p>
    <w:p w14:paraId="3E609605" w14:textId="77777777" w:rsidR="00041796" w:rsidRPr="007608BE" w:rsidRDefault="004F6056" w:rsidP="007608BE">
      <w:pPr>
        <w:pStyle w:val="TOC2"/>
        <w:numPr>
          <w:ilvl w:val="1"/>
          <w:numId w:val="28"/>
        </w:numPr>
        <w:spacing w:before="120"/>
        <w:rPr>
          <w:rFonts w:ascii="Arial" w:eastAsiaTheme="minorEastAsia" w:hAnsi="Arial" w:cs="Arial"/>
          <w:noProof/>
          <w:color w:val="000066"/>
          <w:sz w:val="22"/>
        </w:rPr>
      </w:pPr>
      <w:hyperlink w:anchor="_Toc58832853" w:history="1">
        <w:r w:rsidR="00041796" w:rsidRPr="007608BE">
          <w:rPr>
            <w:rStyle w:val="Hyperlink"/>
            <w:rFonts w:ascii="Arial" w:hAnsi="Arial" w:cs="Arial"/>
            <w:noProof/>
            <w:color w:val="000066"/>
          </w:rPr>
          <w:t>Section 223(a)(7) Firm Commitments – Review [Bracket] Language Before Submitting</w:t>
        </w:r>
      </w:hyperlink>
    </w:p>
    <w:p w14:paraId="1A6805D3" w14:textId="77777777" w:rsidR="00041796" w:rsidRPr="007608BE" w:rsidRDefault="004F6056" w:rsidP="007608BE">
      <w:pPr>
        <w:pStyle w:val="TOC2"/>
        <w:numPr>
          <w:ilvl w:val="1"/>
          <w:numId w:val="28"/>
        </w:numPr>
        <w:spacing w:before="120"/>
        <w:rPr>
          <w:rFonts w:ascii="Arial" w:eastAsiaTheme="minorEastAsia" w:hAnsi="Arial" w:cs="Arial"/>
          <w:noProof/>
          <w:color w:val="000066"/>
          <w:sz w:val="22"/>
        </w:rPr>
      </w:pPr>
      <w:hyperlink w:anchor="_Toc58832854" w:history="1">
        <w:r w:rsidR="00041796" w:rsidRPr="007608BE">
          <w:rPr>
            <w:rStyle w:val="Hyperlink"/>
            <w:rFonts w:ascii="Arial" w:hAnsi="Arial" w:cs="Arial"/>
            <w:noProof/>
            <w:color w:val="000066"/>
          </w:rPr>
          <w:t>Required Language When Requesting an Extension to the Firm Commitment</w:t>
        </w:r>
      </w:hyperlink>
    </w:p>
    <w:p w14:paraId="6E0E6047" w14:textId="23B4387C" w:rsidR="00743DDB" w:rsidRPr="001F5102" w:rsidRDefault="00396DB3" w:rsidP="007608BE">
      <w:pPr>
        <w:spacing w:before="120"/>
        <w:rPr>
          <w:rFonts w:ascii="Arial" w:hAnsi="Arial" w:cs="Arial"/>
          <w:iCs/>
        </w:rPr>
      </w:pPr>
      <w:r w:rsidRPr="007608BE">
        <w:rPr>
          <w:rFonts w:ascii="Arial" w:hAnsi="Arial" w:cs="Arial"/>
          <w:i/>
          <w:color w:val="000066"/>
        </w:rPr>
        <w:fldChar w:fldCharType="end"/>
      </w:r>
    </w:p>
    <w:p w14:paraId="5A625462" w14:textId="77777777" w:rsidR="000112A7" w:rsidRPr="001F5102" w:rsidRDefault="000112A7" w:rsidP="00863472">
      <w:pPr>
        <w:rPr>
          <w:rFonts w:ascii="Arial" w:hAnsi="Arial" w:cs="Arial"/>
          <w:iCs/>
        </w:rPr>
      </w:pPr>
    </w:p>
    <w:p w14:paraId="74231E1D" w14:textId="270DB0BA" w:rsidR="00E54808" w:rsidRPr="000D038C" w:rsidRDefault="00E54808" w:rsidP="00E54808">
      <w:pPr>
        <w:pStyle w:val="EmailBlast"/>
        <w:rPr>
          <w:sz w:val="24"/>
        </w:rPr>
      </w:pPr>
      <w:bookmarkStart w:id="2" w:name="_Toc380585836"/>
      <w:bookmarkStart w:id="3" w:name="_Toc58832847"/>
      <w:bookmarkEnd w:id="2"/>
      <w:r w:rsidRPr="000D038C">
        <w:rPr>
          <w:sz w:val="24"/>
        </w:rPr>
        <w:t>New FHA Email Delivery System Beginning in 2021</w:t>
      </w:r>
      <w:bookmarkEnd w:id="3"/>
    </w:p>
    <w:p w14:paraId="0247300E" w14:textId="5341A058" w:rsidR="00E54808" w:rsidRPr="000D038C" w:rsidRDefault="00E54808" w:rsidP="00E54808">
      <w:pPr>
        <w:rPr>
          <w:rFonts w:ascii="Arial" w:hAnsi="Arial" w:cs="Arial"/>
          <w:szCs w:val="24"/>
        </w:rPr>
      </w:pPr>
      <w:r w:rsidRPr="000D038C">
        <w:rPr>
          <w:rFonts w:ascii="Arial" w:hAnsi="Arial" w:cs="Arial"/>
          <w:szCs w:val="24"/>
        </w:rPr>
        <w:t xml:space="preserve">FHA </w:t>
      </w:r>
      <w:r w:rsidR="005712D2" w:rsidRPr="000D038C">
        <w:rPr>
          <w:rFonts w:ascii="Arial" w:hAnsi="Arial" w:cs="Arial"/>
          <w:szCs w:val="24"/>
        </w:rPr>
        <w:t>has implemented</w:t>
      </w:r>
      <w:r w:rsidR="00041796" w:rsidRPr="000D038C">
        <w:rPr>
          <w:rFonts w:ascii="Arial" w:hAnsi="Arial" w:cs="Arial"/>
          <w:szCs w:val="24"/>
        </w:rPr>
        <w:t xml:space="preserve"> </w:t>
      </w:r>
      <w:r w:rsidRPr="000D038C">
        <w:rPr>
          <w:rFonts w:ascii="Arial" w:hAnsi="Arial" w:cs="Arial"/>
          <w:szCs w:val="24"/>
        </w:rPr>
        <w:t>a new email delivery system</w:t>
      </w:r>
      <w:r w:rsidR="00041796" w:rsidRPr="000D038C">
        <w:rPr>
          <w:rFonts w:ascii="Arial" w:hAnsi="Arial" w:cs="Arial"/>
          <w:szCs w:val="24"/>
        </w:rPr>
        <w:t>.</w:t>
      </w:r>
      <w:r w:rsidRPr="000D038C">
        <w:rPr>
          <w:rFonts w:ascii="Arial" w:hAnsi="Arial" w:cs="Arial"/>
          <w:szCs w:val="24"/>
        </w:rPr>
        <w:t xml:space="preserve"> </w:t>
      </w:r>
      <w:proofErr w:type="spellStart"/>
      <w:r w:rsidRPr="000D038C">
        <w:rPr>
          <w:rFonts w:ascii="Arial" w:hAnsi="Arial" w:cs="Arial"/>
          <w:szCs w:val="24"/>
        </w:rPr>
        <w:t>ORCF</w:t>
      </w:r>
      <w:proofErr w:type="spellEnd"/>
      <w:r w:rsidRPr="000D038C">
        <w:rPr>
          <w:rFonts w:ascii="Arial" w:hAnsi="Arial" w:cs="Arial"/>
          <w:szCs w:val="24"/>
        </w:rPr>
        <w:t xml:space="preserve"> will use this improved system for our Lean 232</w:t>
      </w:r>
      <w:r w:rsidR="005712D2" w:rsidRPr="000D038C">
        <w:rPr>
          <w:rFonts w:ascii="Arial" w:hAnsi="Arial" w:cs="Arial"/>
          <w:szCs w:val="24"/>
        </w:rPr>
        <w:t xml:space="preserve"> email messages in early 2021</w:t>
      </w:r>
      <w:r w:rsidRPr="000D038C">
        <w:rPr>
          <w:rFonts w:ascii="Arial" w:hAnsi="Arial" w:cs="Arial"/>
          <w:szCs w:val="24"/>
        </w:rPr>
        <w:t xml:space="preserve">. If you are currently receiving our </w:t>
      </w:r>
      <w:r w:rsidR="005712D2" w:rsidRPr="000D038C">
        <w:rPr>
          <w:rFonts w:ascii="Arial" w:hAnsi="Arial" w:cs="Arial"/>
          <w:szCs w:val="24"/>
        </w:rPr>
        <w:t>emails</w:t>
      </w:r>
      <w:r w:rsidRPr="000D038C">
        <w:rPr>
          <w:rFonts w:ascii="Arial" w:hAnsi="Arial" w:cs="Arial"/>
          <w:szCs w:val="24"/>
        </w:rPr>
        <w:t>, you will automatically be enrolled in the new system, however, we ask you to please login under your email address and fill out your profile questions (</w:t>
      </w:r>
      <w:hyperlink r:id="rId12" w:history="1">
        <w:r w:rsidRPr="000D038C">
          <w:rPr>
            <w:rStyle w:val="Hyperlink"/>
            <w:rFonts w:ascii="Arial" w:hAnsi="Arial" w:cs="Arial"/>
            <w:szCs w:val="24"/>
          </w:rPr>
          <w:t>here</w:t>
        </w:r>
      </w:hyperlink>
      <w:r w:rsidRPr="000D038C">
        <w:rPr>
          <w:rFonts w:ascii="Arial" w:hAnsi="Arial" w:cs="Arial"/>
          <w:szCs w:val="24"/>
        </w:rPr>
        <w:t xml:space="preserve">). Please also forward this link to any colleagues who would like to subscribe to our </w:t>
      </w:r>
      <w:r w:rsidR="005712D2" w:rsidRPr="000D038C">
        <w:rPr>
          <w:rFonts w:ascii="Arial" w:hAnsi="Arial" w:cs="Arial"/>
          <w:szCs w:val="24"/>
        </w:rPr>
        <w:t>Lean 232 emails</w:t>
      </w:r>
      <w:r w:rsidRPr="000D038C">
        <w:rPr>
          <w:rFonts w:ascii="Arial" w:hAnsi="Arial" w:cs="Arial"/>
          <w:szCs w:val="24"/>
        </w:rPr>
        <w:t xml:space="preserve"> in the future.</w:t>
      </w:r>
    </w:p>
    <w:p w14:paraId="0C832CD2" w14:textId="77777777" w:rsidR="00997C33" w:rsidRPr="000D038C" w:rsidRDefault="00997C33" w:rsidP="00997C33">
      <w:pPr>
        <w:rPr>
          <w:rFonts w:ascii="Arial" w:hAnsi="Arial" w:cs="Arial"/>
          <w:szCs w:val="24"/>
        </w:rPr>
      </w:pPr>
    </w:p>
    <w:p w14:paraId="1F5B3B19" w14:textId="01704E92" w:rsidR="00997C33" w:rsidRPr="000D038C" w:rsidRDefault="00997C33" w:rsidP="00997C33">
      <w:pPr>
        <w:rPr>
          <w:rFonts w:ascii="Arial" w:hAnsi="Arial" w:cs="Arial"/>
          <w:i/>
          <w:iCs/>
          <w:szCs w:val="24"/>
        </w:rPr>
      </w:pPr>
      <w:r w:rsidRPr="000D038C">
        <w:rPr>
          <w:rFonts w:ascii="Arial" w:hAnsi="Arial" w:cs="Arial"/>
          <w:b/>
          <w:bCs/>
          <w:i/>
          <w:iCs/>
          <w:szCs w:val="24"/>
        </w:rPr>
        <w:t>Keywords:</w:t>
      </w:r>
      <w:r w:rsidR="007608BE" w:rsidRPr="000D038C">
        <w:rPr>
          <w:rFonts w:ascii="Arial" w:hAnsi="Arial" w:cs="Arial"/>
          <w:i/>
          <w:iCs/>
          <w:szCs w:val="24"/>
        </w:rPr>
        <w:tab/>
      </w:r>
      <w:r w:rsidR="00E54808" w:rsidRPr="000D038C">
        <w:rPr>
          <w:rFonts w:ascii="Arial" w:hAnsi="Arial" w:cs="Arial"/>
          <w:i/>
          <w:iCs/>
          <w:szCs w:val="24"/>
        </w:rPr>
        <w:t>Email Blast</w:t>
      </w:r>
    </w:p>
    <w:p w14:paraId="797A937E" w14:textId="3B81ACB5" w:rsidR="0065449C" w:rsidRPr="000D038C" w:rsidRDefault="0065449C" w:rsidP="00512271">
      <w:pPr>
        <w:rPr>
          <w:rFonts w:ascii="Arial" w:eastAsia="MS Mincho" w:hAnsi="Arial" w:cs="Arial"/>
          <w:b/>
          <w:szCs w:val="24"/>
        </w:rPr>
      </w:pPr>
    </w:p>
    <w:p w14:paraId="4BDEDCFC" w14:textId="77777777" w:rsidR="00B7164F" w:rsidRPr="000D038C" w:rsidRDefault="004F6056" w:rsidP="00B7164F">
      <w:pPr>
        <w:rPr>
          <w:rFonts w:ascii="Arial" w:hAnsi="Arial" w:cs="Arial"/>
          <w:b/>
          <w:color w:val="365F91" w:themeColor="accent1" w:themeShade="BF"/>
          <w:szCs w:val="24"/>
        </w:rPr>
      </w:pPr>
      <w:hyperlink w:anchor="_top" w:history="1">
        <w:r w:rsidR="00B7164F" w:rsidRPr="000D038C">
          <w:rPr>
            <w:rFonts w:ascii="Arial" w:hAnsi="Arial" w:cs="Arial"/>
            <w:color w:val="365F91" w:themeColor="accent1" w:themeShade="BF"/>
            <w:szCs w:val="24"/>
            <w:u w:val="single"/>
          </w:rPr>
          <w:t>Back to top</w:t>
        </w:r>
      </w:hyperlink>
    </w:p>
    <w:p w14:paraId="1EAFD37A" w14:textId="2F11B7A0" w:rsidR="00512271" w:rsidRPr="000D038C" w:rsidRDefault="00512271" w:rsidP="00512271">
      <w:pPr>
        <w:rPr>
          <w:rFonts w:ascii="Arial" w:hAnsi="Arial" w:cs="Arial"/>
        </w:rPr>
      </w:pPr>
    </w:p>
    <w:p w14:paraId="7E58C8E3" w14:textId="77777777" w:rsidR="00E54808" w:rsidRPr="000D038C" w:rsidRDefault="00E54808" w:rsidP="00E54808">
      <w:pPr>
        <w:pStyle w:val="EmailBlast"/>
        <w:rPr>
          <w:szCs w:val="28"/>
        </w:rPr>
      </w:pPr>
      <w:bookmarkStart w:id="4" w:name="_Toc58832848"/>
      <w:r w:rsidRPr="000D038C">
        <w:t>Mortgage Reserve Funds and Debt Service Reserve Escrows on 223(a)(7) Loans</w:t>
      </w:r>
      <w:bookmarkEnd w:id="4"/>
    </w:p>
    <w:p w14:paraId="2F1F98BD" w14:textId="1BA4F056" w:rsidR="00E54808" w:rsidRPr="000D038C" w:rsidRDefault="00E54808" w:rsidP="00E54808">
      <w:pPr>
        <w:rPr>
          <w:rFonts w:ascii="Arial" w:hAnsi="Arial" w:cs="Arial"/>
          <w:szCs w:val="24"/>
        </w:rPr>
      </w:pPr>
      <w:r w:rsidRPr="000D038C">
        <w:rPr>
          <w:rFonts w:ascii="Arial" w:hAnsi="Arial" w:cs="Arial"/>
          <w:szCs w:val="24"/>
        </w:rPr>
        <w:t xml:space="preserve">ORCF has received requests to reduce Mortgage Reserve Funds and Debt Service Reserve Escrows as part of a 223(a)(7) loan. It is ORCF’s expectation that the </w:t>
      </w:r>
      <w:r w:rsidR="00674C44" w:rsidRPr="000D038C">
        <w:rPr>
          <w:rFonts w:ascii="Arial" w:hAnsi="Arial" w:cs="Arial"/>
          <w:szCs w:val="24"/>
        </w:rPr>
        <w:t xml:space="preserve">entire </w:t>
      </w:r>
      <w:r w:rsidRPr="000D038C">
        <w:rPr>
          <w:rFonts w:ascii="Arial" w:hAnsi="Arial" w:cs="Arial"/>
          <w:szCs w:val="24"/>
        </w:rPr>
        <w:t xml:space="preserve">existing amount of any mortgage reserve or debt service reserve escrow funds will be </w:t>
      </w:r>
      <w:r w:rsidRPr="000D038C">
        <w:rPr>
          <w:rFonts w:ascii="Arial" w:hAnsi="Arial" w:cs="Arial"/>
          <w:szCs w:val="24"/>
        </w:rPr>
        <w:lastRenderedPageBreak/>
        <w:t>rolled over to a new reserve escrow at closing</w:t>
      </w:r>
      <w:r w:rsidR="005712D2" w:rsidRPr="000D038C">
        <w:rPr>
          <w:rFonts w:ascii="Arial" w:hAnsi="Arial" w:cs="Arial"/>
          <w:szCs w:val="24"/>
        </w:rPr>
        <w:t>.</w:t>
      </w:r>
      <w:r w:rsidR="00674C44" w:rsidRPr="000D038C">
        <w:rPr>
          <w:rFonts w:ascii="Arial" w:hAnsi="Arial" w:cs="Arial"/>
          <w:szCs w:val="24"/>
        </w:rPr>
        <w:t xml:space="preserve"> </w:t>
      </w:r>
      <w:r w:rsidR="005712D2" w:rsidRPr="000D038C">
        <w:rPr>
          <w:rFonts w:ascii="Arial" w:hAnsi="Arial" w:cs="Arial"/>
          <w:szCs w:val="24"/>
        </w:rPr>
        <w:t>Because of this,</w:t>
      </w:r>
      <w:r w:rsidR="003172BF">
        <w:rPr>
          <w:rFonts w:ascii="Arial" w:hAnsi="Arial" w:cs="Arial"/>
          <w:szCs w:val="24"/>
        </w:rPr>
        <w:t xml:space="preserve"> </w:t>
      </w:r>
      <w:bookmarkStart w:id="5" w:name="_GoBack"/>
      <w:bookmarkEnd w:id="5"/>
      <w:r w:rsidR="00674C44" w:rsidRPr="000D038C">
        <w:rPr>
          <w:rFonts w:ascii="Arial" w:hAnsi="Arial" w:cs="Arial"/>
          <w:szCs w:val="24"/>
        </w:rPr>
        <w:t>no reductions in the new reserve escrow will be allowed</w:t>
      </w:r>
      <w:r w:rsidRPr="000D038C">
        <w:rPr>
          <w:rFonts w:ascii="Arial" w:hAnsi="Arial" w:cs="Arial"/>
          <w:szCs w:val="24"/>
        </w:rPr>
        <w:t xml:space="preserve">. The release provisions from the original transaction should remain the same in the new escrow agreement at the 223(a)(7) closing. The lender should disclose any mortgage reserve fund or debt service reserve escrows in the application and should include existing escrows as a source and a non-eligible use on the Maximum Insurable Loan Calculation form (HUD-92264a-ORCF). </w:t>
      </w:r>
    </w:p>
    <w:p w14:paraId="6A335044" w14:textId="77777777" w:rsidR="00E54808" w:rsidRPr="000D038C" w:rsidRDefault="00E54808" w:rsidP="00E54808">
      <w:pPr>
        <w:rPr>
          <w:rFonts w:ascii="Arial" w:hAnsi="Arial" w:cs="Arial"/>
          <w:szCs w:val="24"/>
        </w:rPr>
      </w:pPr>
    </w:p>
    <w:p w14:paraId="4D9B3717" w14:textId="53A6F234" w:rsidR="00E54808" w:rsidRPr="000D038C" w:rsidRDefault="00E54808" w:rsidP="007608BE">
      <w:pPr>
        <w:ind w:left="1440" w:hanging="1440"/>
        <w:rPr>
          <w:rFonts w:ascii="Arial" w:hAnsi="Arial" w:cs="Arial"/>
          <w:i/>
          <w:iCs/>
          <w:szCs w:val="24"/>
        </w:rPr>
      </w:pPr>
      <w:r w:rsidRPr="000D038C">
        <w:rPr>
          <w:rFonts w:ascii="Arial" w:hAnsi="Arial" w:cs="Arial"/>
          <w:b/>
          <w:bCs/>
          <w:i/>
          <w:iCs/>
          <w:szCs w:val="24"/>
        </w:rPr>
        <w:t>Keywords:</w:t>
      </w:r>
      <w:r w:rsidR="007608BE" w:rsidRPr="000D038C">
        <w:rPr>
          <w:rFonts w:ascii="Arial" w:hAnsi="Arial" w:cs="Arial"/>
          <w:i/>
          <w:iCs/>
          <w:szCs w:val="24"/>
        </w:rPr>
        <w:tab/>
      </w:r>
      <w:r w:rsidRPr="000D038C">
        <w:rPr>
          <w:rFonts w:ascii="Arial" w:hAnsi="Arial" w:cs="Arial"/>
          <w:i/>
          <w:iCs/>
          <w:szCs w:val="24"/>
        </w:rPr>
        <w:t>223(a)(7) Mortgage Reserve Funds, 223(a)(7) Debt Service Reserve Escrows</w:t>
      </w:r>
    </w:p>
    <w:p w14:paraId="5415B591" w14:textId="77777777" w:rsidR="00E54808" w:rsidRPr="000D038C" w:rsidRDefault="00E54808" w:rsidP="00E54808">
      <w:pPr>
        <w:rPr>
          <w:rFonts w:ascii="Arial" w:eastAsia="MS Mincho" w:hAnsi="Arial" w:cs="Arial"/>
          <w:b/>
          <w:szCs w:val="24"/>
        </w:rPr>
      </w:pPr>
    </w:p>
    <w:p w14:paraId="5FE36EC4" w14:textId="77777777" w:rsidR="00E54808" w:rsidRPr="000D038C" w:rsidRDefault="004F6056" w:rsidP="00E54808">
      <w:pPr>
        <w:rPr>
          <w:rFonts w:ascii="Arial" w:hAnsi="Arial" w:cs="Arial"/>
          <w:b/>
          <w:color w:val="365F91" w:themeColor="accent1" w:themeShade="BF"/>
          <w:szCs w:val="24"/>
        </w:rPr>
      </w:pPr>
      <w:hyperlink w:anchor="_top" w:history="1">
        <w:r w:rsidR="00E54808" w:rsidRPr="000D038C">
          <w:rPr>
            <w:rFonts w:ascii="Arial" w:hAnsi="Arial" w:cs="Arial"/>
            <w:color w:val="365F91" w:themeColor="accent1" w:themeShade="BF"/>
            <w:szCs w:val="24"/>
            <w:u w:val="single"/>
          </w:rPr>
          <w:t>Back to top</w:t>
        </w:r>
      </w:hyperlink>
    </w:p>
    <w:p w14:paraId="55BE3DE1" w14:textId="77777777" w:rsidR="00E54808" w:rsidRPr="000D038C" w:rsidRDefault="00E54808" w:rsidP="00512271">
      <w:pPr>
        <w:rPr>
          <w:rFonts w:ascii="Arial" w:hAnsi="Arial" w:cs="Arial"/>
        </w:rPr>
      </w:pPr>
    </w:p>
    <w:p w14:paraId="70BF35CE" w14:textId="2101C7B8" w:rsidR="008E29C9" w:rsidRPr="000D038C" w:rsidRDefault="00A0549F" w:rsidP="005F2DBB">
      <w:pPr>
        <w:pStyle w:val="EmailBlast"/>
      </w:pPr>
      <w:bookmarkStart w:id="6" w:name="_Toc58832849"/>
      <w:bookmarkStart w:id="7" w:name="_Hlk57621821"/>
      <w:r w:rsidRPr="000D038C">
        <w:t xml:space="preserve">August 2020 </w:t>
      </w:r>
      <w:r w:rsidR="0065449C" w:rsidRPr="000D038C">
        <w:t>ORCF Lender Risk Monitoring Training Posted Online</w:t>
      </w:r>
      <w:bookmarkEnd w:id="6"/>
    </w:p>
    <w:p w14:paraId="1CD0CFB4" w14:textId="7A908EAD" w:rsidR="008E29C9" w:rsidRPr="000D038C" w:rsidRDefault="0065449C" w:rsidP="001F686F">
      <w:pPr>
        <w:rPr>
          <w:rFonts w:ascii="Arial" w:hAnsi="Arial" w:cs="Arial"/>
          <w:i/>
          <w:iCs/>
          <w:szCs w:val="24"/>
        </w:rPr>
      </w:pPr>
      <w:r w:rsidRPr="000D038C">
        <w:rPr>
          <w:rFonts w:ascii="Arial" w:hAnsi="Arial" w:cs="Arial"/>
          <w:szCs w:val="24"/>
        </w:rPr>
        <w:t>ORCF conducted a Lender Risk Monitoring Training on August 25, 202</w:t>
      </w:r>
      <w:r w:rsidR="004C0245" w:rsidRPr="000D038C">
        <w:rPr>
          <w:rFonts w:ascii="Arial" w:hAnsi="Arial" w:cs="Arial"/>
          <w:szCs w:val="24"/>
        </w:rPr>
        <w:t>0</w:t>
      </w:r>
      <w:r w:rsidRPr="000D038C">
        <w:rPr>
          <w:rFonts w:ascii="Arial" w:hAnsi="Arial" w:cs="Arial"/>
          <w:szCs w:val="24"/>
        </w:rPr>
        <w:t xml:space="preserve"> </w:t>
      </w:r>
      <w:r w:rsidR="00A0549F" w:rsidRPr="000D038C">
        <w:rPr>
          <w:rFonts w:ascii="Arial" w:hAnsi="Arial" w:cs="Arial"/>
          <w:szCs w:val="24"/>
        </w:rPr>
        <w:t>which provided an “A-Z Training” on Asset Management</w:t>
      </w:r>
      <w:r w:rsidR="004C0245" w:rsidRPr="000D038C">
        <w:rPr>
          <w:rFonts w:ascii="Arial" w:hAnsi="Arial" w:cs="Arial"/>
          <w:szCs w:val="24"/>
        </w:rPr>
        <w:t>’s</w:t>
      </w:r>
      <w:r w:rsidR="00A0549F" w:rsidRPr="000D038C">
        <w:rPr>
          <w:rFonts w:ascii="Arial" w:hAnsi="Arial" w:cs="Arial"/>
          <w:szCs w:val="24"/>
        </w:rPr>
        <w:t xml:space="preserve"> Risk Monitoring Routine. </w:t>
      </w:r>
      <w:r w:rsidR="00752CC5" w:rsidRPr="000D038C">
        <w:rPr>
          <w:rFonts w:ascii="Arial" w:hAnsi="Arial" w:cs="Arial"/>
          <w:szCs w:val="24"/>
        </w:rPr>
        <w:t xml:space="preserve">The training also includes question and answers which were recorded during the training. </w:t>
      </w:r>
      <w:r w:rsidR="00A0549F" w:rsidRPr="000D038C">
        <w:rPr>
          <w:rFonts w:ascii="Arial" w:hAnsi="Arial" w:cs="Arial"/>
          <w:szCs w:val="24"/>
        </w:rPr>
        <w:t>T</w:t>
      </w:r>
      <w:r w:rsidR="00752CC5" w:rsidRPr="000D038C">
        <w:rPr>
          <w:rFonts w:ascii="Arial" w:hAnsi="Arial" w:cs="Arial"/>
          <w:szCs w:val="24"/>
        </w:rPr>
        <w:t>he</w:t>
      </w:r>
      <w:r w:rsidR="00A0549F" w:rsidRPr="000D038C">
        <w:rPr>
          <w:rFonts w:ascii="Arial" w:hAnsi="Arial" w:cs="Arial"/>
          <w:szCs w:val="24"/>
        </w:rPr>
        <w:t xml:space="preserve"> training</w:t>
      </w:r>
      <w:r w:rsidR="00752CC5" w:rsidRPr="000D038C">
        <w:rPr>
          <w:rFonts w:ascii="Arial" w:hAnsi="Arial" w:cs="Arial"/>
          <w:szCs w:val="24"/>
        </w:rPr>
        <w:t xml:space="preserve"> presentation</w:t>
      </w:r>
      <w:r w:rsidR="00A0549F" w:rsidRPr="000D038C">
        <w:rPr>
          <w:rFonts w:ascii="Arial" w:hAnsi="Arial" w:cs="Arial"/>
          <w:szCs w:val="24"/>
        </w:rPr>
        <w:t xml:space="preserve"> has been posted on ORCF’s Training Presentations webpage (</w:t>
      </w:r>
      <w:hyperlink r:id="rId13" w:history="1">
        <w:r w:rsidR="00A0549F" w:rsidRPr="000D038C">
          <w:rPr>
            <w:rStyle w:val="Hyperlink"/>
            <w:rFonts w:ascii="Arial" w:hAnsi="Arial" w:cs="Arial"/>
            <w:szCs w:val="24"/>
          </w:rPr>
          <w:t>here</w:t>
        </w:r>
      </w:hyperlink>
      <w:r w:rsidR="00A0549F" w:rsidRPr="000D038C">
        <w:rPr>
          <w:rFonts w:ascii="Arial" w:hAnsi="Arial" w:cs="Arial"/>
          <w:szCs w:val="24"/>
        </w:rPr>
        <w:t>).</w:t>
      </w:r>
      <w:r w:rsidR="008E29C9" w:rsidRPr="000D038C">
        <w:rPr>
          <w:rFonts w:ascii="Arial" w:hAnsi="Arial" w:cs="Arial"/>
          <w:i/>
          <w:iCs/>
          <w:szCs w:val="24"/>
        </w:rPr>
        <w:t xml:space="preserve"> </w:t>
      </w:r>
    </w:p>
    <w:p w14:paraId="37CDB819" w14:textId="77777777" w:rsidR="008E29C9" w:rsidRPr="000D038C" w:rsidRDefault="008E29C9" w:rsidP="008E29C9">
      <w:pPr>
        <w:rPr>
          <w:rFonts w:ascii="Arial" w:hAnsi="Arial" w:cs="Arial"/>
          <w:szCs w:val="24"/>
        </w:rPr>
      </w:pPr>
    </w:p>
    <w:p w14:paraId="58547CA7" w14:textId="085160ED" w:rsidR="008E29C9" w:rsidRPr="000D038C" w:rsidRDefault="008E29C9" w:rsidP="008E29C9">
      <w:pPr>
        <w:rPr>
          <w:rFonts w:ascii="Arial" w:hAnsi="Arial" w:cs="Arial"/>
          <w:i/>
          <w:iCs/>
          <w:szCs w:val="24"/>
        </w:rPr>
      </w:pPr>
      <w:r w:rsidRPr="000D038C">
        <w:rPr>
          <w:rFonts w:ascii="Arial" w:hAnsi="Arial" w:cs="Arial"/>
          <w:b/>
          <w:bCs/>
          <w:i/>
          <w:iCs/>
          <w:szCs w:val="24"/>
        </w:rPr>
        <w:t>Keywords:</w:t>
      </w:r>
      <w:r w:rsidR="007608BE" w:rsidRPr="000D038C">
        <w:rPr>
          <w:rFonts w:ascii="Arial" w:hAnsi="Arial" w:cs="Arial"/>
          <w:i/>
          <w:iCs/>
          <w:szCs w:val="24"/>
        </w:rPr>
        <w:tab/>
      </w:r>
      <w:r w:rsidRPr="000D038C">
        <w:rPr>
          <w:rFonts w:ascii="Arial" w:hAnsi="Arial" w:cs="Arial"/>
          <w:i/>
          <w:iCs/>
          <w:szCs w:val="24"/>
        </w:rPr>
        <w:t>Risk</w:t>
      </w:r>
      <w:r w:rsidR="00752CC5" w:rsidRPr="000D038C">
        <w:rPr>
          <w:rFonts w:ascii="Arial" w:hAnsi="Arial" w:cs="Arial"/>
          <w:i/>
          <w:iCs/>
          <w:szCs w:val="24"/>
        </w:rPr>
        <w:t xml:space="preserve"> Monitoring, Training</w:t>
      </w:r>
    </w:p>
    <w:bookmarkEnd w:id="7"/>
    <w:p w14:paraId="77BDBAE6" w14:textId="77777777" w:rsidR="00F26284" w:rsidRPr="000D038C" w:rsidRDefault="00F26284" w:rsidP="001D230E">
      <w:pPr>
        <w:rPr>
          <w:rFonts w:ascii="Arial" w:eastAsia="MS Mincho" w:hAnsi="Arial" w:cs="Arial"/>
          <w:bCs/>
          <w:i/>
          <w:iCs/>
          <w:szCs w:val="24"/>
        </w:rPr>
      </w:pPr>
    </w:p>
    <w:p w14:paraId="77529218" w14:textId="77777777" w:rsidR="00B7164F" w:rsidRPr="000D038C" w:rsidRDefault="004F6056" w:rsidP="00B7164F">
      <w:pPr>
        <w:rPr>
          <w:rFonts w:ascii="Arial" w:hAnsi="Arial" w:cs="Arial"/>
          <w:b/>
          <w:color w:val="365F91" w:themeColor="accent1" w:themeShade="BF"/>
          <w:szCs w:val="24"/>
        </w:rPr>
      </w:pPr>
      <w:hyperlink w:anchor="_top" w:history="1">
        <w:r w:rsidR="00B7164F" w:rsidRPr="000D038C">
          <w:rPr>
            <w:rFonts w:ascii="Arial" w:hAnsi="Arial" w:cs="Arial"/>
            <w:color w:val="365F91" w:themeColor="accent1" w:themeShade="BF"/>
            <w:szCs w:val="24"/>
            <w:u w:val="single"/>
          </w:rPr>
          <w:t>Back to top</w:t>
        </w:r>
      </w:hyperlink>
    </w:p>
    <w:p w14:paraId="27FF7936" w14:textId="44B80842" w:rsidR="001D230E" w:rsidRPr="000D038C" w:rsidRDefault="001D230E" w:rsidP="00512271">
      <w:pPr>
        <w:rPr>
          <w:rFonts w:ascii="Arial" w:hAnsi="Arial" w:cs="Arial"/>
        </w:rPr>
      </w:pPr>
    </w:p>
    <w:p w14:paraId="1DC90A41" w14:textId="0CD882DA" w:rsidR="00F26284" w:rsidRPr="000D038C" w:rsidRDefault="009A442A" w:rsidP="00F26284">
      <w:pPr>
        <w:pStyle w:val="EmailBlast"/>
      </w:pPr>
      <w:bookmarkStart w:id="8" w:name="_Toc58832850"/>
      <w:r w:rsidRPr="000D038C">
        <w:t>November</w:t>
      </w:r>
      <w:r w:rsidR="00F26284" w:rsidRPr="000D038C">
        <w:t xml:space="preserve"> 2020 ORCF </w:t>
      </w:r>
      <w:r w:rsidRPr="000D038C">
        <w:t xml:space="preserve">Webinar Presentation </w:t>
      </w:r>
      <w:bookmarkStart w:id="9" w:name="_Hlk55388951"/>
      <w:r w:rsidRPr="000D038C">
        <w:t>Focusing Primarily on Asset Management Matters Related to the Covid-19 Pandemic</w:t>
      </w:r>
      <w:bookmarkEnd w:id="9"/>
      <w:r w:rsidRPr="000D038C">
        <w:t xml:space="preserve"> Available Online</w:t>
      </w:r>
      <w:bookmarkEnd w:id="8"/>
    </w:p>
    <w:p w14:paraId="2C02D7AB" w14:textId="14BBC076" w:rsidR="003D67F0" w:rsidRPr="000D038C" w:rsidRDefault="009A442A" w:rsidP="003D67F0">
      <w:pPr>
        <w:rPr>
          <w:rFonts w:ascii="Arial" w:hAnsi="Arial" w:cs="Arial"/>
          <w:szCs w:val="24"/>
        </w:rPr>
      </w:pPr>
      <w:r w:rsidRPr="000D038C">
        <w:rPr>
          <w:rFonts w:ascii="Arial" w:hAnsi="Arial" w:cs="Arial"/>
          <w:szCs w:val="24"/>
        </w:rPr>
        <w:t>On November 18, 2020, ORCF participated i</w:t>
      </w:r>
      <w:r w:rsidR="00F26284" w:rsidRPr="000D038C">
        <w:rPr>
          <w:rFonts w:ascii="Arial" w:hAnsi="Arial" w:cs="Arial"/>
          <w:szCs w:val="24"/>
        </w:rPr>
        <w:t>n a webinar hosted by the American Health Care Association/National Center for Assisted Living (AHCA/NCAL)</w:t>
      </w:r>
      <w:r w:rsidRPr="000D038C">
        <w:rPr>
          <w:rFonts w:ascii="Arial" w:hAnsi="Arial" w:cs="Arial"/>
          <w:szCs w:val="24"/>
        </w:rPr>
        <w:t xml:space="preserve"> on Asset Management matters. The webinar provided a brief</w:t>
      </w:r>
      <w:r w:rsidR="00F26284" w:rsidRPr="000D038C">
        <w:rPr>
          <w:rFonts w:ascii="Arial" w:hAnsi="Arial" w:cs="Arial"/>
          <w:szCs w:val="24"/>
        </w:rPr>
        <w:t xml:space="preserve"> overview of the Section 232 program and address</w:t>
      </w:r>
      <w:r w:rsidRPr="000D038C">
        <w:rPr>
          <w:rFonts w:ascii="Arial" w:hAnsi="Arial" w:cs="Arial"/>
          <w:szCs w:val="24"/>
        </w:rPr>
        <w:t>ed</w:t>
      </w:r>
      <w:r w:rsidR="00F26284" w:rsidRPr="000D038C">
        <w:rPr>
          <w:rFonts w:ascii="Arial" w:hAnsi="Arial" w:cs="Arial"/>
          <w:szCs w:val="24"/>
        </w:rPr>
        <w:t xml:space="preserve"> asset management matters related to the COVID-19 pandemic.</w:t>
      </w:r>
      <w:r w:rsidR="003D67F0" w:rsidRPr="000D038C">
        <w:rPr>
          <w:rFonts w:ascii="Arial" w:hAnsi="Arial" w:cs="Arial"/>
          <w:szCs w:val="24"/>
        </w:rPr>
        <w:t xml:space="preserve"> </w:t>
      </w:r>
      <w:r w:rsidRPr="000D038C">
        <w:rPr>
          <w:rFonts w:ascii="Arial" w:hAnsi="Arial" w:cs="Arial"/>
          <w:szCs w:val="24"/>
        </w:rPr>
        <w:t xml:space="preserve">The webinar </w:t>
      </w:r>
      <w:r w:rsidR="00972CDB" w:rsidRPr="000D038C">
        <w:rPr>
          <w:rFonts w:ascii="Arial" w:hAnsi="Arial" w:cs="Arial"/>
          <w:szCs w:val="24"/>
        </w:rPr>
        <w:t xml:space="preserve">is </w:t>
      </w:r>
      <w:r w:rsidRPr="000D038C">
        <w:rPr>
          <w:rFonts w:ascii="Arial" w:hAnsi="Arial" w:cs="Arial"/>
          <w:szCs w:val="24"/>
        </w:rPr>
        <w:t>now available online (</w:t>
      </w:r>
      <w:hyperlink r:id="rId14" w:history="1">
        <w:r w:rsidRPr="000D038C">
          <w:rPr>
            <w:rStyle w:val="Hyperlink"/>
            <w:rFonts w:ascii="Arial" w:hAnsi="Arial" w:cs="Arial"/>
            <w:szCs w:val="24"/>
          </w:rPr>
          <w:t>here</w:t>
        </w:r>
      </w:hyperlink>
      <w:r w:rsidRPr="000D038C">
        <w:rPr>
          <w:rFonts w:ascii="Arial" w:hAnsi="Arial" w:cs="Arial"/>
          <w:szCs w:val="24"/>
        </w:rPr>
        <w:t xml:space="preserve">). </w:t>
      </w:r>
      <w:r w:rsidR="0073726D" w:rsidRPr="000D038C">
        <w:rPr>
          <w:rFonts w:ascii="Arial" w:hAnsi="Arial" w:cs="Arial"/>
          <w:szCs w:val="24"/>
        </w:rPr>
        <w:t xml:space="preserve">Membership to AHCA/NCAL is not required to access this webinar. </w:t>
      </w:r>
      <w:r w:rsidR="00972CDB" w:rsidRPr="000D038C">
        <w:rPr>
          <w:rFonts w:ascii="Arial" w:hAnsi="Arial" w:cs="Arial"/>
          <w:szCs w:val="24"/>
        </w:rPr>
        <w:t xml:space="preserve">Please </w:t>
      </w:r>
      <w:r w:rsidR="003D67F0" w:rsidRPr="000D038C">
        <w:rPr>
          <w:rFonts w:ascii="Arial" w:hAnsi="Arial" w:cs="Arial"/>
          <w:szCs w:val="24"/>
        </w:rPr>
        <w:t>use</w:t>
      </w:r>
      <w:r w:rsidR="00972CDB" w:rsidRPr="000D038C">
        <w:rPr>
          <w:rFonts w:ascii="Arial" w:hAnsi="Arial" w:cs="Arial"/>
          <w:szCs w:val="24"/>
        </w:rPr>
        <w:t xml:space="preserve"> your AHCA login </w:t>
      </w:r>
      <w:r w:rsidR="003D67F0" w:rsidRPr="000D038C">
        <w:rPr>
          <w:rFonts w:ascii="Arial" w:hAnsi="Arial" w:cs="Arial"/>
          <w:szCs w:val="24"/>
        </w:rPr>
        <w:t>used when</w:t>
      </w:r>
      <w:r w:rsidR="00972CDB" w:rsidRPr="000D038C">
        <w:rPr>
          <w:rFonts w:ascii="Arial" w:hAnsi="Arial" w:cs="Arial"/>
          <w:szCs w:val="24"/>
        </w:rPr>
        <w:t xml:space="preserve"> registering for the webinar</w:t>
      </w:r>
      <w:r w:rsidR="003D67F0" w:rsidRPr="000D038C">
        <w:rPr>
          <w:rFonts w:ascii="Arial" w:hAnsi="Arial" w:cs="Arial"/>
          <w:szCs w:val="24"/>
        </w:rPr>
        <w:t xml:space="preserve"> (</w:t>
      </w:r>
      <w:r w:rsidR="003D67F0" w:rsidRPr="000D038C">
        <w:rPr>
          <w:rFonts w:ascii="Arial" w:hAnsi="Arial" w:cs="Arial"/>
          <w:i/>
          <w:iCs/>
          <w:szCs w:val="24"/>
        </w:rPr>
        <w:t>If you have forgotten your password click </w:t>
      </w:r>
      <w:hyperlink r:id="rId15" w:tgtFrame="_blank" w:history="1">
        <w:r w:rsidR="003D67F0" w:rsidRPr="000D038C">
          <w:rPr>
            <w:rStyle w:val="Hyperlink"/>
            <w:rFonts w:ascii="Arial" w:hAnsi="Arial" w:cs="Arial"/>
            <w:i/>
            <w:iCs/>
            <w:szCs w:val="24"/>
          </w:rPr>
          <w:t>here</w:t>
        </w:r>
      </w:hyperlink>
      <w:r w:rsidR="003D67F0" w:rsidRPr="000D038C">
        <w:rPr>
          <w:rFonts w:ascii="Arial" w:hAnsi="Arial" w:cs="Arial"/>
          <w:i/>
          <w:iCs/>
          <w:szCs w:val="24"/>
        </w:rPr>
        <w:t>). </w:t>
      </w:r>
    </w:p>
    <w:p w14:paraId="652B19EA" w14:textId="77777777" w:rsidR="00972CDB" w:rsidRPr="000D038C" w:rsidRDefault="00972CDB" w:rsidP="00972CDB">
      <w:pPr>
        <w:rPr>
          <w:rFonts w:ascii="Arial" w:hAnsi="Arial" w:cs="Arial"/>
          <w:i/>
          <w:iCs/>
          <w:szCs w:val="24"/>
        </w:rPr>
      </w:pPr>
    </w:p>
    <w:p w14:paraId="067F57F7" w14:textId="580C28FE" w:rsidR="00972CDB" w:rsidRPr="000D038C" w:rsidRDefault="00972CDB" w:rsidP="00972CDB">
      <w:pPr>
        <w:outlineLvl w:val="5"/>
        <w:rPr>
          <w:rFonts w:ascii="Arial" w:eastAsia="Times New Roman" w:hAnsi="Arial" w:cs="Arial"/>
          <w:color w:val="222222"/>
          <w:szCs w:val="24"/>
        </w:rPr>
      </w:pPr>
      <w:r w:rsidRPr="000D038C">
        <w:rPr>
          <w:rFonts w:ascii="Arial" w:eastAsia="Times New Roman" w:hAnsi="Arial" w:cs="Arial"/>
          <w:color w:val="222222"/>
          <w:szCs w:val="24"/>
        </w:rPr>
        <w:t>If you did not register</w:t>
      </w:r>
      <w:r w:rsidR="00041796" w:rsidRPr="000D038C">
        <w:rPr>
          <w:rFonts w:ascii="Arial" w:eastAsia="Times New Roman" w:hAnsi="Arial" w:cs="Arial"/>
          <w:color w:val="222222"/>
          <w:szCs w:val="24"/>
        </w:rPr>
        <w:t xml:space="preserve"> for the live webinar</w:t>
      </w:r>
      <w:r w:rsidRPr="000D038C">
        <w:rPr>
          <w:rFonts w:ascii="Arial" w:eastAsia="Times New Roman" w:hAnsi="Arial" w:cs="Arial"/>
          <w:color w:val="222222"/>
          <w:szCs w:val="24"/>
        </w:rPr>
        <w:t xml:space="preserve">, </w:t>
      </w:r>
      <w:r w:rsidR="009A442A" w:rsidRPr="000D038C">
        <w:rPr>
          <w:rFonts w:ascii="Arial" w:eastAsia="Times New Roman" w:hAnsi="Arial" w:cs="Arial"/>
          <w:color w:val="222222"/>
          <w:szCs w:val="24"/>
        </w:rPr>
        <w:t>you will need to create an account</w:t>
      </w:r>
      <w:r w:rsidRPr="000D038C">
        <w:rPr>
          <w:rFonts w:ascii="Arial" w:eastAsia="Times New Roman" w:hAnsi="Arial" w:cs="Arial"/>
          <w:color w:val="222222"/>
          <w:szCs w:val="24"/>
        </w:rPr>
        <w:t xml:space="preserve"> to</w:t>
      </w:r>
      <w:r w:rsidR="009A442A" w:rsidRPr="000D038C">
        <w:rPr>
          <w:rFonts w:ascii="Arial" w:eastAsia="Times New Roman" w:hAnsi="Arial" w:cs="Arial"/>
          <w:color w:val="222222"/>
          <w:szCs w:val="24"/>
        </w:rPr>
        <w:t xml:space="preserve"> access the </w:t>
      </w:r>
      <w:r w:rsidRPr="000D038C">
        <w:rPr>
          <w:rFonts w:ascii="Arial" w:eastAsia="Times New Roman" w:hAnsi="Arial" w:cs="Arial"/>
          <w:color w:val="222222"/>
          <w:szCs w:val="24"/>
        </w:rPr>
        <w:t>recorded webinar</w:t>
      </w:r>
      <w:r w:rsidR="009A442A" w:rsidRPr="000D038C">
        <w:rPr>
          <w:rFonts w:ascii="Arial" w:eastAsia="Times New Roman" w:hAnsi="Arial" w:cs="Arial"/>
          <w:color w:val="222222"/>
          <w:szCs w:val="24"/>
        </w:rPr>
        <w:t xml:space="preserve">. </w:t>
      </w:r>
    </w:p>
    <w:p w14:paraId="4582132C" w14:textId="77777777" w:rsidR="00972CDB" w:rsidRPr="000D038C" w:rsidRDefault="00972CDB" w:rsidP="00972CDB">
      <w:pPr>
        <w:outlineLvl w:val="5"/>
        <w:rPr>
          <w:rFonts w:ascii="Arial" w:eastAsia="Times New Roman" w:hAnsi="Arial" w:cs="Arial"/>
          <w:b/>
          <w:bCs/>
          <w:szCs w:val="24"/>
        </w:rPr>
      </w:pPr>
    </w:p>
    <w:p w14:paraId="0E244DB4" w14:textId="70751B6B" w:rsidR="009A442A" w:rsidRPr="000D038C" w:rsidRDefault="009A442A" w:rsidP="00972CDB">
      <w:pPr>
        <w:outlineLvl w:val="5"/>
        <w:rPr>
          <w:rFonts w:ascii="Arial" w:eastAsia="Times New Roman" w:hAnsi="Arial" w:cs="Arial"/>
          <w:b/>
          <w:bCs/>
          <w:szCs w:val="24"/>
        </w:rPr>
      </w:pPr>
      <w:r w:rsidRPr="000D038C">
        <w:rPr>
          <w:rFonts w:ascii="Arial" w:eastAsia="Times New Roman" w:hAnsi="Arial" w:cs="Arial"/>
          <w:b/>
          <w:bCs/>
          <w:color w:val="222222"/>
          <w:szCs w:val="24"/>
        </w:rPr>
        <w:t xml:space="preserve">How to </w:t>
      </w:r>
      <w:r w:rsidR="00972CDB" w:rsidRPr="000D038C">
        <w:rPr>
          <w:rFonts w:ascii="Arial" w:eastAsia="Times New Roman" w:hAnsi="Arial" w:cs="Arial"/>
          <w:b/>
          <w:bCs/>
          <w:color w:val="222222"/>
          <w:szCs w:val="24"/>
        </w:rPr>
        <w:t>Create Account</w:t>
      </w:r>
      <w:r w:rsidRPr="000D038C">
        <w:rPr>
          <w:rFonts w:ascii="Arial" w:eastAsia="Times New Roman" w:hAnsi="Arial" w:cs="Arial"/>
          <w:b/>
          <w:bCs/>
          <w:color w:val="222222"/>
          <w:szCs w:val="24"/>
        </w:rPr>
        <w:t>: </w:t>
      </w:r>
    </w:p>
    <w:p w14:paraId="21C5AE43" w14:textId="77777777" w:rsidR="009A442A" w:rsidRPr="000D038C" w:rsidRDefault="009A442A" w:rsidP="003D67F0">
      <w:pPr>
        <w:numPr>
          <w:ilvl w:val="0"/>
          <w:numId w:val="26"/>
        </w:numPr>
        <w:tabs>
          <w:tab w:val="clear" w:pos="1800"/>
        </w:tabs>
        <w:spacing w:before="120"/>
        <w:ind w:left="1080"/>
        <w:rPr>
          <w:rFonts w:ascii="Arial" w:hAnsi="Arial" w:cs="Arial"/>
          <w:szCs w:val="24"/>
        </w:rPr>
      </w:pPr>
      <w:r w:rsidRPr="000D038C">
        <w:rPr>
          <w:rFonts w:ascii="Arial" w:hAnsi="Arial" w:cs="Arial"/>
          <w:color w:val="000000"/>
          <w:szCs w:val="24"/>
        </w:rPr>
        <w:t>To avoid technical problems, use Google Chrome. </w:t>
      </w:r>
    </w:p>
    <w:p w14:paraId="198B4445" w14:textId="5D8E7714" w:rsidR="009A442A" w:rsidRPr="000D038C" w:rsidRDefault="009A442A" w:rsidP="003D67F0">
      <w:pPr>
        <w:numPr>
          <w:ilvl w:val="0"/>
          <w:numId w:val="26"/>
        </w:numPr>
        <w:tabs>
          <w:tab w:val="clear" w:pos="1800"/>
        </w:tabs>
        <w:spacing w:before="120"/>
        <w:ind w:left="1080"/>
        <w:rPr>
          <w:rFonts w:ascii="Arial" w:hAnsi="Arial" w:cs="Arial"/>
          <w:szCs w:val="24"/>
        </w:rPr>
      </w:pPr>
      <w:r w:rsidRPr="000D038C">
        <w:rPr>
          <w:rFonts w:ascii="Arial" w:hAnsi="Arial" w:cs="Arial"/>
          <w:color w:val="000000"/>
          <w:szCs w:val="24"/>
        </w:rPr>
        <w:t xml:space="preserve">If you are new to the </w:t>
      </w:r>
      <w:r w:rsidR="005712D2" w:rsidRPr="000D038C">
        <w:rPr>
          <w:rFonts w:ascii="Arial" w:hAnsi="Arial" w:cs="Arial"/>
          <w:color w:val="000000"/>
          <w:szCs w:val="24"/>
        </w:rPr>
        <w:t xml:space="preserve">AHCA </w:t>
      </w:r>
      <w:r w:rsidRPr="000D038C">
        <w:rPr>
          <w:rFonts w:ascii="Arial" w:hAnsi="Arial" w:cs="Arial"/>
          <w:color w:val="000000"/>
          <w:szCs w:val="24"/>
        </w:rPr>
        <w:t>site, you can create an account</w:t>
      </w:r>
      <w:r w:rsidRPr="000D038C">
        <w:rPr>
          <w:rFonts w:ascii="Arial" w:hAnsi="Arial" w:cs="Arial"/>
          <w:szCs w:val="24"/>
        </w:rPr>
        <w:t> </w:t>
      </w:r>
      <w:hyperlink r:id="rId16" w:tgtFrame="_blank" w:history="1">
        <w:r w:rsidRPr="000D038C">
          <w:rPr>
            <w:rFonts w:ascii="Arial" w:hAnsi="Arial" w:cs="Arial"/>
            <w:color w:val="256BC9"/>
            <w:szCs w:val="24"/>
            <w:u w:val="single"/>
          </w:rPr>
          <w:t>here</w:t>
        </w:r>
      </w:hyperlink>
      <w:r w:rsidRPr="000D038C">
        <w:rPr>
          <w:rFonts w:ascii="Arial" w:hAnsi="Arial" w:cs="Arial"/>
          <w:szCs w:val="24"/>
        </w:rPr>
        <w:t>. </w:t>
      </w:r>
      <w:r w:rsidRPr="000D038C">
        <w:rPr>
          <w:rFonts w:ascii="Arial" w:hAnsi="Arial" w:cs="Arial"/>
          <w:color w:val="000000"/>
          <w:szCs w:val="24"/>
        </w:rPr>
        <w:t xml:space="preserve">After creating an account, you will be able to </w:t>
      </w:r>
      <w:r w:rsidR="003D67F0" w:rsidRPr="000D038C">
        <w:rPr>
          <w:rFonts w:ascii="Arial" w:hAnsi="Arial" w:cs="Arial"/>
          <w:color w:val="000000"/>
          <w:szCs w:val="24"/>
        </w:rPr>
        <w:t>access</w:t>
      </w:r>
      <w:r w:rsidRPr="000D038C">
        <w:rPr>
          <w:rFonts w:ascii="Arial" w:hAnsi="Arial" w:cs="Arial"/>
          <w:color w:val="000000"/>
          <w:szCs w:val="24"/>
        </w:rPr>
        <w:t xml:space="preserve"> the webinar. </w:t>
      </w:r>
    </w:p>
    <w:p w14:paraId="2823F60D" w14:textId="77777777" w:rsidR="00972CDB" w:rsidRPr="000D038C" w:rsidRDefault="00972CDB" w:rsidP="00972CDB">
      <w:pPr>
        <w:ind w:left="1080"/>
        <w:rPr>
          <w:rFonts w:ascii="Arial" w:hAnsi="Arial" w:cs="Arial"/>
          <w:szCs w:val="24"/>
        </w:rPr>
      </w:pPr>
    </w:p>
    <w:p w14:paraId="0EC6D121" w14:textId="6B18442B" w:rsidR="009A442A" w:rsidRPr="000D038C" w:rsidRDefault="009C0168" w:rsidP="00972CDB">
      <w:pPr>
        <w:rPr>
          <w:rFonts w:ascii="Arial" w:hAnsi="Arial" w:cs="Arial"/>
          <w:szCs w:val="24"/>
        </w:rPr>
      </w:pPr>
      <w:r w:rsidRPr="000D038C">
        <w:rPr>
          <w:rFonts w:ascii="Arial" w:hAnsi="Arial" w:cs="Arial"/>
          <w:color w:val="000000"/>
          <w:szCs w:val="24"/>
        </w:rPr>
        <w:t xml:space="preserve">For </w:t>
      </w:r>
      <w:r w:rsidR="009A442A" w:rsidRPr="000D038C">
        <w:rPr>
          <w:rFonts w:ascii="Arial" w:hAnsi="Arial" w:cs="Arial"/>
          <w:color w:val="000000"/>
          <w:szCs w:val="24"/>
        </w:rPr>
        <w:t>further assistance</w:t>
      </w:r>
      <w:r w:rsidRPr="000D038C">
        <w:rPr>
          <w:rFonts w:ascii="Arial" w:hAnsi="Arial" w:cs="Arial"/>
          <w:color w:val="000000"/>
          <w:szCs w:val="24"/>
        </w:rPr>
        <w:t>, please e</w:t>
      </w:r>
      <w:r w:rsidR="009A442A" w:rsidRPr="000D038C">
        <w:rPr>
          <w:rFonts w:ascii="Arial" w:hAnsi="Arial" w:cs="Arial"/>
          <w:color w:val="000000"/>
          <w:szCs w:val="24"/>
        </w:rPr>
        <w:t>mail</w:t>
      </w:r>
      <w:r w:rsidR="009A442A" w:rsidRPr="000D038C">
        <w:rPr>
          <w:rFonts w:ascii="Arial" w:hAnsi="Arial" w:cs="Arial"/>
          <w:color w:val="666666"/>
          <w:szCs w:val="24"/>
        </w:rPr>
        <w:t> </w:t>
      </w:r>
      <w:hyperlink r:id="rId17" w:history="1">
        <w:r w:rsidR="009A442A" w:rsidRPr="000D038C">
          <w:rPr>
            <w:rFonts w:ascii="Arial" w:hAnsi="Arial" w:cs="Arial"/>
            <w:color w:val="256BC9"/>
            <w:szCs w:val="24"/>
            <w:u w:val="single"/>
          </w:rPr>
          <w:t>educate@ahca.org</w:t>
        </w:r>
      </w:hyperlink>
      <w:r w:rsidRPr="000D038C">
        <w:rPr>
          <w:rFonts w:ascii="Arial" w:hAnsi="Arial" w:cs="Arial"/>
          <w:color w:val="666666"/>
          <w:szCs w:val="24"/>
        </w:rPr>
        <w:t>.</w:t>
      </w:r>
    </w:p>
    <w:p w14:paraId="69A3DAC9" w14:textId="77777777" w:rsidR="009A442A" w:rsidRPr="000D038C" w:rsidRDefault="009A442A" w:rsidP="00F26284">
      <w:pPr>
        <w:rPr>
          <w:rFonts w:ascii="Arial" w:hAnsi="Arial" w:cs="Arial"/>
          <w:i/>
          <w:iCs/>
          <w:szCs w:val="24"/>
        </w:rPr>
      </w:pPr>
    </w:p>
    <w:p w14:paraId="656712D8" w14:textId="48A539C0" w:rsidR="00F26284" w:rsidRPr="000D038C" w:rsidRDefault="00F26284" w:rsidP="00F26284">
      <w:pPr>
        <w:rPr>
          <w:rFonts w:ascii="Arial" w:hAnsi="Arial" w:cs="Arial"/>
          <w:i/>
          <w:iCs/>
          <w:szCs w:val="24"/>
        </w:rPr>
      </w:pPr>
      <w:r w:rsidRPr="000D038C">
        <w:rPr>
          <w:rFonts w:ascii="Arial" w:hAnsi="Arial" w:cs="Arial"/>
          <w:b/>
          <w:bCs/>
          <w:i/>
          <w:iCs/>
          <w:szCs w:val="24"/>
        </w:rPr>
        <w:lastRenderedPageBreak/>
        <w:t>Keywords:</w:t>
      </w:r>
      <w:r w:rsidR="007608BE" w:rsidRPr="000D038C">
        <w:rPr>
          <w:rFonts w:ascii="Arial" w:hAnsi="Arial" w:cs="Arial"/>
          <w:b/>
          <w:bCs/>
          <w:i/>
          <w:iCs/>
          <w:szCs w:val="24"/>
        </w:rPr>
        <w:tab/>
      </w:r>
      <w:r w:rsidR="009C0168" w:rsidRPr="000D038C">
        <w:rPr>
          <w:rFonts w:ascii="Arial" w:hAnsi="Arial" w:cs="Arial"/>
          <w:i/>
          <w:iCs/>
          <w:szCs w:val="24"/>
        </w:rPr>
        <w:t>Webinar</w:t>
      </w:r>
      <w:r w:rsidR="00972CDB" w:rsidRPr="000D038C">
        <w:rPr>
          <w:rFonts w:ascii="Arial" w:hAnsi="Arial" w:cs="Arial"/>
          <w:i/>
          <w:iCs/>
          <w:szCs w:val="24"/>
        </w:rPr>
        <w:t xml:space="preserve">, </w:t>
      </w:r>
      <w:proofErr w:type="spellStart"/>
      <w:r w:rsidR="00972CDB" w:rsidRPr="000D038C">
        <w:rPr>
          <w:rFonts w:ascii="Arial" w:hAnsi="Arial" w:cs="Arial"/>
          <w:i/>
          <w:iCs/>
          <w:szCs w:val="24"/>
        </w:rPr>
        <w:t>COVID</w:t>
      </w:r>
      <w:proofErr w:type="spellEnd"/>
    </w:p>
    <w:p w14:paraId="3E4ADC02" w14:textId="77777777" w:rsidR="00F26284" w:rsidRPr="000D038C" w:rsidRDefault="00F26284" w:rsidP="00F26284">
      <w:pPr>
        <w:rPr>
          <w:rFonts w:ascii="Arial" w:eastAsia="MS Mincho" w:hAnsi="Arial" w:cs="Arial"/>
          <w:b/>
          <w:szCs w:val="24"/>
        </w:rPr>
      </w:pPr>
    </w:p>
    <w:p w14:paraId="3BCD34B1" w14:textId="77777777" w:rsidR="00F26284" w:rsidRPr="000D038C" w:rsidRDefault="004F6056" w:rsidP="00F26284">
      <w:pPr>
        <w:rPr>
          <w:rFonts w:ascii="Arial" w:hAnsi="Arial" w:cs="Arial"/>
          <w:b/>
          <w:color w:val="365F91" w:themeColor="accent1" w:themeShade="BF"/>
          <w:szCs w:val="24"/>
        </w:rPr>
      </w:pPr>
      <w:hyperlink w:anchor="_top" w:history="1">
        <w:r w:rsidR="00F26284" w:rsidRPr="000D038C">
          <w:rPr>
            <w:rFonts w:ascii="Arial" w:hAnsi="Arial" w:cs="Arial"/>
            <w:color w:val="365F91" w:themeColor="accent1" w:themeShade="BF"/>
            <w:szCs w:val="24"/>
            <w:u w:val="single"/>
          </w:rPr>
          <w:t>Back to top</w:t>
        </w:r>
      </w:hyperlink>
    </w:p>
    <w:p w14:paraId="6321ABCF" w14:textId="77777777" w:rsidR="00F26284" w:rsidRPr="00E06121" w:rsidRDefault="00F26284" w:rsidP="00512271">
      <w:pPr>
        <w:rPr>
          <w:rFonts w:ascii="Arial" w:hAnsi="Arial" w:cs="Arial"/>
        </w:rPr>
      </w:pPr>
    </w:p>
    <w:p w14:paraId="0128A89B" w14:textId="77777777" w:rsidR="009F4D59" w:rsidRPr="00E06121" w:rsidRDefault="009F4D59" w:rsidP="008930F5">
      <w:pPr>
        <w:rPr>
          <w:rFonts w:ascii="Arial" w:hAnsi="Arial" w:cs="Arial"/>
        </w:rPr>
      </w:pPr>
    </w:p>
    <w:p w14:paraId="6EAC7DE2" w14:textId="0172E1D2" w:rsidR="00910E23" w:rsidRPr="000D038C" w:rsidRDefault="00910E23" w:rsidP="005F2DBB">
      <w:pPr>
        <w:pStyle w:val="EmailBlast"/>
      </w:pPr>
      <w:bookmarkStart w:id="10" w:name="_Toc396209070"/>
      <w:bookmarkStart w:id="11" w:name="_Toc58832851"/>
      <w:r w:rsidRPr="000D038C">
        <w:t>FROM THE CLOSING CORNER</w:t>
      </w:r>
      <w:bookmarkEnd w:id="10"/>
      <w:bookmarkEnd w:id="11"/>
    </w:p>
    <w:p w14:paraId="1F9631E0" w14:textId="0EEB1A48" w:rsidR="005F2DBB" w:rsidRPr="000D038C" w:rsidRDefault="005F2DBB" w:rsidP="0027695B">
      <w:pPr>
        <w:pStyle w:val="EmailBlast2"/>
      </w:pPr>
      <w:bookmarkStart w:id="12" w:name="_Toc58832852"/>
      <w:r w:rsidRPr="000D038C">
        <w:t>Insurance Requirements Prior to Issuance of Permission to Occupy (PTO)</w:t>
      </w:r>
      <w:bookmarkEnd w:id="12"/>
    </w:p>
    <w:p w14:paraId="600419A4" w14:textId="029B4375" w:rsidR="005F2DBB" w:rsidRPr="000D038C" w:rsidRDefault="005F2DBB" w:rsidP="005F2DBB">
      <w:pPr>
        <w:rPr>
          <w:rFonts w:ascii="Arial" w:hAnsi="Arial" w:cs="Arial"/>
          <w:szCs w:val="24"/>
        </w:rPr>
      </w:pPr>
      <w:r w:rsidRPr="000D038C">
        <w:rPr>
          <w:rFonts w:ascii="Arial" w:hAnsi="Arial" w:cs="Arial"/>
          <w:szCs w:val="24"/>
        </w:rPr>
        <w:t>As a reminder, Firm Commitments for New Construction, Substantial Rehabilitation and 241</w:t>
      </w:r>
      <w:r w:rsidR="005712D2" w:rsidRPr="000D038C">
        <w:rPr>
          <w:rFonts w:ascii="Arial" w:hAnsi="Arial" w:cs="Arial"/>
          <w:szCs w:val="24"/>
        </w:rPr>
        <w:t>(</w:t>
      </w:r>
      <w:r w:rsidRPr="000D038C">
        <w:rPr>
          <w:rFonts w:ascii="Arial" w:hAnsi="Arial" w:cs="Arial"/>
          <w:szCs w:val="24"/>
        </w:rPr>
        <w:t>a</w:t>
      </w:r>
      <w:r w:rsidR="005712D2" w:rsidRPr="000D038C">
        <w:rPr>
          <w:rFonts w:ascii="Arial" w:hAnsi="Arial" w:cs="Arial"/>
          <w:szCs w:val="24"/>
        </w:rPr>
        <w:t>) transactions</w:t>
      </w:r>
      <w:r w:rsidRPr="000D038C">
        <w:rPr>
          <w:rFonts w:ascii="Arial" w:hAnsi="Arial" w:cs="Arial"/>
          <w:szCs w:val="24"/>
        </w:rPr>
        <w:t xml:space="preserve"> </w:t>
      </w:r>
      <w:r w:rsidRPr="000D038C">
        <w:rPr>
          <w:rFonts w:ascii="Arial" w:hAnsi="Arial" w:cs="Arial"/>
          <w:szCs w:val="24"/>
          <w:u w:val="single"/>
        </w:rPr>
        <w:t>require all insurance must be in place</w:t>
      </w:r>
      <w:r w:rsidRPr="000D038C">
        <w:rPr>
          <w:rFonts w:ascii="Arial" w:hAnsi="Arial" w:cs="Arial"/>
          <w:szCs w:val="24"/>
        </w:rPr>
        <w:t xml:space="preserve"> </w:t>
      </w:r>
      <w:r w:rsidRPr="000D038C">
        <w:rPr>
          <w:rFonts w:ascii="Arial" w:hAnsi="Arial" w:cs="Arial"/>
          <w:szCs w:val="24"/>
          <w:u w:val="single"/>
        </w:rPr>
        <w:t>prior to issuance of the Permission to Occupy (PTO)</w:t>
      </w:r>
      <w:r w:rsidRPr="000D038C">
        <w:rPr>
          <w:rFonts w:ascii="Arial" w:hAnsi="Arial" w:cs="Arial"/>
          <w:szCs w:val="24"/>
        </w:rPr>
        <w:t xml:space="preserve">. </w:t>
      </w:r>
      <w:r w:rsidR="00DB289F" w:rsidRPr="000D038C">
        <w:rPr>
          <w:rFonts w:ascii="Arial" w:hAnsi="Arial" w:cs="Arial"/>
          <w:szCs w:val="24"/>
        </w:rPr>
        <w:t>Please ensure all Property, Liability and Fidelity Insurance coverage is in place and in conformance with current program requirements</w:t>
      </w:r>
      <w:r w:rsidR="00DB289F" w:rsidRPr="000D038C">
        <w:rPr>
          <w:rFonts w:ascii="Arial" w:hAnsi="Arial" w:cs="Arial"/>
        </w:rPr>
        <w:t xml:space="preserve"> </w:t>
      </w:r>
      <w:r w:rsidR="00DB289F" w:rsidRPr="000D038C">
        <w:rPr>
          <w:rFonts w:ascii="Arial" w:hAnsi="Arial" w:cs="Arial"/>
          <w:szCs w:val="24"/>
        </w:rPr>
        <w:t xml:space="preserve">prior to submitting to the ORCF Construction Manager for final approval. </w:t>
      </w:r>
      <w:r w:rsidRPr="000D038C">
        <w:rPr>
          <w:rFonts w:ascii="Arial" w:hAnsi="Arial" w:cs="Arial"/>
          <w:szCs w:val="24"/>
        </w:rPr>
        <w:t>T</w:t>
      </w:r>
      <w:r w:rsidR="00DB289F" w:rsidRPr="000D038C">
        <w:rPr>
          <w:rFonts w:ascii="Arial" w:hAnsi="Arial" w:cs="Arial"/>
          <w:szCs w:val="24"/>
        </w:rPr>
        <w:t>his will</w:t>
      </w:r>
      <w:r w:rsidRPr="000D038C">
        <w:rPr>
          <w:rFonts w:ascii="Arial" w:hAnsi="Arial" w:cs="Arial"/>
          <w:szCs w:val="24"/>
        </w:rPr>
        <w:t xml:space="preserve"> avoid delays with issuance of the Permission to Occupy (PTO)</w:t>
      </w:r>
      <w:r w:rsidR="00DB289F" w:rsidRPr="000D038C">
        <w:rPr>
          <w:rFonts w:ascii="Arial" w:hAnsi="Arial" w:cs="Arial"/>
          <w:szCs w:val="24"/>
        </w:rPr>
        <w:t>.</w:t>
      </w:r>
      <w:r w:rsidRPr="000D038C">
        <w:rPr>
          <w:rFonts w:ascii="Arial" w:hAnsi="Arial" w:cs="Arial"/>
          <w:szCs w:val="24"/>
        </w:rPr>
        <w:t xml:space="preserve"> Insurance certificates/ACORDS must be valid and include, at a minimum, the coverages and deductibles cited in Item 32 of the Firm Commitment and Special Conditions, as may be amended.</w:t>
      </w:r>
    </w:p>
    <w:p w14:paraId="18589C6C" w14:textId="77777777" w:rsidR="005F2DBB" w:rsidRPr="000D038C" w:rsidRDefault="005F2DBB" w:rsidP="005F2DBB">
      <w:pPr>
        <w:rPr>
          <w:rFonts w:ascii="Arial" w:hAnsi="Arial" w:cs="Arial"/>
          <w:szCs w:val="24"/>
        </w:rPr>
      </w:pPr>
    </w:p>
    <w:p w14:paraId="1A7587AB" w14:textId="3AF79952" w:rsidR="005F2DBB" w:rsidRPr="000D038C" w:rsidRDefault="005F2DBB" w:rsidP="005F2DBB">
      <w:pPr>
        <w:rPr>
          <w:rFonts w:ascii="Arial" w:hAnsi="Arial" w:cs="Arial"/>
          <w:szCs w:val="24"/>
        </w:rPr>
      </w:pPr>
      <w:r w:rsidRPr="000D038C">
        <w:rPr>
          <w:rFonts w:ascii="Arial" w:hAnsi="Arial" w:cs="Arial"/>
          <w:szCs w:val="24"/>
        </w:rPr>
        <w:t xml:space="preserve">Please contact Rick Price, ORCF Construction Manager </w:t>
      </w:r>
      <w:r w:rsidR="00DB289F" w:rsidRPr="000D038C">
        <w:rPr>
          <w:rFonts w:ascii="Arial" w:hAnsi="Arial" w:cs="Arial"/>
          <w:szCs w:val="24"/>
        </w:rPr>
        <w:t>if you have any questions</w:t>
      </w:r>
      <w:r w:rsidRPr="000D038C">
        <w:rPr>
          <w:rFonts w:ascii="Arial" w:hAnsi="Arial" w:cs="Arial"/>
          <w:szCs w:val="24"/>
        </w:rPr>
        <w:t>.</w:t>
      </w:r>
    </w:p>
    <w:p w14:paraId="29E279F3" w14:textId="77777777" w:rsidR="005F2DBB" w:rsidRPr="000D038C" w:rsidRDefault="005F2DBB" w:rsidP="005F2DBB">
      <w:pPr>
        <w:rPr>
          <w:rFonts w:ascii="Arial" w:hAnsi="Arial" w:cs="Arial"/>
          <w:szCs w:val="24"/>
        </w:rPr>
      </w:pPr>
    </w:p>
    <w:p w14:paraId="706D160C" w14:textId="28BFCE50" w:rsidR="005F2DBB" w:rsidRPr="000D038C" w:rsidRDefault="005F2DBB" w:rsidP="005F2DBB">
      <w:pPr>
        <w:rPr>
          <w:rFonts w:ascii="Arial" w:hAnsi="Arial" w:cs="Arial"/>
          <w:i/>
          <w:iCs/>
          <w:szCs w:val="24"/>
        </w:rPr>
      </w:pPr>
      <w:r w:rsidRPr="000D038C">
        <w:rPr>
          <w:rFonts w:ascii="Arial" w:hAnsi="Arial" w:cs="Arial"/>
          <w:b/>
          <w:bCs/>
          <w:i/>
          <w:iCs/>
          <w:szCs w:val="24"/>
        </w:rPr>
        <w:t>Keywords</w:t>
      </w:r>
      <w:r w:rsidR="007608BE" w:rsidRPr="000D038C">
        <w:rPr>
          <w:rFonts w:ascii="Arial" w:hAnsi="Arial" w:cs="Arial"/>
          <w:i/>
          <w:iCs/>
          <w:szCs w:val="24"/>
        </w:rPr>
        <w:t>:</w:t>
      </w:r>
      <w:r w:rsidR="007608BE" w:rsidRPr="000D038C">
        <w:rPr>
          <w:rFonts w:ascii="Arial" w:hAnsi="Arial" w:cs="Arial"/>
          <w:i/>
          <w:iCs/>
          <w:szCs w:val="24"/>
        </w:rPr>
        <w:tab/>
      </w:r>
      <w:bookmarkStart w:id="13" w:name="_Hlk59008736"/>
      <w:r w:rsidRPr="000D038C">
        <w:rPr>
          <w:rFonts w:ascii="Arial" w:hAnsi="Arial" w:cs="Arial"/>
          <w:i/>
          <w:iCs/>
          <w:szCs w:val="24"/>
        </w:rPr>
        <w:t>Permission to Occupy</w:t>
      </w:r>
      <w:r w:rsidR="00062AE0">
        <w:rPr>
          <w:rFonts w:ascii="Arial" w:hAnsi="Arial" w:cs="Arial"/>
          <w:i/>
          <w:iCs/>
          <w:szCs w:val="24"/>
        </w:rPr>
        <w:t xml:space="preserve"> (</w:t>
      </w:r>
      <w:r w:rsidRPr="000D038C">
        <w:rPr>
          <w:rFonts w:ascii="Arial" w:hAnsi="Arial" w:cs="Arial"/>
          <w:i/>
          <w:iCs/>
          <w:szCs w:val="24"/>
        </w:rPr>
        <w:t>PTO</w:t>
      </w:r>
      <w:r w:rsidR="00062AE0">
        <w:rPr>
          <w:rFonts w:ascii="Arial" w:hAnsi="Arial" w:cs="Arial"/>
          <w:i/>
          <w:iCs/>
          <w:szCs w:val="24"/>
        </w:rPr>
        <w:t>)</w:t>
      </w:r>
      <w:r w:rsidRPr="000D038C">
        <w:rPr>
          <w:rFonts w:ascii="Arial" w:hAnsi="Arial" w:cs="Arial"/>
          <w:i/>
          <w:iCs/>
          <w:szCs w:val="24"/>
        </w:rPr>
        <w:t xml:space="preserve">, </w:t>
      </w:r>
      <w:bookmarkEnd w:id="13"/>
      <w:r w:rsidRPr="000D038C">
        <w:rPr>
          <w:rFonts w:ascii="Arial" w:hAnsi="Arial" w:cs="Arial"/>
          <w:i/>
          <w:iCs/>
          <w:szCs w:val="24"/>
        </w:rPr>
        <w:t xml:space="preserve">Insurance </w:t>
      </w:r>
    </w:p>
    <w:p w14:paraId="290263E8" w14:textId="77777777" w:rsidR="00DC0C97" w:rsidRPr="000D038C" w:rsidRDefault="00DC0C97" w:rsidP="00DC0C97">
      <w:pPr>
        <w:rPr>
          <w:rFonts w:ascii="Arial" w:hAnsi="Arial" w:cs="Arial"/>
          <w:b/>
          <w:bCs/>
          <w:szCs w:val="24"/>
          <w:u w:val="single"/>
        </w:rPr>
      </w:pPr>
    </w:p>
    <w:p w14:paraId="24F888BC" w14:textId="77777777" w:rsidR="00740D11" w:rsidRPr="000D038C" w:rsidRDefault="004F6056" w:rsidP="00740D11">
      <w:pPr>
        <w:rPr>
          <w:rFonts w:ascii="Arial" w:hAnsi="Arial" w:cs="Arial"/>
          <w:b/>
          <w:color w:val="365F91" w:themeColor="accent1" w:themeShade="BF"/>
          <w:szCs w:val="24"/>
        </w:rPr>
      </w:pPr>
      <w:hyperlink w:anchor="_top" w:history="1">
        <w:r w:rsidR="00740D11" w:rsidRPr="000D038C">
          <w:rPr>
            <w:rFonts w:ascii="Arial" w:hAnsi="Arial" w:cs="Arial"/>
            <w:color w:val="365F91" w:themeColor="accent1" w:themeShade="BF"/>
            <w:szCs w:val="24"/>
            <w:u w:val="single"/>
          </w:rPr>
          <w:t>Back to top</w:t>
        </w:r>
      </w:hyperlink>
    </w:p>
    <w:p w14:paraId="5F1E6D58" w14:textId="77777777" w:rsidR="00910E23" w:rsidRPr="000D038C" w:rsidRDefault="00910E23" w:rsidP="008930F5">
      <w:pPr>
        <w:rPr>
          <w:rFonts w:ascii="Arial" w:hAnsi="Arial" w:cs="Arial"/>
          <w:b/>
        </w:rPr>
      </w:pPr>
    </w:p>
    <w:p w14:paraId="2360FBEE" w14:textId="25E41679" w:rsidR="005F2DBB" w:rsidRPr="000D038C" w:rsidRDefault="005F2DBB" w:rsidP="0027695B">
      <w:pPr>
        <w:pStyle w:val="EmailBlast2"/>
      </w:pPr>
      <w:bookmarkStart w:id="14" w:name="_Toc401056504"/>
      <w:bookmarkStart w:id="15" w:name="_Toc58832853"/>
      <w:bookmarkEnd w:id="14"/>
      <w:r w:rsidRPr="000D038C">
        <w:t xml:space="preserve">Section 223(a)(7) Firm Commitments </w:t>
      </w:r>
      <w:r w:rsidR="00364B63" w:rsidRPr="000D038C">
        <w:t>– Review [Bracket] Language B</w:t>
      </w:r>
      <w:r w:rsidRPr="000D038C">
        <w:t>efore Submitting</w:t>
      </w:r>
      <w:bookmarkEnd w:id="15"/>
    </w:p>
    <w:p w14:paraId="5AAD8F68" w14:textId="1AC3BA22" w:rsidR="005F2DBB" w:rsidRPr="000D038C" w:rsidRDefault="005F2DBB" w:rsidP="005F2DBB">
      <w:pPr>
        <w:rPr>
          <w:rFonts w:ascii="Arial" w:hAnsi="Arial" w:cs="Arial"/>
          <w:szCs w:val="24"/>
        </w:rPr>
      </w:pPr>
      <w:r w:rsidRPr="000D038C">
        <w:rPr>
          <w:rFonts w:ascii="Arial" w:hAnsi="Arial" w:cs="Arial"/>
          <w:szCs w:val="24"/>
        </w:rPr>
        <w:t xml:space="preserve">Section 232/223(a)(7) loans apply to the refinancing of loans insured under Section 232 and loans originally insured under Section 232 pursuant to Section 223(f).  The firm commitment has several places with language in </w:t>
      </w:r>
      <w:r w:rsidRPr="000D038C">
        <w:rPr>
          <w:rFonts w:ascii="Arial" w:hAnsi="Arial" w:cs="Arial"/>
          <w:b/>
          <w:bCs/>
          <w:i/>
          <w:iCs/>
          <w:szCs w:val="24"/>
          <w:u w:val="single"/>
        </w:rPr>
        <w:t>[brackets]</w:t>
      </w:r>
      <w:r w:rsidRPr="000D038C">
        <w:rPr>
          <w:rFonts w:ascii="Arial" w:hAnsi="Arial" w:cs="Arial"/>
          <w:szCs w:val="24"/>
        </w:rPr>
        <w:t>, which means a choice must be made and the inapplicable language deleted.  For example, in the second paragraph</w:t>
      </w:r>
      <w:r w:rsidR="009667FD" w:rsidRPr="000D038C">
        <w:rPr>
          <w:rFonts w:ascii="Arial" w:hAnsi="Arial" w:cs="Arial"/>
          <w:szCs w:val="24"/>
        </w:rPr>
        <w:t xml:space="preserve"> of the firm commitment</w:t>
      </w:r>
      <w:r w:rsidRPr="000D038C">
        <w:rPr>
          <w:rFonts w:ascii="Arial" w:hAnsi="Arial" w:cs="Arial"/>
          <w:szCs w:val="24"/>
        </w:rPr>
        <w:t>:</w:t>
      </w:r>
    </w:p>
    <w:p w14:paraId="4F638097" w14:textId="77777777" w:rsidR="005F2DBB" w:rsidRPr="000D038C" w:rsidRDefault="005F2DBB" w:rsidP="005F2DBB">
      <w:pPr>
        <w:rPr>
          <w:rFonts w:ascii="Arial" w:hAnsi="Arial" w:cs="Arial"/>
          <w:b/>
          <w:bCs/>
          <w:szCs w:val="24"/>
        </w:rPr>
      </w:pPr>
    </w:p>
    <w:p w14:paraId="6C35EEBA" w14:textId="6EEC1A6D" w:rsidR="009667FD" w:rsidRPr="000D038C" w:rsidRDefault="009667FD" w:rsidP="009667FD">
      <w:pPr>
        <w:ind w:left="720"/>
        <w:rPr>
          <w:rFonts w:ascii="Arial" w:hAnsi="Arial" w:cs="Arial"/>
          <w:i/>
          <w:iCs/>
          <w:szCs w:val="24"/>
        </w:rPr>
      </w:pPr>
      <w:r w:rsidRPr="000D038C">
        <w:rPr>
          <w:rFonts w:ascii="Arial" w:hAnsi="Arial" w:cs="Arial"/>
          <w:i/>
          <w:iCs/>
          <w:szCs w:val="24"/>
        </w:rPr>
        <w:t xml:space="preserve">It is your intention to present the said Note and Security Instrument to the Federal Housing Commissioner acting herein on behalf of the Department of Housing and Urban Development ("HUD") for mortgage insurance under the provisions of Section 232 pursuant to </w:t>
      </w:r>
      <w:r w:rsidRPr="000D038C">
        <w:rPr>
          <w:rFonts w:ascii="Arial" w:hAnsi="Arial" w:cs="Arial"/>
          <w:i/>
          <w:iCs/>
          <w:szCs w:val="24"/>
          <w:highlight w:val="yellow"/>
        </w:rPr>
        <w:t>[Section 223(a)(7) OR Section 223(f) pursuant to Section 223(a)(7)]</w:t>
      </w:r>
      <w:r w:rsidRPr="000D038C">
        <w:rPr>
          <w:rFonts w:ascii="Arial" w:hAnsi="Arial" w:cs="Arial"/>
          <w:i/>
          <w:iCs/>
          <w:szCs w:val="24"/>
        </w:rPr>
        <w:t xml:space="preserve"> of the National Housing Act (the "NHA"), and the Regulations thereunder now in effect (the "Regulations").</w:t>
      </w:r>
    </w:p>
    <w:p w14:paraId="72BEC699" w14:textId="77777777" w:rsidR="009667FD" w:rsidRPr="000D038C" w:rsidRDefault="009667FD" w:rsidP="005F2DBB">
      <w:pPr>
        <w:rPr>
          <w:rFonts w:ascii="Arial" w:hAnsi="Arial" w:cs="Arial"/>
          <w:i/>
          <w:iCs/>
          <w:szCs w:val="24"/>
          <w:u w:val="single"/>
        </w:rPr>
      </w:pPr>
    </w:p>
    <w:p w14:paraId="6C74B1CF" w14:textId="20FF253C" w:rsidR="005F2DBB" w:rsidRPr="000D038C" w:rsidRDefault="005F2DBB" w:rsidP="005F2DBB">
      <w:pPr>
        <w:rPr>
          <w:rFonts w:ascii="Arial" w:hAnsi="Arial" w:cs="Arial"/>
          <w:szCs w:val="24"/>
        </w:rPr>
      </w:pPr>
      <w:r w:rsidRPr="000D038C">
        <w:rPr>
          <w:rFonts w:ascii="Arial" w:hAnsi="Arial" w:cs="Arial"/>
          <w:szCs w:val="24"/>
        </w:rPr>
        <w:t>The correct type of loan must also be correctly stated in closing documents, including the Healthcare Regulatory Agreement -Borrower</w:t>
      </w:r>
      <w:r w:rsidR="00364B63" w:rsidRPr="000D038C">
        <w:rPr>
          <w:rFonts w:ascii="Arial" w:hAnsi="Arial" w:cs="Arial"/>
          <w:szCs w:val="24"/>
        </w:rPr>
        <w:t xml:space="preserve"> (HUD-92466-ORCF)</w:t>
      </w:r>
      <w:r w:rsidRPr="000D038C">
        <w:rPr>
          <w:rFonts w:ascii="Arial" w:hAnsi="Arial" w:cs="Arial"/>
          <w:szCs w:val="24"/>
        </w:rPr>
        <w:t xml:space="preserve"> and Regulatory Agreement </w:t>
      </w:r>
      <w:r w:rsidR="00364B63" w:rsidRPr="000D038C">
        <w:rPr>
          <w:rFonts w:ascii="Arial" w:hAnsi="Arial" w:cs="Arial"/>
          <w:szCs w:val="24"/>
        </w:rPr>
        <w:t>–</w:t>
      </w:r>
      <w:r w:rsidRPr="000D038C">
        <w:rPr>
          <w:rFonts w:ascii="Arial" w:hAnsi="Arial" w:cs="Arial"/>
          <w:szCs w:val="24"/>
        </w:rPr>
        <w:t xml:space="preserve"> Operator</w:t>
      </w:r>
      <w:r w:rsidR="009667FD" w:rsidRPr="000D038C">
        <w:rPr>
          <w:rFonts w:ascii="Arial" w:hAnsi="Arial" w:cs="Arial"/>
          <w:szCs w:val="24"/>
        </w:rPr>
        <w:t xml:space="preserve"> </w:t>
      </w:r>
      <w:r w:rsidR="00364B63" w:rsidRPr="000D038C">
        <w:rPr>
          <w:rFonts w:ascii="Arial" w:hAnsi="Arial" w:cs="Arial"/>
          <w:szCs w:val="24"/>
        </w:rPr>
        <w:t>(HUD-92466a-ORCF)</w:t>
      </w:r>
      <w:r w:rsidRPr="000D038C">
        <w:rPr>
          <w:rFonts w:ascii="Arial" w:hAnsi="Arial" w:cs="Arial"/>
          <w:szCs w:val="24"/>
        </w:rPr>
        <w:t>.</w:t>
      </w:r>
    </w:p>
    <w:p w14:paraId="67A097D2" w14:textId="77777777" w:rsidR="00364B63" w:rsidRPr="000D038C" w:rsidRDefault="00364B63" w:rsidP="005F2DBB">
      <w:pPr>
        <w:rPr>
          <w:rFonts w:ascii="Arial" w:hAnsi="Arial" w:cs="Arial"/>
          <w:i/>
          <w:iCs/>
          <w:szCs w:val="24"/>
        </w:rPr>
      </w:pPr>
    </w:p>
    <w:p w14:paraId="53D64F1B" w14:textId="77777777" w:rsidR="005F2DBB" w:rsidRPr="000D038C" w:rsidRDefault="005F2DBB" w:rsidP="005F2DBB">
      <w:pPr>
        <w:rPr>
          <w:rFonts w:ascii="Arial" w:hAnsi="Arial" w:cs="Arial"/>
          <w:i/>
          <w:iCs/>
          <w:szCs w:val="24"/>
        </w:rPr>
      </w:pPr>
      <w:r w:rsidRPr="000D038C">
        <w:rPr>
          <w:rFonts w:ascii="Arial" w:hAnsi="Arial" w:cs="Arial"/>
          <w:i/>
          <w:iCs/>
          <w:szCs w:val="24"/>
        </w:rPr>
        <w:t>Please ensure that the draft firm commitment and closing documents include the correct type of loan when they are submitted to HUD for review.</w:t>
      </w:r>
    </w:p>
    <w:p w14:paraId="5FA590DA" w14:textId="77777777" w:rsidR="005F2DBB" w:rsidRPr="000D038C" w:rsidRDefault="005F2DBB" w:rsidP="005F2DBB">
      <w:pPr>
        <w:rPr>
          <w:rFonts w:ascii="Arial" w:hAnsi="Arial" w:cs="Arial"/>
          <w:szCs w:val="24"/>
        </w:rPr>
      </w:pPr>
    </w:p>
    <w:p w14:paraId="6DB2F76D" w14:textId="6C189499" w:rsidR="005F2DBB" w:rsidRPr="000D038C" w:rsidRDefault="005F2DBB" w:rsidP="005F2DBB">
      <w:pPr>
        <w:rPr>
          <w:rFonts w:ascii="Arial" w:hAnsi="Arial" w:cs="Arial"/>
          <w:szCs w:val="24"/>
        </w:rPr>
      </w:pPr>
      <w:r w:rsidRPr="000D038C">
        <w:rPr>
          <w:rFonts w:ascii="Arial" w:hAnsi="Arial" w:cs="Arial"/>
          <w:szCs w:val="24"/>
        </w:rPr>
        <w:lastRenderedPageBreak/>
        <w:t xml:space="preserve">Please contact your assigned ORCF </w:t>
      </w:r>
      <w:r w:rsidR="009667FD" w:rsidRPr="000D038C">
        <w:rPr>
          <w:rFonts w:ascii="Arial" w:hAnsi="Arial" w:cs="Arial"/>
          <w:szCs w:val="24"/>
        </w:rPr>
        <w:t>Underwriter</w:t>
      </w:r>
      <w:r w:rsidRPr="000D038C">
        <w:rPr>
          <w:rFonts w:ascii="Arial" w:hAnsi="Arial" w:cs="Arial"/>
          <w:szCs w:val="24"/>
        </w:rPr>
        <w:t xml:space="preserve"> directly</w:t>
      </w:r>
      <w:r w:rsidR="00364B63" w:rsidRPr="000D038C">
        <w:rPr>
          <w:rFonts w:ascii="Arial" w:hAnsi="Arial" w:cs="Arial"/>
          <w:szCs w:val="24"/>
        </w:rPr>
        <w:t xml:space="preserve"> if you have any questions</w:t>
      </w:r>
      <w:r w:rsidRPr="000D038C">
        <w:rPr>
          <w:rFonts w:ascii="Arial" w:hAnsi="Arial" w:cs="Arial"/>
          <w:szCs w:val="24"/>
        </w:rPr>
        <w:t>.</w:t>
      </w:r>
    </w:p>
    <w:p w14:paraId="05CAF096" w14:textId="77777777" w:rsidR="005F2DBB" w:rsidRPr="000D038C" w:rsidRDefault="005F2DBB" w:rsidP="005F2DBB">
      <w:pPr>
        <w:rPr>
          <w:rFonts w:ascii="Arial" w:hAnsi="Arial" w:cs="Arial"/>
          <w:szCs w:val="24"/>
        </w:rPr>
      </w:pPr>
    </w:p>
    <w:p w14:paraId="557C51D4" w14:textId="4E343210" w:rsidR="005F2DBB" w:rsidRPr="000D038C" w:rsidRDefault="005F2DBB" w:rsidP="005F2DBB">
      <w:pPr>
        <w:rPr>
          <w:rFonts w:ascii="Arial" w:hAnsi="Arial" w:cs="Arial"/>
          <w:i/>
          <w:iCs/>
          <w:szCs w:val="24"/>
        </w:rPr>
      </w:pPr>
      <w:r w:rsidRPr="000D038C">
        <w:rPr>
          <w:rFonts w:ascii="Arial" w:hAnsi="Arial" w:cs="Arial"/>
          <w:b/>
          <w:bCs/>
          <w:i/>
          <w:iCs/>
          <w:szCs w:val="24"/>
        </w:rPr>
        <w:t>Keywords</w:t>
      </w:r>
      <w:r w:rsidR="007608BE" w:rsidRPr="000D038C">
        <w:rPr>
          <w:rFonts w:ascii="Arial" w:hAnsi="Arial" w:cs="Arial"/>
          <w:i/>
          <w:iCs/>
          <w:szCs w:val="24"/>
        </w:rPr>
        <w:t>:</w:t>
      </w:r>
      <w:r w:rsidR="007608BE" w:rsidRPr="000D038C">
        <w:rPr>
          <w:rFonts w:ascii="Arial" w:hAnsi="Arial" w:cs="Arial"/>
          <w:i/>
          <w:iCs/>
          <w:szCs w:val="24"/>
        </w:rPr>
        <w:tab/>
      </w:r>
      <w:r w:rsidRPr="000D038C">
        <w:rPr>
          <w:rFonts w:ascii="Arial" w:hAnsi="Arial" w:cs="Arial"/>
          <w:i/>
          <w:iCs/>
          <w:szCs w:val="24"/>
        </w:rPr>
        <w:t>Section 223(a)(7), Firm Commitment, Closing Documents</w:t>
      </w:r>
    </w:p>
    <w:p w14:paraId="648A2D1B" w14:textId="77777777" w:rsidR="00DD6A76" w:rsidRPr="000D038C" w:rsidRDefault="00DD6A76" w:rsidP="00C835D5">
      <w:pPr>
        <w:rPr>
          <w:rFonts w:ascii="Arial" w:eastAsia="MS Mincho" w:hAnsi="Arial" w:cs="Arial"/>
          <w:b/>
          <w:szCs w:val="24"/>
        </w:rPr>
      </w:pPr>
    </w:p>
    <w:p w14:paraId="506F4172" w14:textId="77777777" w:rsidR="00740D11" w:rsidRPr="000D038C" w:rsidRDefault="004F6056" w:rsidP="00740D11">
      <w:pPr>
        <w:rPr>
          <w:rFonts w:ascii="Arial" w:hAnsi="Arial" w:cs="Arial"/>
          <w:b/>
          <w:color w:val="365F91" w:themeColor="accent1" w:themeShade="BF"/>
          <w:szCs w:val="24"/>
        </w:rPr>
      </w:pPr>
      <w:hyperlink w:anchor="_top" w:history="1">
        <w:r w:rsidR="00740D11" w:rsidRPr="000D038C">
          <w:rPr>
            <w:rFonts w:ascii="Arial" w:hAnsi="Arial" w:cs="Arial"/>
            <w:color w:val="365F91" w:themeColor="accent1" w:themeShade="BF"/>
            <w:szCs w:val="24"/>
            <w:u w:val="single"/>
          </w:rPr>
          <w:t>Back to top</w:t>
        </w:r>
      </w:hyperlink>
    </w:p>
    <w:p w14:paraId="110FEF21" w14:textId="50B60901" w:rsidR="00E52379" w:rsidRPr="000D038C" w:rsidRDefault="00E52379" w:rsidP="00C835D5">
      <w:pPr>
        <w:rPr>
          <w:rFonts w:ascii="Arial" w:eastAsia="MS Mincho" w:hAnsi="Arial" w:cs="Arial"/>
          <w:b/>
          <w:szCs w:val="24"/>
        </w:rPr>
      </w:pPr>
    </w:p>
    <w:p w14:paraId="58A1EF2A" w14:textId="3C3A7D33" w:rsidR="005F2DBB" w:rsidRPr="000D038C" w:rsidRDefault="002F1C9F" w:rsidP="0027695B">
      <w:pPr>
        <w:pStyle w:val="EmailBlast2"/>
      </w:pPr>
      <w:bookmarkStart w:id="16" w:name="_Toc58832854"/>
      <w:r w:rsidRPr="000D038C">
        <w:t xml:space="preserve">Required Language When </w:t>
      </w:r>
      <w:r w:rsidR="005F2DBB" w:rsidRPr="000D038C">
        <w:t>Requesting an Extension to the Firm Commitment</w:t>
      </w:r>
      <w:bookmarkEnd w:id="16"/>
    </w:p>
    <w:p w14:paraId="5760F2B3" w14:textId="19777F6D" w:rsidR="005F2DBB" w:rsidRPr="000D038C" w:rsidRDefault="002F1C9F" w:rsidP="005F2DBB">
      <w:pPr>
        <w:rPr>
          <w:rFonts w:ascii="Arial" w:hAnsi="Arial" w:cs="Arial"/>
          <w:szCs w:val="24"/>
        </w:rPr>
      </w:pPr>
      <w:r w:rsidRPr="000D038C">
        <w:rPr>
          <w:rFonts w:ascii="Arial" w:hAnsi="Arial" w:cs="Arial"/>
          <w:szCs w:val="24"/>
        </w:rPr>
        <w:t>W</w:t>
      </w:r>
      <w:r w:rsidR="005F2DBB" w:rsidRPr="000D038C">
        <w:rPr>
          <w:rFonts w:ascii="Arial" w:hAnsi="Arial" w:cs="Arial"/>
          <w:szCs w:val="24"/>
        </w:rPr>
        <w:t xml:space="preserve">hen submitting an Amendment Request to extend the term of the Firm Commitment, </w:t>
      </w:r>
      <w:r w:rsidR="009C0168" w:rsidRPr="000D038C">
        <w:rPr>
          <w:rFonts w:ascii="Arial" w:hAnsi="Arial" w:cs="Arial"/>
          <w:szCs w:val="24"/>
        </w:rPr>
        <w:t xml:space="preserve">the </w:t>
      </w:r>
      <w:r w:rsidR="005F2DBB" w:rsidRPr="000D038C">
        <w:rPr>
          <w:rFonts w:ascii="Arial" w:hAnsi="Arial" w:cs="Arial"/>
          <w:szCs w:val="24"/>
        </w:rPr>
        <w:t>request for extension must include the following statement (if true)</w:t>
      </w:r>
      <w:r w:rsidRPr="000D038C">
        <w:rPr>
          <w:rFonts w:ascii="Arial" w:hAnsi="Arial" w:cs="Arial"/>
          <w:szCs w:val="24"/>
        </w:rPr>
        <w:t xml:space="preserve"> from Handbook 4232.1, Section II, Chapter 9.3.B.1</w:t>
      </w:r>
      <w:r w:rsidR="005F2DBB" w:rsidRPr="000D038C">
        <w:rPr>
          <w:rFonts w:ascii="Arial" w:hAnsi="Arial" w:cs="Arial"/>
          <w:szCs w:val="24"/>
        </w:rPr>
        <w:t>:</w:t>
      </w:r>
    </w:p>
    <w:p w14:paraId="3D4BB211" w14:textId="77777777" w:rsidR="005F2DBB" w:rsidRPr="000D038C" w:rsidRDefault="005F2DBB" w:rsidP="005F2DBB">
      <w:pPr>
        <w:rPr>
          <w:rFonts w:ascii="Arial" w:hAnsi="Arial" w:cs="Arial"/>
          <w:szCs w:val="24"/>
        </w:rPr>
      </w:pPr>
    </w:p>
    <w:p w14:paraId="1BFB0561" w14:textId="3C0FF349" w:rsidR="005F2DBB" w:rsidRPr="000D038C" w:rsidRDefault="005F2DBB" w:rsidP="005F2DBB">
      <w:pPr>
        <w:ind w:left="720"/>
        <w:rPr>
          <w:rFonts w:ascii="Arial" w:hAnsi="Arial" w:cs="Arial"/>
          <w:i/>
          <w:iCs/>
          <w:szCs w:val="24"/>
        </w:rPr>
      </w:pPr>
      <w:r w:rsidRPr="000D038C">
        <w:rPr>
          <w:rFonts w:ascii="Arial" w:hAnsi="Arial" w:cs="Arial"/>
          <w:i/>
          <w:iCs/>
          <w:szCs w:val="24"/>
        </w:rPr>
        <w:t xml:space="preserve">“The requested delay is not likely to change significantly the underwriting data on which the commitment was based or to undermine the feasibility of the project due to a change in the market, inflation, or other factors affecting cost.” </w:t>
      </w:r>
    </w:p>
    <w:p w14:paraId="080A0D7E" w14:textId="77777777" w:rsidR="005F2DBB" w:rsidRPr="000D038C" w:rsidRDefault="005F2DBB" w:rsidP="005F2DBB">
      <w:pPr>
        <w:rPr>
          <w:rFonts w:ascii="Arial" w:hAnsi="Arial" w:cs="Arial"/>
          <w:szCs w:val="24"/>
        </w:rPr>
      </w:pPr>
    </w:p>
    <w:p w14:paraId="04B4578B" w14:textId="77777777" w:rsidR="005F2DBB" w:rsidRPr="000D038C" w:rsidRDefault="005F2DBB" w:rsidP="005F2DBB">
      <w:pPr>
        <w:rPr>
          <w:rFonts w:ascii="Arial" w:hAnsi="Arial" w:cs="Arial"/>
          <w:szCs w:val="24"/>
        </w:rPr>
      </w:pPr>
      <w:r w:rsidRPr="000D038C">
        <w:rPr>
          <w:rFonts w:ascii="Arial" w:hAnsi="Arial" w:cs="Arial"/>
          <w:szCs w:val="24"/>
        </w:rPr>
        <w:t>Extension requests that do not include such required language will be returned.</w:t>
      </w:r>
    </w:p>
    <w:p w14:paraId="158F2EE3" w14:textId="77777777" w:rsidR="005F2DBB" w:rsidRPr="000D038C" w:rsidRDefault="005F2DBB" w:rsidP="005F2DBB">
      <w:pPr>
        <w:rPr>
          <w:rFonts w:ascii="Arial" w:hAnsi="Arial" w:cs="Arial"/>
          <w:szCs w:val="24"/>
        </w:rPr>
      </w:pPr>
    </w:p>
    <w:p w14:paraId="4BE105A6" w14:textId="77777777" w:rsidR="00364B63" w:rsidRPr="000D038C" w:rsidRDefault="00364B63" w:rsidP="00364B63">
      <w:pPr>
        <w:rPr>
          <w:rFonts w:ascii="Arial" w:hAnsi="Arial" w:cs="Arial"/>
          <w:szCs w:val="24"/>
        </w:rPr>
      </w:pPr>
      <w:r w:rsidRPr="000D038C">
        <w:rPr>
          <w:rFonts w:ascii="Arial" w:hAnsi="Arial" w:cs="Arial"/>
          <w:szCs w:val="24"/>
        </w:rPr>
        <w:t>Please contact your assigned ORCF Closing Coordinator directly if you have any questions.</w:t>
      </w:r>
    </w:p>
    <w:p w14:paraId="628B9BFE" w14:textId="77777777" w:rsidR="005F2DBB" w:rsidRPr="000D038C" w:rsidRDefault="005F2DBB" w:rsidP="005F2DBB">
      <w:pPr>
        <w:rPr>
          <w:rFonts w:ascii="Arial" w:hAnsi="Arial" w:cs="Arial"/>
          <w:szCs w:val="24"/>
        </w:rPr>
      </w:pPr>
    </w:p>
    <w:p w14:paraId="20EC42B5" w14:textId="10B9AE3C" w:rsidR="005F2DBB" w:rsidRPr="000D038C" w:rsidRDefault="005F2DBB" w:rsidP="005F2DBB">
      <w:pPr>
        <w:rPr>
          <w:rFonts w:ascii="Arial" w:hAnsi="Arial" w:cs="Arial"/>
          <w:i/>
          <w:iCs/>
          <w:szCs w:val="24"/>
        </w:rPr>
      </w:pPr>
      <w:r w:rsidRPr="000D038C">
        <w:rPr>
          <w:rFonts w:ascii="Arial" w:hAnsi="Arial" w:cs="Arial"/>
          <w:b/>
          <w:bCs/>
          <w:i/>
          <w:iCs/>
          <w:szCs w:val="24"/>
        </w:rPr>
        <w:t>Keywords</w:t>
      </w:r>
      <w:r w:rsidR="007608BE" w:rsidRPr="000D038C">
        <w:rPr>
          <w:rFonts w:ascii="Arial" w:hAnsi="Arial" w:cs="Arial"/>
          <w:i/>
          <w:iCs/>
          <w:szCs w:val="24"/>
        </w:rPr>
        <w:t>:</w:t>
      </w:r>
      <w:r w:rsidR="007608BE" w:rsidRPr="000D038C">
        <w:rPr>
          <w:rFonts w:ascii="Arial" w:hAnsi="Arial" w:cs="Arial"/>
          <w:i/>
          <w:iCs/>
          <w:szCs w:val="24"/>
        </w:rPr>
        <w:tab/>
      </w:r>
      <w:r w:rsidRPr="000D038C">
        <w:rPr>
          <w:rFonts w:ascii="Arial" w:hAnsi="Arial" w:cs="Arial"/>
          <w:i/>
          <w:iCs/>
          <w:szCs w:val="24"/>
        </w:rPr>
        <w:t>Firm Commitment Extension</w:t>
      </w:r>
      <w:r w:rsidR="00062AE0">
        <w:rPr>
          <w:rFonts w:ascii="Arial" w:hAnsi="Arial" w:cs="Arial"/>
          <w:i/>
          <w:iCs/>
          <w:szCs w:val="24"/>
        </w:rPr>
        <w:t>s</w:t>
      </w:r>
    </w:p>
    <w:p w14:paraId="00652A6D" w14:textId="77777777" w:rsidR="0065449C" w:rsidRPr="000D038C" w:rsidRDefault="0065449C" w:rsidP="005F2DBB">
      <w:pPr>
        <w:rPr>
          <w:rFonts w:ascii="Arial" w:eastAsia="MS Mincho" w:hAnsi="Arial" w:cs="Arial"/>
          <w:b/>
          <w:szCs w:val="24"/>
        </w:rPr>
      </w:pPr>
    </w:p>
    <w:p w14:paraId="04A19249" w14:textId="77777777" w:rsidR="005F2DBB" w:rsidRPr="000D038C" w:rsidRDefault="004F6056" w:rsidP="005F2DBB">
      <w:pPr>
        <w:rPr>
          <w:rFonts w:ascii="Arial" w:hAnsi="Arial" w:cs="Arial"/>
          <w:b/>
          <w:color w:val="365F91" w:themeColor="accent1" w:themeShade="BF"/>
          <w:szCs w:val="24"/>
        </w:rPr>
      </w:pPr>
      <w:hyperlink w:anchor="_top" w:history="1">
        <w:r w:rsidR="005F2DBB" w:rsidRPr="000D038C">
          <w:rPr>
            <w:rFonts w:ascii="Arial" w:hAnsi="Arial" w:cs="Arial"/>
            <w:color w:val="365F91" w:themeColor="accent1" w:themeShade="BF"/>
            <w:szCs w:val="24"/>
            <w:u w:val="single"/>
          </w:rPr>
          <w:t>Back to top</w:t>
        </w:r>
      </w:hyperlink>
    </w:p>
    <w:p w14:paraId="72843EAF" w14:textId="77777777" w:rsidR="005F2DBB" w:rsidRPr="001F5102" w:rsidRDefault="005F2DBB" w:rsidP="00C835D5">
      <w:pPr>
        <w:rPr>
          <w:rFonts w:ascii="Arial" w:eastAsia="MS Mincho" w:hAnsi="Arial" w:cs="Arial"/>
          <w:b/>
          <w:szCs w:val="24"/>
        </w:rPr>
      </w:pPr>
    </w:p>
    <w:bookmarkEnd w:id="0"/>
    <w:p w14:paraId="7F5F0FD1" w14:textId="77777777" w:rsidR="00740D11" w:rsidRPr="00740D11" w:rsidRDefault="00740D11" w:rsidP="00740D11">
      <w:pPr>
        <w:rPr>
          <w:rFonts w:ascii="Arial" w:eastAsia="MS Mincho" w:hAnsi="Arial" w:cs="Arial"/>
          <w:b/>
          <w:szCs w:val="24"/>
        </w:rPr>
      </w:pPr>
      <w:r w:rsidRPr="00740D11">
        <w:rPr>
          <w:noProof/>
        </w:rPr>
        <w:drawing>
          <wp:inline distT="0" distB="0" distL="0" distR="0" wp14:anchorId="7921BFAB" wp14:editId="1EC30AAB">
            <wp:extent cx="5943600" cy="986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96855"/>
                    <a:stretch/>
                  </pic:blipFill>
                  <pic:spPr bwMode="auto">
                    <a:xfrm>
                      <a:off x="0" y="0"/>
                      <a:ext cx="5943600" cy="98637"/>
                    </a:xfrm>
                    <a:prstGeom prst="rect">
                      <a:avLst/>
                    </a:prstGeom>
                    <a:noFill/>
                    <a:ln>
                      <a:noFill/>
                    </a:ln>
                    <a:extLst>
                      <a:ext uri="{53640926-AAD7-44D8-BBD7-CCE9431645EC}">
                        <a14:shadowObscured xmlns:a14="http://schemas.microsoft.com/office/drawing/2010/main"/>
                      </a:ext>
                    </a:extLst>
                  </pic:spPr>
                </pic:pic>
              </a:graphicData>
            </a:graphic>
          </wp:inline>
        </w:drawing>
      </w:r>
    </w:p>
    <w:p w14:paraId="7CEEC3B3" w14:textId="77777777" w:rsidR="00740D11" w:rsidRPr="005F2DBB" w:rsidRDefault="00740D11" w:rsidP="00740D11">
      <w:pPr>
        <w:rPr>
          <w:rFonts w:ascii="Calibri" w:hAnsi="Calibri"/>
          <w:szCs w:val="24"/>
        </w:rPr>
      </w:pPr>
      <w:r w:rsidRPr="005F2DBB">
        <w:rPr>
          <w:rFonts w:ascii="Calibri" w:hAnsi="Calibri"/>
          <w:szCs w:val="24"/>
        </w:rPr>
        <w:t xml:space="preserve">Past Lean 232 Updates are </w:t>
      </w:r>
      <w:hyperlink r:id="rId19" w:history="1">
        <w:r w:rsidRPr="005F2DBB">
          <w:rPr>
            <w:rFonts w:ascii="Calibri" w:hAnsi="Calibri"/>
            <w:color w:val="0000FF"/>
            <w:szCs w:val="24"/>
            <w:u w:val="single"/>
          </w:rPr>
          <w:t>available online</w:t>
        </w:r>
      </w:hyperlink>
      <w:r w:rsidRPr="005F2DBB">
        <w:rPr>
          <w:rFonts w:ascii="Calibri" w:hAnsi="Calibri"/>
          <w:szCs w:val="24"/>
        </w:rPr>
        <w:t>.</w:t>
      </w:r>
    </w:p>
    <w:p w14:paraId="6ED6B71D" w14:textId="77777777" w:rsidR="00740D11" w:rsidRPr="005F2DBB" w:rsidRDefault="00740D11" w:rsidP="00740D11">
      <w:pPr>
        <w:rPr>
          <w:rFonts w:ascii="Calibri" w:hAnsi="Calibri"/>
          <w:szCs w:val="24"/>
        </w:rPr>
      </w:pPr>
    </w:p>
    <w:p w14:paraId="3E3BD4F0" w14:textId="77777777" w:rsidR="00740D11" w:rsidRPr="005F2DBB" w:rsidRDefault="00740D11" w:rsidP="00740D11">
      <w:pPr>
        <w:rPr>
          <w:rFonts w:ascii="Calibri" w:hAnsi="Calibri"/>
          <w:szCs w:val="24"/>
        </w:rPr>
      </w:pPr>
      <w:r w:rsidRPr="005F2DBB">
        <w:rPr>
          <w:rFonts w:ascii="Calibri" w:hAnsi="Calibri"/>
          <w:szCs w:val="24"/>
        </w:rPr>
        <w:t xml:space="preserve">Have questions about the Lean 232 Program? Please contact </w:t>
      </w:r>
      <w:hyperlink r:id="rId20" w:history="1">
        <w:r w:rsidRPr="005F2DBB">
          <w:rPr>
            <w:rFonts w:ascii="Calibri" w:hAnsi="Calibri"/>
            <w:color w:val="0000FF"/>
            <w:szCs w:val="24"/>
            <w:u w:val="single"/>
          </w:rPr>
          <w:t>LeanThinking@hud.gov</w:t>
        </w:r>
      </w:hyperlink>
      <w:r w:rsidRPr="005F2DBB">
        <w:rPr>
          <w:rFonts w:ascii="Calibri" w:hAnsi="Calibri"/>
          <w:szCs w:val="24"/>
        </w:rPr>
        <w:t>.</w:t>
      </w:r>
    </w:p>
    <w:p w14:paraId="1864C957" w14:textId="77777777" w:rsidR="00740D11" w:rsidRPr="005F2DBB" w:rsidRDefault="00740D11" w:rsidP="00740D11">
      <w:pPr>
        <w:rPr>
          <w:rFonts w:ascii="Calibri" w:hAnsi="Calibri"/>
          <w:szCs w:val="24"/>
        </w:rPr>
      </w:pPr>
    </w:p>
    <w:p w14:paraId="6D8CD363" w14:textId="77777777" w:rsidR="00740D11" w:rsidRPr="005F2DBB" w:rsidRDefault="00740D11" w:rsidP="00740D11">
      <w:pPr>
        <w:rPr>
          <w:rFonts w:ascii="Calibri" w:hAnsi="Calibri"/>
          <w:szCs w:val="24"/>
        </w:rPr>
      </w:pPr>
      <w:r w:rsidRPr="005F2DBB">
        <w:rPr>
          <w:rFonts w:ascii="Calibri" w:hAnsi="Calibri"/>
          <w:szCs w:val="24"/>
        </w:rPr>
        <w:t xml:space="preserve">For more information on the Lean 232 Program, check out: </w:t>
      </w:r>
      <w:hyperlink r:id="rId21" w:history="1">
        <w:r w:rsidRPr="005F2DBB">
          <w:rPr>
            <w:rFonts w:ascii="Calibri" w:hAnsi="Calibri"/>
            <w:color w:val="0000FF"/>
            <w:szCs w:val="24"/>
            <w:u w:val="single"/>
          </w:rPr>
          <w:t>http://www.hud.gov/healthcare</w:t>
        </w:r>
      </w:hyperlink>
      <w:r w:rsidRPr="005F2DBB">
        <w:rPr>
          <w:rFonts w:ascii="Calibri" w:hAnsi="Calibri"/>
          <w:szCs w:val="24"/>
        </w:rPr>
        <w:t>.</w:t>
      </w:r>
    </w:p>
    <w:p w14:paraId="4E96736D" w14:textId="77777777" w:rsidR="00740D11" w:rsidRPr="005F2DBB" w:rsidRDefault="00740D11" w:rsidP="00740D11">
      <w:pPr>
        <w:rPr>
          <w:rFonts w:ascii="Calibri" w:hAnsi="Calibri"/>
          <w:szCs w:val="24"/>
        </w:rPr>
      </w:pPr>
    </w:p>
    <w:p w14:paraId="7CD6FD2D" w14:textId="1DFB033B" w:rsidR="00740D11" w:rsidRPr="005F2DBB" w:rsidRDefault="00740D11" w:rsidP="00740D11">
      <w:pPr>
        <w:rPr>
          <w:rFonts w:ascii="Calibri" w:hAnsi="Calibri"/>
          <w:szCs w:val="24"/>
        </w:rPr>
      </w:pPr>
      <w:r w:rsidRPr="005F2DBB">
        <w:rPr>
          <w:rFonts w:ascii="Calibri" w:hAnsi="Calibri"/>
          <w:szCs w:val="24"/>
        </w:rPr>
        <w:t xml:space="preserve">Have your loan servicing colleagues joined our email list? The Email Blasts contain information relevant to them as well. You might suggest they </w:t>
      </w:r>
      <w:hyperlink r:id="rId22" w:history="1">
        <w:r w:rsidRPr="005F2DBB">
          <w:rPr>
            <w:rFonts w:ascii="Calibri" w:hAnsi="Calibri"/>
            <w:color w:val="0000FF"/>
            <w:szCs w:val="24"/>
            <w:u w:val="single"/>
          </w:rPr>
          <w:t>Join here</w:t>
        </w:r>
      </w:hyperlink>
      <w:r w:rsidRPr="005F2DBB">
        <w:rPr>
          <w:rFonts w:ascii="Calibri" w:hAnsi="Calibri"/>
          <w:szCs w:val="24"/>
        </w:rPr>
        <w:t>.</w:t>
      </w:r>
    </w:p>
    <w:p w14:paraId="5EBBACB8" w14:textId="77777777" w:rsidR="00740D11" w:rsidRPr="005F2DBB" w:rsidRDefault="00740D11" w:rsidP="00740D11">
      <w:pPr>
        <w:rPr>
          <w:rFonts w:ascii="Calibri" w:hAnsi="Calibri"/>
          <w:szCs w:val="24"/>
        </w:rPr>
      </w:pPr>
    </w:p>
    <w:p w14:paraId="60DDF4F8" w14:textId="4BF1A99C" w:rsidR="00740D11" w:rsidRPr="005F2DBB" w:rsidRDefault="00740D11" w:rsidP="00740D11">
      <w:pPr>
        <w:rPr>
          <w:rFonts w:ascii="Calibri" w:hAnsi="Calibri"/>
          <w:szCs w:val="24"/>
        </w:rPr>
      </w:pPr>
      <w:r w:rsidRPr="005F2DBB">
        <w:rPr>
          <w:rFonts w:ascii="Calibri" w:hAnsi="Calibri"/>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23" w:history="1">
        <w:r w:rsidRPr="005F2DBB">
          <w:rPr>
            <w:rFonts w:ascii="Calibri" w:hAnsi="Calibri"/>
            <w:color w:val="0000FF"/>
            <w:szCs w:val="24"/>
            <w:u w:val="single"/>
          </w:rPr>
          <w:t>go here</w:t>
        </w:r>
      </w:hyperlink>
      <w:r w:rsidRPr="005F2DBB">
        <w:rPr>
          <w:rFonts w:ascii="Calibri" w:hAnsi="Calibri"/>
          <w:szCs w:val="24"/>
        </w:rPr>
        <w:t>.</w:t>
      </w:r>
    </w:p>
    <w:p w14:paraId="3E0BBE09" w14:textId="77777777" w:rsidR="00740D11" w:rsidRPr="005F2DBB" w:rsidRDefault="00740D11" w:rsidP="00740D11">
      <w:pPr>
        <w:rPr>
          <w:rFonts w:ascii="Calibri" w:hAnsi="Calibri"/>
          <w:szCs w:val="24"/>
        </w:rPr>
      </w:pPr>
    </w:p>
    <w:p w14:paraId="63864758" w14:textId="77777777" w:rsidR="00740D11" w:rsidRPr="005F2DBB" w:rsidRDefault="00740D11" w:rsidP="00740D11">
      <w:pPr>
        <w:rPr>
          <w:rFonts w:ascii="Times New Roman" w:eastAsia="Times New Roman" w:hAnsi="Times New Roman"/>
          <w:szCs w:val="24"/>
        </w:rPr>
      </w:pPr>
      <w:r w:rsidRPr="005F2DBB">
        <w:rPr>
          <w:rFonts w:ascii="Calibri" w:eastAsia="Times New Roman" w:hAnsi="Calibri"/>
          <w:i/>
          <w:iCs/>
          <w:color w:val="000000"/>
          <w:kern w:val="24"/>
          <w:szCs w:val="24"/>
        </w:rPr>
        <w:t xml:space="preserve">Lean 232 </w:t>
      </w:r>
      <w:r w:rsidRPr="005F2DBB">
        <w:rPr>
          <w:rFonts w:ascii="Calibri" w:eastAsia="Times New Roman" w:hAnsi="Calibri"/>
          <w:color w:val="000000"/>
          <w:kern w:val="24"/>
          <w:szCs w:val="24"/>
        </w:rPr>
        <w:t>is a publication of the Federal Housing Administration (FHA) Office of Healthcare Programs, U.S. Department of Housing and Urban Development, 451 7</w:t>
      </w:r>
      <w:proofErr w:type="spellStart"/>
      <w:r w:rsidRPr="005F2DBB">
        <w:rPr>
          <w:rFonts w:ascii="Calibri" w:eastAsia="Times New Roman" w:hAnsi="Calibri"/>
          <w:color w:val="000000"/>
          <w:kern w:val="24"/>
          <w:position w:val="5"/>
          <w:szCs w:val="24"/>
          <w:vertAlign w:val="superscript"/>
        </w:rPr>
        <w:t>th</w:t>
      </w:r>
      <w:proofErr w:type="spellEnd"/>
      <w:r w:rsidRPr="005F2DBB">
        <w:rPr>
          <w:rFonts w:ascii="Calibri" w:eastAsia="Times New Roman" w:hAnsi="Calibri"/>
          <w:color w:val="000000"/>
          <w:kern w:val="24"/>
          <w:szCs w:val="24"/>
        </w:rPr>
        <w:t xml:space="preserve"> Street, SE, Washington, DC 20410.</w:t>
      </w:r>
    </w:p>
    <w:p w14:paraId="316BE046" w14:textId="77777777" w:rsidR="00740D11" w:rsidRPr="005F2DBB" w:rsidRDefault="00740D11" w:rsidP="00740D11">
      <w:pPr>
        <w:rPr>
          <w:rFonts w:ascii="Calibri" w:eastAsia="Times New Roman" w:hAnsi="Calibri"/>
          <w:color w:val="000000"/>
          <w:kern w:val="24"/>
          <w:szCs w:val="24"/>
        </w:rPr>
      </w:pPr>
    </w:p>
    <w:p w14:paraId="6E0E606B" w14:textId="0171F565" w:rsidR="00605E4A" w:rsidRPr="00E06121" w:rsidRDefault="00740D11" w:rsidP="00740D11">
      <w:pPr>
        <w:rPr>
          <w:rFonts w:ascii="Calibri" w:eastAsia="Times New Roman" w:hAnsi="Calibri"/>
          <w:color w:val="000000"/>
          <w:kern w:val="24"/>
          <w:szCs w:val="24"/>
        </w:rPr>
      </w:pPr>
      <w:r w:rsidRPr="005F2DBB">
        <w:rPr>
          <w:rFonts w:ascii="Calibri" w:eastAsia="Times New Roman" w:hAnsi="Calibri"/>
          <w:color w:val="000000"/>
          <w:kern w:val="24"/>
          <w:szCs w:val="24"/>
        </w:rPr>
        <w:t xml:space="preserve">Connect with FHA on </w:t>
      </w:r>
      <w:hyperlink r:id="rId24" w:history="1">
        <w:r w:rsidRPr="005F2DBB">
          <w:rPr>
            <w:rFonts w:ascii="Calibri" w:eastAsia="Times New Roman" w:hAnsi="Calibri"/>
            <w:color w:val="0000FF"/>
            <w:kern w:val="24"/>
            <w:szCs w:val="24"/>
            <w:u w:val="single"/>
          </w:rPr>
          <w:t>Social Media</w:t>
        </w:r>
      </w:hyperlink>
      <w:r w:rsidRPr="005F2DBB">
        <w:rPr>
          <w:rFonts w:ascii="Calibri" w:eastAsia="Times New Roman" w:hAnsi="Calibri"/>
          <w:color w:val="000000"/>
          <w:kern w:val="24"/>
          <w:szCs w:val="24"/>
        </w:rPr>
        <w:t xml:space="preserve"> </w:t>
      </w:r>
      <w:r w:rsidRPr="005F2DBB">
        <w:rPr>
          <w:rFonts w:ascii="Calibri" w:eastAsia="Times New Roman" w:hAnsi="Calibri"/>
          <w:noProof/>
          <w:color w:val="000000"/>
          <w:kern w:val="24"/>
          <w:szCs w:val="24"/>
        </w:rPr>
        <w:drawing>
          <wp:inline distT="0" distB="0" distL="0" distR="0" wp14:anchorId="3B7D0C3A" wp14:editId="474AD933">
            <wp:extent cx="152400" cy="133350"/>
            <wp:effectExtent l="0" t="0" r="0" b="0"/>
            <wp:docPr id="27" name="Picture 2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witter"/>
                    <pic:cNvPicPr>
                      <a:picLocks noChangeAspect="1" noChangeArrowheads="1"/>
                    </pic:cNvPicPr>
                  </pic:nvPicPr>
                  <pic:blipFill>
                    <a:blip r:embed="rId25" cstate="print">
                      <a:extLst>
                        <a:ext uri="{28A0092B-C50C-407E-A947-70E740481C1C}">
                          <a14:useLocalDpi xmlns:a14="http://schemas.microsoft.com/office/drawing/2010/main" val="0"/>
                        </a:ext>
                      </a:extLst>
                    </a:blip>
                    <a:srcRect l="49562"/>
                    <a:stretch>
                      <a:fillRect/>
                    </a:stretch>
                  </pic:blipFill>
                  <pic:spPr bwMode="auto">
                    <a:xfrm>
                      <a:off x="0" y="0"/>
                      <a:ext cx="152400" cy="133350"/>
                    </a:xfrm>
                    <a:prstGeom prst="rect">
                      <a:avLst/>
                    </a:prstGeom>
                    <a:noFill/>
                    <a:ln>
                      <a:noFill/>
                    </a:ln>
                  </pic:spPr>
                </pic:pic>
              </a:graphicData>
            </a:graphic>
          </wp:inline>
        </w:drawing>
      </w:r>
      <w:r w:rsidRPr="005F2DBB">
        <w:rPr>
          <w:rFonts w:ascii="Calibri" w:eastAsia="Times New Roman" w:hAnsi="Calibri"/>
          <w:noProof/>
          <w:color w:val="000000"/>
          <w:kern w:val="24"/>
          <w:szCs w:val="24"/>
        </w:rPr>
        <w:drawing>
          <wp:inline distT="0" distB="0" distL="0" distR="0" wp14:anchorId="1D7B41FC" wp14:editId="1C9F2CD4">
            <wp:extent cx="151141" cy="151141"/>
            <wp:effectExtent l="0" t="0" r="127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kedIn Logo.png"/>
                    <pic:cNvPicPr/>
                  </pic:nvPicPr>
                  <pic:blipFill>
                    <a:blip r:embed="rId26">
                      <a:extLst>
                        <a:ext uri="{28A0092B-C50C-407E-A947-70E740481C1C}">
                          <a14:useLocalDpi xmlns:a14="http://schemas.microsoft.com/office/drawing/2010/main" val="0"/>
                        </a:ext>
                      </a:extLst>
                    </a:blip>
                    <a:stretch>
                      <a:fillRect/>
                    </a:stretch>
                  </pic:blipFill>
                  <pic:spPr>
                    <a:xfrm>
                      <a:off x="0" y="0"/>
                      <a:ext cx="169129" cy="169129"/>
                    </a:xfrm>
                    <a:prstGeom prst="rect">
                      <a:avLst/>
                    </a:prstGeom>
                  </pic:spPr>
                </pic:pic>
              </a:graphicData>
            </a:graphic>
          </wp:inline>
        </w:drawing>
      </w:r>
      <w:bookmarkEnd w:id="1"/>
    </w:p>
    <w:sectPr w:rsidR="00605E4A" w:rsidRPr="00E06121" w:rsidSect="00E217E8">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26A01" w14:textId="77777777" w:rsidR="004F6056" w:rsidRDefault="004F6056" w:rsidP="00E724F7">
      <w:r>
        <w:separator/>
      </w:r>
    </w:p>
  </w:endnote>
  <w:endnote w:type="continuationSeparator" w:id="0">
    <w:p w14:paraId="5C69212A" w14:textId="77777777" w:rsidR="004F6056" w:rsidRDefault="004F6056" w:rsidP="00E724F7">
      <w:r>
        <w:continuationSeparator/>
      </w:r>
    </w:p>
  </w:endnote>
  <w:endnote w:type="continuationNotice" w:id="1">
    <w:p w14:paraId="17FFB5FE" w14:textId="77777777" w:rsidR="004F6056" w:rsidRDefault="004F6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864C9" w14:textId="77777777" w:rsidR="004F6056" w:rsidRDefault="004F6056" w:rsidP="00E724F7">
      <w:r>
        <w:separator/>
      </w:r>
    </w:p>
  </w:footnote>
  <w:footnote w:type="continuationSeparator" w:id="0">
    <w:p w14:paraId="7174911A" w14:textId="77777777" w:rsidR="004F6056" w:rsidRDefault="004F6056" w:rsidP="00E724F7">
      <w:r>
        <w:continuationSeparator/>
      </w:r>
    </w:p>
  </w:footnote>
  <w:footnote w:type="continuationNotice" w:id="1">
    <w:p w14:paraId="4241B9DA" w14:textId="77777777" w:rsidR="004F6056" w:rsidRDefault="004F6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2259DCBF"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4"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9"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E58BB"/>
    <w:multiLevelType w:val="hybridMultilevel"/>
    <w:tmpl w:val="A13E77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D46DA"/>
    <w:multiLevelType w:val="multilevel"/>
    <w:tmpl w:val="C8E0E36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7"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343E6"/>
    <w:multiLevelType w:val="hybridMultilevel"/>
    <w:tmpl w:val="1636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8"/>
  </w:num>
  <w:num w:numId="12">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7"/>
  </w:num>
  <w:num w:numId="14">
    <w:abstractNumId w:val="4"/>
  </w:num>
  <w:num w:numId="15">
    <w:abstractNumId w:val="23"/>
  </w:num>
  <w:num w:numId="16">
    <w:abstractNumId w:val="1"/>
  </w:num>
  <w:num w:numId="17">
    <w:abstractNumId w:val="2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5"/>
  </w:num>
  <w:num w:numId="23">
    <w:abstractNumId w:val="15"/>
  </w:num>
  <w:num w:numId="24">
    <w:abstractNumId w:val="2"/>
  </w:num>
  <w:num w:numId="25">
    <w:abstractNumId w:val="10"/>
  </w:num>
  <w:num w:numId="26">
    <w:abstractNumId w:val="16"/>
  </w:num>
  <w:num w:numId="27">
    <w:abstractNumId w:val="19"/>
  </w:num>
  <w:num w:numId="2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220E1"/>
    <w:rsid w:val="0002519C"/>
    <w:rsid w:val="00026721"/>
    <w:rsid w:val="00027DF5"/>
    <w:rsid w:val="00031481"/>
    <w:rsid w:val="00036CEF"/>
    <w:rsid w:val="0003786A"/>
    <w:rsid w:val="00041796"/>
    <w:rsid w:val="00041F02"/>
    <w:rsid w:val="00042F9C"/>
    <w:rsid w:val="000431CA"/>
    <w:rsid w:val="000452B8"/>
    <w:rsid w:val="000530A7"/>
    <w:rsid w:val="000553FE"/>
    <w:rsid w:val="000579E7"/>
    <w:rsid w:val="00062AE0"/>
    <w:rsid w:val="00064BEA"/>
    <w:rsid w:val="000747AE"/>
    <w:rsid w:val="00074C29"/>
    <w:rsid w:val="00074C2C"/>
    <w:rsid w:val="00082F31"/>
    <w:rsid w:val="00082FD5"/>
    <w:rsid w:val="00096BE1"/>
    <w:rsid w:val="00096F9D"/>
    <w:rsid w:val="000A686F"/>
    <w:rsid w:val="000A702F"/>
    <w:rsid w:val="000B00A2"/>
    <w:rsid w:val="000B5A6A"/>
    <w:rsid w:val="000B7B24"/>
    <w:rsid w:val="000B7CBB"/>
    <w:rsid w:val="000C3107"/>
    <w:rsid w:val="000C337B"/>
    <w:rsid w:val="000C3411"/>
    <w:rsid w:val="000C354A"/>
    <w:rsid w:val="000C3DC6"/>
    <w:rsid w:val="000C3E54"/>
    <w:rsid w:val="000C55E3"/>
    <w:rsid w:val="000C77E8"/>
    <w:rsid w:val="000D038C"/>
    <w:rsid w:val="000D1AD7"/>
    <w:rsid w:val="000D590E"/>
    <w:rsid w:val="000D662C"/>
    <w:rsid w:val="000D7B99"/>
    <w:rsid w:val="000E1C49"/>
    <w:rsid w:val="000E2D9F"/>
    <w:rsid w:val="000E3EFF"/>
    <w:rsid w:val="000E4B11"/>
    <w:rsid w:val="000E5E74"/>
    <w:rsid w:val="000F55F6"/>
    <w:rsid w:val="000F593D"/>
    <w:rsid w:val="000F6E87"/>
    <w:rsid w:val="000F7D2E"/>
    <w:rsid w:val="001007E7"/>
    <w:rsid w:val="001010D0"/>
    <w:rsid w:val="00102E21"/>
    <w:rsid w:val="00102EA3"/>
    <w:rsid w:val="00103273"/>
    <w:rsid w:val="00114E43"/>
    <w:rsid w:val="001166D4"/>
    <w:rsid w:val="00117426"/>
    <w:rsid w:val="001234C0"/>
    <w:rsid w:val="00125568"/>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9457B"/>
    <w:rsid w:val="00194B8C"/>
    <w:rsid w:val="001A06DA"/>
    <w:rsid w:val="001A286F"/>
    <w:rsid w:val="001A50AE"/>
    <w:rsid w:val="001A5994"/>
    <w:rsid w:val="001A64CB"/>
    <w:rsid w:val="001B1502"/>
    <w:rsid w:val="001B4E70"/>
    <w:rsid w:val="001B72D4"/>
    <w:rsid w:val="001C3886"/>
    <w:rsid w:val="001D230E"/>
    <w:rsid w:val="001D2514"/>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31312"/>
    <w:rsid w:val="002315E4"/>
    <w:rsid w:val="00233DA8"/>
    <w:rsid w:val="00234B3A"/>
    <w:rsid w:val="00241BAB"/>
    <w:rsid w:val="00245A9D"/>
    <w:rsid w:val="00250450"/>
    <w:rsid w:val="00252904"/>
    <w:rsid w:val="002533F5"/>
    <w:rsid w:val="00254E17"/>
    <w:rsid w:val="00266332"/>
    <w:rsid w:val="00275348"/>
    <w:rsid w:val="0027695B"/>
    <w:rsid w:val="00276FA2"/>
    <w:rsid w:val="002811AB"/>
    <w:rsid w:val="00283571"/>
    <w:rsid w:val="00291BF9"/>
    <w:rsid w:val="002A43CF"/>
    <w:rsid w:val="002C1693"/>
    <w:rsid w:val="002C1CC2"/>
    <w:rsid w:val="002D4726"/>
    <w:rsid w:val="002E36C5"/>
    <w:rsid w:val="002F1C9F"/>
    <w:rsid w:val="0030081A"/>
    <w:rsid w:val="003016E1"/>
    <w:rsid w:val="00302486"/>
    <w:rsid w:val="00303BBC"/>
    <w:rsid w:val="00305369"/>
    <w:rsid w:val="00313008"/>
    <w:rsid w:val="003172BF"/>
    <w:rsid w:val="00323263"/>
    <w:rsid w:val="003375F7"/>
    <w:rsid w:val="00342F09"/>
    <w:rsid w:val="0034362D"/>
    <w:rsid w:val="00345602"/>
    <w:rsid w:val="003514F7"/>
    <w:rsid w:val="00352F9A"/>
    <w:rsid w:val="00361A15"/>
    <w:rsid w:val="00364B63"/>
    <w:rsid w:val="00367065"/>
    <w:rsid w:val="00367AC1"/>
    <w:rsid w:val="00370139"/>
    <w:rsid w:val="00370EA2"/>
    <w:rsid w:val="00380A0E"/>
    <w:rsid w:val="00385613"/>
    <w:rsid w:val="00385E62"/>
    <w:rsid w:val="00392115"/>
    <w:rsid w:val="00396DB3"/>
    <w:rsid w:val="003A0DC8"/>
    <w:rsid w:val="003A14CD"/>
    <w:rsid w:val="003A518E"/>
    <w:rsid w:val="003A7686"/>
    <w:rsid w:val="003B0B4E"/>
    <w:rsid w:val="003B3640"/>
    <w:rsid w:val="003B609D"/>
    <w:rsid w:val="003C256D"/>
    <w:rsid w:val="003C28A2"/>
    <w:rsid w:val="003C74DF"/>
    <w:rsid w:val="003C796D"/>
    <w:rsid w:val="003D288C"/>
    <w:rsid w:val="003D50FE"/>
    <w:rsid w:val="003D5C49"/>
    <w:rsid w:val="003D67F0"/>
    <w:rsid w:val="003D6F20"/>
    <w:rsid w:val="003D759C"/>
    <w:rsid w:val="003F42BE"/>
    <w:rsid w:val="003F5A47"/>
    <w:rsid w:val="004014E6"/>
    <w:rsid w:val="00403500"/>
    <w:rsid w:val="004044EC"/>
    <w:rsid w:val="004153A7"/>
    <w:rsid w:val="004165AD"/>
    <w:rsid w:val="00420C01"/>
    <w:rsid w:val="0042314C"/>
    <w:rsid w:val="00423F99"/>
    <w:rsid w:val="00427390"/>
    <w:rsid w:val="0043705A"/>
    <w:rsid w:val="00451A3D"/>
    <w:rsid w:val="00455415"/>
    <w:rsid w:val="00463B25"/>
    <w:rsid w:val="00465878"/>
    <w:rsid w:val="0046634C"/>
    <w:rsid w:val="004678DD"/>
    <w:rsid w:val="00475909"/>
    <w:rsid w:val="0047642B"/>
    <w:rsid w:val="00486B21"/>
    <w:rsid w:val="004A0486"/>
    <w:rsid w:val="004A0E10"/>
    <w:rsid w:val="004A5D11"/>
    <w:rsid w:val="004B1439"/>
    <w:rsid w:val="004B1446"/>
    <w:rsid w:val="004B182F"/>
    <w:rsid w:val="004B1C9D"/>
    <w:rsid w:val="004B316D"/>
    <w:rsid w:val="004C0245"/>
    <w:rsid w:val="004D68AA"/>
    <w:rsid w:val="004D6BFF"/>
    <w:rsid w:val="004E35EC"/>
    <w:rsid w:val="004E46F8"/>
    <w:rsid w:val="004E64BA"/>
    <w:rsid w:val="004E6BBE"/>
    <w:rsid w:val="004F6056"/>
    <w:rsid w:val="00500157"/>
    <w:rsid w:val="00506220"/>
    <w:rsid w:val="0050749B"/>
    <w:rsid w:val="00507D4A"/>
    <w:rsid w:val="00512271"/>
    <w:rsid w:val="00514249"/>
    <w:rsid w:val="00520297"/>
    <w:rsid w:val="0052057F"/>
    <w:rsid w:val="0052394E"/>
    <w:rsid w:val="0052470D"/>
    <w:rsid w:val="00527CA3"/>
    <w:rsid w:val="00530DFD"/>
    <w:rsid w:val="00532341"/>
    <w:rsid w:val="00536EA6"/>
    <w:rsid w:val="00537E8B"/>
    <w:rsid w:val="00540251"/>
    <w:rsid w:val="005405E0"/>
    <w:rsid w:val="00543FEC"/>
    <w:rsid w:val="005456D4"/>
    <w:rsid w:val="00546640"/>
    <w:rsid w:val="005504CA"/>
    <w:rsid w:val="00553043"/>
    <w:rsid w:val="0055355A"/>
    <w:rsid w:val="0055444D"/>
    <w:rsid w:val="0056265C"/>
    <w:rsid w:val="005626F6"/>
    <w:rsid w:val="0057025A"/>
    <w:rsid w:val="0057105F"/>
    <w:rsid w:val="005712D2"/>
    <w:rsid w:val="0057310A"/>
    <w:rsid w:val="00593E55"/>
    <w:rsid w:val="005A0D50"/>
    <w:rsid w:val="005A208E"/>
    <w:rsid w:val="005A5C2E"/>
    <w:rsid w:val="005B327B"/>
    <w:rsid w:val="005B39A1"/>
    <w:rsid w:val="005C0D72"/>
    <w:rsid w:val="005C3423"/>
    <w:rsid w:val="005D223B"/>
    <w:rsid w:val="005D370A"/>
    <w:rsid w:val="005D39DB"/>
    <w:rsid w:val="005D5C09"/>
    <w:rsid w:val="005D6571"/>
    <w:rsid w:val="005D783E"/>
    <w:rsid w:val="005E29A7"/>
    <w:rsid w:val="005E67FE"/>
    <w:rsid w:val="005F02F2"/>
    <w:rsid w:val="005F074F"/>
    <w:rsid w:val="005F08B9"/>
    <w:rsid w:val="005F213F"/>
    <w:rsid w:val="005F2CCA"/>
    <w:rsid w:val="005F2DBB"/>
    <w:rsid w:val="006039A3"/>
    <w:rsid w:val="006047B1"/>
    <w:rsid w:val="00605E4A"/>
    <w:rsid w:val="006100DD"/>
    <w:rsid w:val="00611B14"/>
    <w:rsid w:val="00611D57"/>
    <w:rsid w:val="00612D9D"/>
    <w:rsid w:val="0061300C"/>
    <w:rsid w:val="00620094"/>
    <w:rsid w:val="00623A5A"/>
    <w:rsid w:val="00625406"/>
    <w:rsid w:val="00626403"/>
    <w:rsid w:val="00626DAB"/>
    <w:rsid w:val="00632205"/>
    <w:rsid w:val="006373B1"/>
    <w:rsid w:val="006433CA"/>
    <w:rsid w:val="006460CC"/>
    <w:rsid w:val="00646656"/>
    <w:rsid w:val="00653868"/>
    <w:rsid w:val="00653934"/>
    <w:rsid w:val="0065449C"/>
    <w:rsid w:val="0065509A"/>
    <w:rsid w:val="00655831"/>
    <w:rsid w:val="006559A6"/>
    <w:rsid w:val="006601D1"/>
    <w:rsid w:val="00660780"/>
    <w:rsid w:val="00665BBC"/>
    <w:rsid w:val="006668CD"/>
    <w:rsid w:val="00666DB8"/>
    <w:rsid w:val="00670C8F"/>
    <w:rsid w:val="00674C44"/>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7D46"/>
    <w:rsid w:val="006E3544"/>
    <w:rsid w:val="006E63FB"/>
    <w:rsid w:val="006F547F"/>
    <w:rsid w:val="006F5762"/>
    <w:rsid w:val="007011EC"/>
    <w:rsid w:val="00701E9E"/>
    <w:rsid w:val="00702CE9"/>
    <w:rsid w:val="007035E0"/>
    <w:rsid w:val="007054B4"/>
    <w:rsid w:val="007071E2"/>
    <w:rsid w:val="00711FBB"/>
    <w:rsid w:val="00712EA6"/>
    <w:rsid w:val="00712FC4"/>
    <w:rsid w:val="00713F6A"/>
    <w:rsid w:val="00717140"/>
    <w:rsid w:val="00720B5D"/>
    <w:rsid w:val="00723EA8"/>
    <w:rsid w:val="0073355B"/>
    <w:rsid w:val="00735D4D"/>
    <w:rsid w:val="0073726D"/>
    <w:rsid w:val="00740D11"/>
    <w:rsid w:val="00743451"/>
    <w:rsid w:val="00743DDB"/>
    <w:rsid w:val="00750ECD"/>
    <w:rsid w:val="00751AF4"/>
    <w:rsid w:val="0075254C"/>
    <w:rsid w:val="00752CC5"/>
    <w:rsid w:val="007608BE"/>
    <w:rsid w:val="007629CB"/>
    <w:rsid w:val="007633CA"/>
    <w:rsid w:val="007670CF"/>
    <w:rsid w:val="00771538"/>
    <w:rsid w:val="007865C2"/>
    <w:rsid w:val="0078774A"/>
    <w:rsid w:val="0079016E"/>
    <w:rsid w:val="007971B8"/>
    <w:rsid w:val="007A6AF1"/>
    <w:rsid w:val="007A7AD2"/>
    <w:rsid w:val="007B1CB9"/>
    <w:rsid w:val="007B5246"/>
    <w:rsid w:val="007B680A"/>
    <w:rsid w:val="007C570C"/>
    <w:rsid w:val="007C78C0"/>
    <w:rsid w:val="007D0FA3"/>
    <w:rsid w:val="007D1CB6"/>
    <w:rsid w:val="007D22CD"/>
    <w:rsid w:val="007D55E6"/>
    <w:rsid w:val="007E02EB"/>
    <w:rsid w:val="007E348B"/>
    <w:rsid w:val="007E4EA9"/>
    <w:rsid w:val="007F584C"/>
    <w:rsid w:val="008020BB"/>
    <w:rsid w:val="008036DA"/>
    <w:rsid w:val="00803C36"/>
    <w:rsid w:val="00804AF0"/>
    <w:rsid w:val="008052FE"/>
    <w:rsid w:val="008060EC"/>
    <w:rsid w:val="00806994"/>
    <w:rsid w:val="00807374"/>
    <w:rsid w:val="008129A3"/>
    <w:rsid w:val="008144D7"/>
    <w:rsid w:val="00820B0D"/>
    <w:rsid w:val="00823286"/>
    <w:rsid w:val="0082548B"/>
    <w:rsid w:val="008345F6"/>
    <w:rsid w:val="00834693"/>
    <w:rsid w:val="0084300D"/>
    <w:rsid w:val="00850C00"/>
    <w:rsid w:val="008516E7"/>
    <w:rsid w:val="00856481"/>
    <w:rsid w:val="00862CE3"/>
    <w:rsid w:val="00863472"/>
    <w:rsid w:val="008636A0"/>
    <w:rsid w:val="00865B51"/>
    <w:rsid w:val="00866350"/>
    <w:rsid w:val="00866C75"/>
    <w:rsid w:val="008675F8"/>
    <w:rsid w:val="00877BC5"/>
    <w:rsid w:val="008819F8"/>
    <w:rsid w:val="0088414C"/>
    <w:rsid w:val="0088466C"/>
    <w:rsid w:val="00886FA2"/>
    <w:rsid w:val="008930F5"/>
    <w:rsid w:val="0089592C"/>
    <w:rsid w:val="008A1765"/>
    <w:rsid w:val="008A7284"/>
    <w:rsid w:val="008A7595"/>
    <w:rsid w:val="008A7F37"/>
    <w:rsid w:val="008B56DD"/>
    <w:rsid w:val="008B71F2"/>
    <w:rsid w:val="008C018C"/>
    <w:rsid w:val="008C28EE"/>
    <w:rsid w:val="008C2DB4"/>
    <w:rsid w:val="008C3ED8"/>
    <w:rsid w:val="008C5805"/>
    <w:rsid w:val="008C78BE"/>
    <w:rsid w:val="008C79AD"/>
    <w:rsid w:val="008D6545"/>
    <w:rsid w:val="008D7B74"/>
    <w:rsid w:val="008E29C9"/>
    <w:rsid w:val="008E6F7E"/>
    <w:rsid w:val="008E7CC5"/>
    <w:rsid w:val="008F1CAF"/>
    <w:rsid w:val="008F2D90"/>
    <w:rsid w:val="008F4A71"/>
    <w:rsid w:val="008F5681"/>
    <w:rsid w:val="008F66AB"/>
    <w:rsid w:val="0090051D"/>
    <w:rsid w:val="00907060"/>
    <w:rsid w:val="00910E23"/>
    <w:rsid w:val="009117CA"/>
    <w:rsid w:val="00912D45"/>
    <w:rsid w:val="00921EAA"/>
    <w:rsid w:val="00932987"/>
    <w:rsid w:val="00934100"/>
    <w:rsid w:val="0093564D"/>
    <w:rsid w:val="00935890"/>
    <w:rsid w:val="00951E70"/>
    <w:rsid w:val="00961669"/>
    <w:rsid w:val="00963204"/>
    <w:rsid w:val="009667FD"/>
    <w:rsid w:val="00967EEB"/>
    <w:rsid w:val="00972CDB"/>
    <w:rsid w:val="00973B47"/>
    <w:rsid w:val="0097518E"/>
    <w:rsid w:val="00981AE8"/>
    <w:rsid w:val="00981E04"/>
    <w:rsid w:val="009825CE"/>
    <w:rsid w:val="00990150"/>
    <w:rsid w:val="009924BF"/>
    <w:rsid w:val="00995A44"/>
    <w:rsid w:val="009979FA"/>
    <w:rsid w:val="00997C33"/>
    <w:rsid w:val="009A442A"/>
    <w:rsid w:val="009A6D83"/>
    <w:rsid w:val="009B3394"/>
    <w:rsid w:val="009C0168"/>
    <w:rsid w:val="009C10DF"/>
    <w:rsid w:val="009C29A0"/>
    <w:rsid w:val="009C3410"/>
    <w:rsid w:val="009C5760"/>
    <w:rsid w:val="009D0FB7"/>
    <w:rsid w:val="009D1AD1"/>
    <w:rsid w:val="009D6D5F"/>
    <w:rsid w:val="009E7AD6"/>
    <w:rsid w:val="009F4D59"/>
    <w:rsid w:val="00A01E02"/>
    <w:rsid w:val="00A0549F"/>
    <w:rsid w:val="00A10FC0"/>
    <w:rsid w:val="00A22AD1"/>
    <w:rsid w:val="00A25626"/>
    <w:rsid w:val="00A25B2E"/>
    <w:rsid w:val="00A30FDD"/>
    <w:rsid w:val="00A332DE"/>
    <w:rsid w:val="00A33C6C"/>
    <w:rsid w:val="00A36B64"/>
    <w:rsid w:val="00A37D94"/>
    <w:rsid w:val="00A461EB"/>
    <w:rsid w:val="00A537F4"/>
    <w:rsid w:val="00A56EDC"/>
    <w:rsid w:val="00A66B15"/>
    <w:rsid w:val="00A74A4C"/>
    <w:rsid w:val="00A76D42"/>
    <w:rsid w:val="00A77F96"/>
    <w:rsid w:val="00AA0603"/>
    <w:rsid w:val="00AA2770"/>
    <w:rsid w:val="00AA2E09"/>
    <w:rsid w:val="00AA705E"/>
    <w:rsid w:val="00AC2FE1"/>
    <w:rsid w:val="00AD43A5"/>
    <w:rsid w:val="00AD6B44"/>
    <w:rsid w:val="00AE26DB"/>
    <w:rsid w:val="00AE2C86"/>
    <w:rsid w:val="00AE43AF"/>
    <w:rsid w:val="00AE43FC"/>
    <w:rsid w:val="00AE491D"/>
    <w:rsid w:val="00AF12FC"/>
    <w:rsid w:val="00AF20E1"/>
    <w:rsid w:val="00AF2F30"/>
    <w:rsid w:val="00B00372"/>
    <w:rsid w:val="00B0162E"/>
    <w:rsid w:val="00B017F1"/>
    <w:rsid w:val="00B2122A"/>
    <w:rsid w:val="00B22440"/>
    <w:rsid w:val="00B22BA0"/>
    <w:rsid w:val="00B22F0F"/>
    <w:rsid w:val="00B23EC5"/>
    <w:rsid w:val="00B243B2"/>
    <w:rsid w:val="00B30118"/>
    <w:rsid w:val="00B3077D"/>
    <w:rsid w:val="00B31B3A"/>
    <w:rsid w:val="00B34BA7"/>
    <w:rsid w:val="00B35DFB"/>
    <w:rsid w:val="00B45ACE"/>
    <w:rsid w:val="00B51EAE"/>
    <w:rsid w:val="00B61253"/>
    <w:rsid w:val="00B66D4E"/>
    <w:rsid w:val="00B713C0"/>
    <w:rsid w:val="00B7164F"/>
    <w:rsid w:val="00B75A8D"/>
    <w:rsid w:val="00B82D2D"/>
    <w:rsid w:val="00B85220"/>
    <w:rsid w:val="00B95455"/>
    <w:rsid w:val="00B962A5"/>
    <w:rsid w:val="00BA0435"/>
    <w:rsid w:val="00BB1493"/>
    <w:rsid w:val="00BB53D7"/>
    <w:rsid w:val="00BC1861"/>
    <w:rsid w:val="00BC1ED8"/>
    <w:rsid w:val="00BC39FA"/>
    <w:rsid w:val="00BC70D6"/>
    <w:rsid w:val="00BC7604"/>
    <w:rsid w:val="00BD0D2E"/>
    <w:rsid w:val="00BD2669"/>
    <w:rsid w:val="00BD7A55"/>
    <w:rsid w:val="00BE2F56"/>
    <w:rsid w:val="00BE37B1"/>
    <w:rsid w:val="00BE3854"/>
    <w:rsid w:val="00BE5ACC"/>
    <w:rsid w:val="00BF0444"/>
    <w:rsid w:val="00BF2CFC"/>
    <w:rsid w:val="00BF51C8"/>
    <w:rsid w:val="00C01E84"/>
    <w:rsid w:val="00C02DF1"/>
    <w:rsid w:val="00C115E0"/>
    <w:rsid w:val="00C12924"/>
    <w:rsid w:val="00C1601F"/>
    <w:rsid w:val="00C17185"/>
    <w:rsid w:val="00C21F3E"/>
    <w:rsid w:val="00C32066"/>
    <w:rsid w:val="00C34DE9"/>
    <w:rsid w:val="00C34E86"/>
    <w:rsid w:val="00C35C95"/>
    <w:rsid w:val="00C51267"/>
    <w:rsid w:val="00C55261"/>
    <w:rsid w:val="00C56C58"/>
    <w:rsid w:val="00C56E9D"/>
    <w:rsid w:val="00C602B9"/>
    <w:rsid w:val="00C62E34"/>
    <w:rsid w:val="00C64758"/>
    <w:rsid w:val="00C65673"/>
    <w:rsid w:val="00C6586B"/>
    <w:rsid w:val="00C73CFC"/>
    <w:rsid w:val="00C759E1"/>
    <w:rsid w:val="00C81877"/>
    <w:rsid w:val="00C835D5"/>
    <w:rsid w:val="00C84D08"/>
    <w:rsid w:val="00C857F3"/>
    <w:rsid w:val="00C94EB3"/>
    <w:rsid w:val="00C96CE0"/>
    <w:rsid w:val="00CA07E0"/>
    <w:rsid w:val="00CA09BE"/>
    <w:rsid w:val="00CA546A"/>
    <w:rsid w:val="00CB59F4"/>
    <w:rsid w:val="00CC1634"/>
    <w:rsid w:val="00CC1B05"/>
    <w:rsid w:val="00CC4B57"/>
    <w:rsid w:val="00CC6B53"/>
    <w:rsid w:val="00CD3061"/>
    <w:rsid w:val="00CD5E1F"/>
    <w:rsid w:val="00CD6874"/>
    <w:rsid w:val="00CE5846"/>
    <w:rsid w:val="00CE75ED"/>
    <w:rsid w:val="00CF04B2"/>
    <w:rsid w:val="00CF070D"/>
    <w:rsid w:val="00CF2541"/>
    <w:rsid w:val="00CF3CA7"/>
    <w:rsid w:val="00D027F2"/>
    <w:rsid w:val="00D0463E"/>
    <w:rsid w:val="00D15458"/>
    <w:rsid w:val="00D15893"/>
    <w:rsid w:val="00D16B29"/>
    <w:rsid w:val="00D16BAE"/>
    <w:rsid w:val="00D22E0C"/>
    <w:rsid w:val="00D36FAA"/>
    <w:rsid w:val="00D37106"/>
    <w:rsid w:val="00D37F4F"/>
    <w:rsid w:val="00D411ED"/>
    <w:rsid w:val="00D413C4"/>
    <w:rsid w:val="00D42FFF"/>
    <w:rsid w:val="00D5116C"/>
    <w:rsid w:val="00D52A61"/>
    <w:rsid w:val="00D55967"/>
    <w:rsid w:val="00D57F37"/>
    <w:rsid w:val="00D61A9F"/>
    <w:rsid w:val="00D62356"/>
    <w:rsid w:val="00D71BD4"/>
    <w:rsid w:val="00D72348"/>
    <w:rsid w:val="00D72DA8"/>
    <w:rsid w:val="00D72FBA"/>
    <w:rsid w:val="00D822D0"/>
    <w:rsid w:val="00D84FD4"/>
    <w:rsid w:val="00D914EA"/>
    <w:rsid w:val="00D94614"/>
    <w:rsid w:val="00DA0410"/>
    <w:rsid w:val="00DA1056"/>
    <w:rsid w:val="00DA2126"/>
    <w:rsid w:val="00DA2230"/>
    <w:rsid w:val="00DA31D4"/>
    <w:rsid w:val="00DA5A5A"/>
    <w:rsid w:val="00DA72F3"/>
    <w:rsid w:val="00DB289F"/>
    <w:rsid w:val="00DC0C97"/>
    <w:rsid w:val="00DC6BD6"/>
    <w:rsid w:val="00DD138A"/>
    <w:rsid w:val="00DD42D7"/>
    <w:rsid w:val="00DD6A76"/>
    <w:rsid w:val="00DE5952"/>
    <w:rsid w:val="00DF0114"/>
    <w:rsid w:val="00DF0DFA"/>
    <w:rsid w:val="00DF13D9"/>
    <w:rsid w:val="00DF1937"/>
    <w:rsid w:val="00DF25BF"/>
    <w:rsid w:val="00DF6AC9"/>
    <w:rsid w:val="00DF7B47"/>
    <w:rsid w:val="00E03189"/>
    <w:rsid w:val="00E06121"/>
    <w:rsid w:val="00E101B9"/>
    <w:rsid w:val="00E115E8"/>
    <w:rsid w:val="00E217E8"/>
    <w:rsid w:val="00E23EAD"/>
    <w:rsid w:val="00E24238"/>
    <w:rsid w:val="00E26A71"/>
    <w:rsid w:val="00E33DB6"/>
    <w:rsid w:val="00E40451"/>
    <w:rsid w:val="00E426DA"/>
    <w:rsid w:val="00E43543"/>
    <w:rsid w:val="00E52379"/>
    <w:rsid w:val="00E54808"/>
    <w:rsid w:val="00E55131"/>
    <w:rsid w:val="00E56473"/>
    <w:rsid w:val="00E66073"/>
    <w:rsid w:val="00E70DA9"/>
    <w:rsid w:val="00E724F7"/>
    <w:rsid w:val="00E7390B"/>
    <w:rsid w:val="00E75A3F"/>
    <w:rsid w:val="00E77B9C"/>
    <w:rsid w:val="00E8206B"/>
    <w:rsid w:val="00E91ED5"/>
    <w:rsid w:val="00E933A0"/>
    <w:rsid w:val="00E95B28"/>
    <w:rsid w:val="00EA7708"/>
    <w:rsid w:val="00EB6A53"/>
    <w:rsid w:val="00EB6B2A"/>
    <w:rsid w:val="00EC2BF5"/>
    <w:rsid w:val="00EC3328"/>
    <w:rsid w:val="00EC3F20"/>
    <w:rsid w:val="00EC66B3"/>
    <w:rsid w:val="00EC7192"/>
    <w:rsid w:val="00ED73B3"/>
    <w:rsid w:val="00EE1ADD"/>
    <w:rsid w:val="00EE201B"/>
    <w:rsid w:val="00EE2194"/>
    <w:rsid w:val="00EE5159"/>
    <w:rsid w:val="00EE6E3B"/>
    <w:rsid w:val="00EF0134"/>
    <w:rsid w:val="00F01A93"/>
    <w:rsid w:val="00F01E9B"/>
    <w:rsid w:val="00F03E9E"/>
    <w:rsid w:val="00F14266"/>
    <w:rsid w:val="00F1564F"/>
    <w:rsid w:val="00F21965"/>
    <w:rsid w:val="00F21C16"/>
    <w:rsid w:val="00F25F13"/>
    <w:rsid w:val="00F26284"/>
    <w:rsid w:val="00F30127"/>
    <w:rsid w:val="00F43BCF"/>
    <w:rsid w:val="00F603BF"/>
    <w:rsid w:val="00F64758"/>
    <w:rsid w:val="00F649F0"/>
    <w:rsid w:val="00F65977"/>
    <w:rsid w:val="00F66FF8"/>
    <w:rsid w:val="00F72754"/>
    <w:rsid w:val="00F72BF6"/>
    <w:rsid w:val="00F733E7"/>
    <w:rsid w:val="00F76151"/>
    <w:rsid w:val="00F83D4D"/>
    <w:rsid w:val="00FA014D"/>
    <w:rsid w:val="00FA59C6"/>
    <w:rsid w:val="00FB21E7"/>
    <w:rsid w:val="00FB5F9A"/>
    <w:rsid w:val="00FC390B"/>
    <w:rsid w:val="00FC691D"/>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uiPriority w:val="9"/>
    <w:semiHidden/>
    <w:unhideWhenUsed/>
    <w:qFormat/>
    <w:rsid w:val="009A442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F01E9B"/>
    <w:pPr>
      <w:tabs>
        <w:tab w:val="right" w:leader="dot" w:pos="9350"/>
      </w:tabs>
      <w:ind w:left="270" w:hanging="270"/>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5F2DBB"/>
    <w:rPr>
      <w:rFonts w:ascii="Arial" w:hAnsi="Arial" w:cs="Arial"/>
      <w:b w:val="0"/>
      <w:bCs w:val="0"/>
      <w:color w:val="000066"/>
      <w:szCs w:val="24"/>
      <w:u w:val="none"/>
    </w:rPr>
  </w:style>
  <w:style w:type="paragraph" w:customStyle="1" w:styleId="EmailBlast2">
    <w:name w:val="Email Blast2"/>
    <w:basedOn w:val="Normal"/>
    <w:autoRedefine/>
    <w:qFormat/>
    <w:rsid w:val="0027695B"/>
    <w:pPr>
      <w:spacing w:after="120"/>
      <w:outlineLvl w:val="1"/>
    </w:pPr>
    <w:rPr>
      <w:rFonts w:ascii="Arial" w:hAnsi="Arial" w:cs="Arial"/>
      <w:color w:val="000066"/>
      <w:sz w:val="28"/>
      <w:szCs w:val="24"/>
    </w:rPr>
  </w:style>
  <w:style w:type="character" w:customStyle="1" w:styleId="Heading6Char">
    <w:name w:val="Heading 6 Char"/>
    <w:basedOn w:val="DefaultParagraphFont"/>
    <w:link w:val="Heading6"/>
    <w:uiPriority w:val="9"/>
    <w:semiHidden/>
    <w:rsid w:val="009A442A"/>
    <w:rPr>
      <w:rFonts w:asciiTheme="majorHAnsi" w:eastAsiaTheme="majorEastAsia" w:hAnsiTheme="majorHAnsi" w:cstheme="majorBidi"/>
      <w:color w:val="243F60" w:themeColor="accent1" w:themeShade="7F"/>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1114052">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388305991">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0767992">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35353936">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736745">
      <w:bodyDiv w:val="1"/>
      <w:marLeft w:val="0"/>
      <w:marRight w:val="0"/>
      <w:marTop w:val="0"/>
      <w:marBottom w:val="0"/>
      <w:divBdr>
        <w:top w:val="none" w:sz="0" w:space="0" w:color="auto"/>
        <w:left w:val="none" w:sz="0" w:space="0" w:color="auto"/>
        <w:bottom w:val="none" w:sz="0" w:space="0" w:color="auto"/>
        <w:right w:val="none" w:sz="0" w:space="0" w:color="auto"/>
      </w:divBdr>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43653556">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12230019">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federal_housing_administration/healthcare_facilities/residential_care/presentations" TargetMode="External"/><Relationship Id="rId18" Type="http://schemas.openxmlformats.org/officeDocument/2006/relationships/image" Target="media/image2.jpeg"/><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hud.gov/healthcare" TargetMode="External"/><Relationship Id="rId7" Type="http://schemas.openxmlformats.org/officeDocument/2006/relationships/settings" Target="settings.xml"/><Relationship Id="rId12" Type="http://schemas.openxmlformats.org/officeDocument/2006/relationships/hyperlink" Target="https://public.govdelivery.com/accounts/USHUDFHA/subscriber/topics?qsp=USHUDFHA_2" TargetMode="External"/><Relationship Id="rId17" Type="http://schemas.openxmlformats.org/officeDocument/2006/relationships/hyperlink" Target="mailto:educate@ahca.org"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members.ahcancal.org/Dashboard/Create-New-User-Account" TargetMode="External"/><Relationship Id="rId20" Type="http://schemas.openxmlformats.org/officeDocument/2006/relationships/hyperlink" Target="mailto:LeanThinking@hud.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ortal.hud.gov/hudportal/HUD?src=/program_offices/public_affairs/socialmedia" TargetMode="External"/><Relationship Id="rId5" Type="http://schemas.openxmlformats.org/officeDocument/2006/relationships/numbering" Target="numbering.xml"/><Relationship Id="rId15" Type="http://schemas.openxmlformats.org/officeDocument/2006/relationships/hyperlink" Target="https://members.ahcancal.org/Dashboard/Sign-In-Help" TargetMode="External"/><Relationship Id="rId23" Type="http://schemas.openxmlformats.org/officeDocument/2006/relationships/hyperlink" Target="https://public.govdelivery.com/accounts/USHUDFHA/subscriber/topics?qsp=USHUDFHA_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ortal.hud.gov/hudportal/HUD?src=/federal_housing_administration/healthcare_facilities/residential_care/mail_blast_ind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e.ahcancal.org/products/section-232-program-overview-and-matters-related-to-the-covdi-19-pandemic" TargetMode="External"/><Relationship Id="rId22" Type="http://schemas.openxmlformats.org/officeDocument/2006/relationships/hyperlink" Target="https://public.govdelivery.com/accounts/USHUDFHA/subscriber/topics?qsp=USHUDFHA_2"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4.xml><?xml version="1.0" encoding="utf-8"?>
<ds:datastoreItem xmlns:ds="http://schemas.openxmlformats.org/officeDocument/2006/customXml" ds:itemID="{C25891A0-BFAB-4DDB-8CDA-07DAE711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9005</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6</cp:revision>
  <cp:lastPrinted>2014-08-11T13:53:00Z</cp:lastPrinted>
  <dcterms:created xsi:type="dcterms:W3CDTF">2020-12-14T15:08:00Z</dcterms:created>
  <dcterms:modified xsi:type="dcterms:W3CDTF">2020-12-16T17:06:00Z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