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03D" w14:textId="4AE2E9CF" w:rsidR="008819F8" w:rsidRPr="00863472" w:rsidRDefault="006516EB" w:rsidP="00863472">
      <w:pPr>
        <w:pStyle w:val="NormalWeb"/>
        <w:jc w:val="center"/>
        <w:rPr>
          <w:rFonts w:ascii="Verdana" w:hAnsi="Verdana"/>
          <w:sz w:val="22"/>
          <w:szCs w:val="22"/>
        </w:rPr>
      </w:pPr>
      <w:bookmarkStart w:id="0" w:name="_Hlk33784864"/>
      <w:r>
        <w:rPr>
          <w:rFonts w:ascii="Verdana" w:hAnsi="Verdana"/>
          <w:noProof/>
          <w:sz w:val="22"/>
          <w:szCs w:val="22"/>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863472" w:rsidRDefault="008819F8" w:rsidP="00863472"/>
    <w:p w14:paraId="6E0E6040" w14:textId="1336035A" w:rsidR="00743DDB" w:rsidRPr="001F5102" w:rsidRDefault="00F44291" w:rsidP="00863472">
      <w:pPr>
        <w:pStyle w:val="NoSpacing"/>
        <w:rPr>
          <w:rFonts w:ascii="Arial" w:hAnsi="Arial" w:cs="Arial"/>
          <w:iCs/>
          <w:sz w:val="28"/>
          <w:szCs w:val="28"/>
        </w:rPr>
      </w:pPr>
      <w:r>
        <w:rPr>
          <w:rFonts w:ascii="Arial" w:hAnsi="Arial" w:cs="Arial"/>
          <w:iCs/>
          <w:sz w:val="28"/>
          <w:szCs w:val="28"/>
        </w:rPr>
        <w:t>December 16</w:t>
      </w:r>
      <w:r w:rsidR="008129A3" w:rsidRPr="001F5102">
        <w:rPr>
          <w:rFonts w:ascii="Arial" w:hAnsi="Arial" w:cs="Arial"/>
          <w:iCs/>
          <w:sz w:val="28"/>
          <w:szCs w:val="28"/>
        </w:rPr>
        <w:t>, 20</w:t>
      </w:r>
      <w:r w:rsidR="001F686F" w:rsidRPr="001F5102">
        <w:rPr>
          <w:rFonts w:ascii="Arial" w:hAnsi="Arial" w:cs="Arial"/>
          <w:iCs/>
          <w:sz w:val="28"/>
          <w:szCs w:val="28"/>
        </w:rPr>
        <w:t>2</w:t>
      </w:r>
      <w:r w:rsidR="006516EB">
        <w:rPr>
          <w:rFonts w:ascii="Arial" w:hAnsi="Arial" w:cs="Arial"/>
          <w:iCs/>
          <w:sz w:val="28"/>
          <w:szCs w:val="28"/>
        </w:rPr>
        <w:t>1</w:t>
      </w:r>
    </w:p>
    <w:p w14:paraId="6E0E6041" w14:textId="26581954" w:rsidR="00E55131" w:rsidRPr="007D54CE" w:rsidRDefault="00E55131" w:rsidP="00863472">
      <w:pPr>
        <w:pStyle w:val="NoSpacing"/>
        <w:rPr>
          <w:rFonts w:ascii="Arial" w:hAnsi="Arial" w:cs="Arial"/>
          <w:i/>
          <w:sz w:val="24"/>
          <w:szCs w:val="24"/>
          <w:u w:val="single"/>
        </w:rPr>
      </w:pPr>
    </w:p>
    <w:p w14:paraId="010705E1" w14:textId="77777777" w:rsidR="007D54CE" w:rsidRPr="007D54CE" w:rsidRDefault="007D54CE" w:rsidP="007D54CE">
      <w:pPr>
        <w:pStyle w:val="NoSpacing"/>
        <w:rPr>
          <w:rFonts w:ascii="Arial" w:hAnsi="Arial" w:cs="Arial"/>
          <w:iCs/>
          <w:color w:val="000066"/>
          <w:sz w:val="24"/>
          <w:szCs w:val="24"/>
        </w:rPr>
      </w:pPr>
      <w:r w:rsidRPr="007D54CE">
        <w:rPr>
          <w:rFonts w:ascii="Arial" w:hAnsi="Arial" w:cs="Arial"/>
          <w:iCs/>
          <w:color w:val="000066"/>
          <w:sz w:val="24"/>
          <w:szCs w:val="24"/>
        </w:rPr>
        <w:t>In This Update</w:t>
      </w:r>
    </w:p>
    <w:p w14:paraId="1CD06031" w14:textId="77777777" w:rsidR="007D54CE" w:rsidRPr="007D54CE" w:rsidRDefault="007D54CE" w:rsidP="00863472">
      <w:pPr>
        <w:pStyle w:val="NoSpacing"/>
        <w:rPr>
          <w:rFonts w:ascii="Arial" w:hAnsi="Arial" w:cs="Arial"/>
          <w:i/>
          <w:sz w:val="24"/>
          <w:szCs w:val="24"/>
          <w:u w:val="single"/>
        </w:rPr>
      </w:pPr>
    </w:p>
    <w:p w14:paraId="3F7B1618" w14:textId="77777777" w:rsidR="00E37987" w:rsidRPr="00A46F0B" w:rsidRDefault="00396DB3" w:rsidP="00A46F0B">
      <w:pPr>
        <w:pStyle w:val="TOC1"/>
        <w:ind w:left="720"/>
        <w:rPr>
          <w:rFonts w:eastAsiaTheme="minorEastAsia"/>
          <w:sz w:val="22"/>
        </w:rPr>
      </w:pPr>
      <w:r w:rsidRPr="00DE2603">
        <w:rPr>
          <w:i/>
        </w:rPr>
        <w:fldChar w:fldCharType="begin"/>
      </w:r>
      <w:r w:rsidRPr="00DE2603">
        <w:rPr>
          <w:i/>
        </w:rPr>
        <w:instrText xml:space="preserve"> TOC \o "1-3" \n \h \z \u </w:instrText>
      </w:r>
      <w:r w:rsidRPr="00DE2603">
        <w:rPr>
          <w:i/>
        </w:rPr>
        <w:fldChar w:fldCharType="separate"/>
      </w:r>
      <w:hyperlink w:anchor="_Toc90542330" w:history="1">
        <w:r w:rsidR="00E37987" w:rsidRPr="00A46F0B">
          <w:rPr>
            <w:rStyle w:val="Hyperlink"/>
            <w:color w:val="000066"/>
          </w:rPr>
          <w:t>Management Agent Role Clarification</w:t>
        </w:r>
      </w:hyperlink>
    </w:p>
    <w:p w14:paraId="700B6C82" w14:textId="77777777" w:rsidR="00E37987" w:rsidRPr="00A46F0B" w:rsidRDefault="00982D35" w:rsidP="00A46F0B">
      <w:pPr>
        <w:pStyle w:val="TOC1"/>
        <w:ind w:left="720"/>
        <w:rPr>
          <w:rFonts w:eastAsiaTheme="minorEastAsia"/>
          <w:sz w:val="22"/>
        </w:rPr>
      </w:pPr>
      <w:hyperlink w:anchor="_Toc90542331" w:history="1">
        <w:r w:rsidR="00E37987" w:rsidRPr="00A46F0B">
          <w:rPr>
            <w:rStyle w:val="Hyperlink"/>
            <w:color w:val="000066"/>
          </w:rPr>
          <w:t>New Environmental Resources and Case Study Now Available On HUD Exchange</w:t>
        </w:r>
      </w:hyperlink>
    </w:p>
    <w:p w14:paraId="014EB69C" w14:textId="77777777" w:rsidR="00E37987" w:rsidRPr="00A46F0B" w:rsidRDefault="00982D35" w:rsidP="00A46F0B">
      <w:pPr>
        <w:pStyle w:val="TOC1"/>
        <w:ind w:left="720"/>
        <w:rPr>
          <w:rFonts w:eastAsiaTheme="minorEastAsia"/>
          <w:sz w:val="22"/>
        </w:rPr>
      </w:pPr>
      <w:hyperlink w:anchor="_Toc90542332" w:history="1">
        <w:r w:rsidR="00E37987" w:rsidRPr="00A46F0B">
          <w:rPr>
            <w:rStyle w:val="Hyperlink"/>
            <w:color w:val="000066"/>
          </w:rPr>
          <w:t>Phase I Environmental Assessment Standard ASTM E1527</w:t>
        </w:r>
      </w:hyperlink>
    </w:p>
    <w:p w14:paraId="43C02A0E" w14:textId="77777777" w:rsidR="00E37987" w:rsidRPr="00A46F0B" w:rsidRDefault="00982D35" w:rsidP="00A46F0B">
      <w:pPr>
        <w:pStyle w:val="TOC1"/>
        <w:ind w:left="720"/>
        <w:rPr>
          <w:rFonts w:eastAsiaTheme="minorEastAsia"/>
          <w:sz w:val="22"/>
        </w:rPr>
      </w:pPr>
      <w:hyperlink w:anchor="_Toc90542333" w:history="1">
        <w:r w:rsidR="00E37987" w:rsidRPr="00A46F0B">
          <w:rPr>
            <w:rStyle w:val="Hyperlink"/>
            <w:color w:val="000066"/>
          </w:rPr>
          <w:t>Processing Escrow Draw Requests Pursuant to COVID-Related Supplemental Loans</w:t>
        </w:r>
      </w:hyperlink>
    </w:p>
    <w:p w14:paraId="3E1A3B72" w14:textId="77777777" w:rsidR="00E37987" w:rsidRPr="00A46F0B" w:rsidRDefault="00982D35" w:rsidP="00A46F0B">
      <w:pPr>
        <w:pStyle w:val="TOC1"/>
        <w:ind w:left="720"/>
        <w:rPr>
          <w:rFonts w:eastAsiaTheme="minorEastAsia"/>
          <w:sz w:val="22"/>
        </w:rPr>
      </w:pPr>
      <w:hyperlink w:anchor="_Toc90542334" w:history="1">
        <w:r w:rsidR="00E37987" w:rsidRPr="00A46F0B">
          <w:rPr>
            <w:rStyle w:val="Hyperlink"/>
            <w:color w:val="000066"/>
          </w:rPr>
          <w:t>FROM THE CLOSING CORNER</w:t>
        </w:r>
      </w:hyperlink>
    </w:p>
    <w:p w14:paraId="0F6759FC" w14:textId="77777777" w:rsidR="00E37987" w:rsidRPr="00A46F0B" w:rsidRDefault="00982D35" w:rsidP="00A46F0B">
      <w:pPr>
        <w:pStyle w:val="TOC1"/>
        <w:rPr>
          <w:rFonts w:eastAsiaTheme="minorEastAsia"/>
          <w:sz w:val="22"/>
        </w:rPr>
      </w:pPr>
      <w:hyperlink w:anchor="_Toc90542335" w:history="1">
        <w:r w:rsidR="00E37987" w:rsidRPr="00A46F0B">
          <w:rPr>
            <w:rStyle w:val="Hyperlink"/>
            <w:color w:val="000066"/>
          </w:rPr>
          <w:t>Change in Timing of HUD OGC Attorney Assignment for Section 223(f) and 223(a)(7) Closings</w:t>
        </w:r>
      </w:hyperlink>
    </w:p>
    <w:p w14:paraId="6E0E6047" w14:textId="0AF3DCA9" w:rsidR="00743DDB" w:rsidRPr="001F5102" w:rsidRDefault="00396DB3" w:rsidP="00DE2603">
      <w:pPr>
        <w:spacing w:before="120"/>
        <w:rPr>
          <w:rFonts w:ascii="Arial" w:hAnsi="Arial" w:cs="Arial"/>
          <w:iCs/>
        </w:rPr>
      </w:pPr>
      <w:r w:rsidRPr="00DE2603">
        <w:rPr>
          <w:rFonts w:ascii="Arial" w:hAnsi="Arial" w:cs="Arial"/>
          <w:i/>
        </w:rPr>
        <w:fldChar w:fldCharType="end"/>
      </w:r>
    </w:p>
    <w:p w14:paraId="5A625462" w14:textId="77777777" w:rsidR="000112A7" w:rsidRPr="001F5102" w:rsidRDefault="000112A7" w:rsidP="00863472">
      <w:pPr>
        <w:rPr>
          <w:rFonts w:ascii="Arial" w:hAnsi="Arial" w:cs="Arial"/>
          <w:iCs/>
        </w:rPr>
      </w:pPr>
    </w:p>
    <w:p w14:paraId="50CC1DAB" w14:textId="2F191C8E" w:rsidR="003E4D05" w:rsidRPr="003E4D05" w:rsidRDefault="00C539CD" w:rsidP="00435180">
      <w:pPr>
        <w:pStyle w:val="EmailBlast"/>
      </w:pPr>
      <w:bookmarkStart w:id="1" w:name="_Toc380585836"/>
      <w:bookmarkStart w:id="2" w:name="_Toc58832847"/>
      <w:bookmarkStart w:id="3" w:name="_Toc90542330"/>
      <w:bookmarkEnd w:id="1"/>
      <w:r>
        <w:t>Management Agent Role Clarification</w:t>
      </w:r>
      <w:bookmarkEnd w:id="2"/>
      <w:bookmarkEnd w:id="3"/>
    </w:p>
    <w:p w14:paraId="4A12094B" w14:textId="53ABA3DB" w:rsidR="00754B66" w:rsidRPr="00754B66" w:rsidRDefault="00754B66" w:rsidP="00754B66">
      <w:pPr>
        <w:rPr>
          <w:rFonts w:ascii="Arial" w:hAnsi="Arial" w:cs="Arial"/>
        </w:rPr>
      </w:pPr>
      <w:r w:rsidRPr="00754B66">
        <w:rPr>
          <w:rFonts w:ascii="Arial" w:hAnsi="Arial" w:cs="Arial"/>
        </w:rPr>
        <w:t xml:space="preserve">On February 28, 2018, </w:t>
      </w:r>
      <w:proofErr w:type="spellStart"/>
      <w:r w:rsidRPr="00754B66">
        <w:rPr>
          <w:rFonts w:ascii="Arial" w:hAnsi="Arial" w:cs="Arial"/>
        </w:rPr>
        <w:t>ORCF</w:t>
      </w:r>
      <w:proofErr w:type="spellEnd"/>
      <w:r w:rsidRPr="00754B66">
        <w:rPr>
          <w:rFonts w:ascii="Arial" w:hAnsi="Arial" w:cs="Arial"/>
        </w:rPr>
        <w:t xml:space="preserve"> issued an Email Blast article that clarified the role of the Management Agent.  If an Asset Management transaction involving a party currently identified as a Management Agent is being submitted to </w:t>
      </w:r>
      <w:proofErr w:type="spellStart"/>
      <w:r w:rsidRPr="00754B66">
        <w:rPr>
          <w:rFonts w:ascii="Arial" w:hAnsi="Arial" w:cs="Arial"/>
        </w:rPr>
        <w:t>ORCF</w:t>
      </w:r>
      <w:proofErr w:type="spellEnd"/>
      <w:r w:rsidRPr="00754B66">
        <w:rPr>
          <w:rFonts w:ascii="Arial" w:hAnsi="Arial" w:cs="Arial"/>
        </w:rPr>
        <w:t xml:space="preserve">, Lenders should first review the 2018 Email Blast </w:t>
      </w:r>
      <w:r w:rsidR="00846B2F">
        <w:rPr>
          <w:rFonts w:ascii="Arial" w:hAnsi="Arial" w:cs="Arial"/>
        </w:rPr>
        <w:t>(</w:t>
      </w:r>
      <w:hyperlink r:id="rId12" w:history="1">
        <w:r w:rsidRPr="00754B66">
          <w:rPr>
            <w:rStyle w:val="Hyperlink"/>
            <w:rFonts w:ascii="Arial" w:hAnsi="Arial" w:cs="Arial"/>
          </w:rPr>
          <w:t>here</w:t>
        </w:r>
      </w:hyperlink>
      <w:r w:rsidR="00846B2F">
        <w:rPr>
          <w:rFonts w:ascii="Arial" w:hAnsi="Arial" w:cs="Arial"/>
        </w:rPr>
        <w:t>)</w:t>
      </w:r>
      <w:r w:rsidRPr="00754B66">
        <w:rPr>
          <w:rFonts w:ascii="Arial" w:hAnsi="Arial" w:cs="Arial"/>
        </w:rPr>
        <w:t xml:space="preserve"> to ensure the Agent is functioning in a management agent role as clarified. If upon review it is determined that the party is not functioning in a management agent role, the Lender should inform the program participants and send a letter to HUD via the 232 Healthcare Portal (under “Management Agent Certification – 9839”) indicating the intent to terminate the existing Management Certification (HUD-9839-ORCF) and Management Agreement with the intended termination </w:t>
      </w:r>
      <w:r w:rsidR="00C94A08">
        <w:rPr>
          <w:rFonts w:ascii="Arial" w:hAnsi="Arial" w:cs="Arial"/>
        </w:rPr>
        <w:t xml:space="preserve">date. </w:t>
      </w:r>
      <w:r w:rsidRPr="00754B66">
        <w:rPr>
          <w:rFonts w:ascii="Arial" w:hAnsi="Arial" w:cs="Arial"/>
        </w:rPr>
        <w:t xml:space="preserve">Following the termination date, the proposed oversight entity could serve as a contractor and be paid a reasonable rate from project funds, as noted in the last section of the </w:t>
      </w:r>
      <w:r w:rsidR="00700F05">
        <w:rPr>
          <w:rFonts w:ascii="Arial" w:hAnsi="Arial" w:cs="Arial"/>
        </w:rPr>
        <w:t>February 2018</w:t>
      </w:r>
      <w:r w:rsidR="00E9413D">
        <w:rPr>
          <w:rFonts w:ascii="Arial" w:hAnsi="Arial" w:cs="Arial"/>
        </w:rPr>
        <w:t xml:space="preserve"> </w:t>
      </w:r>
      <w:r w:rsidRPr="00754B66">
        <w:rPr>
          <w:rFonts w:ascii="Arial" w:hAnsi="Arial" w:cs="Arial"/>
        </w:rPr>
        <w:t xml:space="preserve">Email Blast.  No further HUD </w:t>
      </w:r>
      <w:proofErr w:type="spellStart"/>
      <w:r w:rsidRPr="00754B66">
        <w:rPr>
          <w:rFonts w:ascii="Arial" w:hAnsi="Arial" w:cs="Arial"/>
        </w:rPr>
        <w:t>ORCF</w:t>
      </w:r>
      <w:proofErr w:type="spellEnd"/>
      <w:r w:rsidRPr="00754B66">
        <w:rPr>
          <w:rFonts w:ascii="Arial" w:hAnsi="Arial" w:cs="Arial"/>
        </w:rPr>
        <w:t xml:space="preserve"> approval is required under these circumstances. Once in receipt, the </w:t>
      </w:r>
      <w:proofErr w:type="spellStart"/>
      <w:r w:rsidRPr="00754B66">
        <w:rPr>
          <w:rFonts w:ascii="Arial" w:hAnsi="Arial" w:cs="Arial"/>
        </w:rPr>
        <w:t>ORCF</w:t>
      </w:r>
      <w:proofErr w:type="spellEnd"/>
      <w:r w:rsidRPr="00754B66">
        <w:rPr>
          <w:rFonts w:ascii="Arial" w:hAnsi="Arial" w:cs="Arial"/>
        </w:rPr>
        <w:t xml:space="preserve"> Account Executive will review and acknowledge the termination and </w:t>
      </w:r>
      <w:proofErr w:type="spellStart"/>
      <w:r w:rsidRPr="00754B66">
        <w:rPr>
          <w:rFonts w:ascii="Arial" w:hAnsi="Arial" w:cs="Arial"/>
        </w:rPr>
        <w:t>ORCF</w:t>
      </w:r>
      <w:proofErr w:type="spellEnd"/>
      <w:r w:rsidRPr="00754B66">
        <w:rPr>
          <w:rFonts w:ascii="Arial" w:hAnsi="Arial" w:cs="Arial"/>
        </w:rPr>
        <w:t xml:space="preserve"> internal databases will be updated. </w:t>
      </w:r>
    </w:p>
    <w:p w14:paraId="750C4F2C" w14:textId="77777777" w:rsidR="003E4D05" w:rsidRPr="003E4D05" w:rsidRDefault="003E4D05" w:rsidP="003E4D05">
      <w:pPr>
        <w:rPr>
          <w:rFonts w:ascii="Arial" w:hAnsi="Arial" w:cs="Arial"/>
        </w:rPr>
      </w:pPr>
    </w:p>
    <w:p w14:paraId="74463827" w14:textId="5285B01A" w:rsidR="003E4D05" w:rsidRPr="003E4D05" w:rsidRDefault="003E4D05" w:rsidP="003E4D05">
      <w:pPr>
        <w:rPr>
          <w:rFonts w:ascii="Arial" w:hAnsi="Arial" w:cs="Arial"/>
          <w:i/>
          <w:iCs/>
        </w:rPr>
      </w:pPr>
      <w:r w:rsidRPr="003E4D05">
        <w:rPr>
          <w:rFonts w:ascii="Arial" w:hAnsi="Arial" w:cs="Arial"/>
          <w:b/>
          <w:bCs/>
          <w:i/>
          <w:iCs/>
        </w:rPr>
        <w:t>Keywords:</w:t>
      </w:r>
      <w:r w:rsidRPr="003E4D05">
        <w:rPr>
          <w:rFonts w:ascii="Arial" w:hAnsi="Arial" w:cs="Arial"/>
          <w:i/>
          <w:iCs/>
        </w:rPr>
        <w:tab/>
      </w:r>
      <w:r w:rsidR="00C539CD">
        <w:rPr>
          <w:rFonts w:ascii="Arial" w:hAnsi="Arial" w:cs="Arial"/>
          <w:i/>
          <w:iCs/>
        </w:rPr>
        <w:t>Management Agent</w:t>
      </w:r>
    </w:p>
    <w:p w14:paraId="09B876F7" w14:textId="77777777" w:rsidR="00754B66" w:rsidRPr="001F5102" w:rsidRDefault="00754B66" w:rsidP="00B2122A">
      <w:pPr>
        <w:rPr>
          <w:rFonts w:ascii="Arial" w:eastAsia="MS Mincho" w:hAnsi="Arial" w:cs="Arial"/>
          <w:b/>
          <w:szCs w:val="24"/>
        </w:rPr>
      </w:pPr>
    </w:p>
    <w:p w14:paraId="682647E3" w14:textId="77777777" w:rsidR="00B7164F" w:rsidRPr="001F5102" w:rsidRDefault="00982D35"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492CECAF" w14:textId="063E371D" w:rsidR="00997C33" w:rsidRPr="001F5102" w:rsidRDefault="00997C33" w:rsidP="00997C33">
      <w:pPr>
        <w:rPr>
          <w:rFonts w:ascii="Arial" w:hAnsi="Arial" w:cs="Arial"/>
        </w:rPr>
      </w:pPr>
    </w:p>
    <w:p w14:paraId="7418F481" w14:textId="74CE0B6E" w:rsidR="00754B66" w:rsidRPr="00754B66" w:rsidRDefault="00754B66" w:rsidP="00435180">
      <w:pPr>
        <w:pStyle w:val="EmailBlast"/>
      </w:pPr>
      <w:bookmarkStart w:id="4" w:name="_Toc90542331"/>
      <w:r w:rsidRPr="00754B66">
        <w:t>N</w:t>
      </w:r>
      <w:r>
        <w:t xml:space="preserve">ew </w:t>
      </w:r>
      <w:r w:rsidRPr="00754B66">
        <w:t>E</w:t>
      </w:r>
      <w:r>
        <w:t xml:space="preserve">nvironmental </w:t>
      </w:r>
      <w:r w:rsidRPr="00754B66">
        <w:t>R</w:t>
      </w:r>
      <w:r>
        <w:t xml:space="preserve">esources and </w:t>
      </w:r>
      <w:r w:rsidRPr="00754B66">
        <w:t>C</w:t>
      </w:r>
      <w:r>
        <w:t>ase</w:t>
      </w:r>
      <w:r w:rsidRPr="00754B66">
        <w:t xml:space="preserve"> S</w:t>
      </w:r>
      <w:r>
        <w:t>tudy</w:t>
      </w:r>
      <w:r w:rsidRPr="00754B66">
        <w:t xml:space="preserve"> N</w:t>
      </w:r>
      <w:r>
        <w:t xml:space="preserve">ow </w:t>
      </w:r>
      <w:r w:rsidRPr="00754B66">
        <w:t>A</w:t>
      </w:r>
      <w:r>
        <w:t>vailable On</w:t>
      </w:r>
      <w:r w:rsidRPr="00754B66">
        <w:t xml:space="preserve"> HUD E</w:t>
      </w:r>
      <w:r>
        <w:t>xchange</w:t>
      </w:r>
      <w:bookmarkEnd w:id="4"/>
    </w:p>
    <w:p w14:paraId="62D72AF5" w14:textId="71224DE8" w:rsidR="00754B66" w:rsidRPr="00754B66" w:rsidRDefault="00754B66" w:rsidP="00754B66">
      <w:pPr>
        <w:rPr>
          <w:rFonts w:ascii="Arial" w:hAnsi="Arial" w:cs="Arial"/>
        </w:rPr>
      </w:pPr>
      <w:r w:rsidRPr="00754B66">
        <w:rPr>
          <w:rFonts w:ascii="Arial" w:hAnsi="Arial" w:cs="Arial"/>
        </w:rPr>
        <w:t>New resources have been developed to help responsible entities, recipients, applicants, and partners prepare their environmental assessments. Learn more about these resources on the HUD Exchange website</w:t>
      </w:r>
      <w:r>
        <w:rPr>
          <w:rFonts w:ascii="Arial" w:hAnsi="Arial" w:cs="Arial"/>
        </w:rPr>
        <w:t xml:space="preserve"> (</w:t>
      </w:r>
      <w:hyperlink r:id="rId13" w:history="1">
        <w:r w:rsidRPr="00754B66">
          <w:rPr>
            <w:rStyle w:val="Hyperlink"/>
            <w:rFonts w:ascii="Arial" w:hAnsi="Arial" w:cs="Arial"/>
          </w:rPr>
          <w:t>here</w:t>
        </w:r>
      </w:hyperlink>
      <w:r>
        <w:rPr>
          <w:rFonts w:ascii="Arial" w:hAnsi="Arial" w:cs="Arial"/>
        </w:rPr>
        <w:t>)</w:t>
      </w:r>
      <w:r w:rsidRPr="00754B66">
        <w:rPr>
          <w:rFonts w:ascii="Arial" w:hAnsi="Arial" w:cs="Arial"/>
        </w:rPr>
        <w:t xml:space="preserve">. These resources include a New Environmental Assessment </w:t>
      </w:r>
      <w:proofErr w:type="spellStart"/>
      <w:r w:rsidRPr="00754B66">
        <w:rPr>
          <w:rFonts w:ascii="Arial" w:hAnsi="Arial" w:cs="Arial"/>
        </w:rPr>
        <w:t>eGuide</w:t>
      </w:r>
      <w:proofErr w:type="spellEnd"/>
      <w:r w:rsidRPr="00754B66">
        <w:rPr>
          <w:rFonts w:ascii="Arial" w:hAnsi="Arial" w:cs="Arial"/>
        </w:rPr>
        <w:t xml:space="preserve">, Resources and a Case Study. The new resources provide guidance on the factors that should be considered before a project begins and explain how to assess the environmental impact from and on the project. </w:t>
      </w:r>
    </w:p>
    <w:p w14:paraId="7397E3A0" w14:textId="77777777" w:rsidR="00754B66" w:rsidRPr="00754B66" w:rsidRDefault="00754B66" w:rsidP="00754B66">
      <w:pPr>
        <w:rPr>
          <w:rFonts w:ascii="Arial" w:hAnsi="Arial" w:cs="Arial"/>
        </w:rPr>
      </w:pPr>
    </w:p>
    <w:p w14:paraId="7EADDCE3" w14:textId="013F7A56" w:rsidR="004B62C4" w:rsidRPr="004B62C4" w:rsidRDefault="004B62C4" w:rsidP="004B62C4">
      <w:pPr>
        <w:rPr>
          <w:rFonts w:ascii="Arial" w:hAnsi="Arial" w:cs="Arial"/>
          <w:i/>
        </w:rPr>
      </w:pPr>
      <w:r w:rsidRPr="004B62C4">
        <w:rPr>
          <w:rFonts w:ascii="Arial" w:hAnsi="Arial" w:cs="Arial"/>
          <w:b/>
          <w:i/>
        </w:rPr>
        <w:t>Keywords:</w:t>
      </w:r>
      <w:r w:rsidRPr="004B62C4">
        <w:rPr>
          <w:rFonts w:ascii="Arial" w:hAnsi="Arial" w:cs="Arial"/>
          <w:i/>
        </w:rPr>
        <w:t xml:space="preserve"> Environmental, H</w:t>
      </w:r>
      <w:r w:rsidR="00754B66">
        <w:rPr>
          <w:rFonts w:ascii="Arial" w:hAnsi="Arial" w:cs="Arial"/>
          <w:i/>
        </w:rPr>
        <w:t>UD Exchange</w:t>
      </w:r>
    </w:p>
    <w:p w14:paraId="61047DC5" w14:textId="77777777" w:rsidR="0084300D" w:rsidRPr="001F5102" w:rsidRDefault="0084300D" w:rsidP="0084300D">
      <w:pPr>
        <w:rPr>
          <w:rFonts w:ascii="Arial" w:eastAsia="MS Mincho" w:hAnsi="Arial" w:cs="Arial"/>
          <w:b/>
          <w:szCs w:val="24"/>
        </w:rPr>
      </w:pPr>
    </w:p>
    <w:p w14:paraId="38668F80" w14:textId="77777777" w:rsidR="00B7164F" w:rsidRPr="001F5102" w:rsidRDefault="00982D35"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1BD50F7B" w14:textId="295E8733" w:rsidR="0084300D" w:rsidRDefault="0084300D" w:rsidP="00997C33">
      <w:pPr>
        <w:rPr>
          <w:rFonts w:ascii="Arial" w:hAnsi="Arial" w:cs="Arial"/>
        </w:rPr>
      </w:pPr>
    </w:p>
    <w:p w14:paraId="46FD6C6D" w14:textId="5B1F5C7A" w:rsidR="00435180" w:rsidRPr="00435180" w:rsidRDefault="00435180" w:rsidP="00435180">
      <w:pPr>
        <w:pStyle w:val="EmailBlast"/>
      </w:pPr>
      <w:bookmarkStart w:id="5" w:name="_Toc90542332"/>
      <w:r w:rsidRPr="00435180">
        <w:t>P</w:t>
      </w:r>
      <w:r>
        <w:t>hase</w:t>
      </w:r>
      <w:r w:rsidRPr="00435180">
        <w:t xml:space="preserve"> I E</w:t>
      </w:r>
      <w:r>
        <w:t>nvironmental</w:t>
      </w:r>
      <w:r w:rsidRPr="00435180">
        <w:t xml:space="preserve"> A</w:t>
      </w:r>
      <w:r>
        <w:t>ssessment</w:t>
      </w:r>
      <w:r w:rsidRPr="00435180">
        <w:t xml:space="preserve"> S</w:t>
      </w:r>
      <w:r>
        <w:t>tandard</w:t>
      </w:r>
      <w:r w:rsidRPr="00435180">
        <w:t xml:space="preserve"> ASTM E1527</w:t>
      </w:r>
      <w:bookmarkEnd w:id="5"/>
    </w:p>
    <w:p w14:paraId="03356A8B" w14:textId="77777777" w:rsidR="00435180" w:rsidRPr="00435180" w:rsidRDefault="00435180" w:rsidP="00435180">
      <w:pPr>
        <w:rPr>
          <w:rFonts w:ascii="Arial" w:hAnsi="Arial" w:cs="Arial"/>
        </w:rPr>
      </w:pPr>
      <w:r w:rsidRPr="00435180">
        <w:rPr>
          <w:rFonts w:ascii="Arial" w:hAnsi="Arial" w:cs="Arial"/>
        </w:rPr>
        <w:t xml:space="preserve">ASTM recently approved an update to their E1527 standard, ASTM E1527-21.  However, HUD will not adopt the new ASTM standard until EPA determines via rulemaking that it meets its </w:t>
      </w:r>
      <w:proofErr w:type="gramStart"/>
      <w:r w:rsidRPr="00435180">
        <w:rPr>
          <w:rFonts w:ascii="Arial" w:hAnsi="Arial" w:cs="Arial"/>
        </w:rPr>
        <w:t>All Appropriate</w:t>
      </w:r>
      <w:proofErr w:type="gramEnd"/>
      <w:r w:rsidRPr="00435180">
        <w:rPr>
          <w:rFonts w:ascii="Arial" w:hAnsi="Arial" w:cs="Arial"/>
        </w:rPr>
        <w:t xml:space="preserve"> Inquiries rule. Until EPA approves the new standard, applicants should continue to use the ASTM E1527-13 standard.  HUD will formally announce when the ASTM E1527-21 standard is required for applications, including any grace periods and treatment of applications already submitted. </w:t>
      </w:r>
    </w:p>
    <w:p w14:paraId="0A6A8C84" w14:textId="77777777" w:rsidR="00435180" w:rsidRPr="00754B66" w:rsidRDefault="00435180" w:rsidP="00435180">
      <w:pPr>
        <w:rPr>
          <w:rFonts w:ascii="Arial" w:hAnsi="Arial" w:cs="Arial"/>
        </w:rPr>
      </w:pPr>
    </w:p>
    <w:p w14:paraId="1304CA93" w14:textId="379C6784" w:rsidR="00435180" w:rsidRDefault="00435180" w:rsidP="00435180">
      <w:pPr>
        <w:rPr>
          <w:rFonts w:ascii="Arial" w:hAnsi="Arial" w:cs="Arial"/>
          <w:i/>
        </w:rPr>
      </w:pPr>
      <w:r w:rsidRPr="004B62C4">
        <w:rPr>
          <w:rFonts w:ascii="Arial" w:hAnsi="Arial" w:cs="Arial"/>
          <w:b/>
          <w:i/>
        </w:rPr>
        <w:t>Keywords:</w:t>
      </w:r>
      <w:r w:rsidRPr="004B62C4">
        <w:rPr>
          <w:rFonts w:ascii="Arial" w:hAnsi="Arial" w:cs="Arial"/>
          <w:i/>
        </w:rPr>
        <w:t xml:space="preserve"> Environmental</w:t>
      </w:r>
      <w:r w:rsidR="005B3920">
        <w:rPr>
          <w:rFonts w:ascii="Arial" w:hAnsi="Arial" w:cs="Arial"/>
          <w:i/>
        </w:rPr>
        <w:t>, A</w:t>
      </w:r>
      <w:r w:rsidR="00E13D04">
        <w:rPr>
          <w:rFonts w:ascii="Arial" w:hAnsi="Arial" w:cs="Arial"/>
          <w:i/>
        </w:rPr>
        <w:t>STM E1527</w:t>
      </w:r>
    </w:p>
    <w:p w14:paraId="6CB626F8" w14:textId="77777777" w:rsidR="00435180" w:rsidRPr="00435180" w:rsidRDefault="00435180" w:rsidP="00435180">
      <w:pPr>
        <w:rPr>
          <w:rFonts w:ascii="Arial" w:hAnsi="Arial" w:cs="Arial"/>
          <w:i/>
        </w:rPr>
      </w:pPr>
    </w:p>
    <w:p w14:paraId="39DC33E2" w14:textId="77777777" w:rsidR="00435180" w:rsidRPr="001F5102" w:rsidRDefault="00982D35" w:rsidP="00435180">
      <w:pPr>
        <w:rPr>
          <w:rFonts w:ascii="Arial" w:hAnsi="Arial" w:cs="Arial"/>
          <w:b/>
          <w:color w:val="365F91" w:themeColor="accent1" w:themeShade="BF"/>
          <w:szCs w:val="24"/>
        </w:rPr>
      </w:pPr>
      <w:hyperlink w:anchor="_top" w:history="1">
        <w:r w:rsidR="00435180" w:rsidRPr="001F5102">
          <w:rPr>
            <w:rFonts w:ascii="Arial" w:hAnsi="Arial" w:cs="Arial"/>
            <w:color w:val="365F91" w:themeColor="accent1" w:themeShade="BF"/>
            <w:szCs w:val="24"/>
            <w:u w:val="single"/>
          </w:rPr>
          <w:t>Back to top</w:t>
        </w:r>
      </w:hyperlink>
    </w:p>
    <w:p w14:paraId="2A75797C" w14:textId="1B236BC7" w:rsidR="00435180" w:rsidRDefault="00435180" w:rsidP="00997C33">
      <w:pPr>
        <w:rPr>
          <w:rFonts w:ascii="Arial" w:hAnsi="Arial" w:cs="Arial"/>
        </w:rPr>
      </w:pPr>
    </w:p>
    <w:p w14:paraId="38EA67FE" w14:textId="77777777" w:rsidR="00435180" w:rsidRPr="001F5102" w:rsidRDefault="00435180" w:rsidP="00997C33">
      <w:pPr>
        <w:rPr>
          <w:rFonts w:ascii="Arial" w:hAnsi="Arial" w:cs="Arial"/>
        </w:rPr>
      </w:pPr>
    </w:p>
    <w:p w14:paraId="657BF89D" w14:textId="115E0381" w:rsidR="006457D3" w:rsidRPr="006457D3" w:rsidRDefault="006457D3" w:rsidP="00435180">
      <w:pPr>
        <w:pStyle w:val="EmailBlast"/>
      </w:pPr>
      <w:bookmarkStart w:id="6" w:name="_Toc90542333"/>
      <w:r>
        <w:t xml:space="preserve">Processing </w:t>
      </w:r>
      <w:r w:rsidR="00F0328A">
        <w:t>E</w:t>
      </w:r>
      <w:r>
        <w:t xml:space="preserve">scrow </w:t>
      </w:r>
      <w:r w:rsidR="00F0328A">
        <w:t>D</w:t>
      </w:r>
      <w:r>
        <w:t xml:space="preserve">raw </w:t>
      </w:r>
      <w:r w:rsidR="00F0328A">
        <w:t>R</w:t>
      </w:r>
      <w:r>
        <w:t xml:space="preserve">equests </w:t>
      </w:r>
      <w:r w:rsidR="00F0328A">
        <w:t>P</w:t>
      </w:r>
      <w:r>
        <w:t xml:space="preserve">ursuant to COVID-Related </w:t>
      </w:r>
      <w:r w:rsidR="00F0328A">
        <w:t>S</w:t>
      </w:r>
      <w:r>
        <w:t xml:space="preserve">upplemental </w:t>
      </w:r>
      <w:r w:rsidR="00F0328A">
        <w:t>L</w:t>
      </w:r>
      <w:r>
        <w:t>oans</w:t>
      </w:r>
      <w:bookmarkEnd w:id="6"/>
    </w:p>
    <w:p w14:paraId="5FFD98B8" w14:textId="27740367" w:rsidR="006457D3" w:rsidRPr="006457D3" w:rsidRDefault="006457D3" w:rsidP="006457D3">
      <w:pPr>
        <w:rPr>
          <w:rFonts w:ascii="Arial" w:hAnsi="Arial" w:cs="Arial"/>
          <w:szCs w:val="24"/>
        </w:rPr>
      </w:pPr>
      <w:r w:rsidRPr="006457D3">
        <w:rPr>
          <w:rFonts w:ascii="Arial" w:hAnsi="Arial" w:cs="Arial"/>
          <w:szCs w:val="24"/>
        </w:rPr>
        <w:t>As outlined in Mortgagee Letter 21-01</w:t>
      </w:r>
      <w:r>
        <w:rPr>
          <w:rFonts w:ascii="Arial" w:hAnsi="Arial" w:cs="Arial"/>
          <w:szCs w:val="24"/>
        </w:rPr>
        <w:t xml:space="preserve"> (</w:t>
      </w:r>
      <w:hyperlink r:id="rId14" w:history="1">
        <w:r w:rsidRPr="006457D3">
          <w:rPr>
            <w:rStyle w:val="Hyperlink"/>
            <w:rFonts w:ascii="Arial" w:hAnsi="Arial" w:cs="Arial"/>
            <w:szCs w:val="24"/>
          </w:rPr>
          <w:t>here</w:t>
        </w:r>
      </w:hyperlink>
      <w:r>
        <w:rPr>
          <w:rFonts w:ascii="Arial" w:hAnsi="Arial" w:cs="Arial"/>
          <w:szCs w:val="24"/>
        </w:rPr>
        <w:t>)</w:t>
      </w:r>
      <w:r w:rsidRPr="006457D3">
        <w:rPr>
          <w:rFonts w:ascii="Arial" w:hAnsi="Arial" w:cs="Arial"/>
          <w:szCs w:val="24"/>
        </w:rPr>
        <w:t xml:space="preserve">, HUD implemented temporary statutory authority to insure operating loss loans under Section 223(d) of the National Housing Act to mitigate healthcare facilities’ COVID-related temporary revenue reductions. Section 223(d) firm commitments issued on or before September 30, </w:t>
      </w:r>
      <w:proofErr w:type="gramStart"/>
      <w:r w:rsidRPr="006457D3">
        <w:rPr>
          <w:rFonts w:ascii="Arial" w:hAnsi="Arial" w:cs="Arial"/>
          <w:szCs w:val="24"/>
        </w:rPr>
        <w:t>2021</w:t>
      </w:r>
      <w:proofErr w:type="gramEnd"/>
      <w:r w:rsidRPr="006457D3">
        <w:rPr>
          <w:rFonts w:ascii="Arial" w:hAnsi="Arial" w:cs="Arial"/>
          <w:szCs w:val="24"/>
        </w:rPr>
        <w:t xml:space="preserve"> will be able to close on these loans, which can be used to cover temporary losses or additional expenses incurred during the 24-month timeframe of January 1, 2020 to December 31,</w:t>
      </w:r>
      <w:r w:rsidR="007B7834">
        <w:rPr>
          <w:rFonts w:ascii="Arial" w:hAnsi="Arial" w:cs="Arial"/>
          <w:szCs w:val="24"/>
        </w:rPr>
        <w:t xml:space="preserve"> </w:t>
      </w:r>
      <w:r w:rsidRPr="006457D3">
        <w:rPr>
          <w:rFonts w:ascii="Arial" w:hAnsi="Arial" w:cs="Arial"/>
          <w:szCs w:val="24"/>
        </w:rPr>
        <w:t xml:space="preserve">2021 as a result of the COVID-19 pandemic.  The loan proceeds will be placed in a restricted Long-Term Debt Service Reserve Escrow account, memorialized with an executed Form HUD-92476C-ORCF and applicable addendums. </w:t>
      </w:r>
    </w:p>
    <w:p w14:paraId="1ED8A416" w14:textId="66CBCD0C" w:rsidR="006457D3" w:rsidRPr="006457D3" w:rsidRDefault="006457D3" w:rsidP="006457D3">
      <w:pPr>
        <w:spacing w:before="272"/>
        <w:ind w:right="216"/>
        <w:textAlignment w:val="baseline"/>
        <w:rPr>
          <w:rFonts w:ascii="Arial" w:hAnsi="Arial" w:cs="Arial"/>
          <w:szCs w:val="24"/>
        </w:rPr>
      </w:pPr>
      <w:r w:rsidRPr="006457D3">
        <w:rPr>
          <w:rFonts w:ascii="Arial" w:hAnsi="Arial" w:cs="Arial"/>
          <w:szCs w:val="24"/>
        </w:rPr>
        <w:t xml:space="preserve">In administrating the proceeds, HUD requires that other available funds will be used first. Moreover, the priority use for such funds will be making mortgage payments where net operating income is temporarily insufficient. </w:t>
      </w:r>
      <w:proofErr w:type="gramStart"/>
      <w:r w:rsidRPr="006457D3">
        <w:rPr>
          <w:rFonts w:ascii="Arial" w:hAnsi="Arial" w:cs="Arial"/>
          <w:szCs w:val="24"/>
        </w:rPr>
        <w:t>In the event that</w:t>
      </w:r>
      <w:proofErr w:type="gramEnd"/>
      <w:r w:rsidRPr="006457D3">
        <w:rPr>
          <w:rFonts w:ascii="Arial" w:hAnsi="Arial" w:cs="Arial"/>
          <w:szCs w:val="24"/>
        </w:rPr>
        <w:t xml:space="preserve"> the Borrower-Operator relationship is that of lessor-lessee and the Borrower’s mortgage </w:t>
      </w:r>
      <w:r w:rsidRPr="006457D3">
        <w:rPr>
          <w:rFonts w:ascii="Arial" w:hAnsi="Arial" w:cs="Arial"/>
          <w:szCs w:val="24"/>
        </w:rPr>
        <w:lastRenderedPageBreak/>
        <w:t>delinquency is due to the Operator’s lease delinquency, HUD will require repayment to the escrow of those funds when the Borrower eventually recoups the Operator’s delinquent lease payments.</w:t>
      </w:r>
    </w:p>
    <w:p w14:paraId="781BA047" w14:textId="61EDB1AE" w:rsidR="006457D3" w:rsidRPr="006457D3" w:rsidRDefault="006457D3" w:rsidP="006457D3">
      <w:pPr>
        <w:spacing w:before="278"/>
        <w:ind w:right="936"/>
        <w:textAlignment w:val="baseline"/>
        <w:rPr>
          <w:rFonts w:ascii="Arial" w:hAnsi="Arial" w:cs="Arial"/>
          <w:szCs w:val="24"/>
        </w:rPr>
      </w:pPr>
      <w:r w:rsidRPr="006457D3">
        <w:rPr>
          <w:rFonts w:ascii="Arial" w:hAnsi="Arial" w:cs="Arial"/>
          <w:szCs w:val="24"/>
        </w:rPr>
        <w:t>The method of disbursement from the operating loss loan escrow is as follows and</w:t>
      </w:r>
      <w:r w:rsidR="00700F05">
        <w:rPr>
          <w:rFonts w:ascii="Arial" w:hAnsi="Arial" w:cs="Arial"/>
          <w:szCs w:val="24"/>
        </w:rPr>
        <w:t xml:space="preserve"> is</w:t>
      </w:r>
      <w:r w:rsidRPr="006457D3">
        <w:rPr>
          <w:rFonts w:ascii="Arial" w:hAnsi="Arial" w:cs="Arial"/>
          <w:szCs w:val="24"/>
        </w:rPr>
        <w:t xml:space="preserve"> consistent with Handbook </w:t>
      </w:r>
      <w:r>
        <w:rPr>
          <w:rFonts w:ascii="Arial" w:hAnsi="Arial" w:cs="Arial"/>
          <w:szCs w:val="24"/>
        </w:rPr>
        <w:t>4</w:t>
      </w:r>
      <w:r w:rsidRPr="006457D3">
        <w:rPr>
          <w:rFonts w:ascii="Arial" w:hAnsi="Arial" w:cs="Arial"/>
          <w:szCs w:val="24"/>
        </w:rPr>
        <w:t>232.</w:t>
      </w:r>
      <w:r>
        <w:rPr>
          <w:rFonts w:ascii="Arial" w:hAnsi="Arial" w:cs="Arial"/>
          <w:szCs w:val="24"/>
        </w:rPr>
        <w:t>1</w:t>
      </w:r>
      <w:r w:rsidRPr="006457D3">
        <w:rPr>
          <w:rFonts w:ascii="Arial" w:hAnsi="Arial" w:cs="Arial"/>
          <w:szCs w:val="24"/>
        </w:rPr>
        <w:t>, Section II, Chapter 2.11:</w:t>
      </w:r>
    </w:p>
    <w:p w14:paraId="56E0BE26" w14:textId="77777777" w:rsidR="006457D3" w:rsidRPr="006457D3" w:rsidRDefault="006457D3" w:rsidP="006457D3">
      <w:pPr>
        <w:pStyle w:val="ListParagraph"/>
        <w:numPr>
          <w:ilvl w:val="0"/>
          <w:numId w:val="34"/>
        </w:numPr>
        <w:tabs>
          <w:tab w:val="left" w:pos="1152"/>
        </w:tabs>
        <w:spacing w:before="276"/>
        <w:ind w:right="72"/>
        <w:textAlignment w:val="baseline"/>
        <w:rPr>
          <w:rFonts w:ascii="Arial" w:hAnsi="Arial" w:cs="Arial"/>
        </w:rPr>
      </w:pPr>
      <w:r w:rsidRPr="006457D3">
        <w:rPr>
          <w:rFonts w:ascii="Arial" w:hAnsi="Arial" w:cs="Arial"/>
        </w:rPr>
        <w:t>Monthly income and expense statements signed by a Principal of the Borrower entity and approved by the Lender. The owner's monthly statements must contain the following acknowledgement:</w:t>
      </w:r>
    </w:p>
    <w:p w14:paraId="485E579A" w14:textId="225F9D4E" w:rsidR="00B26C1C" w:rsidRPr="006457D3" w:rsidRDefault="00B26C1C" w:rsidP="006457D3">
      <w:pPr>
        <w:spacing w:before="276"/>
        <w:ind w:left="1512" w:right="504"/>
        <w:textAlignment w:val="baseline"/>
        <w:rPr>
          <w:rFonts w:ascii="Arial" w:hAnsi="Arial" w:cs="Arial"/>
          <w:szCs w:val="24"/>
        </w:rPr>
      </w:pPr>
      <w:bookmarkStart w:id="7" w:name="_Hlk89338828"/>
      <w:r w:rsidRPr="00B26C1C">
        <w:rPr>
          <w:rFonts w:ascii="Arial" w:hAnsi="Arial" w:cs="Arial"/>
          <w:szCs w:val="24"/>
        </w:rPr>
        <w:t>W</w:t>
      </w:r>
      <w:r>
        <w:rPr>
          <w:rFonts w:ascii="Arial" w:hAnsi="Arial" w:cs="Arial"/>
          <w:szCs w:val="24"/>
        </w:rPr>
        <w:t>ARNING</w:t>
      </w:r>
      <w:r w:rsidRPr="00B26C1C">
        <w:rPr>
          <w:rFonts w:ascii="Arial" w:hAnsi="Arial" w:cs="Arial"/>
          <w:szCs w:val="24"/>
        </w:rPr>
        <w:t>: Anyone who knowingly submits a false claim or makes a false statement is subject to criminal and/or civil penalties, including confinement for up to 5 years, fines, and civil and administrative penalties. (18 U.S.C. §§ 287, 1001, 1010, 1012; 31 U.S.C. §3729, 3802).</w:t>
      </w:r>
    </w:p>
    <w:bookmarkEnd w:id="7"/>
    <w:p w14:paraId="19D14F7E" w14:textId="77777777" w:rsidR="006457D3" w:rsidRPr="006457D3" w:rsidRDefault="006457D3" w:rsidP="006457D3">
      <w:pPr>
        <w:pStyle w:val="ListParagraph"/>
        <w:numPr>
          <w:ilvl w:val="0"/>
          <w:numId w:val="34"/>
        </w:numPr>
        <w:tabs>
          <w:tab w:val="left" w:pos="1152"/>
        </w:tabs>
        <w:spacing w:before="274"/>
        <w:ind w:right="432"/>
        <w:textAlignment w:val="baseline"/>
        <w:rPr>
          <w:rFonts w:ascii="Arial" w:hAnsi="Arial" w:cs="Arial"/>
        </w:rPr>
      </w:pPr>
      <w:r w:rsidRPr="006457D3">
        <w:rPr>
          <w:rFonts w:ascii="Arial" w:hAnsi="Arial" w:cs="Arial"/>
        </w:rPr>
        <w:t>Quarterly and year-to-date financial statements submitted by the licensed operator and covering the project operations, including:</w:t>
      </w:r>
    </w:p>
    <w:p w14:paraId="0DE341A9" w14:textId="77777777" w:rsidR="006457D3" w:rsidRPr="006457D3" w:rsidRDefault="006457D3" w:rsidP="00826C3F">
      <w:pPr>
        <w:numPr>
          <w:ilvl w:val="1"/>
          <w:numId w:val="34"/>
        </w:numPr>
        <w:tabs>
          <w:tab w:val="left" w:pos="1872"/>
        </w:tabs>
        <w:spacing w:before="120"/>
        <w:textAlignment w:val="baseline"/>
        <w:rPr>
          <w:rFonts w:ascii="Arial" w:hAnsi="Arial" w:cs="Arial"/>
          <w:szCs w:val="24"/>
        </w:rPr>
      </w:pPr>
      <w:r w:rsidRPr="006457D3">
        <w:rPr>
          <w:rFonts w:ascii="Arial" w:hAnsi="Arial" w:cs="Arial"/>
          <w:szCs w:val="24"/>
        </w:rPr>
        <w:t>Profit and Loss Statement</w:t>
      </w:r>
    </w:p>
    <w:p w14:paraId="625A9C4D" w14:textId="77777777" w:rsidR="006457D3" w:rsidRPr="006457D3" w:rsidRDefault="006457D3" w:rsidP="00826C3F">
      <w:pPr>
        <w:numPr>
          <w:ilvl w:val="1"/>
          <w:numId w:val="34"/>
        </w:numPr>
        <w:tabs>
          <w:tab w:val="left" w:pos="1872"/>
        </w:tabs>
        <w:spacing w:before="120"/>
        <w:textAlignment w:val="baseline"/>
        <w:rPr>
          <w:rFonts w:ascii="Arial" w:hAnsi="Arial" w:cs="Arial"/>
          <w:szCs w:val="24"/>
        </w:rPr>
      </w:pPr>
      <w:r w:rsidRPr="006457D3">
        <w:rPr>
          <w:rFonts w:ascii="Arial" w:hAnsi="Arial" w:cs="Arial"/>
          <w:szCs w:val="24"/>
        </w:rPr>
        <w:t>Balance Sheet</w:t>
      </w:r>
    </w:p>
    <w:p w14:paraId="492B20BF" w14:textId="77777777" w:rsidR="006457D3" w:rsidRPr="006457D3" w:rsidRDefault="006457D3" w:rsidP="00826C3F">
      <w:pPr>
        <w:numPr>
          <w:ilvl w:val="1"/>
          <w:numId w:val="34"/>
        </w:numPr>
        <w:tabs>
          <w:tab w:val="left" w:pos="1872"/>
        </w:tabs>
        <w:spacing w:before="120"/>
        <w:textAlignment w:val="baseline"/>
        <w:rPr>
          <w:rFonts w:ascii="Arial" w:hAnsi="Arial" w:cs="Arial"/>
          <w:szCs w:val="24"/>
        </w:rPr>
      </w:pPr>
      <w:r w:rsidRPr="006457D3">
        <w:rPr>
          <w:rFonts w:ascii="Arial" w:hAnsi="Arial" w:cs="Arial"/>
          <w:szCs w:val="24"/>
        </w:rPr>
        <w:t>Accounts Payable Aging</w:t>
      </w:r>
    </w:p>
    <w:p w14:paraId="16941302" w14:textId="77777777" w:rsidR="006457D3" w:rsidRPr="006457D3" w:rsidRDefault="006457D3" w:rsidP="00826C3F">
      <w:pPr>
        <w:numPr>
          <w:ilvl w:val="1"/>
          <w:numId w:val="34"/>
        </w:numPr>
        <w:tabs>
          <w:tab w:val="left" w:pos="1872"/>
        </w:tabs>
        <w:spacing w:before="120"/>
        <w:textAlignment w:val="baseline"/>
        <w:rPr>
          <w:rFonts w:ascii="Arial" w:hAnsi="Arial" w:cs="Arial"/>
          <w:szCs w:val="24"/>
        </w:rPr>
      </w:pPr>
      <w:r w:rsidRPr="006457D3">
        <w:rPr>
          <w:rFonts w:ascii="Arial" w:hAnsi="Arial" w:cs="Arial"/>
          <w:szCs w:val="24"/>
        </w:rPr>
        <w:t>Accounts Receivable Aging</w:t>
      </w:r>
    </w:p>
    <w:p w14:paraId="49AA027A" w14:textId="77777777" w:rsidR="006457D3" w:rsidRPr="006457D3" w:rsidRDefault="006457D3" w:rsidP="00826C3F">
      <w:pPr>
        <w:numPr>
          <w:ilvl w:val="1"/>
          <w:numId w:val="34"/>
        </w:numPr>
        <w:tabs>
          <w:tab w:val="left" w:pos="1872"/>
        </w:tabs>
        <w:spacing w:before="120"/>
        <w:textAlignment w:val="baseline"/>
        <w:rPr>
          <w:rFonts w:ascii="Arial" w:hAnsi="Arial" w:cs="Arial"/>
          <w:szCs w:val="24"/>
        </w:rPr>
      </w:pPr>
      <w:r w:rsidRPr="006457D3">
        <w:rPr>
          <w:rFonts w:ascii="Arial" w:hAnsi="Arial" w:cs="Arial"/>
          <w:szCs w:val="24"/>
        </w:rPr>
        <w:t>Census</w:t>
      </w:r>
    </w:p>
    <w:p w14:paraId="1A2DD87E" w14:textId="77777777" w:rsidR="006457D3" w:rsidRPr="006457D3" w:rsidRDefault="006457D3" w:rsidP="00826C3F">
      <w:pPr>
        <w:numPr>
          <w:ilvl w:val="1"/>
          <w:numId w:val="34"/>
        </w:numPr>
        <w:tabs>
          <w:tab w:val="left" w:pos="1872"/>
        </w:tabs>
        <w:spacing w:before="120"/>
        <w:textAlignment w:val="baseline"/>
        <w:rPr>
          <w:rFonts w:ascii="Arial" w:hAnsi="Arial" w:cs="Arial"/>
          <w:szCs w:val="24"/>
        </w:rPr>
      </w:pPr>
      <w:r w:rsidRPr="006457D3">
        <w:rPr>
          <w:rFonts w:ascii="Arial" w:hAnsi="Arial" w:cs="Arial"/>
          <w:szCs w:val="24"/>
        </w:rPr>
        <w:t>Cash Flow Statement</w:t>
      </w:r>
    </w:p>
    <w:p w14:paraId="6BD708E7" w14:textId="77777777" w:rsidR="006457D3" w:rsidRPr="006457D3" w:rsidRDefault="006457D3" w:rsidP="008F1D31">
      <w:pPr>
        <w:tabs>
          <w:tab w:val="left" w:pos="1872"/>
        </w:tabs>
        <w:ind w:left="1440"/>
        <w:textAlignment w:val="baseline"/>
        <w:rPr>
          <w:rFonts w:ascii="Arial" w:hAnsi="Arial" w:cs="Arial"/>
          <w:szCs w:val="24"/>
        </w:rPr>
      </w:pPr>
    </w:p>
    <w:p w14:paraId="337D696D" w14:textId="2301EF02" w:rsidR="006457D3" w:rsidRPr="006457D3" w:rsidRDefault="006457D3" w:rsidP="008F1D31">
      <w:pPr>
        <w:pStyle w:val="ListParagraph"/>
        <w:numPr>
          <w:ilvl w:val="0"/>
          <w:numId w:val="34"/>
        </w:numPr>
        <w:tabs>
          <w:tab w:val="left" w:pos="1872"/>
        </w:tabs>
        <w:textAlignment w:val="baseline"/>
        <w:rPr>
          <w:rFonts w:ascii="Arial" w:hAnsi="Arial" w:cs="Arial"/>
        </w:rPr>
      </w:pPr>
      <w:r w:rsidRPr="006457D3">
        <w:rPr>
          <w:rFonts w:ascii="Arial" w:hAnsi="Arial" w:cs="Arial"/>
        </w:rPr>
        <w:t>The statements must be submitted within 30 days of the end of each quarter. The statements may, at the Operator’s option, be Operator-certified rather than audited provided</w:t>
      </w:r>
      <w:r w:rsidR="00700F05">
        <w:rPr>
          <w:rFonts w:ascii="Arial" w:hAnsi="Arial" w:cs="Arial"/>
        </w:rPr>
        <w:t>;</w:t>
      </w:r>
      <w:r w:rsidRPr="006457D3">
        <w:rPr>
          <w:rFonts w:ascii="Arial" w:hAnsi="Arial" w:cs="Arial"/>
        </w:rPr>
        <w:t xml:space="preserve"> however, if </w:t>
      </w:r>
      <w:proofErr w:type="spellStart"/>
      <w:r w:rsidRPr="006457D3">
        <w:rPr>
          <w:rFonts w:ascii="Arial" w:hAnsi="Arial" w:cs="Arial"/>
        </w:rPr>
        <w:t>ORCF</w:t>
      </w:r>
      <w:proofErr w:type="spellEnd"/>
      <w:r w:rsidRPr="006457D3">
        <w:rPr>
          <w:rFonts w:ascii="Arial" w:hAnsi="Arial" w:cs="Arial"/>
        </w:rPr>
        <w:t xml:space="preserve"> determines that a particular Operator’s certified statements are inadequate, unreliable, or not presented in a manner that is as consistent as feasible with Generally Accepted Accounting Principles, then </w:t>
      </w:r>
      <w:proofErr w:type="spellStart"/>
      <w:r w:rsidRPr="006457D3">
        <w:rPr>
          <w:rFonts w:ascii="Arial" w:hAnsi="Arial" w:cs="Arial"/>
        </w:rPr>
        <w:t>ORCF</w:t>
      </w:r>
      <w:proofErr w:type="spellEnd"/>
      <w:r w:rsidRPr="006457D3">
        <w:rPr>
          <w:rFonts w:ascii="Arial" w:hAnsi="Arial" w:cs="Arial"/>
        </w:rPr>
        <w:t xml:space="preserve"> may, on a case-by-case basis, require more detailed and/or audited financial statements from the Operator. This requirement will continue until all losses have been substantiated as actual losses by an audited statement. This must be a condition of the Commitment. If the Borrower has not submitted the quarterly statement by the due date, </w:t>
      </w:r>
      <w:proofErr w:type="spellStart"/>
      <w:r w:rsidRPr="006457D3">
        <w:rPr>
          <w:rFonts w:ascii="Arial" w:hAnsi="Arial" w:cs="Arial"/>
        </w:rPr>
        <w:t>ORCF</w:t>
      </w:r>
      <w:proofErr w:type="spellEnd"/>
      <w:r w:rsidRPr="006457D3">
        <w:rPr>
          <w:rFonts w:ascii="Arial" w:hAnsi="Arial" w:cs="Arial"/>
        </w:rPr>
        <w:t xml:space="preserve"> will withhold approval of the disbursement until the statements are submitted. </w:t>
      </w:r>
      <w:proofErr w:type="spellStart"/>
      <w:r w:rsidRPr="006457D3">
        <w:rPr>
          <w:rFonts w:ascii="Arial" w:hAnsi="Arial" w:cs="Arial"/>
        </w:rPr>
        <w:t>ORCF</w:t>
      </w:r>
      <w:proofErr w:type="spellEnd"/>
      <w:r w:rsidRPr="006457D3">
        <w:rPr>
          <w:rFonts w:ascii="Arial" w:hAnsi="Arial" w:cs="Arial"/>
        </w:rPr>
        <w:t xml:space="preserve"> will review the certified annual statement against the uncertified statements submitted by the Borrower and make necessary adjustments in future disbursements.</w:t>
      </w:r>
    </w:p>
    <w:p w14:paraId="67D9FC4A" w14:textId="77777777" w:rsidR="00294C31" w:rsidRPr="00D8152E" w:rsidRDefault="00294C31" w:rsidP="00D8152E">
      <w:pPr>
        <w:tabs>
          <w:tab w:val="left" w:pos="1872"/>
        </w:tabs>
        <w:ind w:left="360"/>
        <w:textAlignment w:val="baseline"/>
        <w:rPr>
          <w:rFonts w:ascii="Arial" w:hAnsi="Arial" w:cs="Arial"/>
        </w:rPr>
      </w:pPr>
    </w:p>
    <w:p w14:paraId="6D423677" w14:textId="3E4FAC8E" w:rsidR="006457D3" w:rsidRPr="006457D3" w:rsidRDefault="006457D3" w:rsidP="008F1D31">
      <w:pPr>
        <w:numPr>
          <w:ilvl w:val="0"/>
          <w:numId w:val="34"/>
        </w:numPr>
        <w:tabs>
          <w:tab w:val="left" w:pos="1080"/>
        </w:tabs>
        <w:ind w:right="720"/>
        <w:textAlignment w:val="baseline"/>
        <w:rPr>
          <w:rFonts w:ascii="Arial" w:hAnsi="Arial" w:cs="Arial"/>
          <w:szCs w:val="24"/>
        </w:rPr>
      </w:pPr>
      <w:r w:rsidRPr="006457D3">
        <w:rPr>
          <w:rFonts w:ascii="Arial" w:hAnsi="Arial" w:cs="Arial"/>
          <w:szCs w:val="24"/>
        </w:rPr>
        <w:t>Operating loss loan funds must be held in escrow and can only be used to offset current losses until it is evident the project is on sound footing.</w:t>
      </w:r>
    </w:p>
    <w:p w14:paraId="20305218" w14:textId="77777777" w:rsidR="006457D3" w:rsidRPr="006457D3" w:rsidRDefault="006457D3" w:rsidP="008F1D31">
      <w:pPr>
        <w:tabs>
          <w:tab w:val="left" w:pos="1872"/>
        </w:tabs>
        <w:textAlignment w:val="baseline"/>
        <w:rPr>
          <w:rFonts w:ascii="Arial" w:hAnsi="Arial" w:cs="Arial"/>
          <w:szCs w:val="24"/>
        </w:rPr>
      </w:pPr>
    </w:p>
    <w:p w14:paraId="78CA14B1" w14:textId="273CC234" w:rsidR="006457D3" w:rsidRPr="006457D3" w:rsidRDefault="006457D3" w:rsidP="008F1D31">
      <w:pPr>
        <w:ind w:right="504"/>
        <w:textAlignment w:val="baseline"/>
        <w:rPr>
          <w:rFonts w:ascii="Arial" w:hAnsi="Arial" w:cs="Arial"/>
          <w:szCs w:val="24"/>
        </w:rPr>
      </w:pPr>
      <w:r w:rsidRPr="006457D3">
        <w:rPr>
          <w:rFonts w:ascii="Arial" w:hAnsi="Arial" w:cs="Arial"/>
          <w:szCs w:val="24"/>
        </w:rPr>
        <w:lastRenderedPageBreak/>
        <w:t xml:space="preserve">At the </w:t>
      </w:r>
      <w:proofErr w:type="spellStart"/>
      <w:r w:rsidR="00D102A2">
        <w:rPr>
          <w:rFonts w:ascii="Arial" w:hAnsi="Arial" w:cs="Arial"/>
          <w:szCs w:val="24"/>
        </w:rPr>
        <w:t>ORCF</w:t>
      </w:r>
      <w:proofErr w:type="spellEnd"/>
      <w:r w:rsidR="00D102A2">
        <w:rPr>
          <w:rFonts w:ascii="Arial" w:hAnsi="Arial" w:cs="Arial"/>
          <w:szCs w:val="24"/>
        </w:rPr>
        <w:t xml:space="preserve"> </w:t>
      </w:r>
      <w:r w:rsidRPr="006457D3">
        <w:rPr>
          <w:rFonts w:ascii="Arial" w:hAnsi="Arial" w:cs="Arial"/>
          <w:szCs w:val="24"/>
        </w:rPr>
        <w:t>Account Executive’s discretion, or if already currently being required, Monthly Accounting Reports (</w:t>
      </w:r>
      <w:proofErr w:type="spellStart"/>
      <w:r w:rsidRPr="006457D3">
        <w:rPr>
          <w:rFonts w:ascii="Arial" w:hAnsi="Arial" w:cs="Arial"/>
          <w:szCs w:val="24"/>
        </w:rPr>
        <w:t>MARs</w:t>
      </w:r>
      <w:proofErr w:type="spellEnd"/>
      <w:r w:rsidRPr="006457D3">
        <w:rPr>
          <w:rFonts w:ascii="Arial" w:hAnsi="Arial" w:cs="Arial"/>
          <w:szCs w:val="24"/>
        </w:rPr>
        <w:t xml:space="preserve">) from the Borrower may be an acceptable submission for #1 above. </w:t>
      </w:r>
      <w:r w:rsidRPr="006457D3">
        <w:rPr>
          <w:rFonts w:ascii="Arial" w:hAnsi="Arial" w:cs="Arial"/>
          <w:szCs w:val="24"/>
        </w:rPr>
        <w:br/>
      </w:r>
    </w:p>
    <w:p w14:paraId="7B88D06B" w14:textId="0C191C34" w:rsidR="006457D3" w:rsidRPr="006457D3" w:rsidRDefault="006457D3" w:rsidP="008F1D31">
      <w:pPr>
        <w:tabs>
          <w:tab w:val="left" w:pos="1872"/>
        </w:tabs>
        <w:textAlignment w:val="baseline"/>
        <w:rPr>
          <w:rFonts w:ascii="Arial" w:hAnsi="Arial" w:cs="Arial"/>
          <w:szCs w:val="24"/>
        </w:rPr>
      </w:pPr>
      <w:r w:rsidRPr="006457D3">
        <w:rPr>
          <w:rFonts w:ascii="Arial" w:hAnsi="Arial" w:cs="Arial"/>
          <w:szCs w:val="24"/>
        </w:rPr>
        <w:t>As it relates to operator financial statements, the Account Executive may also require updated year-to-date financial statements covering project operations for each draw request from the Operating Loss Loan escrow, as, for example, when the previously approved draw was less than 90 days prior</w:t>
      </w:r>
      <w:r w:rsidR="00D102A2">
        <w:rPr>
          <w:rFonts w:ascii="Arial" w:hAnsi="Arial" w:cs="Arial"/>
          <w:szCs w:val="24"/>
        </w:rPr>
        <w:t xml:space="preserve"> to the current draw request</w:t>
      </w:r>
      <w:r w:rsidRPr="006457D3">
        <w:rPr>
          <w:rFonts w:ascii="Arial" w:hAnsi="Arial" w:cs="Arial"/>
          <w:szCs w:val="24"/>
        </w:rPr>
        <w:t xml:space="preserve">, at </w:t>
      </w:r>
      <w:r w:rsidR="00D102A2">
        <w:rPr>
          <w:rFonts w:ascii="Arial" w:hAnsi="Arial" w:cs="Arial"/>
          <w:szCs w:val="24"/>
        </w:rPr>
        <w:t xml:space="preserve">the </w:t>
      </w:r>
      <w:r w:rsidRPr="006457D3">
        <w:rPr>
          <w:rFonts w:ascii="Arial" w:hAnsi="Arial" w:cs="Arial"/>
          <w:szCs w:val="24"/>
        </w:rPr>
        <w:t>Account Executive’s request.</w:t>
      </w:r>
    </w:p>
    <w:p w14:paraId="4AB09E78" w14:textId="7BAB8CA1" w:rsidR="006457D3" w:rsidRPr="006457D3" w:rsidRDefault="006457D3" w:rsidP="006457D3">
      <w:pPr>
        <w:tabs>
          <w:tab w:val="left" w:pos="1080"/>
        </w:tabs>
        <w:spacing w:before="274"/>
        <w:ind w:right="720"/>
        <w:textAlignment w:val="baseline"/>
        <w:rPr>
          <w:rFonts w:ascii="Arial" w:hAnsi="Arial" w:cs="Arial"/>
          <w:szCs w:val="24"/>
        </w:rPr>
      </w:pPr>
      <w:r w:rsidRPr="006457D3">
        <w:rPr>
          <w:rFonts w:ascii="Arial" w:hAnsi="Arial" w:cs="Arial"/>
          <w:szCs w:val="24"/>
        </w:rPr>
        <w:t>Consistent with the June 26, 2020 Email Blast article</w:t>
      </w:r>
      <w:r w:rsidR="004368E1">
        <w:rPr>
          <w:rFonts w:ascii="Arial" w:hAnsi="Arial" w:cs="Arial"/>
          <w:szCs w:val="24"/>
        </w:rPr>
        <w:t xml:space="preserve"> (</w:t>
      </w:r>
      <w:hyperlink r:id="rId15" w:history="1">
        <w:r w:rsidR="004368E1" w:rsidRPr="004368E1">
          <w:rPr>
            <w:rStyle w:val="Hyperlink"/>
            <w:rFonts w:ascii="Arial" w:hAnsi="Arial" w:cs="Arial"/>
            <w:szCs w:val="24"/>
          </w:rPr>
          <w:t>here</w:t>
        </w:r>
      </w:hyperlink>
      <w:r w:rsidR="004368E1">
        <w:rPr>
          <w:rFonts w:ascii="Arial" w:hAnsi="Arial" w:cs="Arial"/>
          <w:szCs w:val="24"/>
        </w:rPr>
        <w:t>)</w:t>
      </w:r>
      <w:r w:rsidRPr="006457D3">
        <w:rPr>
          <w:rFonts w:ascii="Arial" w:hAnsi="Arial" w:cs="Arial"/>
          <w:szCs w:val="24"/>
        </w:rPr>
        <w:t>, “All Asset Management Transactions Must Be Submitt</w:t>
      </w:r>
      <w:r w:rsidR="00294C31">
        <w:rPr>
          <w:rFonts w:ascii="Arial" w:hAnsi="Arial" w:cs="Arial"/>
          <w:szCs w:val="24"/>
        </w:rPr>
        <w:t>ed</w:t>
      </w:r>
      <w:r w:rsidRPr="006457D3">
        <w:rPr>
          <w:rFonts w:ascii="Arial" w:hAnsi="Arial" w:cs="Arial"/>
          <w:szCs w:val="24"/>
        </w:rPr>
        <w:t xml:space="preserve"> Through the Healthcare Portal Beginning September 1, 2020,</w:t>
      </w:r>
      <w:r w:rsidR="008F1D31">
        <w:rPr>
          <w:rFonts w:ascii="Arial" w:hAnsi="Arial" w:cs="Arial"/>
          <w:szCs w:val="24"/>
        </w:rPr>
        <w:t>”</w:t>
      </w:r>
      <w:r w:rsidRPr="006457D3">
        <w:rPr>
          <w:rFonts w:ascii="Arial" w:hAnsi="Arial" w:cs="Arial"/>
          <w:szCs w:val="24"/>
        </w:rPr>
        <w:t xml:space="preserve"> the Borrower will submit the aforementioned documents to the Servicing Lender, who in turn must submit </w:t>
      </w:r>
      <w:r w:rsidR="00D102A2">
        <w:rPr>
          <w:rFonts w:ascii="Arial" w:hAnsi="Arial" w:cs="Arial"/>
          <w:szCs w:val="24"/>
        </w:rPr>
        <w:t xml:space="preserve">the documents, </w:t>
      </w:r>
      <w:r w:rsidRPr="006457D3">
        <w:rPr>
          <w:rFonts w:ascii="Arial" w:hAnsi="Arial" w:cs="Arial"/>
          <w:szCs w:val="24"/>
        </w:rPr>
        <w:t>accompanied with a signed Request for Approval of Advance, Release of Escrow Funds (Form HUD-92464-ORCF)</w:t>
      </w:r>
      <w:r w:rsidR="00D102A2">
        <w:rPr>
          <w:rFonts w:ascii="Arial" w:hAnsi="Arial" w:cs="Arial"/>
          <w:szCs w:val="24"/>
        </w:rPr>
        <w:t>,</w:t>
      </w:r>
      <w:r w:rsidRPr="006457D3">
        <w:rPr>
          <w:rFonts w:ascii="Arial" w:hAnsi="Arial" w:cs="Arial"/>
          <w:szCs w:val="24"/>
        </w:rPr>
        <w:t xml:space="preserve"> via the Section 232 Healthcare Portal as a</w:t>
      </w:r>
      <w:r w:rsidR="00E9413D">
        <w:rPr>
          <w:rFonts w:ascii="Arial" w:hAnsi="Arial" w:cs="Arial"/>
          <w:szCs w:val="24"/>
        </w:rPr>
        <w:t>n “Other”</w:t>
      </w:r>
      <w:r w:rsidRPr="006457D3">
        <w:rPr>
          <w:rFonts w:ascii="Arial" w:hAnsi="Arial" w:cs="Arial"/>
          <w:szCs w:val="24"/>
        </w:rPr>
        <w:t xml:space="preserve"> Project Action.</w:t>
      </w:r>
    </w:p>
    <w:p w14:paraId="74BC3656" w14:textId="77777777" w:rsidR="006457D3" w:rsidRPr="006457D3" w:rsidRDefault="006457D3" w:rsidP="006457D3">
      <w:pPr>
        <w:spacing w:before="274"/>
        <w:ind w:right="144"/>
        <w:textAlignment w:val="baseline"/>
        <w:rPr>
          <w:rFonts w:ascii="Arial" w:hAnsi="Arial" w:cs="Arial"/>
          <w:szCs w:val="24"/>
        </w:rPr>
      </w:pPr>
      <w:r w:rsidRPr="006457D3">
        <w:rPr>
          <w:rFonts w:ascii="Arial" w:hAnsi="Arial" w:cs="Arial"/>
          <w:szCs w:val="24"/>
        </w:rPr>
        <w:t>If the facility’s revenue is so low as to be insufficient even to meet operating expenses, HUD will evaluate the overall risk to the FHA insurance fund before approving the advance of escrowed loan proceeds for operating expenses. Moreover, the existence of a lessor-lessee relationship between Borrower and Operator will be relevant. Since the Borrower entity is the entity for which the loan proceeds are intended, it is the Borrower entity’s obligations to which the released escrow funds must be put. This is true regardless of any identity-of-interest between the Borrower and lessee Operator and is a matter that HUD would expect to be addressed contractually between the Borrower and Operator.</w:t>
      </w:r>
    </w:p>
    <w:p w14:paraId="737D6BCA" w14:textId="77777777" w:rsidR="006457D3" w:rsidRPr="006457D3" w:rsidRDefault="006457D3" w:rsidP="006457D3">
      <w:pPr>
        <w:spacing w:before="274"/>
        <w:ind w:right="144"/>
        <w:textAlignment w:val="baseline"/>
        <w:rPr>
          <w:rFonts w:ascii="Arial" w:hAnsi="Arial" w:cs="Arial"/>
          <w:szCs w:val="24"/>
        </w:rPr>
      </w:pPr>
      <w:r w:rsidRPr="006457D3">
        <w:rPr>
          <w:rFonts w:ascii="Arial" w:hAnsi="Arial" w:cs="Arial"/>
          <w:szCs w:val="24"/>
        </w:rPr>
        <w:t>If the borrower does not provide sufficient documentation demonstrating the need for funds to pay the mortgage, the withdrawal request may not be approved.</w:t>
      </w:r>
    </w:p>
    <w:p w14:paraId="7C868ECB" w14:textId="77777777" w:rsidR="006457D3" w:rsidRPr="006457D3" w:rsidRDefault="006457D3" w:rsidP="006457D3">
      <w:pPr>
        <w:rPr>
          <w:rFonts w:ascii="Arial" w:hAnsi="Arial" w:cs="Arial"/>
          <w:szCs w:val="24"/>
        </w:rPr>
      </w:pPr>
    </w:p>
    <w:p w14:paraId="5120FBE1" w14:textId="48903CD6" w:rsidR="006457D3" w:rsidRPr="006457D3" w:rsidRDefault="006457D3" w:rsidP="006457D3">
      <w:pPr>
        <w:rPr>
          <w:rFonts w:ascii="Arial" w:hAnsi="Arial" w:cs="Arial"/>
          <w:i/>
          <w:iCs/>
          <w:szCs w:val="24"/>
        </w:rPr>
      </w:pPr>
      <w:r w:rsidRPr="006457D3">
        <w:rPr>
          <w:rFonts w:ascii="Arial" w:hAnsi="Arial" w:cs="Arial"/>
          <w:b/>
          <w:bCs/>
          <w:i/>
          <w:iCs/>
          <w:szCs w:val="24"/>
        </w:rPr>
        <w:t>Keywords:</w:t>
      </w:r>
      <w:r w:rsidRPr="006457D3">
        <w:rPr>
          <w:rFonts w:ascii="Arial" w:hAnsi="Arial" w:cs="Arial"/>
          <w:i/>
          <w:iCs/>
          <w:szCs w:val="24"/>
        </w:rPr>
        <w:t xml:space="preserve"> COVID</w:t>
      </w:r>
      <w:r w:rsidR="00775BAC">
        <w:rPr>
          <w:rFonts w:ascii="Arial" w:hAnsi="Arial" w:cs="Arial"/>
          <w:i/>
          <w:iCs/>
          <w:szCs w:val="24"/>
        </w:rPr>
        <w:t>-19</w:t>
      </w:r>
      <w:r w:rsidRPr="006457D3">
        <w:rPr>
          <w:rFonts w:ascii="Arial" w:hAnsi="Arial" w:cs="Arial"/>
          <w:i/>
          <w:iCs/>
          <w:szCs w:val="24"/>
        </w:rPr>
        <w:t>, Operating Loss Loans, Asset Management</w:t>
      </w:r>
      <w:r w:rsidR="00285EE4">
        <w:rPr>
          <w:rFonts w:ascii="Arial" w:hAnsi="Arial" w:cs="Arial"/>
          <w:i/>
          <w:iCs/>
          <w:szCs w:val="24"/>
        </w:rPr>
        <w:t xml:space="preserve"> - Processing</w:t>
      </w:r>
    </w:p>
    <w:p w14:paraId="24A7A1EE" w14:textId="77777777" w:rsidR="004B62C4" w:rsidRPr="001F5102" w:rsidRDefault="004B62C4" w:rsidP="00DC0C97">
      <w:pPr>
        <w:rPr>
          <w:rFonts w:ascii="Arial" w:eastAsia="MS Mincho" w:hAnsi="Arial" w:cs="Arial"/>
          <w:b/>
          <w:szCs w:val="24"/>
        </w:rPr>
      </w:pPr>
    </w:p>
    <w:p w14:paraId="4C7B589D" w14:textId="77777777" w:rsidR="00B7164F" w:rsidRPr="001F5102" w:rsidRDefault="00982D35"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1506E528" w14:textId="428AE3EE" w:rsidR="00DC0C97" w:rsidRDefault="00DC0C97" w:rsidP="00DC0C97">
      <w:pPr>
        <w:rPr>
          <w:rFonts w:ascii="Arial" w:hAnsi="Arial" w:cs="Arial"/>
        </w:rPr>
      </w:pPr>
    </w:p>
    <w:p w14:paraId="6556F754" w14:textId="77777777" w:rsidR="00533D41" w:rsidRPr="001F5102" w:rsidRDefault="00533D41" w:rsidP="00DC0C97">
      <w:pPr>
        <w:rPr>
          <w:rFonts w:ascii="Arial" w:hAnsi="Arial" w:cs="Arial"/>
        </w:rPr>
      </w:pPr>
    </w:p>
    <w:p w14:paraId="6EAC7DE2" w14:textId="0172E1D2" w:rsidR="00910E23" w:rsidRPr="001F5102" w:rsidRDefault="00910E23" w:rsidP="00435180">
      <w:pPr>
        <w:pStyle w:val="EmailBlast"/>
      </w:pPr>
      <w:bookmarkStart w:id="8" w:name="_Toc396209070"/>
      <w:bookmarkStart w:id="9" w:name="_Toc90542334"/>
      <w:r w:rsidRPr="001F5102">
        <w:t>FROM THE CLOSING CORNER</w:t>
      </w:r>
      <w:bookmarkEnd w:id="8"/>
      <w:bookmarkEnd w:id="9"/>
    </w:p>
    <w:p w14:paraId="4A5A7AE2" w14:textId="16C37CF0" w:rsidR="00E815B3" w:rsidRPr="00E815B3" w:rsidRDefault="00E815B3" w:rsidP="00E815B3">
      <w:pPr>
        <w:pStyle w:val="EmailBlast2"/>
      </w:pPr>
      <w:bookmarkStart w:id="10" w:name="_Toc90542335"/>
      <w:r w:rsidRPr="00E815B3">
        <w:rPr>
          <w:szCs w:val="24"/>
        </w:rPr>
        <w:t xml:space="preserve">Change in Timing of HUD </w:t>
      </w:r>
      <w:proofErr w:type="spellStart"/>
      <w:r w:rsidRPr="00E815B3">
        <w:rPr>
          <w:szCs w:val="24"/>
        </w:rPr>
        <w:t>OGC</w:t>
      </w:r>
      <w:proofErr w:type="spellEnd"/>
      <w:r w:rsidRPr="00E815B3">
        <w:rPr>
          <w:szCs w:val="24"/>
        </w:rPr>
        <w:t xml:space="preserve"> Attorney Assignment for Section 223(f) and 223(a)(7) Closings</w:t>
      </w:r>
      <w:bookmarkEnd w:id="10"/>
      <w:r w:rsidRPr="00E815B3">
        <w:rPr>
          <w:szCs w:val="24"/>
        </w:rPr>
        <w:t xml:space="preserve"> </w:t>
      </w:r>
    </w:p>
    <w:p w14:paraId="0C2917E1" w14:textId="649CCD71" w:rsidR="00E815B3" w:rsidRPr="00E815B3" w:rsidRDefault="00E815B3" w:rsidP="00E815B3">
      <w:pPr>
        <w:rPr>
          <w:rFonts w:ascii="Arial" w:hAnsi="Arial" w:cs="Arial"/>
          <w:szCs w:val="24"/>
        </w:rPr>
      </w:pPr>
      <w:r w:rsidRPr="00E815B3">
        <w:rPr>
          <w:rFonts w:ascii="Arial" w:hAnsi="Arial" w:cs="Arial"/>
          <w:szCs w:val="24"/>
        </w:rPr>
        <w:t xml:space="preserve">Effective immediately, </w:t>
      </w:r>
      <w:proofErr w:type="spellStart"/>
      <w:r w:rsidRPr="00E815B3">
        <w:rPr>
          <w:rFonts w:ascii="Arial" w:hAnsi="Arial" w:cs="Arial"/>
          <w:szCs w:val="24"/>
        </w:rPr>
        <w:t>ORCF</w:t>
      </w:r>
      <w:proofErr w:type="spellEnd"/>
      <w:r w:rsidRPr="00E815B3">
        <w:rPr>
          <w:rFonts w:ascii="Arial" w:hAnsi="Arial" w:cs="Arial"/>
          <w:szCs w:val="24"/>
        </w:rPr>
        <w:t xml:space="preserve"> will request the assignment of the designated HUD </w:t>
      </w:r>
      <w:proofErr w:type="spellStart"/>
      <w:r w:rsidRPr="00E815B3">
        <w:rPr>
          <w:rFonts w:ascii="Arial" w:hAnsi="Arial" w:cs="Arial"/>
          <w:szCs w:val="24"/>
        </w:rPr>
        <w:t>OGC</w:t>
      </w:r>
      <w:proofErr w:type="spellEnd"/>
      <w:r w:rsidRPr="00E815B3">
        <w:rPr>
          <w:rFonts w:ascii="Arial" w:hAnsi="Arial" w:cs="Arial"/>
          <w:szCs w:val="24"/>
        </w:rPr>
        <w:t xml:space="preserve"> Attorney at the time a Section 223(f) or Section 223(a)(7) Closing Package is submitted to the </w:t>
      </w:r>
      <w:proofErr w:type="spellStart"/>
      <w:r w:rsidRPr="00E815B3">
        <w:rPr>
          <w:rFonts w:ascii="Arial" w:hAnsi="Arial" w:cs="Arial"/>
          <w:szCs w:val="24"/>
        </w:rPr>
        <w:t>ORCF</w:t>
      </w:r>
      <w:proofErr w:type="spellEnd"/>
      <w:r w:rsidRPr="00E815B3">
        <w:rPr>
          <w:rFonts w:ascii="Arial" w:hAnsi="Arial" w:cs="Arial"/>
          <w:szCs w:val="24"/>
        </w:rPr>
        <w:t xml:space="preserve"> Closing Coordinator. The </w:t>
      </w:r>
      <w:proofErr w:type="spellStart"/>
      <w:r w:rsidRPr="00E815B3">
        <w:rPr>
          <w:rFonts w:ascii="Arial" w:hAnsi="Arial" w:cs="Arial"/>
          <w:szCs w:val="24"/>
        </w:rPr>
        <w:t>ORCF</w:t>
      </w:r>
      <w:proofErr w:type="spellEnd"/>
      <w:r w:rsidRPr="00E815B3">
        <w:rPr>
          <w:rFonts w:ascii="Arial" w:hAnsi="Arial" w:cs="Arial"/>
          <w:szCs w:val="24"/>
        </w:rPr>
        <w:t xml:space="preserve"> Closing Coordinator will notify the Lender’s Team once assignment is made and will provide specific contact information for the HUD </w:t>
      </w:r>
      <w:proofErr w:type="spellStart"/>
      <w:r w:rsidRPr="00E815B3">
        <w:rPr>
          <w:rFonts w:ascii="Arial" w:hAnsi="Arial" w:cs="Arial"/>
          <w:szCs w:val="24"/>
        </w:rPr>
        <w:t>OGC</w:t>
      </w:r>
      <w:proofErr w:type="spellEnd"/>
      <w:r w:rsidRPr="00E815B3">
        <w:rPr>
          <w:rFonts w:ascii="Arial" w:hAnsi="Arial" w:cs="Arial"/>
          <w:szCs w:val="24"/>
        </w:rPr>
        <w:t xml:space="preserve"> Attorney assigned to the transaction.  Please wait to receive </w:t>
      </w:r>
      <w:r w:rsidRPr="00E815B3">
        <w:rPr>
          <w:rFonts w:ascii="Arial" w:hAnsi="Arial" w:cs="Arial"/>
          <w:szCs w:val="24"/>
        </w:rPr>
        <w:lastRenderedPageBreak/>
        <w:t xml:space="preserve">notification of assignment from the </w:t>
      </w:r>
      <w:proofErr w:type="spellStart"/>
      <w:r w:rsidRPr="00E815B3">
        <w:rPr>
          <w:rFonts w:ascii="Arial" w:hAnsi="Arial" w:cs="Arial"/>
          <w:szCs w:val="24"/>
        </w:rPr>
        <w:t>ORCF</w:t>
      </w:r>
      <w:proofErr w:type="spellEnd"/>
      <w:r w:rsidRPr="00E815B3">
        <w:rPr>
          <w:rFonts w:ascii="Arial" w:hAnsi="Arial" w:cs="Arial"/>
          <w:szCs w:val="24"/>
        </w:rPr>
        <w:t xml:space="preserve"> Closing Coordinator before submitting legal closing packages to HUD.</w:t>
      </w:r>
    </w:p>
    <w:p w14:paraId="1F85DC2C" w14:textId="77777777" w:rsidR="00E815B3" w:rsidRPr="00E815B3" w:rsidRDefault="00E815B3" w:rsidP="00E815B3">
      <w:pPr>
        <w:rPr>
          <w:rFonts w:ascii="Arial" w:hAnsi="Arial" w:cs="Arial"/>
          <w:szCs w:val="24"/>
        </w:rPr>
      </w:pPr>
    </w:p>
    <w:p w14:paraId="6D5C37C2" w14:textId="7277AD6F" w:rsidR="00E815B3" w:rsidRPr="00E815B3" w:rsidRDefault="00E815B3" w:rsidP="00E815B3">
      <w:pPr>
        <w:rPr>
          <w:rFonts w:ascii="Arial" w:hAnsi="Arial" w:cs="Arial"/>
          <w:szCs w:val="24"/>
        </w:rPr>
      </w:pPr>
      <w:r w:rsidRPr="00E815B3">
        <w:rPr>
          <w:rFonts w:ascii="Arial" w:hAnsi="Arial" w:cs="Arial"/>
          <w:szCs w:val="24"/>
        </w:rPr>
        <w:t xml:space="preserve">Please contact the assigned </w:t>
      </w:r>
      <w:proofErr w:type="spellStart"/>
      <w:r w:rsidRPr="00E815B3">
        <w:rPr>
          <w:rFonts w:ascii="Arial" w:hAnsi="Arial" w:cs="Arial"/>
          <w:szCs w:val="24"/>
        </w:rPr>
        <w:t>ORCF</w:t>
      </w:r>
      <w:proofErr w:type="spellEnd"/>
      <w:r w:rsidRPr="00E815B3">
        <w:rPr>
          <w:rFonts w:ascii="Arial" w:hAnsi="Arial" w:cs="Arial"/>
          <w:szCs w:val="24"/>
        </w:rPr>
        <w:t xml:space="preserve"> Closing Coordinator directly</w:t>
      </w:r>
      <w:r>
        <w:rPr>
          <w:rFonts w:ascii="Arial" w:hAnsi="Arial" w:cs="Arial"/>
          <w:szCs w:val="24"/>
        </w:rPr>
        <w:t xml:space="preserve"> if you have any questions</w:t>
      </w:r>
      <w:r w:rsidRPr="00E815B3">
        <w:rPr>
          <w:rFonts w:ascii="Arial" w:hAnsi="Arial" w:cs="Arial"/>
          <w:szCs w:val="24"/>
        </w:rPr>
        <w:t>.</w:t>
      </w:r>
    </w:p>
    <w:p w14:paraId="05D3FB07" w14:textId="77777777" w:rsidR="00E815B3" w:rsidRPr="00E815B3" w:rsidRDefault="00E815B3" w:rsidP="00E815B3">
      <w:pPr>
        <w:rPr>
          <w:rFonts w:ascii="Arial" w:hAnsi="Arial" w:cs="Arial"/>
          <w:szCs w:val="24"/>
        </w:rPr>
      </w:pPr>
    </w:p>
    <w:p w14:paraId="6A562FF1" w14:textId="369123A1" w:rsidR="00BF16FF" w:rsidRPr="00E815B3" w:rsidRDefault="00E815B3" w:rsidP="00E815B3">
      <w:pPr>
        <w:rPr>
          <w:rFonts w:ascii="Arial" w:hAnsi="Arial" w:cs="Arial"/>
          <w:i/>
          <w:iCs/>
          <w:szCs w:val="24"/>
        </w:rPr>
      </w:pPr>
      <w:r w:rsidRPr="00E815B3">
        <w:rPr>
          <w:rFonts w:ascii="Arial" w:hAnsi="Arial" w:cs="Arial"/>
          <w:b/>
          <w:bCs/>
          <w:i/>
          <w:iCs/>
          <w:szCs w:val="24"/>
        </w:rPr>
        <w:t>Keywords:</w:t>
      </w:r>
      <w:r>
        <w:rPr>
          <w:rFonts w:ascii="Arial" w:hAnsi="Arial" w:cs="Arial"/>
          <w:szCs w:val="24"/>
        </w:rPr>
        <w:t xml:space="preserve"> </w:t>
      </w:r>
      <w:r w:rsidRPr="00E815B3">
        <w:rPr>
          <w:rFonts w:ascii="Arial" w:hAnsi="Arial" w:cs="Arial"/>
          <w:i/>
          <w:iCs/>
          <w:szCs w:val="24"/>
        </w:rPr>
        <w:t xml:space="preserve">HUD </w:t>
      </w:r>
      <w:proofErr w:type="spellStart"/>
      <w:r w:rsidRPr="00E815B3">
        <w:rPr>
          <w:rFonts w:ascii="Arial" w:hAnsi="Arial" w:cs="Arial"/>
          <w:i/>
          <w:iCs/>
          <w:szCs w:val="24"/>
        </w:rPr>
        <w:t>OGC</w:t>
      </w:r>
      <w:proofErr w:type="spellEnd"/>
      <w:r w:rsidRPr="00E815B3">
        <w:rPr>
          <w:rFonts w:ascii="Arial" w:hAnsi="Arial" w:cs="Arial"/>
          <w:i/>
          <w:iCs/>
          <w:szCs w:val="24"/>
        </w:rPr>
        <w:t xml:space="preserve"> Attorney, Closing</w:t>
      </w:r>
      <w:r w:rsidR="0019169C">
        <w:rPr>
          <w:rFonts w:ascii="Arial" w:hAnsi="Arial" w:cs="Arial"/>
          <w:i/>
          <w:iCs/>
          <w:szCs w:val="24"/>
        </w:rPr>
        <w:t>s -</w:t>
      </w:r>
      <w:r w:rsidRPr="00E815B3">
        <w:rPr>
          <w:rFonts w:ascii="Arial" w:hAnsi="Arial" w:cs="Arial"/>
          <w:i/>
          <w:iCs/>
          <w:szCs w:val="24"/>
        </w:rPr>
        <w:t xml:space="preserve"> Package, Legal </w:t>
      </w:r>
      <w:r w:rsidR="00B31821">
        <w:rPr>
          <w:rFonts w:ascii="Arial" w:hAnsi="Arial" w:cs="Arial"/>
          <w:i/>
          <w:iCs/>
          <w:szCs w:val="24"/>
        </w:rPr>
        <w:t xml:space="preserve">– Legal </w:t>
      </w:r>
      <w:r w:rsidRPr="00E815B3">
        <w:rPr>
          <w:rFonts w:ascii="Arial" w:hAnsi="Arial" w:cs="Arial"/>
          <w:i/>
          <w:iCs/>
          <w:szCs w:val="24"/>
        </w:rPr>
        <w:t>Package</w:t>
      </w:r>
    </w:p>
    <w:p w14:paraId="444073E5" w14:textId="77777777" w:rsidR="00D06893" w:rsidRPr="001F5102" w:rsidRDefault="00D06893" w:rsidP="00D72DA8">
      <w:pPr>
        <w:rPr>
          <w:rFonts w:ascii="Arial" w:eastAsia="MS Mincho" w:hAnsi="Arial" w:cs="Arial"/>
          <w:b/>
          <w:szCs w:val="24"/>
        </w:rPr>
      </w:pPr>
    </w:p>
    <w:p w14:paraId="24F888BC" w14:textId="77777777" w:rsidR="00740D11" w:rsidRPr="001F5102" w:rsidRDefault="00982D35" w:rsidP="00740D11">
      <w:pPr>
        <w:rPr>
          <w:rFonts w:ascii="Arial" w:hAnsi="Arial" w:cs="Arial"/>
          <w:b/>
          <w:color w:val="365F91" w:themeColor="accent1" w:themeShade="BF"/>
          <w:szCs w:val="24"/>
        </w:rPr>
      </w:pPr>
      <w:hyperlink w:anchor="_top" w:history="1">
        <w:r w:rsidR="00740D11" w:rsidRPr="001F5102">
          <w:rPr>
            <w:rFonts w:ascii="Arial" w:hAnsi="Arial" w:cs="Arial"/>
            <w:color w:val="365F91" w:themeColor="accent1" w:themeShade="BF"/>
            <w:szCs w:val="24"/>
            <w:u w:val="single"/>
          </w:rPr>
          <w:t>Back to top</w:t>
        </w:r>
      </w:hyperlink>
    </w:p>
    <w:p w14:paraId="5F1E6D58" w14:textId="7964BD81" w:rsidR="00910E23" w:rsidRDefault="00910E23" w:rsidP="008930F5">
      <w:pPr>
        <w:rPr>
          <w:rFonts w:ascii="Arial" w:hAnsi="Arial" w:cs="Arial"/>
          <w:b/>
        </w:rPr>
      </w:pPr>
    </w:p>
    <w:bookmarkEnd w:id="0"/>
    <w:p w14:paraId="7F5F0FD1" w14:textId="137C7997" w:rsidR="00740D11" w:rsidRPr="00740D11" w:rsidRDefault="008D40DE" w:rsidP="00740D11">
      <w:pPr>
        <w:rPr>
          <w:rFonts w:ascii="Arial" w:eastAsia="MS Mincho" w:hAnsi="Arial" w:cs="Arial"/>
          <w:b/>
          <w:szCs w:val="24"/>
        </w:rPr>
      </w:pPr>
      <w:r>
        <w:rPr>
          <w:rFonts w:ascii="Arial" w:eastAsia="MS Mincho" w:hAnsi="Arial" w:cs="Arial"/>
          <w:b/>
          <w:noProof/>
          <w:szCs w:val="24"/>
        </w:rPr>
        <mc:AlternateContent>
          <mc:Choice Requires="wps">
            <w:drawing>
              <wp:anchor distT="0" distB="0" distL="114300" distR="114300" simplePos="0" relativeHeight="251659264" behindDoc="0" locked="0" layoutInCell="1" allowOverlap="1" wp14:anchorId="1D3FFB79" wp14:editId="3A9F0A47">
                <wp:simplePos x="0" y="0"/>
                <wp:positionH relativeFrom="column">
                  <wp:posOffset>0</wp:posOffset>
                </wp:positionH>
                <wp:positionV relativeFrom="paragraph">
                  <wp:posOffset>86995</wp:posOffset>
                </wp:positionV>
                <wp:extent cx="5740400" cy="3175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658B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6.85pt" to="4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" strokecolor="#17365d [2415]" strokeweight="1.5pt"/>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5678B" w14:paraId="209D4D79" w14:textId="77777777" w:rsidTr="00094BC8">
        <w:trPr>
          <w:tblCellSpacing w:w="0" w:type="dxa"/>
          <w:jc w:val="center"/>
        </w:trPr>
        <w:tc>
          <w:tcPr>
            <w:tcW w:w="0" w:type="auto"/>
            <w:tcMar>
              <w:top w:w="300" w:type="dxa"/>
              <w:left w:w="0" w:type="dxa"/>
              <w:bottom w:w="150" w:type="dxa"/>
              <w:right w:w="0" w:type="dxa"/>
            </w:tcMar>
            <w:vAlign w:val="center"/>
            <w:hideMark/>
          </w:tcPr>
          <w:p w14:paraId="3EFE8846" w14:textId="77777777" w:rsidR="00E5678B" w:rsidRDefault="00E5678B" w:rsidP="00094BC8">
            <w:pPr>
              <w:pStyle w:val="NormalWeb"/>
              <w:spacing w:before="120"/>
              <w:jc w:val="center"/>
              <w:rPr>
                <w:rFonts w:ascii="Calibri" w:hAnsi="Calibri"/>
                <w:sz w:val="20"/>
                <w:szCs w:val="20"/>
              </w:rPr>
            </w:pPr>
            <w:r>
              <w:rPr>
                <w:rFonts w:ascii="Arial" w:hAnsi="Arial" w:cs="Arial"/>
                <w:sz w:val="20"/>
                <w:szCs w:val="20"/>
              </w:rPr>
              <w:t xml:space="preserve">Past Lean 232 Updates are </w:t>
            </w:r>
            <w:hyperlink r:id="rId16" w:tgtFrame="_blank" w:history="1">
              <w:r>
                <w:rPr>
                  <w:rStyle w:val="Hyperlink"/>
                  <w:rFonts w:ascii="Arial" w:hAnsi="Arial" w:cs="Arial"/>
                  <w:sz w:val="20"/>
                  <w:szCs w:val="20"/>
                </w:rPr>
                <w:t>available online</w:t>
              </w:r>
            </w:hyperlink>
            <w:r>
              <w:rPr>
                <w:rFonts w:ascii="Arial" w:hAnsi="Arial" w:cs="Arial"/>
                <w:sz w:val="20"/>
                <w:szCs w:val="20"/>
              </w:rPr>
              <w:t>.</w:t>
            </w:r>
          </w:p>
          <w:p w14:paraId="45BEC197" w14:textId="77777777" w:rsidR="00E5678B" w:rsidRDefault="00E5678B" w:rsidP="00094BC8">
            <w:pPr>
              <w:pStyle w:val="NormalWeb"/>
              <w:spacing w:before="120"/>
              <w:jc w:val="center"/>
              <w:rPr>
                <w:sz w:val="20"/>
                <w:szCs w:val="20"/>
              </w:rPr>
            </w:pPr>
            <w:r>
              <w:rPr>
                <w:rFonts w:ascii="Arial" w:hAnsi="Arial" w:cs="Arial"/>
                <w:sz w:val="20"/>
                <w:szCs w:val="20"/>
              </w:rPr>
              <w:t xml:space="preserve">Have questions about the Lean 232 Program? Please contact </w:t>
            </w:r>
            <w:hyperlink r:id="rId17" w:history="1">
              <w:r>
                <w:rPr>
                  <w:rStyle w:val="Hyperlink"/>
                  <w:rFonts w:ascii="Arial" w:hAnsi="Arial" w:cs="Arial"/>
                  <w:sz w:val="20"/>
                  <w:szCs w:val="20"/>
                </w:rPr>
                <w:t>LeanThinking@hud.gov</w:t>
              </w:r>
            </w:hyperlink>
            <w:r>
              <w:rPr>
                <w:rFonts w:ascii="Arial" w:hAnsi="Arial" w:cs="Arial"/>
                <w:sz w:val="20"/>
                <w:szCs w:val="20"/>
              </w:rPr>
              <w:t>.</w:t>
            </w:r>
          </w:p>
          <w:p w14:paraId="4215A7BB" w14:textId="77777777" w:rsidR="00E5678B" w:rsidRDefault="00E5678B" w:rsidP="00094BC8">
            <w:pPr>
              <w:pStyle w:val="NormalWeb"/>
              <w:spacing w:before="120"/>
              <w:jc w:val="center"/>
              <w:rPr>
                <w:sz w:val="20"/>
                <w:szCs w:val="20"/>
              </w:rPr>
            </w:pPr>
            <w:r>
              <w:rPr>
                <w:rFonts w:ascii="Arial" w:hAnsi="Arial" w:cs="Arial"/>
                <w:sz w:val="20"/>
                <w:szCs w:val="20"/>
              </w:rPr>
              <w:t xml:space="preserve">For more information on the Lean 232 Program, check out: </w:t>
            </w:r>
            <w:hyperlink r:id="rId18" w:history="1">
              <w:r>
                <w:rPr>
                  <w:rStyle w:val="Hyperlink"/>
                  <w:rFonts w:ascii="Arial" w:hAnsi="Arial" w:cs="Arial"/>
                  <w:sz w:val="20"/>
                  <w:szCs w:val="20"/>
                </w:rPr>
                <w:t>http://www.hud.gov/healthcare</w:t>
              </w:r>
            </w:hyperlink>
            <w:r>
              <w:rPr>
                <w:rFonts w:ascii="Arial" w:hAnsi="Arial" w:cs="Arial"/>
                <w:sz w:val="20"/>
                <w:szCs w:val="20"/>
              </w:rPr>
              <w:t>.</w:t>
            </w:r>
          </w:p>
          <w:p w14:paraId="53D07DA9" w14:textId="77777777" w:rsidR="00E5678B" w:rsidRDefault="00E5678B" w:rsidP="00094BC8">
            <w:pPr>
              <w:pStyle w:val="NormalWeb"/>
              <w:jc w:val="center"/>
              <w:rPr>
                <w:sz w:val="20"/>
                <w:szCs w:val="20"/>
              </w:rPr>
            </w:pPr>
            <w:r>
              <w:rPr>
                <w:sz w:val="20"/>
                <w:szCs w:val="20"/>
              </w:rPr>
              <w:t> </w:t>
            </w:r>
          </w:p>
          <w:p w14:paraId="0071963D" w14:textId="77777777" w:rsidR="00E5678B" w:rsidRDefault="00E5678B" w:rsidP="00094BC8">
            <w:pPr>
              <w:pStyle w:val="NormalWeb"/>
              <w:jc w:val="center"/>
              <w:rPr>
                <w:sz w:val="20"/>
                <w:szCs w:val="20"/>
              </w:rPr>
            </w:pPr>
            <w:r>
              <w:rPr>
                <w:rFonts w:ascii="Arial" w:hAnsi="Arial" w:cs="Arial"/>
                <w:sz w:val="20"/>
                <w:szCs w:val="20"/>
              </w:rPr>
              <w:t>Stay Connected with the Office of Housing and the Federal Housing Administration:</w:t>
            </w:r>
          </w:p>
        </w:tc>
      </w:tr>
      <w:tr w:rsidR="00E5678B" w14:paraId="39381646" w14:textId="77777777" w:rsidTr="00094BC8">
        <w:trPr>
          <w:tblCellSpacing w:w="0" w:type="dxa"/>
          <w:jc w:val="center"/>
        </w:trPr>
        <w:tc>
          <w:tcPr>
            <w:tcW w:w="0" w:type="auto"/>
            <w:tcMar>
              <w:top w:w="150" w:type="dxa"/>
              <w:left w:w="150" w:type="dxa"/>
              <w:bottom w:w="150" w:type="dxa"/>
              <w:right w:w="150" w:type="dxa"/>
            </w:tcMar>
            <w:vAlign w:val="center"/>
            <w:hideMark/>
          </w:tcPr>
          <w:p w14:paraId="4DB1CDFC" w14:textId="77777777" w:rsidR="00E5678B" w:rsidRDefault="00E5678B" w:rsidP="00094BC8">
            <w:pPr>
              <w:jc w:val="center"/>
              <w:rPr>
                <w:rFonts w:eastAsia="Times New Roman"/>
                <w:sz w:val="22"/>
              </w:rPr>
            </w:pPr>
            <w:r>
              <w:rPr>
                <w:rFonts w:ascii="Arial" w:eastAsia="Times New Roman" w:hAnsi="Arial" w:cs="Arial"/>
                <w:noProof/>
                <w:color w:val="0000FF"/>
              </w:rPr>
              <w:drawing>
                <wp:inline distT="0" distB="0" distL="0" distR="0" wp14:anchorId="61465648" wp14:editId="6268FF5E">
                  <wp:extent cx="304800" cy="304800"/>
                  <wp:effectExtent l="0" t="0" r="0" b="0"/>
                  <wp:docPr id="4" name="Picture 4"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r>
              <w:rPr>
                <w:rFonts w:ascii="Arial" w:eastAsia="Times New Roman" w:hAnsi="Arial" w:cs="Arial"/>
                <w:noProof/>
                <w:color w:val="0000FF"/>
              </w:rPr>
              <w:drawing>
                <wp:inline distT="0" distB="0" distL="0" distR="0" wp14:anchorId="7119929C" wp14:editId="7D1A663A">
                  <wp:extent cx="304800" cy="304800"/>
                  <wp:effectExtent l="0" t="0" r="0" b="0"/>
                  <wp:docPr id="5" name="Picture 5" descr="LinkedIn">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p>
        </w:tc>
      </w:tr>
      <w:tr w:rsidR="00E5678B" w14:paraId="28D728D6" w14:textId="77777777" w:rsidTr="00094BC8">
        <w:trPr>
          <w:tblCellSpacing w:w="0" w:type="dxa"/>
          <w:jc w:val="center"/>
        </w:trPr>
        <w:tc>
          <w:tcPr>
            <w:tcW w:w="0" w:type="auto"/>
            <w:tcMar>
              <w:top w:w="150" w:type="dxa"/>
              <w:left w:w="0" w:type="dxa"/>
              <w:bottom w:w="300" w:type="dxa"/>
              <w:right w:w="0" w:type="dxa"/>
            </w:tcMar>
            <w:vAlign w:val="center"/>
            <w:hideMark/>
          </w:tcPr>
          <w:p w14:paraId="37BB55CB" w14:textId="77777777" w:rsidR="00E5678B" w:rsidRDefault="00E5678B" w:rsidP="00094BC8">
            <w:pPr>
              <w:jc w:val="center"/>
              <w:rPr>
                <w:rFonts w:ascii="Arial" w:eastAsia="Times New Roman" w:hAnsi="Arial" w:cs="Arial"/>
                <w:sz w:val="20"/>
                <w:szCs w:val="20"/>
              </w:rPr>
            </w:pPr>
            <w:r>
              <w:rPr>
                <w:rFonts w:ascii="Arial" w:eastAsia="Times New Roman" w:hAnsi="Arial" w:cs="Arial"/>
                <w:sz w:val="20"/>
                <w:szCs w:val="20"/>
              </w:rPr>
              <w:t>SUBSCRIBER SERVICES:</w:t>
            </w:r>
            <w:r>
              <w:rPr>
                <w:rFonts w:ascii="Arial" w:eastAsia="Times New Roman" w:hAnsi="Arial" w:cs="Arial"/>
                <w:sz w:val="20"/>
                <w:szCs w:val="20"/>
              </w:rPr>
              <w:br/>
            </w:r>
            <w:hyperlink r:id="rId23" w:tooltip="Manage Subscriptions" w:history="1">
              <w:r>
                <w:rPr>
                  <w:rStyle w:val="Hyperlink"/>
                  <w:rFonts w:ascii="Arial" w:eastAsia="Times New Roman" w:hAnsi="Arial" w:cs="Arial"/>
                  <w:sz w:val="20"/>
                  <w:szCs w:val="20"/>
                </w:rPr>
                <w:t>Manage Subscriptions</w:t>
              </w:r>
            </w:hyperlink>
            <w:r>
              <w:rPr>
                <w:rFonts w:ascii="Arial" w:eastAsia="Times New Roman" w:hAnsi="Arial" w:cs="Arial"/>
                <w:sz w:val="20"/>
                <w:szCs w:val="20"/>
              </w:rPr>
              <w:t xml:space="preserve">  |  </w:t>
            </w:r>
            <w:hyperlink r:id="rId24" w:history="1">
              <w:r>
                <w:rPr>
                  <w:rStyle w:val="Hyperlink"/>
                  <w:rFonts w:ascii="Arial" w:eastAsia="Times New Roman" w:hAnsi="Arial" w:cs="Arial"/>
                  <w:sz w:val="20"/>
                  <w:szCs w:val="20"/>
                </w:rPr>
                <w:t>Help</w:t>
              </w:r>
            </w:hyperlink>
            <w:r>
              <w:rPr>
                <w:rFonts w:ascii="Arial" w:eastAsia="Times New Roman" w:hAnsi="Arial" w:cs="Arial"/>
                <w:sz w:val="20"/>
                <w:szCs w:val="20"/>
              </w:rPr>
              <w:t xml:space="preserve"> </w:t>
            </w:r>
          </w:p>
        </w:tc>
      </w:tr>
    </w:tbl>
    <w:p w14:paraId="6E0E606B" w14:textId="2AA10C3B" w:rsidR="00605E4A" w:rsidRPr="00E23EAD" w:rsidRDefault="00605E4A" w:rsidP="00740D11">
      <w:pPr>
        <w:rPr>
          <w:szCs w:val="24"/>
        </w:rPr>
      </w:pPr>
    </w:p>
    <w:sectPr w:rsidR="00605E4A" w:rsidRPr="00E23EAD" w:rsidSect="00E217E8">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D5F3" w14:textId="77777777" w:rsidR="00982D35" w:rsidRDefault="00982D35" w:rsidP="00E724F7">
      <w:r>
        <w:separator/>
      </w:r>
    </w:p>
  </w:endnote>
  <w:endnote w:type="continuationSeparator" w:id="0">
    <w:p w14:paraId="2EDFD3AD" w14:textId="77777777" w:rsidR="00982D35" w:rsidRDefault="00982D35" w:rsidP="00E724F7">
      <w:r>
        <w:continuationSeparator/>
      </w:r>
    </w:p>
  </w:endnote>
  <w:endnote w:type="continuationNotice" w:id="1">
    <w:p w14:paraId="3352C88B" w14:textId="77777777" w:rsidR="00982D35" w:rsidRDefault="00982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C0CC" w14:textId="77777777" w:rsidR="00982D35" w:rsidRDefault="00982D35" w:rsidP="00E724F7">
      <w:r>
        <w:separator/>
      </w:r>
    </w:p>
  </w:footnote>
  <w:footnote w:type="continuationSeparator" w:id="0">
    <w:p w14:paraId="4D5A6C3A" w14:textId="77777777" w:rsidR="00982D35" w:rsidRDefault="00982D35" w:rsidP="00E724F7">
      <w:r>
        <w:continuationSeparator/>
      </w:r>
    </w:p>
  </w:footnote>
  <w:footnote w:type="continuationNotice" w:id="1">
    <w:p w14:paraId="3636CA72" w14:textId="77777777" w:rsidR="00982D35" w:rsidRDefault="00982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0BC66006"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079A5A2C"/>
    <w:multiLevelType w:val="multilevel"/>
    <w:tmpl w:val="05CA9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266BB"/>
    <w:multiLevelType w:val="hybridMultilevel"/>
    <w:tmpl w:val="1C22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6"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C76400"/>
    <w:multiLevelType w:val="hybridMultilevel"/>
    <w:tmpl w:val="09CE830C"/>
    <w:lvl w:ilvl="0" w:tplc="E47E5DFE">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15DE5"/>
    <w:multiLevelType w:val="hybridMultilevel"/>
    <w:tmpl w:val="E01294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3"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32504"/>
    <w:multiLevelType w:val="multilevel"/>
    <w:tmpl w:val="A7DAF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63E0A70"/>
    <w:multiLevelType w:val="multilevel"/>
    <w:tmpl w:val="1FAEA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DA1395"/>
    <w:multiLevelType w:val="multilevel"/>
    <w:tmpl w:val="03729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A611D"/>
    <w:multiLevelType w:val="hybridMultilevel"/>
    <w:tmpl w:val="8C96C74A"/>
    <w:lvl w:ilvl="0" w:tplc="FCBA29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91C1D"/>
    <w:multiLevelType w:val="hybridMultilevel"/>
    <w:tmpl w:val="85F81B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7FA83162"/>
    <w:multiLevelType w:val="hybridMultilevel"/>
    <w:tmpl w:val="3B84BBCA"/>
    <w:lvl w:ilvl="0" w:tplc="BF92ECAA">
      <w:start w:val="1"/>
      <w:numFmt w:val="bullet"/>
      <w:pStyle w:val="TOC1"/>
      <w:lvlText w:val=""/>
      <w:lvlJc w:val="left"/>
      <w:pPr>
        <w:ind w:left="720" w:hanging="360"/>
      </w:pPr>
      <w:rPr>
        <w:rFonts w:ascii="Symbol" w:hAnsi="Symbol" w:hint="default"/>
      </w:rPr>
    </w:lvl>
    <w:lvl w:ilvl="1" w:tplc="434E9C0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3"/>
  </w:num>
  <w:num w:numId="12">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1"/>
  </w:num>
  <w:num w:numId="14">
    <w:abstractNumId w:val="6"/>
  </w:num>
  <w:num w:numId="15">
    <w:abstractNumId w:val="29"/>
  </w:num>
  <w:num w:numId="16">
    <w:abstractNumId w:val="1"/>
  </w:num>
  <w:num w:numId="17">
    <w:abstractNumId w:val="25"/>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num>
  <w:num w:numId="22">
    <w:abstractNumId w:val="7"/>
  </w:num>
  <w:num w:numId="23">
    <w:abstractNumId w:val="20"/>
  </w:num>
  <w:num w:numId="24">
    <w:abstractNumId w:val="4"/>
  </w:num>
  <w:num w:numId="25">
    <w:abstractNumId w:val="14"/>
  </w:num>
  <w:num w:numId="26">
    <w:abstractNumId w:val="24"/>
  </w:num>
  <w:num w:numId="27">
    <w:abstractNumId w:val="2"/>
  </w:num>
  <w:num w:numId="28">
    <w:abstractNumId w:val="21"/>
  </w:num>
  <w:num w:numId="29">
    <w:abstractNumId w:val="19"/>
  </w:num>
  <w:num w:numId="30">
    <w:abstractNumId w:val="15"/>
  </w:num>
  <w:num w:numId="31">
    <w:abstractNumId w:val="3"/>
  </w:num>
  <w:num w:numId="32">
    <w:abstractNumId w:val="26"/>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0"/>
  </w:num>
  <w:num w:numId="36">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10565"/>
    <w:rsid w:val="000112A7"/>
    <w:rsid w:val="00011D16"/>
    <w:rsid w:val="0001456D"/>
    <w:rsid w:val="00014A66"/>
    <w:rsid w:val="000220E1"/>
    <w:rsid w:val="0002519C"/>
    <w:rsid w:val="00026721"/>
    <w:rsid w:val="00027DF5"/>
    <w:rsid w:val="00031481"/>
    <w:rsid w:val="00036CEF"/>
    <w:rsid w:val="0003786A"/>
    <w:rsid w:val="000403FD"/>
    <w:rsid w:val="00041F02"/>
    <w:rsid w:val="00042F9C"/>
    <w:rsid w:val="000431CA"/>
    <w:rsid w:val="000452B8"/>
    <w:rsid w:val="000530A7"/>
    <w:rsid w:val="000553FE"/>
    <w:rsid w:val="000579E7"/>
    <w:rsid w:val="00064BEA"/>
    <w:rsid w:val="000747AE"/>
    <w:rsid w:val="00074C29"/>
    <w:rsid w:val="00074C2C"/>
    <w:rsid w:val="00082F31"/>
    <w:rsid w:val="00082FD5"/>
    <w:rsid w:val="00096BE1"/>
    <w:rsid w:val="00096F9D"/>
    <w:rsid w:val="000A686F"/>
    <w:rsid w:val="000B00A2"/>
    <w:rsid w:val="000B5678"/>
    <w:rsid w:val="000B5A6A"/>
    <w:rsid w:val="000B7B24"/>
    <w:rsid w:val="000B7CBB"/>
    <w:rsid w:val="000C3107"/>
    <w:rsid w:val="000C337B"/>
    <w:rsid w:val="000C3411"/>
    <w:rsid w:val="000C354A"/>
    <w:rsid w:val="000C3DC6"/>
    <w:rsid w:val="000C3E54"/>
    <w:rsid w:val="000C55E3"/>
    <w:rsid w:val="000C77E8"/>
    <w:rsid w:val="000D1AD7"/>
    <w:rsid w:val="000D4CB0"/>
    <w:rsid w:val="000D590E"/>
    <w:rsid w:val="000D662C"/>
    <w:rsid w:val="000D7B99"/>
    <w:rsid w:val="000E1C49"/>
    <w:rsid w:val="000E2D9F"/>
    <w:rsid w:val="000E3EFF"/>
    <w:rsid w:val="000E4B11"/>
    <w:rsid w:val="000E5E74"/>
    <w:rsid w:val="000F55F6"/>
    <w:rsid w:val="000F593D"/>
    <w:rsid w:val="000F6E87"/>
    <w:rsid w:val="000F7D2E"/>
    <w:rsid w:val="001007E7"/>
    <w:rsid w:val="001010D0"/>
    <w:rsid w:val="00102E21"/>
    <w:rsid w:val="00102EA3"/>
    <w:rsid w:val="00103273"/>
    <w:rsid w:val="00106539"/>
    <w:rsid w:val="00114E43"/>
    <w:rsid w:val="001166D4"/>
    <w:rsid w:val="00117426"/>
    <w:rsid w:val="001234C0"/>
    <w:rsid w:val="00125568"/>
    <w:rsid w:val="00136D47"/>
    <w:rsid w:val="00136D4E"/>
    <w:rsid w:val="001372A5"/>
    <w:rsid w:val="00140FD8"/>
    <w:rsid w:val="00144F98"/>
    <w:rsid w:val="0015202C"/>
    <w:rsid w:val="00154C45"/>
    <w:rsid w:val="001551B9"/>
    <w:rsid w:val="001658FA"/>
    <w:rsid w:val="00167964"/>
    <w:rsid w:val="001703D1"/>
    <w:rsid w:val="001748B2"/>
    <w:rsid w:val="001748C6"/>
    <w:rsid w:val="00174F7A"/>
    <w:rsid w:val="0019169C"/>
    <w:rsid w:val="0019457B"/>
    <w:rsid w:val="00194B8C"/>
    <w:rsid w:val="001A06DA"/>
    <w:rsid w:val="001A286F"/>
    <w:rsid w:val="001A50AE"/>
    <w:rsid w:val="001A5994"/>
    <w:rsid w:val="001A64CB"/>
    <w:rsid w:val="001B1502"/>
    <w:rsid w:val="001B4E70"/>
    <w:rsid w:val="001B72D4"/>
    <w:rsid w:val="001C3886"/>
    <w:rsid w:val="001D230E"/>
    <w:rsid w:val="001D2514"/>
    <w:rsid w:val="001D32E4"/>
    <w:rsid w:val="001E172A"/>
    <w:rsid w:val="001E2581"/>
    <w:rsid w:val="001E717C"/>
    <w:rsid w:val="001F0D91"/>
    <w:rsid w:val="001F5102"/>
    <w:rsid w:val="001F5FE3"/>
    <w:rsid w:val="001F686F"/>
    <w:rsid w:val="001F72C2"/>
    <w:rsid w:val="001F7501"/>
    <w:rsid w:val="00205202"/>
    <w:rsid w:val="00205C0D"/>
    <w:rsid w:val="00210CA6"/>
    <w:rsid w:val="002125F1"/>
    <w:rsid w:val="002152F3"/>
    <w:rsid w:val="0021567D"/>
    <w:rsid w:val="002169B7"/>
    <w:rsid w:val="00221EC6"/>
    <w:rsid w:val="0022231F"/>
    <w:rsid w:val="00231312"/>
    <w:rsid w:val="002315E4"/>
    <w:rsid w:val="00233DA8"/>
    <w:rsid w:val="00234B3A"/>
    <w:rsid w:val="002403A0"/>
    <w:rsid w:val="00241BAB"/>
    <w:rsid w:val="00245A9D"/>
    <w:rsid w:val="00250450"/>
    <w:rsid w:val="00252904"/>
    <w:rsid w:val="002533F5"/>
    <w:rsid w:val="00254E17"/>
    <w:rsid w:val="00266332"/>
    <w:rsid w:val="00275348"/>
    <w:rsid w:val="00276FA2"/>
    <w:rsid w:val="002811AB"/>
    <w:rsid w:val="00283571"/>
    <w:rsid w:val="00285EE4"/>
    <w:rsid w:val="00291BF9"/>
    <w:rsid w:val="00294C31"/>
    <w:rsid w:val="002A43CF"/>
    <w:rsid w:val="002C1693"/>
    <w:rsid w:val="002C1CC2"/>
    <w:rsid w:val="002C6D9D"/>
    <w:rsid w:val="002E36C5"/>
    <w:rsid w:val="002E55D5"/>
    <w:rsid w:val="0030081A"/>
    <w:rsid w:val="003016E1"/>
    <w:rsid w:val="00302486"/>
    <w:rsid w:val="00303BBC"/>
    <w:rsid w:val="00305369"/>
    <w:rsid w:val="00313008"/>
    <w:rsid w:val="00323263"/>
    <w:rsid w:val="0033287C"/>
    <w:rsid w:val="003375F7"/>
    <w:rsid w:val="00342F09"/>
    <w:rsid w:val="0034362D"/>
    <w:rsid w:val="00345602"/>
    <w:rsid w:val="003514F7"/>
    <w:rsid w:val="00352F9A"/>
    <w:rsid w:val="00361A15"/>
    <w:rsid w:val="00367065"/>
    <w:rsid w:val="00367AC1"/>
    <w:rsid w:val="00370139"/>
    <w:rsid w:val="00370EA2"/>
    <w:rsid w:val="00380A0E"/>
    <w:rsid w:val="00385613"/>
    <w:rsid w:val="00385E62"/>
    <w:rsid w:val="00392115"/>
    <w:rsid w:val="00396DB3"/>
    <w:rsid w:val="003976E9"/>
    <w:rsid w:val="003A0DC8"/>
    <w:rsid w:val="003A14CD"/>
    <w:rsid w:val="003A518E"/>
    <w:rsid w:val="003A7686"/>
    <w:rsid w:val="003B0B4E"/>
    <w:rsid w:val="003B3640"/>
    <w:rsid w:val="003B3A24"/>
    <w:rsid w:val="003B609D"/>
    <w:rsid w:val="003C256D"/>
    <w:rsid w:val="003C28A2"/>
    <w:rsid w:val="003C74DF"/>
    <w:rsid w:val="003C796D"/>
    <w:rsid w:val="003D288C"/>
    <w:rsid w:val="003D50FE"/>
    <w:rsid w:val="003D5C49"/>
    <w:rsid w:val="003D6F20"/>
    <w:rsid w:val="003D759C"/>
    <w:rsid w:val="003E4D05"/>
    <w:rsid w:val="003F42BE"/>
    <w:rsid w:val="003F5A47"/>
    <w:rsid w:val="004014E6"/>
    <w:rsid w:val="00403500"/>
    <w:rsid w:val="004044EC"/>
    <w:rsid w:val="0040475F"/>
    <w:rsid w:val="004153A7"/>
    <w:rsid w:val="004165AD"/>
    <w:rsid w:val="00420C01"/>
    <w:rsid w:val="0042314C"/>
    <w:rsid w:val="00423F99"/>
    <w:rsid w:val="00427390"/>
    <w:rsid w:val="00435180"/>
    <w:rsid w:val="004368E1"/>
    <w:rsid w:val="0043705A"/>
    <w:rsid w:val="004501E7"/>
    <w:rsid w:val="00450705"/>
    <w:rsid w:val="00451A3D"/>
    <w:rsid w:val="00455415"/>
    <w:rsid w:val="00463B25"/>
    <w:rsid w:val="00465878"/>
    <w:rsid w:val="0046634C"/>
    <w:rsid w:val="004678DD"/>
    <w:rsid w:val="00475909"/>
    <w:rsid w:val="0047642B"/>
    <w:rsid w:val="00486B21"/>
    <w:rsid w:val="004975EA"/>
    <w:rsid w:val="004A0486"/>
    <w:rsid w:val="004A0E10"/>
    <w:rsid w:val="004A5D11"/>
    <w:rsid w:val="004B1439"/>
    <w:rsid w:val="004B1446"/>
    <w:rsid w:val="004B182F"/>
    <w:rsid w:val="004B1C9D"/>
    <w:rsid w:val="004B316D"/>
    <w:rsid w:val="004B62C4"/>
    <w:rsid w:val="004D68AA"/>
    <w:rsid w:val="004D6BFF"/>
    <w:rsid w:val="004E35EC"/>
    <w:rsid w:val="004E46F8"/>
    <w:rsid w:val="004E64BA"/>
    <w:rsid w:val="004E6BBE"/>
    <w:rsid w:val="00500157"/>
    <w:rsid w:val="00506220"/>
    <w:rsid w:val="0050749B"/>
    <w:rsid w:val="00507D4A"/>
    <w:rsid w:val="00512271"/>
    <w:rsid w:val="00514249"/>
    <w:rsid w:val="00520297"/>
    <w:rsid w:val="0052057F"/>
    <w:rsid w:val="0052394E"/>
    <w:rsid w:val="0052470D"/>
    <w:rsid w:val="00527CA3"/>
    <w:rsid w:val="00530DFD"/>
    <w:rsid w:val="00532341"/>
    <w:rsid w:val="00533D41"/>
    <w:rsid w:val="00536EA6"/>
    <w:rsid w:val="00537E8B"/>
    <w:rsid w:val="00540251"/>
    <w:rsid w:val="00543FEC"/>
    <w:rsid w:val="005456D4"/>
    <w:rsid w:val="00546640"/>
    <w:rsid w:val="005504CA"/>
    <w:rsid w:val="00553043"/>
    <w:rsid w:val="0055355A"/>
    <w:rsid w:val="0055444D"/>
    <w:rsid w:val="0056265C"/>
    <w:rsid w:val="005626F6"/>
    <w:rsid w:val="0057025A"/>
    <w:rsid w:val="0057105F"/>
    <w:rsid w:val="0057310A"/>
    <w:rsid w:val="005748DF"/>
    <w:rsid w:val="00593E55"/>
    <w:rsid w:val="005A0D50"/>
    <w:rsid w:val="005A208E"/>
    <w:rsid w:val="005A5C2E"/>
    <w:rsid w:val="005B3920"/>
    <w:rsid w:val="005B39A1"/>
    <w:rsid w:val="005C0D72"/>
    <w:rsid w:val="005C3423"/>
    <w:rsid w:val="005D223B"/>
    <w:rsid w:val="005D370A"/>
    <w:rsid w:val="005D39DB"/>
    <w:rsid w:val="005D5C09"/>
    <w:rsid w:val="005D6571"/>
    <w:rsid w:val="005D7F89"/>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3A5A"/>
    <w:rsid w:val="00625406"/>
    <w:rsid w:val="00626403"/>
    <w:rsid w:val="00626DAB"/>
    <w:rsid w:val="00632205"/>
    <w:rsid w:val="006373B1"/>
    <w:rsid w:val="006433CA"/>
    <w:rsid w:val="006457D3"/>
    <w:rsid w:val="006460CC"/>
    <w:rsid w:val="006463FD"/>
    <w:rsid w:val="00646656"/>
    <w:rsid w:val="006516EB"/>
    <w:rsid w:val="00653868"/>
    <w:rsid w:val="00653934"/>
    <w:rsid w:val="0065509A"/>
    <w:rsid w:val="00655831"/>
    <w:rsid w:val="006559A6"/>
    <w:rsid w:val="006601D1"/>
    <w:rsid w:val="00660780"/>
    <w:rsid w:val="00665BBC"/>
    <w:rsid w:val="006668CD"/>
    <w:rsid w:val="00666DB8"/>
    <w:rsid w:val="00670C8F"/>
    <w:rsid w:val="00676689"/>
    <w:rsid w:val="00681FAC"/>
    <w:rsid w:val="006909A3"/>
    <w:rsid w:val="00696BE5"/>
    <w:rsid w:val="00696CFA"/>
    <w:rsid w:val="0069739B"/>
    <w:rsid w:val="006A2DCD"/>
    <w:rsid w:val="006A4F7E"/>
    <w:rsid w:val="006A5A1E"/>
    <w:rsid w:val="006B0D96"/>
    <w:rsid w:val="006B5DA3"/>
    <w:rsid w:val="006C3AD6"/>
    <w:rsid w:val="006C7F7B"/>
    <w:rsid w:val="006D0A86"/>
    <w:rsid w:val="006D7D46"/>
    <w:rsid w:val="006E2BD9"/>
    <w:rsid w:val="006E3544"/>
    <w:rsid w:val="006E63FB"/>
    <w:rsid w:val="006F255E"/>
    <w:rsid w:val="006F547F"/>
    <w:rsid w:val="006F5762"/>
    <w:rsid w:val="00700F05"/>
    <w:rsid w:val="007011EC"/>
    <w:rsid w:val="00701E9E"/>
    <w:rsid w:val="00702CE9"/>
    <w:rsid w:val="007035E0"/>
    <w:rsid w:val="007054B4"/>
    <w:rsid w:val="007071E2"/>
    <w:rsid w:val="00711FBB"/>
    <w:rsid w:val="00712EA6"/>
    <w:rsid w:val="00713F6A"/>
    <w:rsid w:val="00717140"/>
    <w:rsid w:val="00720B5D"/>
    <w:rsid w:val="007225F5"/>
    <w:rsid w:val="00723EA8"/>
    <w:rsid w:val="0073355B"/>
    <w:rsid w:val="00735D4D"/>
    <w:rsid w:val="00740642"/>
    <w:rsid w:val="00740D11"/>
    <w:rsid w:val="00742B26"/>
    <w:rsid w:val="00743451"/>
    <w:rsid w:val="00743DDB"/>
    <w:rsid w:val="00750ECD"/>
    <w:rsid w:val="00751AF4"/>
    <w:rsid w:val="0075254C"/>
    <w:rsid w:val="00754B66"/>
    <w:rsid w:val="007629CB"/>
    <w:rsid w:val="00762B2A"/>
    <w:rsid w:val="007633CA"/>
    <w:rsid w:val="00765853"/>
    <w:rsid w:val="007670CF"/>
    <w:rsid w:val="00771538"/>
    <w:rsid w:val="00775BAC"/>
    <w:rsid w:val="007865C2"/>
    <w:rsid w:val="0078774A"/>
    <w:rsid w:val="0079016E"/>
    <w:rsid w:val="007971B8"/>
    <w:rsid w:val="007A6AF1"/>
    <w:rsid w:val="007A7AD2"/>
    <w:rsid w:val="007B1CB9"/>
    <w:rsid w:val="007B5246"/>
    <w:rsid w:val="007B680A"/>
    <w:rsid w:val="007B7834"/>
    <w:rsid w:val="007C41B9"/>
    <w:rsid w:val="007C570C"/>
    <w:rsid w:val="007C78C0"/>
    <w:rsid w:val="007D0FA3"/>
    <w:rsid w:val="007D1CB6"/>
    <w:rsid w:val="007D22CD"/>
    <w:rsid w:val="007D54CE"/>
    <w:rsid w:val="007D55E6"/>
    <w:rsid w:val="007E02EB"/>
    <w:rsid w:val="007E348B"/>
    <w:rsid w:val="007E4EA9"/>
    <w:rsid w:val="007F584C"/>
    <w:rsid w:val="008020BB"/>
    <w:rsid w:val="008036DA"/>
    <w:rsid w:val="00803C36"/>
    <w:rsid w:val="00804AF0"/>
    <w:rsid w:val="008052FE"/>
    <w:rsid w:val="008060EC"/>
    <w:rsid w:val="00806994"/>
    <w:rsid w:val="00807374"/>
    <w:rsid w:val="008129A3"/>
    <w:rsid w:val="008132F8"/>
    <w:rsid w:val="008144D7"/>
    <w:rsid w:val="00820B0D"/>
    <w:rsid w:val="00823286"/>
    <w:rsid w:val="0082548B"/>
    <w:rsid w:val="00826C3F"/>
    <w:rsid w:val="008345F6"/>
    <w:rsid w:val="00834693"/>
    <w:rsid w:val="0084300D"/>
    <w:rsid w:val="00846B2F"/>
    <w:rsid w:val="00850C00"/>
    <w:rsid w:val="00851100"/>
    <w:rsid w:val="008516E7"/>
    <w:rsid w:val="00856481"/>
    <w:rsid w:val="00862CE3"/>
    <w:rsid w:val="00863472"/>
    <w:rsid w:val="008636A0"/>
    <w:rsid w:val="00865B51"/>
    <w:rsid w:val="00866350"/>
    <w:rsid w:val="00866C75"/>
    <w:rsid w:val="008675F8"/>
    <w:rsid w:val="00873D05"/>
    <w:rsid w:val="00877BC5"/>
    <w:rsid w:val="008819F8"/>
    <w:rsid w:val="0088414C"/>
    <w:rsid w:val="0088466C"/>
    <w:rsid w:val="00886FA2"/>
    <w:rsid w:val="008930F5"/>
    <w:rsid w:val="0089592C"/>
    <w:rsid w:val="00897A1A"/>
    <w:rsid w:val="008A1765"/>
    <w:rsid w:val="008A7284"/>
    <w:rsid w:val="008A7595"/>
    <w:rsid w:val="008A7867"/>
    <w:rsid w:val="008A7F37"/>
    <w:rsid w:val="008B56DD"/>
    <w:rsid w:val="008B71F2"/>
    <w:rsid w:val="008C018C"/>
    <w:rsid w:val="008C28EE"/>
    <w:rsid w:val="008C2DB4"/>
    <w:rsid w:val="008C3ED8"/>
    <w:rsid w:val="008C5805"/>
    <w:rsid w:val="008C78BE"/>
    <w:rsid w:val="008C79AD"/>
    <w:rsid w:val="008D40DE"/>
    <w:rsid w:val="008D6545"/>
    <w:rsid w:val="008D7B74"/>
    <w:rsid w:val="008E29C9"/>
    <w:rsid w:val="008E6F7E"/>
    <w:rsid w:val="008E7CC5"/>
    <w:rsid w:val="008F1D31"/>
    <w:rsid w:val="008F2D90"/>
    <w:rsid w:val="008F4A71"/>
    <w:rsid w:val="008F66AB"/>
    <w:rsid w:val="0090051D"/>
    <w:rsid w:val="00900DDD"/>
    <w:rsid w:val="00907060"/>
    <w:rsid w:val="00910E23"/>
    <w:rsid w:val="009117CA"/>
    <w:rsid w:val="00912D45"/>
    <w:rsid w:val="00921EAA"/>
    <w:rsid w:val="00932987"/>
    <w:rsid w:val="00934100"/>
    <w:rsid w:val="0093564D"/>
    <w:rsid w:val="00935890"/>
    <w:rsid w:val="00951E70"/>
    <w:rsid w:val="00953CD6"/>
    <w:rsid w:val="00961669"/>
    <w:rsid w:val="00963204"/>
    <w:rsid w:val="00963BF3"/>
    <w:rsid w:val="00967EEB"/>
    <w:rsid w:val="00973B47"/>
    <w:rsid w:val="0097518E"/>
    <w:rsid w:val="00981AE8"/>
    <w:rsid w:val="00981E04"/>
    <w:rsid w:val="009825CE"/>
    <w:rsid w:val="00982D35"/>
    <w:rsid w:val="00990150"/>
    <w:rsid w:val="009924BF"/>
    <w:rsid w:val="00995A44"/>
    <w:rsid w:val="009979FA"/>
    <w:rsid w:val="00997C33"/>
    <w:rsid w:val="009A6D83"/>
    <w:rsid w:val="009B3394"/>
    <w:rsid w:val="009C10DF"/>
    <w:rsid w:val="009C3410"/>
    <w:rsid w:val="009C5760"/>
    <w:rsid w:val="009D0FB7"/>
    <w:rsid w:val="009D1AD1"/>
    <w:rsid w:val="009D6D5F"/>
    <w:rsid w:val="009E7AD6"/>
    <w:rsid w:val="009F4D59"/>
    <w:rsid w:val="00A01E02"/>
    <w:rsid w:val="00A10FC0"/>
    <w:rsid w:val="00A22AD1"/>
    <w:rsid w:val="00A25626"/>
    <w:rsid w:val="00A25B2E"/>
    <w:rsid w:val="00A30FDD"/>
    <w:rsid w:val="00A332DE"/>
    <w:rsid w:val="00A33C6C"/>
    <w:rsid w:val="00A36B64"/>
    <w:rsid w:val="00A37D94"/>
    <w:rsid w:val="00A461EB"/>
    <w:rsid w:val="00A46F0B"/>
    <w:rsid w:val="00A537F4"/>
    <w:rsid w:val="00A56EDC"/>
    <w:rsid w:val="00A66B15"/>
    <w:rsid w:val="00A713BC"/>
    <w:rsid w:val="00A748BF"/>
    <w:rsid w:val="00A76D42"/>
    <w:rsid w:val="00A77F96"/>
    <w:rsid w:val="00AA0603"/>
    <w:rsid w:val="00AA2770"/>
    <w:rsid w:val="00AA2E09"/>
    <w:rsid w:val="00AA705E"/>
    <w:rsid w:val="00AC2FE1"/>
    <w:rsid w:val="00AD0A65"/>
    <w:rsid w:val="00AD43A5"/>
    <w:rsid w:val="00AD48A4"/>
    <w:rsid w:val="00AD4BD9"/>
    <w:rsid w:val="00AD6B44"/>
    <w:rsid w:val="00AE26DB"/>
    <w:rsid w:val="00AE2C86"/>
    <w:rsid w:val="00AE43AF"/>
    <w:rsid w:val="00AE43FC"/>
    <w:rsid w:val="00AE491D"/>
    <w:rsid w:val="00AF12FC"/>
    <w:rsid w:val="00AF20E1"/>
    <w:rsid w:val="00AF2F30"/>
    <w:rsid w:val="00B00372"/>
    <w:rsid w:val="00B0162E"/>
    <w:rsid w:val="00B017F1"/>
    <w:rsid w:val="00B2122A"/>
    <w:rsid w:val="00B22440"/>
    <w:rsid w:val="00B22BA0"/>
    <w:rsid w:val="00B22F0F"/>
    <w:rsid w:val="00B23EC5"/>
    <w:rsid w:val="00B243B2"/>
    <w:rsid w:val="00B26C1C"/>
    <w:rsid w:val="00B30118"/>
    <w:rsid w:val="00B3077D"/>
    <w:rsid w:val="00B31821"/>
    <w:rsid w:val="00B31B3A"/>
    <w:rsid w:val="00B34BA7"/>
    <w:rsid w:val="00B35DFB"/>
    <w:rsid w:val="00B45ACE"/>
    <w:rsid w:val="00B51EAE"/>
    <w:rsid w:val="00B61253"/>
    <w:rsid w:val="00B66D4E"/>
    <w:rsid w:val="00B713C0"/>
    <w:rsid w:val="00B7164F"/>
    <w:rsid w:val="00B75A8D"/>
    <w:rsid w:val="00B82D2D"/>
    <w:rsid w:val="00B85220"/>
    <w:rsid w:val="00B95455"/>
    <w:rsid w:val="00B962A5"/>
    <w:rsid w:val="00BA0435"/>
    <w:rsid w:val="00BB1493"/>
    <w:rsid w:val="00BB53D7"/>
    <w:rsid w:val="00BC1861"/>
    <w:rsid w:val="00BC1ED8"/>
    <w:rsid w:val="00BC39FA"/>
    <w:rsid w:val="00BC546A"/>
    <w:rsid w:val="00BC70D6"/>
    <w:rsid w:val="00BC7604"/>
    <w:rsid w:val="00BD0D2E"/>
    <w:rsid w:val="00BD2669"/>
    <w:rsid w:val="00BD7A55"/>
    <w:rsid w:val="00BE2F56"/>
    <w:rsid w:val="00BE37B1"/>
    <w:rsid w:val="00BE3854"/>
    <w:rsid w:val="00BE5ACC"/>
    <w:rsid w:val="00BF0444"/>
    <w:rsid w:val="00BF16FF"/>
    <w:rsid w:val="00BF2CFC"/>
    <w:rsid w:val="00BF51C8"/>
    <w:rsid w:val="00BF58F3"/>
    <w:rsid w:val="00C01E84"/>
    <w:rsid w:val="00C02DF1"/>
    <w:rsid w:val="00C115E0"/>
    <w:rsid w:val="00C12924"/>
    <w:rsid w:val="00C13032"/>
    <w:rsid w:val="00C1601F"/>
    <w:rsid w:val="00C17185"/>
    <w:rsid w:val="00C21F3E"/>
    <w:rsid w:val="00C32066"/>
    <w:rsid w:val="00C34DE9"/>
    <w:rsid w:val="00C34E86"/>
    <w:rsid w:val="00C35C95"/>
    <w:rsid w:val="00C51267"/>
    <w:rsid w:val="00C539CD"/>
    <w:rsid w:val="00C55261"/>
    <w:rsid w:val="00C56C58"/>
    <w:rsid w:val="00C56E9D"/>
    <w:rsid w:val="00C602B9"/>
    <w:rsid w:val="00C62E34"/>
    <w:rsid w:val="00C64758"/>
    <w:rsid w:val="00C65673"/>
    <w:rsid w:val="00C6586B"/>
    <w:rsid w:val="00C73CFC"/>
    <w:rsid w:val="00C759E1"/>
    <w:rsid w:val="00C81877"/>
    <w:rsid w:val="00C835D5"/>
    <w:rsid w:val="00C84D08"/>
    <w:rsid w:val="00C857F3"/>
    <w:rsid w:val="00C94A08"/>
    <w:rsid w:val="00C94EB3"/>
    <w:rsid w:val="00C96CE0"/>
    <w:rsid w:val="00CA07E0"/>
    <w:rsid w:val="00CA09BE"/>
    <w:rsid w:val="00CA546A"/>
    <w:rsid w:val="00CB59F4"/>
    <w:rsid w:val="00CC1634"/>
    <w:rsid w:val="00CC1B05"/>
    <w:rsid w:val="00CC4B57"/>
    <w:rsid w:val="00CC6B53"/>
    <w:rsid w:val="00CD3061"/>
    <w:rsid w:val="00CD5E1F"/>
    <w:rsid w:val="00CD6874"/>
    <w:rsid w:val="00CE3666"/>
    <w:rsid w:val="00CE5846"/>
    <w:rsid w:val="00CE75ED"/>
    <w:rsid w:val="00CF04B2"/>
    <w:rsid w:val="00CF070D"/>
    <w:rsid w:val="00CF2541"/>
    <w:rsid w:val="00CF3CA7"/>
    <w:rsid w:val="00D027F2"/>
    <w:rsid w:val="00D0463E"/>
    <w:rsid w:val="00D06893"/>
    <w:rsid w:val="00D102A2"/>
    <w:rsid w:val="00D15458"/>
    <w:rsid w:val="00D15893"/>
    <w:rsid w:val="00D16B29"/>
    <w:rsid w:val="00D16BAE"/>
    <w:rsid w:val="00D22E0C"/>
    <w:rsid w:val="00D36FAA"/>
    <w:rsid w:val="00D37106"/>
    <w:rsid w:val="00D37F4F"/>
    <w:rsid w:val="00D411ED"/>
    <w:rsid w:val="00D413C4"/>
    <w:rsid w:val="00D42FFF"/>
    <w:rsid w:val="00D50CB8"/>
    <w:rsid w:val="00D5116C"/>
    <w:rsid w:val="00D52A61"/>
    <w:rsid w:val="00D55967"/>
    <w:rsid w:val="00D57F37"/>
    <w:rsid w:val="00D61A9F"/>
    <w:rsid w:val="00D62356"/>
    <w:rsid w:val="00D71BD4"/>
    <w:rsid w:val="00D72348"/>
    <w:rsid w:val="00D72DA8"/>
    <w:rsid w:val="00D72FBA"/>
    <w:rsid w:val="00D8152E"/>
    <w:rsid w:val="00D822D0"/>
    <w:rsid w:val="00D84FD4"/>
    <w:rsid w:val="00D914EA"/>
    <w:rsid w:val="00D94614"/>
    <w:rsid w:val="00D95B5F"/>
    <w:rsid w:val="00DA0410"/>
    <w:rsid w:val="00DA1056"/>
    <w:rsid w:val="00DA2126"/>
    <w:rsid w:val="00DA2230"/>
    <w:rsid w:val="00DA31D4"/>
    <w:rsid w:val="00DA5A5A"/>
    <w:rsid w:val="00DA72F3"/>
    <w:rsid w:val="00DB1CFB"/>
    <w:rsid w:val="00DC0C97"/>
    <w:rsid w:val="00DC6BD6"/>
    <w:rsid w:val="00DD138A"/>
    <w:rsid w:val="00DD42D7"/>
    <w:rsid w:val="00DD6A76"/>
    <w:rsid w:val="00DE2603"/>
    <w:rsid w:val="00DE5952"/>
    <w:rsid w:val="00DF0114"/>
    <w:rsid w:val="00DF0DFA"/>
    <w:rsid w:val="00DF13D9"/>
    <w:rsid w:val="00DF1937"/>
    <w:rsid w:val="00DF25BF"/>
    <w:rsid w:val="00DF6AC9"/>
    <w:rsid w:val="00DF7B47"/>
    <w:rsid w:val="00E03189"/>
    <w:rsid w:val="00E101B9"/>
    <w:rsid w:val="00E115E8"/>
    <w:rsid w:val="00E13D04"/>
    <w:rsid w:val="00E21751"/>
    <w:rsid w:val="00E217E8"/>
    <w:rsid w:val="00E23EAD"/>
    <w:rsid w:val="00E24238"/>
    <w:rsid w:val="00E26A71"/>
    <w:rsid w:val="00E33DB6"/>
    <w:rsid w:val="00E37987"/>
    <w:rsid w:val="00E40451"/>
    <w:rsid w:val="00E426DA"/>
    <w:rsid w:val="00E43543"/>
    <w:rsid w:val="00E52379"/>
    <w:rsid w:val="00E55131"/>
    <w:rsid w:val="00E56473"/>
    <w:rsid w:val="00E5678B"/>
    <w:rsid w:val="00E619E9"/>
    <w:rsid w:val="00E66073"/>
    <w:rsid w:val="00E70DA9"/>
    <w:rsid w:val="00E724F7"/>
    <w:rsid w:val="00E7390B"/>
    <w:rsid w:val="00E75A3F"/>
    <w:rsid w:val="00E77B9C"/>
    <w:rsid w:val="00E815B3"/>
    <w:rsid w:val="00E8206B"/>
    <w:rsid w:val="00E91ED5"/>
    <w:rsid w:val="00E933A0"/>
    <w:rsid w:val="00E9413D"/>
    <w:rsid w:val="00E95B28"/>
    <w:rsid w:val="00EA7708"/>
    <w:rsid w:val="00EB5431"/>
    <w:rsid w:val="00EB6A53"/>
    <w:rsid w:val="00EB6B2A"/>
    <w:rsid w:val="00EC2BF5"/>
    <w:rsid w:val="00EC3328"/>
    <w:rsid w:val="00EC3F20"/>
    <w:rsid w:val="00EC66B3"/>
    <w:rsid w:val="00EC7192"/>
    <w:rsid w:val="00ED73B3"/>
    <w:rsid w:val="00EE1ADD"/>
    <w:rsid w:val="00EE201B"/>
    <w:rsid w:val="00EE2194"/>
    <w:rsid w:val="00EE5159"/>
    <w:rsid w:val="00EE6E3B"/>
    <w:rsid w:val="00EF0134"/>
    <w:rsid w:val="00F01A93"/>
    <w:rsid w:val="00F01E9B"/>
    <w:rsid w:val="00F0328A"/>
    <w:rsid w:val="00F03E9E"/>
    <w:rsid w:val="00F14266"/>
    <w:rsid w:val="00F1564F"/>
    <w:rsid w:val="00F21965"/>
    <w:rsid w:val="00F21C16"/>
    <w:rsid w:val="00F25F13"/>
    <w:rsid w:val="00F30127"/>
    <w:rsid w:val="00F43BCF"/>
    <w:rsid w:val="00F44291"/>
    <w:rsid w:val="00F603BF"/>
    <w:rsid w:val="00F64758"/>
    <w:rsid w:val="00F649F0"/>
    <w:rsid w:val="00F65977"/>
    <w:rsid w:val="00F66FF8"/>
    <w:rsid w:val="00F72754"/>
    <w:rsid w:val="00F728BA"/>
    <w:rsid w:val="00F72BF6"/>
    <w:rsid w:val="00F733E7"/>
    <w:rsid w:val="00F76151"/>
    <w:rsid w:val="00F772F3"/>
    <w:rsid w:val="00F8184F"/>
    <w:rsid w:val="00F83D4D"/>
    <w:rsid w:val="00FA014D"/>
    <w:rsid w:val="00FA59C6"/>
    <w:rsid w:val="00FB21E7"/>
    <w:rsid w:val="00FB5F9A"/>
    <w:rsid w:val="00FC691D"/>
    <w:rsid w:val="00FE28A5"/>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A46F0B"/>
    <w:pPr>
      <w:numPr>
        <w:numId w:val="36"/>
      </w:numPr>
      <w:tabs>
        <w:tab w:val="right" w:leader="dot" w:pos="9350"/>
      </w:tabs>
      <w:spacing w:before="120"/>
      <w:ind w:left="1080"/>
    </w:pPr>
    <w:rPr>
      <w:rFonts w:ascii="Arial" w:hAnsi="Arial" w:cs="Arial"/>
      <w:noProof/>
      <w:color w:val="000066"/>
    </w:r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435180"/>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 w:type="paragraph" w:styleId="Revision">
    <w:name w:val="Revision"/>
    <w:hidden/>
    <w:uiPriority w:val="99"/>
    <w:semiHidden/>
    <w:rsid w:val="007B7834"/>
    <w:rPr>
      <w:rFonts w:ascii="Verdana" w:hAnsi="Verdan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75460259">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7166451">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26258219">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2814247">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exchange.info/news/environmental-assessment-guide-and-resources/" TargetMode="External"/><Relationship Id="rId18"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7" Type="http://schemas.openxmlformats.org/officeDocument/2006/relationships/settings" Target="settings.xml"/><Relationship Id="rId12" Type="http://schemas.openxmlformats.org/officeDocument/2006/relationships/hyperlink" Target="https://www.hud.gov/sites/dfiles/Housing/documents/FebEmailBlast022818.docx" TargetMode="External"/><Relationship Id="rId17" Type="http://schemas.openxmlformats.org/officeDocument/2006/relationships/hyperlink" Target="mailto:LeanThinking@hud.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 Id="rId5" Type="http://schemas.openxmlformats.org/officeDocument/2006/relationships/numbering" Target="numbering.xml"/><Relationship Id="rId15" Type="http://schemas.openxmlformats.org/officeDocument/2006/relationships/hyperlink" Target="https://www.hud.gov/sites/dfiles/Housing/documents/JunEmailBlast06262020.docx" TargetMode="External"/><Relationship Id="rId23"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10" Type="http://schemas.openxmlformats.org/officeDocument/2006/relationships/endnotes" Target="endnotes.xml"/><Relationship Id="rId19"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sites/dfiles/OCHCO/documents/2021-01hsgml.pdf"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customXml/itemProps2.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4.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11450</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3</cp:revision>
  <cp:lastPrinted>2014-08-11T13:53:00Z</cp:lastPrinted>
  <dcterms:created xsi:type="dcterms:W3CDTF">2021-12-16T16:52:00Z</dcterms:created>
  <dcterms:modified xsi:type="dcterms:W3CDTF">2021-12-16T16:55:00Z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