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bookmarkStart w:id="1" w:name="_Hlk112334148"/>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2A610963" w:rsidR="00743DDB" w:rsidRPr="001F5102" w:rsidRDefault="00557E51" w:rsidP="00863472">
      <w:pPr>
        <w:pStyle w:val="NoSpacing"/>
        <w:rPr>
          <w:rFonts w:ascii="Arial" w:hAnsi="Arial" w:cs="Arial"/>
          <w:iCs/>
          <w:sz w:val="28"/>
          <w:szCs w:val="28"/>
        </w:rPr>
      </w:pPr>
      <w:r>
        <w:rPr>
          <w:rFonts w:ascii="Arial" w:hAnsi="Arial" w:cs="Arial"/>
          <w:iCs/>
          <w:sz w:val="28"/>
          <w:szCs w:val="28"/>
        </w:rPr>
        <w:t>August 25</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5FB6A83B" w14:textId="516661E6" w:rsidR="007F10C3" w:rsidRPr="00E22C87" w:rsidRDefault="00396DB3" w:rsidP="00557E51">
      <w:pPr>
        <w:pStyle w:val="TOC1"/>
        <w:numPr>
          <w:ilvl w:val="0"/>
          <w:numId w:val="42"/>
        </w:numPr>
        <w:rPr>
          <w:rFonts w:asciiTheme="minorHAnsi" w:eastAsiaTheme="minorEastAsia" w:hAnsiTheme="minorHAnsi" w:cstheme="minorBidi"/>
          <w:noProof/>
          <w:color w:val="000066"/>
          <w:sz w:val="22"/>
        </w:rPr>
      </w:pPr>
      <w:r w:rsidRPr="001F5102">
        <w:rPr>
          <w:rFonts w:ascii="Arial" w:hAnsi="Arial" w:cs="Arial"/>
          <w:i/>
        </w:rPr>
        <w:fldChar w:fldCharType="begin"/>
      </w:r>
      <w:r w:rsidRPr="001F5102">
        <w:rPr>
          <w:rFonts w:ascii="Arial" w:hAnsi="Arial" w:cs="Arial"/>
          <w:i/>
        </w:rPr>
        <w:instrText xml:space="preserve"> TOC \o "1-3" \n \h \z \u </w:instrText>
      </w:r>
      <w:r w:rsidRPr="001F5102">
        <w:rPr>
          <w:rFonts w:ascii="Arial" w:hAnsi="Arial" w:cs="Arial"/>
          <w:i/>
        </w:rPr>
        <w:fldChar w:fldCharType="separate"/>
      </w:r>
      <w:hyperlink w:anchor="_Toc112316079" w:history="1">
        <w:r w:rsidR="007F10C3" w:rsidRPr="00E22C87">
          <w:rPr>
            <w:rStyle w:val="Hyperlink"/>
            <w:noProof/>
            <w:color w:val="000066"/>
          </w:rPr>
          <w:t>In Case You Missed It - Mor</w:t>
        </w:r>
        <w:r w:rsidR="00044CB8">
          <w:rPr>
            <w:rStyle w:val="Hyperlink"/>
            <w:noProof/>
            <w:color w:val="000066"/>
          </w:rPr>
          <w:t>t</w:t>
        </w:r>
        <w:r w:rsidR="007F10C3" w:rsidRPr="00E22C87">
          <w:rPr>
            <w:rStyle w:val="Hyperlink"/>
            <w:noProof/>
            <w:color w:val="000066"/>
          </w:rPr>
          <w:t>gagee Letter 2022-13 “Green Mortgage Insurance Premium (MIP) Program Guidance for the Office of Health Care Facilities (ORCF)” Published</w:t>
        </w:r>
      </w:hyperlink>
    </w:p>
    <w:p w14:paraId="7D60D6A4" w14:textId="1B8C30A1" w:rsidR="007F10C3" w:rsidRPr="00E22C87" w:rsidRDefault="00000000" w:rsidP="00557E51">
      <w:pPr>
        <w:pStyle w:val="TOC1"/>
        <w:numPr>
          <w:ilvl w:val="0"/>
          <w:numId w:val="42"/>
        </w:numPr>
        <w:rPr>
          <w:rFonts w:asciiTheme="minorHAnsi" w:eastAsiaTheme="minorEastAsia" w:hAnsiTheme="minorHAnsi" w:cstheme="minorBidi"/>
          <w:noProof/>
          <w:color w:val="000066"/>
          <w:sz w:val="22"/>
        </w:rPr>
      </w:pPr>
      <w:hyperlink w:anchor="_Toc112316080" w:history="1">
        <w:r w:rsidR="007F10C3" w:rsidRPr="00E22C87">
          <w:rPr>
            <w:rStyle w:val="Hyperlink"/>
            <w:noProof/>
            <w:color w:val="000066"/>
          </w:rPr>
          <w:t>Addressing Climate Impacts in Environmental Assessment (EA) Level Reviews</w:t>
        </w:r>
      </w:hyperlink>
    </w:p>
    <w:p w14:paraId="07175169" w14:textId="614636CE" w:rsidR="007F10C3" w:rsidRPr="00E22C87" w:rsidRDefault="00000000" w:rsidP="00557E51">
      <w:pPr>
        <w:pStyle w:val="TOC1"/>
        <w:numPr>
          <w:ilvl w:val="0"/>
          <w:numId w:val="42"/>
        </w:numPr>
        <w:rPr>
          <w:rFonts w:asciiTheme="minorHAnsi" w:eastAsiaTheme="minorEastAsia" w:hAnsiTheme="minorHAnsi" w:cstheme="minorBidi"/>
          <w:noProof/>
          <w:color w:val="000066"/>
          <w:sz w:val="22"/>
        </w:rPr>
      </w:pPr>
      <w:hyperlink w:anchor="_Toc112316081" w:history="1">
        <w:r w:rsidR="007F10C3" w:rsidRPr="00E22C87">
          <w:rPr>
            <w:rStyle w:val="Hyperlink"/>
            <w:noProof/>
            <w:color w:val="000066"/>
          </w:rPr>
          <w:t>Section 232 New Construction Lenders and Construction Management Teams Virtual Lender Roundtable</w:t>
        </w:r>
      </w:hyperlink>
    </w:p>
    <w:p w14:paraId="249AD820" w14:textId="77A1B927" w:rsidR="007F10C3" w:rsidRPr="00E22C87" w:rsidRDefault="00000000" w:rsidP="00557E51">
      <w:pPr>
        <w:pStyle w:val="TOC1"/>
        <w:numPr>
          <w:ilvl w:val="0"/>
          <w:numId w:val="42"/>
        </w:numPr>
        <w:rPr>
          <w:rFonts w:asciiTheme="minorHAnsi" w:eastAsiaTheme="minorEastAsia" w:hAnsiTheme="minorHAnsi" w:cstheme="minorBidi"/>
          <w:noProof/>
          <w:color w:val="000066"/>
          <w:sz w:val="22"/>
        </w:rPr>
      </w:pPr>
      <w:hyperlink w:anchor="_Toc112316082" w:history="1">
        <w:r w:rsidR="007F10C3" w:rsidRPr="00E22C87">
          <w:rPr>
            <w:rStyle w:val="Hyperlink"/>
            <w:noProof/>
            <w:color w:val="000066"/>
          </w:rPr>
          <w:t>Office of Residential Care Facilities (ORCF) Position Vacancy</w:t>
        </w:r>
      </w:hyperlink>
    </w:p>
    <w:p w14:paraId="6E0E6047" w14:textId="63621931" w:rsidR="00743DDB" w:rsidRPr="001F5102" w:rsidRDefault="00396DB3" w:rsidP="00863472">
      <w:pPr>
        <w:rPr>
          <w:rFonts w:ascii="Arial" w:hAnsi="Arial" w:cs="Arial"/>
          <w:iCs/>
        </w:rPr>
      </w:pPr>
      <w:r w:rsidRPr="001F5102">
        <w:rPr>
          <w:rFonts w:ascii="Arial" w:hAnsi="Arial" w:cs="Arial"/>
          <w:i/>
        </w:rPr>
        <w:fldChar w:fldCharType="end"/>
      </w:r>
    </w:p>
    <w:p w14:paraId="5A625462" w14:textId="77777777" w:rsidR="000112A7" w:rsidRPr="001F5102" w:rsidRDefault="000112A7" w:rsidP="00863472">
      <w:pPr>
        <w:rPr>
          <w:rFonts w:ascii="Arial" w:hAnsi="Arial" w:cs="Arial"/>
          <w:iCs/>
        </w:rPr>
      </w:pPr>
    </w:p>
    <w:p w14:paraId="6435943C" w14:textId="32066B1A" w:rsidR="007F10C3" w:rsidRPr="007711FE" w:rsidRDefault="007F10C3" w:rsidP="00EF0945">
      <w:pPr>
        <w:pStyle w:val="EmailBlast"/>
        <w:spacing w:after="120"/>
      </w:pPr>
      <w:bookmarkStart w:id="2" w:name="_Toc380585836"/>
      <w:bookmarkStart w:id="3" w:name="_Toc111183898"/>
      <w:bookmarkStart w:id="4" w:name="_Toc112316079"/>
      <w:bookmarkStart w:id="5" w:name="_Toc111183899"/>
      <w:bookmarkEnd w:id="2"/>
      <w:r>
        <w:t>In Case You Missed It - Mor</w:t>
      </w:r>
      <w:r w:rsidR="00EB6D83">
        <w:t>t</w:t>
      </w:r>
      <w:r>
        <w:t xml:space="preserve">gagee </w:t>
      </w:r>
      <w:r w:rsidRPr="007711FE">
        <w:t>Letter 2022-1</w:t>
      </w:r>
      <w:r>
        <w:t>3</w:t>
      </w:r>
      <w:r w:rsidRPr="007711FE">
        <w:t xml:space="preserve"> “Green Mortgage Insurance Premium (MIP) Program Guidance for the Office of Health Care Facilities (ORCF)” Published</w:t>
      </w:r>
      <w:bookmarkEnd w:id="3"/>
      <w:bookmarkEnd w:id="4"/>
    </w:p>
    <w:p w14:paraId="7684B003" w14:textId="77777777" w:rsidR="007F10C3" w:rsidRPr="00515019" w:rsidRDefault="007F10C3" w:rsidP="00EF0945">
      <w:pPr>
        <w:spacing w:after="120"/>
        <w:rPr>
          <w:rFonts w:ascii="Arial" w:hAnsi="Arial" w:cs="Arial"/>
        </w:rPr>
      </w:pPr>
      <w:r w:rsidRPr="00515019">
        <w:rPr>
          <w:rFonts w:ascii="Arial" w:hAnsi="Arial" w:cs="Arial"/>
        </w:rPr>
        <w:t>Mortgagee Letter 2022-13 “Green Mortgage Insurance Premium (MIP) Program Guidance for the Office of Health Care Facilities (ORCF)” was published on August 18, 2022. This Mortgagee Letter (ML) provides program guidance and reporting requirements for</w:t>
      </w:r>
      <w:r w:rsidRPr="00515019">
        <w:rPr>
          <w:rFonts w:ascii="Arial" w:hAnsi="Arial" w:cs="Arial"/>
          <w:szCs w:val="24"/>
        </w:rPr>
        <w:t xml:space="preserve"> mortgages on properties that meet </w:t>
      </w:r>
      <w:r w:rsidRPr="00515019">
        <w:rPr>
          <w:rFonts w:ascii="Arial" w:hAnsi="Arial" w:cs="Arial"/>
        </w:rPr>
        <w:t xml:space="preserve">ORCF’s “Green </w:t>
      </w:r>
      <w:r w:rsidRPr="00515019">
        <w:rPr>
          <w:rFonts w:ascii="Arial" w:hAnsi="Arial" w:cs="Arial"/>
          <w:szCs w:val="24"/>
        </w:rPr>
        <w:t xml:space="preserve">MIP” requirements. </w:t>
      </w:r>
      <w:r w:rsidRPr="00515019">
        <w:rPr>
          <w:rFonts w:ascii="Arial" w:hAnsi="Arial" w:cs="Arial"/>
        </w:rPr>
        <w:t xml:space="preserve">The ORCF Green MIP initiative was announced in ORCF’s Green MIP </w:t>
      </w:r>
      <w:r w:rsidRPr="00515019">
        <w:rPr>
          <w:rFonts w:ascii="Arial" w:hAnsi="Arial" w:cs="Arial"/>
          <w:i/>
          <w:iCs/>
        </w:rPr>
        <w:t>Federal Register</w:t>
      </w:r>
      <w:r w:rsidRPr="00515019">
        <w:rPr>
          <w:rFonts w:ascii="Arial" w:hAnsi="Arial" w:cs="Arial"/>
        </w:rPr>
        <w:t xml:space="preserve"> Notice (FR-6302-N-01) on May 19, 2022, and an additional notice published on August 12, 2022, (</w:t>
      </w:r>
      <w:hyperlink r:id="rId12" w:history="1">
        <w:r w:rsidRPr="00515019">
          <w:rPr>
            <w:rStyle w:val="Hyperlink"/>
            <w:rFonts w:ascii="Arial" w:hAnsi="Arial" w:cs="Arial"/>
          </w:rPr>
          <w:t>FR–6302–C–02</w:t>
        </w:r>
      </w:hyperlink>
      <w:r w:rsidRPr="00515019">
        <w:rPr>
          <w:rFonts w:ascii="Arial" w:hAnsi="Arial" w:cs="Arial"/>
        </w:rPr>
        <w:t xml:space="preserve">). For further details, please see the </w:t>
      </w:r>
      <w:hyperlink r:id="rId13" w:history="1">
        <w:r w:rsidRPr="00515019">
          <w:rPr>
            <w:rStyle w:val="Hyperlink"/>
            <w:rFonts w:ascii="Arial" w:hAnsi="Arial" w:cs="Arial"/>
          </w:rPr>
          <w:t>ML 2022-13</w:t>
        </w:r>
      </w:hyperlink>
      <w:r w:rsidRPr="00515019">
        <w:rPr>
          <w:rFonts w:ascii="Arial" w:hAnsi="Arial" w:cs="Arial"/>
        </w:rPr>
        <w:t xml:space="preserve"> and </w:t>
      </w:r>
      <w:hyperlink r:id="rId14" w:history="1">
        <w:r w:rsidRPr="00515019">
          <w:rPr>
            <w:rStyle w:val="Hyperlink"/>
            <w:rFonts w:ascii="Arial" w:hAnsi="Arial" w:cs="Arial"/>
          </w:rPr>
          <w:t>HUD press release</w:t>
        </w:r>
      </w:hyperlink>
      <w:r w:rsidRPr="00515019">
        <w:rPr>
          <w:rFonts w:ascii="Arial" w:hAnsi="Arial" w:cs="Arial"/>
        </w:rPr>
        <w:t>.</w:t>
      </w:r>
    </w:p>
    <w:p w14:paraId="5B616AB5" w14:textId="77777777" w:rsidR="007F10C3" w:rsidRDefault="007F10C3" w:rsidP="007F10C3">
      <w:pPr>
        <w:rPr>
          <w:rFonts w:ascii="Arial" w:hAnsi="Arial" w:cs="Arial"/>
        </w:rPr>
      </w:pPr>
    </w:p>
    <w:p w14:paraId="43479944" w14:textId="77777777" w:rsidR="007F10C3" w:rsidRPr="00EB3297" w:rsidRDefault="007F10C3" w:rsidP="007F10C3">
      <w:pPr>
        <w:rPr>
          <w:rFonts w:ascii="Arial" w:hAnsi="Arial" w:cs="Arial"/>
          <w:i/>
          <w:iCs/>
        </w:rPr>
      </w:pPr>
      <w:r w:rsidRPr="00EB3297">
        <w:rPr>
          <w:rFonts w:ascii="Arial" w:hAnsi="Arial" w:cs="Arial"/>
          <w:b/>
          <w:bCs/>
          <w:i/>
          <w:iCs/>
        </w:rPr>
        <w:t>Keywords:</w:t>
      </w:r>
      <w:r w:rsidRPr="00EB3297">
        <w:rPr>
          <w:rFonts w:ascii="Arial" w:hAnsi="Arial" w:cs="Arial"/>
          <w:i/>
          <w:iCs/>
        </w:rPr>
        <w:t xml:space="preserve">  </w:t>
      </w:r>
      <w:r>
        <w:rPr>
          <w:rFonts w:ascii="Arial" w:hAnsi="Arial" w:cs="Arial"/>
          <w:i/>
          <w:iCs/>
        </w:rPr>
        <w:t>Mortgage Insurance Premium, Green MIP</w:t>
      </w:r>
    </w:p>
    <w:p w14:paraId="10236F7E" w14:textId="7C7A1D81" w:rsidR="007F10C3" w:rsidRDefault="007F10C3" w:rsidP="007F10C3">
      <w:pPr>
        <w:pStyle w:val="EmailBlast"/>
      </w:pPr>
    </w:p>
    <w:p w14:paraId="35417EA7" w14:textId="77777777" w:rsidR="00D41388" w:rsidRDefault="00000000" w:rsidP="00D41388">
      <w:pPr>
        <w:rPr>
          <w:rFonts w:ascii="Arial" w:hAnsi="Arial" w:cs="Arial"/>
          <w:color w:val="365F91" w:themeColor="accent1" w:themeShade="BF"/>
          <w:szCs w:val="24"/>
          <w:u w:val="single"/>
        </w:rPr>
      </w:pPr>
      <w:hyperlink w:anchor="_top" w:history="1">
        <w:r w:rsidR="00D41388" w:rsidRPr="001F5102">
          <w:rPr>
            <w:rFonts w:ascii="Arial" w:hAnsi="Arial" w:cs="Arial"/>
            <w:color w:val="365F91" w:themeColor="accent1" w:themeShade="BF"/>
            <w:szCs w:val="24"/>
            <w:u w:val="single"/>
          </w:rPr>
          <w:t>Back to top</w:t>
        </w:r>
      </w:hyperlink>
    </w:p>
    <w:p w14:paraId="73CAD9F1" w14:textId="77777777" w:rsidR="00D41388" w:rsidRDefault="00D41388" w:rsidP="007F10C3">
      <w:pPr>
        <w:pStyle w:val="EmailBlast"/>
      </w:pPr>
    </w:p>
    <w:p w14:paraId="0E9F293E" w14:textId="09DD76CE" w:rsidR="00122037" w:rsidRPr="00A2752F" w:rsidRDefault="00122037" w:rsidP="00EF0945">
      <w:pPr>
        <w:pStyle w:val="EmailBlast"/>
        <w:spacing w:after="120"/>
        <w:rPr>
          <w:sz w:val="24"/>
        </w:rPr>
      </w:pPr>
      <w:bookmarkStart w:id="6" w:name="_Toc112316080"/>
      <w:r>
        <w:t>Addressing Climate Impacts in Environmental Assessment (EA) Level Reviews</w:t>
      </w:r>
      <w:bookmarkEnd w:id="5"/>
      <w:bookmarkEnd w:id="6"/>
    </w:p>
    <w:p w14:paraId="0AFDDF7B" w14:textId="77777777" w:rsidR="00122037" w:rsidRPr="00C933DC" w:rsidRDefault="00122037" w:rsidP="00EF0945">
      <w:pPr>
        <w:spacing w:after="120"/>
        <w:rPr>
          <w:rFonts w:ascii="Arial" w:hAnsi="Arial" w:cs="Arial"/>
          <w:szCs w:val="24"/>
        </w:rPr>
      </w:pPr>
      <w:r w:rsidRPr="00C933DC">
        <w:rPr>
          <w:rFonts w:ascii="Arial" w:hAnsi="Arial" w:cs="Arial"/>
          <w:szCs w:val="24"/>
        </w:rPr>
        <w:t xml:space="preserve">HUD’s Office of Environment and Energy recently issued an updated </w:t>
      </w:r>
      <w:hyperlink r:id="rId15" w:history="1">
        <w:r w:rsidRPr="00C933DC">
          <w:rPr>
            <w:rStyle w:val="Hyperlink"/>
            <w:rFonts w:ascii="Arial" w:hAnsi="Arial" w:cs="Arial"/>
            <w:szCs w:val="24"/>
          </w:rPr>
          <w:t>Environmental Assessment eGuide</w:t>
        </w:r>
      </w:hyperlink>
      <w:r w:rsidRPr="00C933DC">
        <w:rPr>
          <w:rFonts w:ascii="Arial" w:hAnsi="Arial" w:cs="Arial"/>
          <w:szCs w:val="24"/>
        </w:rPr>
        <w:t xml:space="preserve"> that includes new Environmental Assessment (EA) factors related </w:t>
      </w:r>
      <w:r w:rsidRPr="00C933DC">
        <w:rPr>
          <w:rFonts w:ascii="Arial" w:hAnsi="Arial" w:cs="Arial"/>
          <w:szCs w:val="24"/>
        </w:rPr>
        <w:lastRenderedPageBreak/>
        <w:t xml:space="preserve">to Climate Change and Energy Efficiency.  An associated </w:t>
      </w:r>
      <w:hyperlink r:id="rId16" w:history="1">
        <w:r w:rsidRPr="00C933DC">
          <w:rPr>
            <w:rStyle w:val="Hyperlink"/>
            <w:rFonts w:ascii="Arial" w:hAnsi="Arial" w:cs="Arial"/>
            <w:szCs w:val="24"/>
          </w:rPr>
          <w:t>webinar</w:t>
        </w:r>
      </w:hyperlink>
      <w:r w:rsidRPr="00012CEE">
        <w:rPr>
          <w:rFonts w:ascii="Arial" w:hAnsi="Arial" w:cs="Arial"/>
          <w:szCs w:val="24"/>
        </w:rPr>
        <w:t xml:space="preserve"> and an </w:t>
      </w:r>
      <w:hyperlink r:id="rId17" w:history="1">
        <w:r w:rsidRPr="00C933DC">
          <w:rPr>
            <w:rStyle w:val="Hyperlink"/>
            <w:rFonts w:ascii="Arial" w:hAnsi="Arial" w:cs="Arial"/>
            <w:szCs w:val="24"/>
          </w:rPr>
          <w:t>FAQ document</w:t>
        </w:r>
      </w:hyperlink>
      <w:r w:rsidRPr="00C933DC">
        <w:rPr>
          <w:rFonts w:ascii="Arial" w:hAnsi="Arial" w:cs="Arial"/>
          <w:szCs w:val="24"/>
        </w:rPr>
        <w:t xml:space="preserve"> are also available.  </w:t>
      </w:r>
    </w:p>
    <w:p w14:paraId="48732EC0" w14:textId="77777777" w:rsidR="00122037" w:rsidRPr="00C933DC" w:rsidRDefault="00122037" w:rsidP="00122037">
      <w:pPr>
        <w:rPr>
          <w:rFonts w:ascii="Arial" w:hAnsi="Arial" w:cs="Arial"/>
          <w:szCs w:val="24"/>
        </w:rPr>
      </w:pPr>
    </w:p>
    <w:p w14:paraId="05D55704" w14:textId="73DF9C5B" w:rsidR="00122037" w:rsidRDefault="00122037" w:rsidP="00122037">
      <w:pPr>
        <w:rPr>
          <w:rFonts w:ascii="Arial" w:hAnsi="Arial" w:cs="Arial"/>
          <w:szCs w:val="24"/>
        </w:rPr>
      </w:pPr>
      <w:r w:rsidRPr="00C933DC">
        <w:rPr>
          <w:rFonts w:ascii="Arial" w:hAnsi="Arial" w:cs="Arial"/>
          <w:szCs w:val="24"/>
        </w:rPr>
        <w:t>The Environmental Assessment eGuide applies to all new construction projects and to rehabilitation projects that require an EA level review</w:t>
      </w:r>
      <w:r>
        <w:rPr>
          <w:rFonts w:ascii="Arial" w:hAnsi="Arial" w:cs="Arial"/>
          <w:szCs w:val="24"/>
        </w:rPr>
        <w:t xml:space="preserve"> (Please see </w:t>
      </w:r>
      <w:r w:rsidRPr="003010B5">
        <w:rPr>
          <w:rFonts w:ascii="Arial" w:hAnsi="Arial" w:cs="Arial"/>
          <w:szCs w:val="24"/>
        </w:rPr>
        <w:t>Handbook</w:t>
      </w:r>
      <w:r>
        <w:rPr>
          <w:rFonts w:ascii="Arial" w:hAnsi="Arial" w:cs="Arial"/>
          <w:szCs w:val="24"/>
        </w:rPr>
        <w:t xml:space="preserve"> 4232.1 Section </w:t>
      </w:r>
      <w:r w:rsidRPr="003010B5">
        <w:rPr>
          <w:rFonts w:ascii="Arial" w:hAnsi="Arial" w:cs="Arial"/>
          <w:szCs w:val="24"/>
        </w:rPr>
        <w:t xml:space="preserve">II, </w:t>
      </w:r>
      <w:r>
        <w:rPr>
          <w:rFonts w:ascii="Arial" w:hAnsi="Arial" w:cs="Arial"/>
          <w:szCs w:val="24"/>
        </w:rPr>
        <w:t>Chapter</w:t>
      </w:r>
      <w:r w:rsidRPr="003010B5">
        <w:rPr>
          <w:rFonts w:ascii="Arial" w:hAnsi="Arial" w:cs="Arial"/>
          <w:szCs w:val="24"/>
        </w:rPr>
        <w:t xml:space="preserve"> 7.1.A</w:t>
      </w:r>
      <w:r>
        <w:rPr>
          <w:rFonts w:ascii="Arial" w:hAnsi="Arial" w:cs="Arial"/>
          <w:szCs w:val="24"/>
        </w:rPr>
        <w:t>)</w:t>
      </w:r>
      <w:r w:rsidRPr="003010B5">
        <w:rPr>
          <w:rFonts w:ascii="Arial" w:hAnsi="Arial" w:cs="Arial"/>
          <w:szCs w:val="24"/>
        </w:rPr>
        <w:t>.</w:t>
      </w:r>
      <w:r>
        <w:rPr>
          <w:rFonts w:ascii="Arial" w:hAnsi="Arial" w:cs="Arial"/>
          <w:szCs w:val="24"/>
        </w:rPr>
        <w:t xml:space="preserve"> </w:t>
      </w:r>
      <w:r w:rsidRPr="00C933DC">
        <w:rPr>
          <w:rFonts w:ascii="Arial" w:hAnsi="Arial" w:cs="Arial"/>
          <w:szCs w:val="24"/>
        </w:rPr>
        <w:t>The eGuide does not apply to refinance or rehabilitation actions that are Categorically Excluded from</w:t>
      </w:r>
      <w:r w:rsidR="00241184">
        <w:rPr>
          <w:rFonts w:ascii="Arial" w:hAnsi="Arial" w:cs="Arial"/>
          <w:szCs w:val="24"/>
        </w:rPr>
        <w:t xml:space="preserve"> t</w:t>
      </w:r>
      <w:r w:rsidR="00241184" w:rsidRPr="00241184">
        <w:rPr>
          <w:rFonts w:ascii="Arial" w:hAnsi="Arial" w:cs="Arial"/>
          <w:szCs w:val="24"/>
        </w:rPr>
        <w:t>he National Environmental Policy Act (NEPA)</w:t>
      </w:r>
      <w:r w:rsidR="00241184">
        <w:rPr>
          <w:rStyle w:val="CommentReference"/>
        </w:rPr>
        <w:t>.</w:t>
      </w:r>
      <w:r w:rsidR="00241184" w:rsidRPr="00C933DC">
        <w:rPr>
          <w:rFonts w:ascii="Arial" w:hAnsi="Arial" w:cs="Arial"/>
          <w:szCs w:val="24"/>
        </w:rPr>
        <w:t xml:space="preserve"> </w:t>
      </w:r>
      <w:r w:rsidRPr="00C933DC">
        <w:rPr>
          <w:rFonts w:ascii="Arial" w:hAnsi="Arial" w:cs="Arial"/>
          <w:szCs w:val="24"/>
        </w:rPr>
        <w:t>Therefore, the requirements do not apply to Section 232/223(f) projects or other Categorically Excluded projects</w:t>
      </w:r>
      <w:r>
        <w:rPr>
          <w:rFonts w:ascii="Arial" w:hAnsi="Arial" w:cs="Arial"/>
          <w:szCs w:val="24"/>
        </w:rPr>
        <w:t xml:space="preserve"> (Please see</w:t>
      </w:r>
      <w:r>
        <w:rPr>
          <w:rFonts w:ascii="Arial" w:hAnsi="Arial" w:cs="Arial"/>
          <w:szCs w:val="24"/>
          <w:lang w:val="x-none"/>
        </w:rPr>
        <w:t xml:space="preserve"> Handbook</w:t>
      </w:r>
      <w:r>
        <w:rPr>
          <w:rFonts w:ascii="Arial" w:hAnsi="Arial" w:cs="Arial"/>
          <w:szCs w:val="24"/>
        </w:rPr>
        <w:t xml:space="preserve"> 4232.1,</w:t>
      </w:r>
      <w:r>
        <w:rPr>
          <w:rFonts w:ascii="Arial" w:hAnsi="Arial" w:cs="Arial"/>
          <w:szCs w:val="24"/>
          <w:lang w:val="x-none"/>
        </w:rPr>
        <w:t xml:space="preserve"> Section II, Chapter </w:t>
      </w:r>
      <w:r>
        <w:rPr>
          <w:rFonts w:ascii="Arial" w:hAnsi="Arial" w:cs="Arial"/>
          <w:szCs w:val="24"/>
        </w:rPr>
        <w:t>7).</w:t>
      </w:r>
    </w:p>
    <w:p w14:paraId="6477F111" w14:textId="77777777" w:rsidR="00122037" w:rsidRDefault="00122037" w:rsidP="00122037">
      <w:pPr>
        <w:rPr>
          <w:rFonts w:ascii="Arial" w:hAnsi="Arial" w:cs="Arial"/>
          <w:szCs w:val="24"/>
        </w:rPr>
      </w:pPr>
    </w:p>
    <w:p w14:paraId="6868175A" w14:textId="3632E1CE" w:rsidR="00122037" w:rsidRPr="00C933DC" w:rsidRDefault="00122037" w:rsidP="00122037">
      <w:pPr>
        <w:rPr>
          <w:rFonts w:ascii="Arial" w:hAnsi="Arial" w:cs="Arial"/>
          <w:szCs w:val="24"/>
        </w:rPr>
      </w:pPr>
      <w:r w:rsidRPr="00C933DC">
        <w:rPr>
          <w:rFonts w:ascii="Arial" w:hAnsi="Arial" w:cs="Arial"/>
          <w:szCs w:val="24"/>
        </w:rPr>
        <w:t xml:space="preserve">The eGuide is written generally for all HUD programs that trigger an EA level review. </w:t>
      </w:r>
      <w:r w:rsidR="00107A26">
        <w:rPr>
          <w:rFonts w:ascii="Arial" w:hAnsi="Arial" w:cs="Arial"/>
          <w:szCs w:val="24"/>
        </w:rPr>
        <w:t>In this article we have highlighted key components that apply</w:t>
      </w:r>
      <w:r w:rsidR="009C7414">
        <w:rPr>
          <w:rFonts w:ascii="Arial" w:hAnsi="Arial" w:cs="Arial"/>
          <w:szCs w:val="24"/>
        </w:rPr>
        <w:t xml:space="preserve"> </w:t>
      </w:r>
      <w:r w:rsidRPr="00C933DC">
        <w:rPr>
          <w:rFonts w:ascii="Arial" w:hAnsi="Arial" w:cs="Arial"/>
          <w:szCs w:val="24"/>
        </w:rPr>
        <w:t>specifically to Section 232 projects</w:t>
      </w:r>
      <w:r w:rsidR="00107A26">
        <w:rPr>
          <w:rFonts w:ascii="Arial" w:hAnsi="Arial" w:cs="Arial"/>
          <w:szCs w:val="24"/>
        </w:rPr>
        <w:t>,</w:t>
      </w:r>
      <w:r w:rsidRPr="00C933DC">
        <w:rPr>
          <w:rFonts w:ascii="Arial" w:hAnsi="Arial" w:cs="Arial"/>
          <w:szCs w:val="24"/>
        </w:rPr>
        <w:t xml:space="preserve"> and </w:t>
      </w:r>
      <w:r w:rsidR="00107A26">
        <w:rPr>
          <w:rFonts w:ascii="Arial" w:hAnsi="Arial" w:cs="Arial"/>
          <w:szCs w:val="24"/>
        </w:rPr>
        <w:t>the</w:t>
      </w:r>
      <w:r w:rsidR="009C7414">
        <w:rPr>
          <w:rFonts w:ascii="Arial" w:hAnsi="Arial" w:cs="Arial"/>
          <w:szCs w:val="24"/>
        </w:rPr>
        <w:t xml:space="preserve"> </w:t>
      </w:r>
      <w:r w:rsidRPr="00C933DC">
        <w:rPr>
          <w:rFonts w:ascii="Arial" w:hAnsi="Arial" w:cs="Arial"/>
          <w:szCs w:val="24"/>
        </w:rPr>
        <w:t>path for implementation</w:t>
      </w:r>
      <w:r>
        <w:rPr>
          <w:rFonts w:ascii="Arial" w:hAnsi="Arial" w:cs="Arial"/>
          <w:szCs w:val="24"/>
        </w:rPr>
        <w:t>, beginning December 1, 2022.</w:t>
      </w:r>
    </w:p>
    <w:p w14:paraId="7C54D366" w14:textId="77777777" w:rsidR="00122037" w:rsidRPr="00A2752F" w:rsidRDefault="00122037" w:rsidP="00122037">
      <w:pPr>
        <w:rPr>
          <w:rFonts w:ascii="Arial" w:hAnsi="Arial" w:cs="Arial"/>
          <w:szCs w:val="24"/>
        </w:rPr>
      </w:pPr>
    </w:p>
    <w:p w14:paraId="5D3EEBFC" w14:textId="77777777" w:rsidR="00122037" w:rsidRDefault="00122037" w:rsidP="00122037">
      <w:pPr>
        <w:rPr>
          <w:rFonts w:ascii="Arial" w:hAnsi="Arial" w:cs="Arial"/>
          <w:szCs w:val="24"/>
        </w:rPr>
      </w:pPr>
      <w:r w:rsidRPr="00A2752F" w:rsidDel="004E0FE8">
        <w:rPr>
          <w:rFonts w:ascii="Arial" w:hAnsi="Arial" w:cs="Arial"/>
          <w:szCs w:val="24"/>
        </w:rPr>
        <w:t xml:space="preserve">Applications already submitted do not </w:t>
      </w:r>
      <w:r>
        <w:rPr>
          <w:rFonts w:ascii="Arial" w:hAnsi="Arial" w:cs="Arial"/>
          <w:szCs w:val="24"/>
        </w:rPr>
        <w:t xml:space="preserve">have to be amended with </w:t>
      </w:r>
      <w:r w:rsidRPr="00A2752F" w:rsidDel="004E0FE8">
        <w:rPr>
          <w:rFonts w:ascii="Arial" w:hAnsi="Arial" w:cs="Arial"/>
          <w:szCs w:val="24"/>
        </w:rPr>
        <w:t>update</w:t>
      </w:r>
      <w:r>
        <w:rPr>
          <w:rFonts w:ascii="Arial" w:hAnsi="Arial" w:cs="Arial"/>
          <w:szCs w:val="24"/>
        </w:rPr>
        <w:t>d</w:t>
      </w:r>
      <w:r w:rsidRPr="00A2752F" w:rsidDel="004E0FE8">
        <w:rPr>
          <w:rFonts w:ascii="Arial" w:hAnsi="Arial" w:cs="Arial"/>
          <w:szCs w:val="24"/>
        </w:rPr>
        <w:t xml:space="preserve"> environmental </w:t>
      </w:r>
      <w:r>
        <w:rPr>
          <w:rFonts w:ascii="Arial" w:hAnsi="Arial" w:cs="Arial"/>
          <w:szCs w:val="24"/>
        </w:rPr>
        <w:t>assessments</w:t>
      </w:r>
      <w:r w:rsidRPr="00A2752F" w:rsidDel="004E0FE8">
        <w:rPr>
          <w:rFonts w:ascii="Arial" w:hAnsi="Arial" w:cs="Arial"/>
          <w:szCs w:val="24"/>
        </w:rPr>
        <w:t xml:space="preserve"> to include the new EA factors. </w:t>
      </w:r>
      <w:r w:rsidRPr="00A2752F">
        <w:rPr>
          <w:rFonts w:ascii="Arial" w:hAnsi="Arial" w:cs="Arial"/>
          <w:szCs w:val="24"/>
        </w:rPr>
        <w:t>Applications requiring an EA level review that are submitted after December 1, 2022</w:t>
      </w:r>
      <w:r>
        <w:rPr>
          <w:rFonts w:ascii="Arial" w:hAnsi="Arial" w:cs="Arial"/>
          <w:szCs w:val="24"/>
        </w:rPr>
        <w:t>,</w:t>
      </w:r>
      <w:r w:rsidRPr="00A2752F">
        <w:rPr>
          <w:rFonts w:ascii="Arial" w:hAnsi="Arial" w:cs="Arial"/>
          <w:szCs w:val="24"/>
        </w:rPr>
        <w:t xml:space="preserve"> must address current and reasonably foreseeable climate impacts, along with Energy Efficiency and all other EA factors. </w:t>
      </w:r>
    </w:p>
    <w:p w14:paraId="51F00D2B" w14:textId="77777777" w:rsidR="00122037" w:rsidRPr="00A2752F" w:rsidRDefault="00122037" w:rsidP="00122037">
      <w:pPr>
        <w:rPr>
          <w:rFonts w:ascii="Arial" w:hAnsi="Arial" w:cs="Arial"/>
          <w:szCs w:val="24"/>
        </w:rPr>
      </w:pPr>
    </w:p>
    <w:p w14:paraId="013616AC" w14:textId="77777777" w:rsidR="00122037" w:rsidRPr="00A2752F" w:rsidRDefault="00122037" w:rsidP="00122037">
      <w:pPr>
        <w:rPr>
          <w:rFonts w:ascii="Arial" w:hAnsi="Arial" w:cs="Arial"/>
          <w:szCs w:val="24"/>
        </w:rPr>
      </w:pPr>
      <w:r w:rsidRPr="00A2752F">
        <w:rPr>
          <w:rFonts w:ascii="Arial" w:hAnsi="Arial" w:cs="Arial"/>
          <w:szCs w:val="24"/>
          <w:u w:val="single"/>
        </w:rPr>
        <w:t>Considering Climate Risk</w:t>
      </w:r>
    </w:p>
    <w:p w14:paraId="1310751E" w14:textId="77777777" w:rsidR="00122037" w:rsidRDefault="00122037" w:rsidP="00122037">
      <w:pPr>
        <w:rPr>
          <w:rFonts w:ascii="Arial" w:hAnsi="Arial" w:cs="Arial"/>
          <w:szCs w:val="24"/>
        </w:rPr>
      </w:pPr>
      <w:r w:rsidRPr="00A2752F">
        <w:rPr>
          <w:rFonts w:ascii="Arial" w:hAnsi="Arial" w:cs="Arial"/>
          <w:szCs w:val="24"/>
        </w:rPr>
        <w:t xml:space="preserve">Applicants may analyze likely current hazard risks by entering the property’s address into FEMA's </w:t>
      </w:r>
      <w:hyperlink r:id="rId18" w:history="1">
        <w:r w:rsidRPr="00A2752F">
          <w:rPr>
            <w:rStyle w:val="Hyperlink"/>
            <w:rFonts w:ascii="Arial" w:hAnsi="Arial" w:cs="Arial"/>
            <w:szCs w:val="24"/>
          </w:rPr>
          <w:t>National Risk Index</w:t>
        </w:r>
      </w:hyperlink>
      <w:r w:rsidRPr="00A2752F">
        <w:rPr>
          <w:rFonts w:ascii="Arial" w:hAnsi="Arial" w:cs="Arial"/>
          <w:szCs w:val="24"/>
        </w:rPr>
        <w:t xml:space="preserve"> (NRI), identify which hazards are "relatively high" or "very high" for the project’s census tract, and generate and submit the NRI report for the census track.  </w:t>
      </w:r>
    </w:p>
    <w:p w14:paraId="7969AEF4" w14:textId="77777777" w:rsidR="00122037" w:rsidRPr="00A2752F" w:rsidRDefault="00122037" w:rsidP="00122037">
      <w:pPr>
        <w:rPr>
          <w:rFonts w:ascii="Arial" w:hAnsi="Arial" w:cs="Arial"/>
          <w:szCs w:val="24"/>
        </w:rPr>
      </w:pPr>
    </w:p>
    <w:p w14:paraId="6669AEAD" w14:textId="77777777" w:rsidR="00122037" w:rsidRDefault="00122037" w:rsidP="00122037">
      <w:pPr>
        <w:rPr>
          <w:rFonts w:ascii="Arial" w:hAnsi="Arial" w:cs="Arial"/>
          <w:szCs w:val="24"/>
        </w:rPr>
      </w:pPr>
      <w:r w:rsidRPr="00A2752F">
        <w:rPr>
          <w:rFonts w:ascii="Arial" w:hAnsi="Arial" w:cs="Arial"/>
          <w:szCs w:val="24"/>
        </w:rPr>
        <w:t xml:space="preserve">Applicants must also consider future climate risks over the term of the mortgage, and may use climate projection tools such as </w:t>
      </w:r>
      <w:hyperlink r:id="rId19" w:history="1">
        <w:r w:rsidRPr="00A2752F">
          <w:rPr>
            <w:rStyle w:val="Hyperlink"/>
            <w:rFonts w:ascii="Arial" w:hAnsi="Arial" w:cs="Arial"/>
            <w:szCs w:val="24"/>
          </w:rPr>
          <w:t>Climate Explorer</w:t>
        </w:r>
      </w:hyperlink>
      <w:r w:rsidRPr="00A2752F">
        <w:rPr>
          <w:rFonts w:ascii="Arial" w:hAnsi="Arial" w:cs="Arial"/>
          <w:szCs w:val="24"/>
        </w:rPr>
        <w:t xml:space="preserve">, </w:t>
      </w:r>
      <w:hyperlink r:id="rId20" w:history="1">
        <w:r w:rsidRPr="00A2752F">
          <w:rPr>
            <w:rStyle w:val="Hyperlink"/>
            <w:rFonts w:ascii="Arial" w:hAnsi="Arial" w:cs="Arial"/>
            <w:szCs w:val="24"/>
          </w:rPr>
          <w:t>Risk Factor</w:t>
        </w:r>
      </w:hyperlink>
      <w:r w:rsidRPr="00A2752F">
        <w:rPr>
          <w:rFonts w:ascii="Arial" w:hAnsi="Arial" w:cs="Arial"/>
          <w:szCs w:val="24"/>
        </w:rPr>
        <w:t xml:space="preserve">, </w:t>
      </w:r>
      <w:hyperlink r:id="rId21" w:history="1">
        <w:r w:rsidRPr="00A2752F">
          <w:rPr>
            <w:rStyle w:val="Hyperlink"/>
            <w:rFonts w:ascii="Arial" w:hAnsi="Arial" w:cs="Arial"/>
            <w:szCs w:val="24"/>
          </w:rPr>
          <w:t>NOAA Sea Level Rise Viewer</w:t>
        </w:r>
      </w:hyperlink>
      <w:r w:rsidRPr="00A2752F">
        <w:rPr>
          <w:rFonts w:ascii="Arial" w:hAnsi="Arial" w:cs="Arial"/>
          <w:szCs w:val="24"/>
        </w:rPr>
        <w:t xml:space="preserve">, and </w:t>
      </w:r>
      <w:hyperlink r:id="rId22" w:history="1">
        <w:r w:rsidRPr="00A2752F">
          <w:rPr>
            <w:rStyle w:val="Hyperlink"/>
            <w:rFonts w:ascii="Arial" w:hAnsi="Arial" w:cs="Arial"/>
            <w:szCs w:val="24"/>
          </w:rPr>
          <w:t>Climate Central Coastal Risk Screening Tool</w:t>
        </w:r>
      </w:hyperlink>
      <w:r w:rsidRPr="00A2752F">
        <w:rPr>
          <w:rFonts w:ascii="Arial" w:hAnsi="Arial" w:cs="Arial"/>
          <w:szCs w:val="24"/>
        </w:rPr>
        <w:t xml:space="preserve"> (by year and/or water level) for that purpose. HUD’s EA Factor eGuide training recommends the Climate Explorer tool and ORCF would accept a summary of the top climate concerns from the site’s “Take Action” tab. It may be necessary to supplement Climate Explorer with a source such as Risk Factor to capture projected flood or wildfire risks.  HUD would also accept equivalent reports from other sources.  </w:t>
      </w:r>
    </w:p>
    <w:p w14:paraId="7F5F17F5" w14:textId="77777777" w:rsidR="00122037" w:rsidRPr="00A2752F" w:rsidRDefault="00122037" w:rsidP="00122037">
      <w:pPr>
        <w:rPr>
          <w:rFonts w:ascii="Arial" w:hAnsi="Arial" w:cs="Arial"/>
          <w:szCs w:val="24"/>
        </w:rPr>
      </w:pPr>
    </w:p>
    <w:p w14:paraId="7E270E88" w14:textId="77777777" w:rsidR="00122037" w:rsidRDefault="00122037" w:rsidP="00122037">
      <w:pPr>
        <w:rPr>
          <w:rFonts w:ascii="Arial" w:hAnsi="Arial" w:cs="Arial"/>
          <w:szCs w:val="24"/>
        </w:rPr>
      </w:pPr>
      <w:r w:rsidRPr="00A2752F">
        <w:rPr>
          <w:rFonts w:ascii="Arial" w:hAnsi="Arial" w:cs="Arial"/>
          <w:szCs w:val="24"/>
        </w:rPr>
        <w:t xml:space="preserve">For both NRI and the climate projection reports, the application must include a narrative description detailing how the scope of work addresses and/or mitigates against any climate risks identified in the reports.  </w:t>
      </w:r>
    </w:p>
    <w:p w14:paraId="3B65736A" w14:textId="77777777" w:rsidR="00122037" w:rsidRPr="00A2752F" w:rsidRDefault="00122037" w:rsidP="00122037">
      <w:pPr>
        <w:rPr>
          <w:rFonts w:ascii="Arial" w:hAnsi="Arial" w:cs="Arial"/>
          <w:szCs w:val="24"/>
        </w:rPr>
      </w:pPr>
    </w:p>
    <w:p w14:paraId="3E0974A9" w14:textId="52AF2B87" w:rsidR="00122037" w:rsidRDefault="00122037" w:rsidP="00122037">
      <w:pPr>
        <w:rPr>
          <w:rFonts w:ascii="Arial" w:hAnsi="Arial" w:cs="Arial"/>
          <w:szCs w:val="24"/>
        </w:rPr>
      </w:pPr>
      <w:r w:rsidRPr="00A2752F">
        <w:rPr>
          <w:rFonts w:ascii="Arial" w:hAnsi="Arial" w:cs="Arial"/>
          <w:szCs w:val="24"/>
        </w:rPr>
        <w:t xml:space="preserve">The </w:t>
      </w:r>
      <w:hyperlink r:id="rId23" w:history="1">
        <w:r w:rsidRPr="00A2752F">
          <w:rPr>
            <w:rStyle w:val="Hyperlink"/>
            <w:rFonts w:ascii="Arial" w:hAnsi="Arial" w:cs="Arial"/>
            <w:szCs w:val="24"/>
          </w:rPr>
          <w:t>Climate Change Impacts</w:t>
        </w:r>
      </w:hyperlink>
      <w:r w:rsidRPr="00A2752F">
        <w:rPr>
          <w:rFonts w:ascii="Arial" w:hAnsi="Arial" w:cs="Arial"/>
          <w:szCs w:val="24"/>
        </w:rPr>
        <w:t xml:space="preserve"> section of the Environmental Assessment eGuide provides information on climate change analysis techniques, mitigation measures, and includes links to a number of useful resources.</w:t>
      </w:r>
    </w:p>
    <w:p w14:paraId="2525AE6A" w14:textId="77777777" w:rsidR="006F2C72" w:rsidRPr="00A2752F" w:rsidRDefault="006F2C72" w:rsidP="00122037">
      <w:pPr>
        <w:rPr>
          <w:rFonts w:ascii="Arial" w:hAnsi="Arial" w:cs="Arial"/>
          <w:szCs w:val="24"/>
        </w:rPr>
      </w:pPr>
    </w:p>
    <w:p w14:paraId="0BCD585B" w14:textId="77777777" w:rsidR="00122037" w:rsidRPr="00A2752F" w:rsidRDefault="00122037" w:rsidP="00122037">
      <w:pPr>
        <w:rPr>
          <w:rFonts w:ascii="Arial" w:hAnsi="Arial" w:cs="Arial"/>
          <w:szCs w:val="24"/>
        </w:rPr>
      </w:pPr>
      <w:r w:rsidRPr="00A2752F">
        <w:rPr>
          <w:rFonts w:ascii="Arial" w:hAnsi="Arial" w:cs="Arial"/>
          <w:szCs w:val="24"/>
        </w:rPr>
        <w:t xml:space="preserve">An update to the HUD Environmental Review Online System (HEROS) will provide a dedicated row for the Climate Change Factor on the environmental assessment (EA) Factors page of HEROS (page 4010).  Prior to the update, Climate Change impacts and </w:t>
      </w:r>
      <w:r w:rsidRPr="00A2752F">
        <w:rPr>
          <w:rFonts w:ascii="Arial" w:hAnsi="Arial" w:cs="Arial"/>
          <w:szCs w:val="24"/>
        </w:rPr>
        <w:lastRenderedPageBreak/>
        <w:t>mitigation would be reported in the Other Factors row under the Natural Features EA category.</w:t>
      </w:r>
    </w:p>
    <w:p w14:paraId="5FC3502E" w14:textId="77777777" w:rsidR="00122037" w:rsidRPr="00A2752F" w:rsidRDefault="00122037" w:rsidP="00122037">
      <w:pPr>
        <w:rPr>
          <w:rFonts w:ascii="Arial" w:hAnsi="Arial" w:cs="Arial"/>
          <w:szCs w:val="24"/>
          <w:u w:val="single"/>
        </w:rPr>
      </w:pPr>
    </w:p>
    <w:p w14:paraId="62E7EC98" w14:textId="77777777" w:rsidR="00122037" w:rsidRPr="00A2752F" w:rsidRDefault="00122037" w:rsidP="00122037">
      <w:pPr>
        <w:rPr>
          <w:rFonts w:ascii="Arial" w:hAnsi="Arial" w:cs="Arial"/>
          <w:szCs w:val="24"/>
          <w:u w:val="single"/>
        </w:rPr>
      </w:pPr>
      <w:r w:rsidRPr="00A2752F">
        <w:rPr>
          <w:rFonts w:ascii="Arial" w:hAnsi="Arial" w:cs="Arial"/>
          <w:szCs w:val="24"/>
          <w:u w:val="single"/>
        </w:rPr>
        <w:t>Energy Efficiency</w:t>
      </w:r>
    </w:p>
    <w:p w14:paraId="766C7508" w14:textId="77777777" w:rsidR="00122037" w:rsidRPr="00A2752F" w:rsidRDefault="00122037" w:rsidP="00122037">
      <w:pPr>
        <w:rPr>
          <w:rFonts w:ascii="Arial" w:hAnsi="Arial" w:cs="Arial"/>
          <w:szCs w:val="24"/>
        </w:rPr>
      </w:pPr>
      <w:r w:rsidRPr="00A2752F">
        <w:rPr>
          <w:rFonts w:ascii="Arial" w:hAnsi="Arial" w:cs="Arial"/>
          <w:szCs w:val="24"/>
        </w:rPr>
        <w:t>The EA factors element also asks HUD to consider the project’s contributions to climate change via building materials and energy use. This would also be a place to note if a project is participating in Green MIP, or offering amenities such as electric vehicle charging stations.  At this time, ORCF does not have specific Greenhouse Gas Emissions benchmarks to meet as part of the environmental assessment.</w:t>
      </w:r>
    </w:p>
    <w:p w14:paraId="39D2B0BD" w14:textId="77777777" w:rsidR="00122037" w:rsidRPr="00A2752F" w:rsidRDefault="00122037" w:rsidP="00122037">
      <w:pPr>
        <w:rPr>
          <w:rFonts w:ascii="Arial" w:hAnsi="Arial" w:cs="Arial"/>
          <w:szCs w:val="24"/>
        </w:rPr>
      </w:pPr>
      <w:r w:rsidRPr="00A2752F">
        <w:rPr>
          <w:rFonts w:ascii="Arial" w:hAnsi="Arial" w:cs="Arial"/>
          <w:szCs w:val="24"/>
        </w:rPr>
        <w:t>Keywords: Environment, Climate, Energy, HEROS</w:t>
      </w:r>
    </w:p>
    <w:p w14:paraId="62D30DD0" w14:textId="77777777" w:rsidR="00122037" w:rsidRPr="00A2752F" w:rsidRDefault="00122037" w:rsidP="00122037">
      <w:pPr>
        <w:rPr>
          <w:rFonts w:ascii="Arial" w:hAnsi="Arial" w:cs="Arial"/>
          <w:szCs w:val="24"/>
        </w:rPr>
      </w:pPr>
    </w:p>
    <w:p w14:paraId="55C5C585" w14:textId="77777777" w:rsidR="00122037" w:rsidRDefault="00122037" w:rsidP="00122037">
      <w:pPr>
        <w:rPr>
          <w:rFonts w:ascii="Arial" w:hAnsi="Arial" w:cs="Arial"/>
          <w:i/>
          <w:iCs/>
          <w:szCs w:val="24"/>
        </w:rPr>
      </w:pPr>
      <w:r w:rsidRPr="00A2752F">
        <w:rPr>
          <w:rFonts w:ascii="Arial" w:hAnsi="Arial" w:cs="Arial"/>
          <w:b/>
          <w:bCs/>
          <w:i/>
          <w:iCs/>
          <w:szCs w:val="24"/>
        </w:rPr>
        <w:t>Keywords:</w:t>
      </w:r>
      <w:r w:rsidRPr="00A2752F">
        <w:rPr>
          <w:rFonts w:ascii="Arial" w:hAnsi="Arial" w:cs="Arial"/>
          <w:i/>
          <w:iCs/>
          <w:szCs w:val="24"/>
        </w:rPr>
        <w:t xml:space="preserve"> </w:t>
      </w:r>
      <w:r>
        <w:rPr>
          <w:rFonts w:ascii="Arial" w:hAnsi="Arial" w:cs="Arial"/>
          <w:i/>
          <w:iCs/>
          <w:szCs w:val="24"/>
        </w:rPr>
        <w:t>Environmental Assessment, Green MIP, HEROS</w:t>
      </w:r>
    </w:p>
    <w:p w14:paraId="7C012EDF" w14:textId="77777777" w:rsidR="00122037" w:rsidRPr="006457D3" w:rsidRDefault="00122037" w:rsidP="00122037">
      <w:pPr>
        <w:rPr>
          <w:rFonts w:ascii="Arial" w:hAnsi="Arial" w:cs="Arial"/>
          <w:szCs w:val="24"/>
        </w:rPr>
      </w:pPr>
    </w:p>
    <w:p w14:paraId="54701DD7" w14:textId="77777777" w:rsidR="00122037" w:rsidRDefault="00000000" w:rsidP="00122037">
      <w:pPr>
        <w:rPr>
          <w:rFonts w:ascii="Arial" w:hAnsi="Arial" w:cs="Arial"/>
          <w:color w:val="365F91" w:themeColor="accent1" w:themeShade="BF"/>
          <w:szCs w:val="24"/>
          <w:u w:val="single"/>
        </w:rPr>
      </w:pPr>
      <w:hyperlink w:anchor="_top" w:history="1">
        <w:r w:rsidR="00122037" w:rsidRPr="001F5102">
          <w:rPr>
            <w:rFonts w:ascii="Arial" w:hAnsi="Arial" w:cs="Arial"/>
            <w:color w:val="365F91" w:themeColor="accent1" w:themeShade="BF"/>
            <w:szCs w:val="24"/>
            <w:u w:val="single"/>
          </w:rPr>
          <w:t>Back to top</w:t>
        </w:r>
      </w:hyperlink>
    </w:p>
    <w:p w14:paraId="6C35B29F" w14:textId="77777777" w:rsidR="00122037" w:rsidRDefault="00122037" w:rsidP="00122037">
      <w:pPr>
        <w:rPr>
          <w:rFonts w:ascii="Arial" w:hAnsi="Arial" w:cs="Arial"/>
          <w:szCs w:val="24"/>
        </w:rPr>
      </w:pPr>
    </w:p>
    <w:p w14:paraId="63125EB8" w14:textId="77777777" w:rsidR="00122037" w:rsidRPr="000B611E" w:rsidRDefault="00122037" w:rsidP="00EF0945">
      <w:pPr>
        <w:pStyle w:val="EmailBlast"/>
        <w:spacing w:after="120"/>
      </w:pPr>
      <w:bookmarkStart w:id="7" w:name="_Toc112316081"/>
      <w:bookmarkStart w:id="8" w:name="_Hlk112069573"/>
      <w:r w:rsidRPr="000B611E">
        <w:t>Section 232 New Construction Lenders and Construction Management Teams Virtual Lender Roundtable</w:t>
      </w:r>
      <w:bookmarkEnd w:id="7"/>
    </w:p>
    <w:p w14:paraId="52C8947B" w14:textId="6B19A84B" w:rsidR="00122037" w:rsidRPr="000B611E" w:rsidRDefault="00122037" w:rsidP="00EF0945">
      <w:pPr>
        <w:spacing w:after="120"/>
        <w:rPr>
          <w:rFonts w:ascii="Arial" w:hAnsi="Arial" w:cs="Arial"/>
          <w:szCs w:val="24"/>
        </w:rPr>
      </w:pPr>
      <w:r w:rsidRPr="000B611E">
        <w:rPr>
          <w:rFonts w:ascii="Arial" w:hAnsi="Arial" w:cs="Arial"/>
          <w:szCs w:val="24"/>
        </w:rPr>
        <w:t xml:space="preserve">You are invited to join the ORCF Closing Team for a </w:t>
      </w:r>
      <w:r w:rsidRPr="000B611E">
        <w:rPr>
          <w:rFonts w:ascii="Arial" w:hAnsi="Arial" w:cs="Arial"/>
          <w:b/>
          <w:bCs/>
          <w:i/>
          <w:iCs/>
          <w:szCs w:val="24"/>
          <w:u w:val="single"/>
        </w:rPr>
        <w:t>“</w:t>
      </w:r>
      <w:r w:rsidRPr="00E22C87">
        <w:rPr>
          <w:rFonts w:ascii="Arial" w:hAnsi="Arial" w:cs="Arial"/>
          <w:b/>
          <w:bCs/>
          <w:szCs w:val="24"/>
          <w:u w:val="single"/>
        </w:rPr>
        <w:t>virtual” Lender Roundtable Session on Tuesday, September 20</w:t>
      </w:r>
      <w:r w:rsidR="006F2C72" w:rsidRPr="00E22C87">
        <w:rPr>
          <w:rFonts w:ascii="Arial" w:hAnsi="Arial" w:cs="Arial"/>
          <w:b/>
          <w:bCs/>
          <w:szCs w:val="24"/>
          <w:u w:val="single"/>
        </w:rPr>
        <w:t>, 2022</w:t>
      </w:r>
      <w:r w:rsidRPr="00E22C87">
        <w:rPr>
          <w:rFonts w:ascii="Arial" w:hAnsi="Arial" w:cs="Arial"/>
          <w:b/>
          <w:bCs/>
          <w:szCs w:val="24"/>
          <w:u w:val="single"/>
        </w:rPr>
        <w:t xml:space="preserve"> to discuss the Section 232 Construction Management/Loan Administration process.</w:t>
      </w:r>
      <w:r w:rsidRPr="000B611E">
        <w:rPr>
          <w:rFonts w:ascii="Arial" w:hAnsi="Arial" w:cs="Arial"/>
          <w:szCs w:val="24"/>
        </w:rPr>
        <w:t>  We will be covering Initial Closing and Construction Management through Final Endorsement and will be sharing “lessons learned” and other helpful tips to facilitate a seamless process to reach Final Endorsement.</w:t>
      </w:r>
    </w:p>
    <w:p w14:paraId="73F51224" w14:textId="77777777" w:rsidR="00122037" w:rsidRPr="000B611E" w:rsidRDefault="00122037" w:rsidP="00122037">
      <w:pPr>
        <w:rPr>
          <w:rFonts w:ascii="Arial" w:hAnsi="Arial" w:cs="Arial"/>
          <w:szCs w:val="24"/>
        </w:rPr>
      </w:pPr>
    </w:p>
    <w:p w14:paraId="1BC5D8A8" w14:textId="5EB77DC8" w:rsidR="00122037" w:rsidRPr="000B611E" w:rsidRDefault="00122037" w:rsidP="00122037">
      <w:pPr>
        <w:rPr>
          <w:rFonts w:ascii="Arial" w:hAnsi="Arial" w:cs="Arial"/>
          <w:b/>
          <w:bCs/>
          <w:szCs w:val="24"/>
          <w:u w:val="single"/>
        </w:rPr>
      </w:pPr>
      <w:r w:rsidRPr="000B611E">
        <w:rPr>
          <w:rFonts w:ascii="Arial" w:hAnsi="Arial" w:cs="Arial"/>
          <w:szCs w:val="24"/>
        </w:rPr>
        <w:t xml:space="preserve">This “virtual” Lender Roundtable Session will be taking place on </w:t>
      </w:r>
      <w:r w:rsidRPr="000B611E">
        <w:rPr>
          <w:rFonts w:ascii="Arial" w:hAnsi="Arial" w:cs="Arial"/>
          <w:b/>
          <w:bCs/>
          <w:szCs w:val="24"/>
          <w:u w:val="single"/>
        </w:rPr>
        <w:t>September 20, 2022 from 12:00 p.m. – 4:00 p.m. ET (11:00 a.m. -  3:00p.m. CT/ 9:00a.m. – 1:00 p.m. PT.)</w:t>
      </w:r>
    </w:p>
    <w:p w14:paraId="101555F6" w14:textId="77777777" w:rsidR="00122037" w:rsidRPr="000B611E" w:rsidRDefault="00122037" w:rsidP="00122037">
      <w:pPr>
        <w:rPr>
          <w:rFonts w:ascii="Arial" w:hAnsi="Arial" w:cs="Arial"/>
          <w:b/>
          <w:bCs/>
          <w:szCs w:val="24"/>
        </w:rPr>
      </w:pPr>
    </w:p>
    <w:p w14:paraId="1D8F894C" w14:textId="32731C1E" w:rsidR="00122037" w:rsidRPr="000B611E" w:rsidRDefault="00122037" w:rsidP="00122037">
      <w:pPr>
        <w:rPr>
          <w:rFonts w:ascii="Arial" w:hAnsi="Arial" w:cs="Arial"/>
          <w:b/>
          <w:bCs/>
          <w:szCs w:val="24"/>
        </w:rPr>
      </w:pPr>
      <w:r w:rsidRPr="000B611E">
        <w:rPr>
          <w:rFonts w:ascii="Arial" w:hAnsi="Arial" w:cs="Arial"/>
          <w:b/>
          <w:bCs/>
          <w:szCs w:val="24"/>
        </w:rPr>
        <w:t xml:space="preserve">To register for this event, please see link </w:t>
      </w:r>
      <w:r w:rsidR="009C7414">
        <w:rPr>
          <w:rFonts w:ascii="Arial" w:hAnsi="Arial" w:cs="Arial"/>
          <w:b/>
          <w:bCs/>
          <w:szCs w:val="24"/>
        </w:rPr>
        <w:t>(</w:t>
      </w:r>
      <w:hyperlink r:id="rId24" w:history="1">
        <w:r w:rsidRPr="009C7414">
          <w:rPr>
            <w:rStyle w:val="Hyperlink"/>
            <w:rFonts w:ascii="Arial" w:hAnsi="Arial" w:cs="Arial"/>
            <w:b/>
            <w:bCs/>
            <w:szCs w:val="24"/>
          </w:rPr>
          <w:t>here</w:t>
        </w:r>
      </w:hyperlink>
      <w:r w:rsidR="009C7414">
        <w:rPr>
          <w:rFonts w:ascii="Arial" w:hAnsi="Arial" w:cs="Arial"/>
          <w:b/>
          <w:bCs/>
          <w:szCs w:val="24"/>
        </w:rPr>
        <w:t>).</w:t>
      </w:r>
    </w:p>
    <w:p w14:paraId="2692F4AA" w14:textId="77777777" w:rsidR="00122037" w:rsidRPr="000B611E" w:rsidRDefault="00122037" w:rsidP="00122037">
      <w:pPr>
        <w:rPr>
          <w:rFonts w:ascii="Arial" w:hAnsi="Arial" w:cs="Arial"/>
          <w:b/>
          <w:bCs/>
          <w:szCs w:val="24"/>
        </w:rPr>
      </w:pPr>
    </w:p>
    <w:p w14:paraId="6EC0DF3E" w14:textId="00219755" w:rsidR="00122037" w:rsidRPr="000B611E" w:rsidRDefault="00122037" w:rsidP="00122037">
      <w:pPr>
        <w:rPr>
          <w:rFonts w:ascii="Arial" w:hAnsi="Arial" w:cs="Arial"/>
          <w:szCs w:val="24"/>
        </w:rPr>
      </w:pPr>
      <w:r w:rsidRPr="000B611E">
        <w:rPr>
          <w:rFonts w:ascii="Arial" w:hAnsi="Arial" w:cs="Arial"/>
          <w:szCs w:val="24"/>
        </w:rPr>
        <w:t xml:space="preserve">Should you have any questions, please contact the ORCF Closing Team at: </w:t>
      </w:r>
      <w:hyperlink r:id="rId25" w:history="1">
        <w:r w:rsidRPr="000B611E">
          <w:rPr>
            <w:rStyle w:val="Hyperlink"/>
            <w:rFonts w:ascii="Arial" w:hAnsi="Arial" w:cs="Arial"/>
            <w:szCs w:val="24"/>
          </w:rPr>
          <w:t>orcfcloser@hud.gov</w:t>
        </w:r>
      </w:hyperlink>
    </w:p>
    <w:bookmarkEnd w:id="8"/>
    <w:p w14:paraId="78414448" w14:textId="77777777" w:rsidR="00122037" w:rsidRDefault="00122037" w:rsidP="00122037">
      <w:pPr>
        <w:rPr>
          <w:rFonts w:ascii="Arial" w:hAnsi="Arial" w:cs="Arial"/>
          <w:szCs w:val="24"/>
        </w:rPr>
      </w:pPr>
    </w:p>
    <w:p w14:paraId="7AE57A9C" w14:textId="77777777" w:rsidR="00122037" w:rsidRDefault="00122037" w:rsidP="00122037">
      <w:pPr>
        <w:rPr>
          <w:rFonts w:ascii="Arial" w:hAnsi="Arial" w:cs="Arial"/>
          <w:i/>
          <w:iCs/>
          <w:szCs w:val="24"/>
        </w:rPr>
      </w:pPr>
      <w:r w:rsidRPr="00A2752F">
        <w:rPr>
          <w:rFonts w:ascii="Arial" w:hAnsi="Arial" w:cs="Arial"/>
          <w:b/>
          <w:bCs/>
          <w:i/>
          <w:iCs/>
          <w:szCs w:val="24"/>
        </w:rPr>
        <w:t>Keywords:</w:t>
      </w:r>
      <w:r w:rsidRPr="00A2752F">
        <w:rPr>
          <w:rFonts w:ascii="Arial" w:hAnsi="Arial" w:cs="Arial"/>
          <w:i/>
          <w:iCs/>
          <w:szCs w:val="24"/>
        </w:rPr>
        <w:t xml:space="preserve"> </w:t>
      </w:r>
      <w:r>
        <w:rPr>
          <w:rFonts w:ascii="Arial" w:hAnsi="Arial" w:cs="Arial"/>
          <w:i/>
          <w:iCs/>
          <w:szCs w:val="24"/>
        </w:rPr>
        <w:t>Lender Dialog Meetings</w:t>
      </w:r>
    </w:p>
    <w:p w14:paraId="509DA7A2" w14:textId="77777777" w:rsidR="00122037" w:rsidRPr="00A2752F" w:rsidRDefault="00122037" w:rsidP="00122037">
      <w:pPr>
        <w:rPr>
          <w:rFonts w:ascii="Arial" w:hAnsi="Arial" w:cs="Arial"/>
          <w:i/>
          <w:iCs/>
          <w:szCs w:val="24"/>
        </w:rPr>
      </w:pPr>
    </w:p>
    <w:p w14:paraId="0B302574" w14:textId="000C8929" w:rsidR="00122037" w:rsidRDefault="00000000" w:rsidP="00122037">
      <w:pPr>
        <w:rPr>
          <w:rFonts w:ascii="Arial" w:hAnsi="Arial" w:cs="Arial"/>
          <w:color w:val="365F91" w:themeColor="accent1" w:themeShade="BF"/>
          <w:szCs w:val="24"/>
          <w:u w:val="single"/>
        </w:rPr>
      </w:pPr>
      <w:hyperlink w:anchor="_top" w:history="1">
        <w:r w:rsidR="00122037" w:rsidRPr="001F5102">
          <w:rPr>
            <w:rFonts w:ascii="Arial" w:hAnsi="Arial" w:cs="Arial"/>
            <w:color w:val="365F91" w:themeColor="accent1" w:themeShade="BF"/>
            <w:szCs w:val="24"/>
            <w:u w:val="single"/>
          </w:rPr>
          <w:t>Back to top</w:t>
        </w:r>
      </w:hyperlink>
    </w:p>
    <w:p w14:paraId="7BF698CC" w14:textId="3E50BF13" w:rsidR="00157B40" w:rsidRDefault="00157B40" w:rsidP="00122037">
      <w:pPr>
        <w:rPr>
          <w:rFonts w:ascii="Arial" w:hAnsi="Arial" w:cs="Arial"/>
          <w:color w:val="365F91" w:themeColor="accent1" w:themeShade="BF"/>
          <w:szCs w:val="24"/>
          <w:u w:val="single"/>
        </w:rPr>
      </w:pPr>
    </w:p>
    <w:p w14:paraId="52DC8694" w14:textId="3745E2AC" w:rsidR="00157B40" w:rsidRPr="00012CEE" w:rsidRDefault="00157B40" w:rsidP="00EF0945">
      <w:pPr>
        <w:pStyle w:val="EmailBlast"/>
        <w:spacing w:after="120"/>
      </w:pPr>
      <w:bookmarkStart w:id="9" w:name="_Toc112316082"/>
      <w:r w:rsidRPr="00012CEE">
        <w:t>Office of Residential Care Facilities (ORCF) Position Vacancy</w:t>
      </w:r>
      <w:bookmarkEnd w:id="9"/>
      <w:r w:rsidRPr="00012CEE">
        <w:t xml:space="preserve"> </w:t>
      </w:r>
    </w:p>
    <w:p w14:paraId="35EE55E8" w14:textId="4AC8F18D" w:rsidR="00157B40" w:rsidRDefault="00157B40" w:rsidP="00EF0945">
      <w:pPr>
        <w:pStyle w:val="NormalWeb"/>
        <w:tabs>
          <w:tab w:val="left" w:pos="3573"/>
        </w:tabs>
        <w:spacing w:after="120"/>
        <w:rPr>
          <w:rFonts w:ascii="Arial" w:hAnsi="Arial" w:cs="Arial"/>
          <w:color w:val="000000"/>
          <w:sz w:val="23"/>
          <w:szCs w:val="23"/>
        </w:rPr>
      </w:pPr>
      <w:r>
        <w:rPr>
          <w:rFonts w:ascii="Arial" w:hAnsi="Arial" w:cs="Arial"/>
          <w:color w:val="000000"/>
          <w:sz w:val="23"/>
          <w:szCs w:val="23"/>
        </w:rPr>
        <w:t xml:space="preserve">ORCF </w:t>
      </w:r>
      <w:r w:rsidRPr="00157B40">
        <w:rPr>
          <w:rFonts w:ascii="Arial" w:hAnsi="Arial" w:cs="Arial"/>
          <w:color w:val="000000"/>
          <w:sz w:val="23"/>
          <w:szCs w:val="23"/>
        </w:rPr>
        <w:t xml:space="preserve">is pleased to announce that it is hiring for the following positions: </w:t>
      </w:r>
    </w:p>
    <w:p w14:paraId="43FE8215" w14:textId="77777777" w:rsidR="00157B40" w:rsidRDefault="00157B40" w:rsidP="00EF0945">
      <w:pPr>
        <w:pStyle w:val="NormalWeb"/>
        <w:tabs>
          <w:tab w:val="left" w:pos="3573"/>
        </w:tabs>
        <w:contextualSpacing/>
        <w:rPr>
          <w:rFonts w:ascii="Arial" w:hAnsi="Arial" w:cs="Arial"/>
          <w:color w:val="000000"/>
          <w:sz w:val="23"/>
          <w:szCs w:val="23"/>
        </w:rPr>
      </w:pPr>
    </w:p>
    <w:p w14:paraId="47057F8A" w14:textId="13627A67" w:rsidR="00157B40" w:rsidRPr="00157B40" w:rsidRDefault="00157B40" w:rsidP="00EF0945">
      <w:pPr>
        <w:pStyle w:val="NormalWeb"/>
        <w:tabs>
          <w:tab w:val="left" w:pos="3573"/>
        </w:tabs>
        <w:contextualSpacing/>
        <w:rPr>
          <w:rFonts w:ascii="Arial" w:hAnsi="Arial" w:cs="Arial"/>
        </w:rPr>
      </w:pPr>
      <w:r w:rsidRPr="00157B40">
        <w:rPr>
          <w:rStyle w:val="Strong"/>
          <w:rFonts w:ascii="Arial" w:hAnsi="Arial" w:cs="Arial"/>
          <w:i/>
          <w:iCs/>
        </w:rPr>
        <w:t>Production Division</w:t>
      </w:r>
    </w:p>
    <w:p w14:paraId="504F2081" w14:textId="77777777" w:rsidR="00012CEE" w:rsidRDefault="00012CEE" w:rsidP="00EF0945">
      <w:pPr>
        <w:pStyle w:val="NormalWeb"/>
        <w:tabs>
          <w:tab w:val="left" w:pos="3573"/>
        </w:tabs>
        <w:contextualSpacing/>
        <w:rPr>
          <w:rStyle w:val="Strong"/>
          <w:rFonts w:ascii="Arial" w:hAnsi="Arial" w:cs="Arial"/>
          <w:i/>
          <w:iCs/>
        </w:rPr>
      </w:pPr>
    </w:p>
    <w:p w14:paraId="38FA9BB0" w14:textId="57C233EE" w:rsidR="00157B40" w:rsidRPr="00157B40" w:rsidRDefault="00157B40" w:rsidP="00012CEE">
      <w:pPr>
        <w:pStyle w:val="NormalWeb"/>
        <w:tabs>
          <w:tab w:val="left" w:pos="3573"/>
        </w:tabs>
        <w:rPr>
          <w:rFonts w:ascii="Arial" w:hAnsi="Arial" w:cs="Arial"/>
        </w:rPr>
      </w:pPr>
      <w:r w:rsidRPr="00157B40">
        <w:rPr>
          <w:rStyle w:val="Strong"/>
          <w:rFonts w:ascii="Arial" w:hAnsi="Arial" w:cs="Arial"/>
          <w:i/>
          <w:iCs/>
        </w:rPr>
        <w:t xml:space="preserve">Account Executive – Underwriter (2 positions) </w:t>
      </w:r>
    </w:p>
    <w:p w14:paraId="01337E84" w14:textId="77777777" w:rsidR="00157B40" w:rsidRPr="00157B40" w:rsidRDefault="00157B40" w:rsidP="00012CEE">
      <w:pPr>
        <w:tabs>
          <w:tab w:val="left" w:pos="3573"/>
        </w:tabs>
        <w:rPr>
          <w:rFonts w:ascii="Arial" w:hAnsi="Arial" w:cs="Arial"/>
          <w:szCs w:val="24"/>
        </w:rPr>
      </w:pPr>
    </w:p>
    <w:p w14:paraId="2F893DAF" w14:textId="77777777" w:rsidR="00157B40" w:rsidRPr="00157B40" w:rsidRDefault="00157B40" w:rsidP="00012CEE">
      <w:pPr>
        <w:tabs>
          <w:tab w:val="left" w:pos="3573"/>
        </w:tabs>
        <w:rPr>
          <w:rFonts w:ascii="Arial" w:hAnsi="Arial" w:cs="Arial"/>
          <w:szCs w:val="24"/>
        </w:rPr>
      </w:pPr>
      <w:r w:rsidRPr="00157B40">
        <w:rPr>
          <w:rFonts w:ascii="Arial" w:hAnsi="Arial" w:cs="Arial"/>
          <w:szCs w:val="24"/>
        </w:rPr>
        <w:lastRenderedPageBreak/>
        <w:t>The vacancy announcements are posted on USAJOBS:</w:t>
      </w:r>
    </w:p>
    <w:p w14:paraId="3F10311A" w14:textId="77777777" w:rsidR="00157B40" w:rsidRPr="00157B40" w:rsidRDefault="00157B40" w:rsidP="00012CEE">
      <w:pPr>
        <w:tabs>
          <w:tab w:val="left" w:pos="3573"/>
        </w:tabs>
        <w:rPr>
          <w:rFonts w:ascii="Arial" w:hAnsi="Arial" w:cs="Arial"/>
          <w:szCs w:val="24"/>
        </w:rPr>
      </w:pPr>
      <w:r w:rsidRPr="00157B40">
        <w:rPr>
          <w:rFonts w:ascii="Arial" w:hAnsi="Arial" w:cs="Arial"/>
          <w:szCs w:val="24"/>
        </w:rPr>
        <w:t> </w:t>
      </w:r>
    </w:p>
    <w:p w14:paraId="6B387F35" w14:textId="77777777" w:rsidR="00157B40" w:rsidRPr="00D41388" w:rsidRDefault="00157B40" w:rsidP="00012CEE">
      <w:pPr>
        <w:tabs>
          <w:tab w:val="left" w:pos="3573"/>
        </w:tabs>
        <w:rPr>
          <w:rFonts w:ascii="Arial" w:hAnsi="Arial" w:cs="Arial"/>
          <w:b/>
          <w:bCs/>
          <w:szCs w:val="24"/>
          <w:u w:val="single"/>
        </w:rPr>
      </w:pPr>
      <w:r w:rsidRPr="00D41388">
        <w:rPr>
          <w:rFonts w:ascii="Arial" w:hAnsi="Arial" w:cs="Arial"/>
          <w:b/>
          <w:bCs/>
          <w:szCs w:val="24"/>
          <w:u w:val="single"/>
        </w:rPr>
        <w:t>Internal (Current or former federal employees qualifying as Status Candidates):</w:t>
      </w:r>
    </w:p>
    <w:p w14:paraId="717504CB" w14:textId="77777777" w:rsidR="00157B40" w:rsidRPr="00157B40" w:rsidRDefault="00157B40" w:rsidP="00012CEE">
      <w:pPr>
        <w:tabs>
          <w:tab w:val="left" w:pos="3573"/>
        </w:tabs>
        <w:rPr>
          <w:rFonts w:ascii="Arial" w:hAnsi="Arial" w:cs="Arial"/>
          <w:szCs w:val="24"/>
        </w:rPr>
      </w:pPr>
      <w:r w:rsidRPr="00157B40">
        <w:rPr>
          <w:rFonts w:ascii="Arial" w:hAnsi="Arial" w:cs="Arial"/>
          <w:szCs w:val="24"/>
        </w:rPr>
        <w:t>Locations – Santa Ana, CA; Chicago, IL; Indianapolis, IN; Minneapolis, MN; Oklahoma City, OK; Portland, OR; Fort Worth, TX (</w:t>
      </w:r>
      <w:hyperlink r:id="rId26" w:history="1">
        <w:r w:rsidRPr="00157B40">
          <w:rPr>
            <w:rStyle w:val="Hyperlink"/>
            <w:rFonts w:ascii="Arial" w:hAnsi="Arial" w:cs="Arial"/>
            <w:szCs w:val="24"/>
          </w:rPr>
          <w:t>USAJOBS - Job Announcement</w:t>
        </w:r>
      </w:hyperlink>
      <w:r w:rsidRPr="00157B40">
        <w:rPr>
          <w:rFonts w:ascii="Arial" w:hAnsi="Arial" w:cs="Arial"/>
          <w:szCs w:val="24"/>
        </w:rPr>
        <w:t>)</w:t>
      </w:r>
    </w:p>
    <w:p w14:paraId="3145D95B" w14:textId="77777777" w:rsidR="00157B40" w:rsidRPr="00157B40" w:rsidRDefault="00157B40" w:rsidP="00012CEE">
      <w:pPr>
        <w:tabs>
          <w:tab w:val="left" w:pos="3573"/>
        </w:tabs>
        <w:rPr>
          <w:rFonts w:ascii="Arial" w:hAnsi="Arial" w:cs="Arial"/>
          <w:szCs w:val="24"/>
        </w:rPr>
      </w:pPr>
      <w:r w:rsidRPr="00157B40">
        <w:rPr>
          <w:rFonts w:ascii="Arial" w:hAnsi="Arial" w:cs="Arial"/>
          <w:szCs w:val="24"/>
        </w:rPr>
        <w:t>Locations – Washington, DC; Des Moines, IA; Saint Louis, MO; New York, NY; Greensboro, NC; Columbus, OH; Milwaukee, WI (</w:t>
      </w:r>
      <w:hyperlink r:id="rId27" w:history="1">
        <w:r w:rsidRPr="00157B40">
          <w:rPr>
            <w:rStyle w:val="Hyperlink"/>
            <w:rFonts w:ascii="Arial" w:hAnsi="Arial" w:cs="Arial"/>
            <w:szCs w:val="24"/>
          </w:rPr>
          <w:t>USAJOBS - Job Announcement</w:t>
        </w:r>
      </w:hyperlink>
      <w:r w:rsidRPr="00157B40">
        <w:rPr>
          <w:rFonts w:ascii="Arial" w:hAnsi="Arial" w:cs="Arial"/>
          <w:szCs w:val="24"/>
        </w:rPr>
        <w:t>)</w:t>
      </w:r>
    </w:p>
    <w:p w14:paraId="5FB04A67" w14:textId="77777777" w:rsidR="00157B40" w:rsidRPr="00157B40" w:rsidRDefault="00157B40" w:rsidP="00157B40">
      <w:pPr>
        <w:tabs>
          <w:tab w:val="left" w:pos="3573"/>
        </w:tabs>
        <w:spacing w:after="75"/>
        <w:rPr>
          <w:rFonts w:ascii="Arial" w:hAnsi="Arial" w:cs="Arial"/>
          <w:szCs w:val="24"/>
        </w:rPr>
      </w:pPr>
      <w:r w:rsidRPr="00157B40">
        <w:rPr>
          <w:rFonts w:ascii="Arial" w:hAnsi="Arial" w:cs="Arial"/>
          <w:szCs w:val="24"/>
        </w:rPr>
        <w:t> </w:t>
      </w:r>
    </w:p>
    <w:p w14:paraId="0923432A" w14:textId="77777777" w:rsidR="00157B40" w:rsidRPr="00D41388" w:rsidRDefault="00157B40" w:rsidP="00157B40">
      <w:pPr>
        <w:tabs>
          <w:tab w:val="left" w:pos="3573"/>
        </w:tabs>
        <w:spacing w:after="75"/>
        <w:rPr>
          <w:rFonts w:ascii="Arial" w:hAnsi="Arial" w:cs="Arial"/>
          <w:b/>
          <w:bCs/>
          <w:szCs w:val="24"/>
          <w:u w:val="single"/>
        </w:rPr>
      </w:pPr>
      <w:r w:rsidRPr="00D41388">
        <w:rPr>
          <w:rFonts w:ascii="Arial" w:hAnsi="Arial" w:cs="Arial"/>
          <w:b/>
          <w:bCs/>
          <w:szCs w:val="24"/>
          <w:u w:val="single"/>
        </w:rPr>
        <w:t>Public:</w:t>
      </w:r>
    </w:p>
    <w:p w14:paraId="28D44B65" w14:textId="77777777" w:rsidR="00157B40" w:rsidRPr="00157B40" w:rsidRDefault="00157B40" w:rsidP="00157B40">
      <w:pPr>
        <w:tabs>
          <w:tab w:val="left" w:pos="3573"/>
        </w:tabs>
        <w:spacing w:after="75"/>
        <w:rPr>
          <w:rFonts w:ascii="Arial" w:hAnsi="Arial" w:cs="Arial"/>
          <w:szCs w:val="24"/>
        </w:rPr>
      </w:pPr>
      <w:r w:rsidRPr="00157B40">
        <w:rPr>
          <w:rFonts w:ascii="Arial" w:hAnsi="Arial" w:cs="Arial"/>
          <w:szCs w:val="24"/>
        </w:rPr>
        <w:t>Locations – Santa Ana, CA; Chicago, IL; Indianapolis, IN; Minneapolis, MN; Oklahoma City, OK; Portland, OR; Fort Worth, TX (</w:t>
      </w:r>
      <w:hyperlink r:id="rId28" w:history="1">
        <w:r w:rsidRPr="00157B40">
          <w:rPr>
            <w:rStyle w:val="Hyperlink"/>
            <w:rFonts w:ascii="Arial" w:hAnsi="Arial" w:cs="Arial"/>
            <w:szCs w:val="24"/>
          </w:rPr>
          <w:t>USAJOBS - Job Announcement</w:t>
        </w:r>
      </w:hyperlink>
      <w:r w:rsidRPr="00157B40">
        <w:rPr>
          <w:rFonts w:ascii="Arial" w:hAnsi="Arial" w:cs="Arial"/>
          <w:szCs w:val="24"/>
        </w:rPr>
        <w:t>)</w:t>
      </w:r>
    </w:p>
    <w:p w14:paraId="735D30D0" w14:textId="77777777" w:rsidR="00157B40" w:rsidRPr="00157B40" w:rsidRDefault="00157B40" w:rsidP="00157B40">
      <w:pPr>
        <w:tabs>
          <w:tab w:val="left" w:pos="3573"/>
        </w:tabs>
        <w:spacing w:after="75"/>
        <w:rPr>
          <w:rFonts w:ascii="Arial" w:hAnsi="Arial" w:cs="Arial"/>
          <w:szCs w:val="24"/>
        </w:rPr>
      </w:pPr>
      <w:r w:rsidRPr="00157B40">
        <w:rPr>
          <w:rFonts w:ascii="Arial" w:hAnsi="Arial" w:cs="Arial"/>
          <w:szCs w:val="24"/>
        </w:rPr>
        <w:t>Locations – Washington, DC; Des Moines, IA; Saint Louis, MO; New York, NY; Greensboro, NC; Columbus, OH; Milwaukee, WI (</w:t>
      </w:r>
      <w:hyperlink r:id="rId29" w:history="1">
        <w:r w:rsidRPr="00157B40">
          <w:rPr>
            <w:rStyle w:val="Hyperlink"/>
            <w:rFonts w:ascii="Arial" w:hAnsi="Arial" w:cs="Arial"/>
            <w:szCs w:val="24"/>
          </w:rPr>
          <w:t>USAJOBS - Job Announcement</w:t>
        </w:r>
      </w:hyperlink>
      <w:r w:rsidRPr="00157B40">
        <w:rPr>
          <w:rFonts w:ascii="Arial" w:hAnsi="Arial" w:cs="Arial"/>
          <w:szCs w:val="24"/>
        </w:rPr>
        <w:t>)</w:t>
      </w:r>
    </w:p>
    <w:p w14:paraId="59269492" w14:textId="77777777" w:rsidR="00157B40" w:rsidRPr="00157B40" w:rsidRDefault="00157B40" w:rsidP="00157B40">
      <w:pPr>
        <w:tabs>
          <w:tab w:val="left" w:pos="3573"/>
        </w:tabs>
        <w:spacing w:after="75"/>
        <w:rPr>
          <w:rFonts w:ascii="Arial" w:hAnsi="Arial" w:cs="Arial"/>
          <w:szCs w:val="24"/>
        </w:rPr>
      </w:pPr>
      <w:r w:rsidRPr="00157B40">
        <w:rPr>
          <w:rFonts w:ascii="Arial" w:hAnsi="Arial" w:cs="Arial"/>
          <w:szCs w:val="24"/>
        </w:rPr>
        <w:t> </w:t>
      </w:r>
    </w:p>
    <w:p w14:paraId="381E8C5E" w14:textId="1AED24DA" w:rsidR="00157B40" w:rsidRPr="00157B40" w:rsidRDefault="00157B40" w:rsidP="00157B40">
      <w:pPr>
        <w:tabs>
          <w:tab w:val="left" w:pos="3573"/>
        </w:tabs>
        <w:spacing w:after="75"/>
        <w:rPr>
          <w:rFonts w:ascii="Arial" w:hAnsi="Arial" w:cs="Arial"/>
          <w:szCs w:val="24"/>
        </w:rPr>
      </w:pPr>
      <w:r w:rsidRPr="00157B40">
        <w:rPr>
          <w:rFonts w:ascii="Arial" w:hAnsi="Arial" w:cs="Arial"/>
          <w:szCs w:val="24"/>
        </w:rPr>
        <w:t xml:space="preserve">Because the application window is short, </w:t>
      </w:r>
      <w:r w:rsidRPr="00157B40">
        <w:rPr>
          <w:rFonts w:ascii="Arial" w:hAnsi="Arial" w:cs="Arial"/>
          <w:b/>
          <w:bCs/>
          <w:szCs w:val="24"/>
        </w:rPr>
        <w:t>closing on September 6, 2022</w:t>
      </w:r>
      <w:r>
        <w:rPr>
          <w:rFonts w:ascii="Arial" w:hAnsi="Arial" w:cs="Arial"/>
          <w:b/>
          <w:bCs/>
          <w:szCs w:val="24"/>
        </w:rPr>
        <w:t>,</w:t>
      </w:r>
      <w:r w:rsidRPr="00157B40">
        <w:rPr>
          <w:rFonts w:ascii="Arial" w:hAnsi="Arial" w:cs="Arial"/>
          <w:b/>
          <w:bCs/>
          <w:szCs w:val="24"/>
        </w:rPr>
        <w:t xml:space="preserve"> </w:t>
      </w:r>
      <w:r w:rsidRPr="00157B40">
        <w:rPr>
          <w:rFonts w:ascii="Arial" w:hAnsi="Arial" w:cs="Arial"/>
          <w:szCs w:val="24"/>
        </w:rPr>
        <w:t>we are asking you to help us spread the word.</w:t>
      </w:r>
    </w:p>
    <w:p w14:paraId="06FBB823" w14:textId="77777777" w:rsidR="00157B40" w:rsidRPr="00157B40" w:rsidRDefault="00157B40" w:rsidP="00157B40">
      <w:pPr>
        <w:tabs>
          <w:tab w:val="left" w:pos="3573"/>
        </w:tabs>
        <w:rPr>
          <w:rFonts w:ascii="Arial" w:hAnsi="Arial" w:cs="Arial"/>
          <w:szCs w:val="24"/>
        </w:rPr>
      </w:pPr>
    </w:p>
    <w:p w14:paraId="3ABF11D9" w14:textId="01D3BCDC" w:rsidR="00157B40" w:rsidRPr="00157B40" w:rsidRDefault="00157B40" w:rsidP="00157B40">
      <w:pPr>
        <w:tabs>
          <w:tab w:val="left" w:pos="3573"/>
        </w:tabs>
        <w:rPr>
          <w:rFonts w:ascii="Arial" w:hAnsi="Arial" w:cs="Arial"/>
          <w:color w:val="365F91" w:themeColor="accent1" w:themeShade="BF"/>
          <w:szCs w:val="24"/>
          <w:u w:val="single"/>
        </w:rPr>
      </w:pPr>
      <w:r w:rsidRPr="00157B40">
        <w:rPr>
          <w:rStyle w:val="Emphasis"/>
          <w:rFonts w:ascii="Arial" w:hAnsi="Arial" w:cs="Arial"/>
          <w:b/>
          <w:bCs/>
          <w:szCs w:val="24"/>
        </w:rPr>
        <w:t xml:space="preserve">Keyword: </w:t>
      </w:r>
      <w:r w:rsidRPr="00157B40">
        <w:rPr>
          <w:rStyle w:val="Emphasis"/>
          <w:rFonts w:ascii="Arial" w:hAnsi="Arial" w:cs="Arial"/>
          <w:szCs w:val="24"/>
        </w:rPr>
        <w:t>Vacancy Announcement</w:t>
      </w:r>
    </w:p>
    <w:p w14:paraId="27E5D677" w14:textId="17DA18D0" w:rsidR="006E2BD9" w:rsidRDefault="006E2BD9" w:rsidP="006E2BD9">
      <w:pPr>
        <w:rPr>
          <w:rFonts w:ascii="Arial" w:hAnsi="Arial" w:cs="Arial"/>
          <w:b/>
          <w:color w:val="365F91" w:themeColor="accent1" w:themeShade="BF"/>
          <w:szCs w:val="24"/>
        </w:rPr>
      </w:pPr>
    </w:p>
    <w:p w14:paraId="1993351F" w14:textId="77777777" w:rsidR="00157B40" w:rsidRDefault="00000000" w:rsidP="00157B40">
      <w:pPr>
        <w:rPr>
          <w:rFonts w:ascii="Arial" w:hAnsi="Arial" w:cs="Arial"/>
          <w:color w:val="365F91" w:themeColor="accent1" w:themeShade="BF"/>
          <w:szCs w:val="24"/>
          <w:u w:val="single"/>
        </w:rPr>
      </w:pPr>
      <w:hyperlink w:anchor="_top" w:history="1">
        <w:r w:rsidR="00157B40" w:rsidRPr="001F5102">
          <w:rPr>
            <w:rFonts w:ascii="Arial" w:hAnsi="Arial" w:cs="Arial"/>
            <w:color w:val="365F91" w:themeColor="accent1" w:themeShade="BF"/>
            <w:szCs w:val="24"/>
            <w:u w:val="single"/>
          </w:rPr>
          <w:t>Back to top</w:t>
        </w:r>
      </w:hyperlink>
    </w:p>
    <w:p w14:paraId="24F6A534" w14:textId="77777777" w:rsidR="00157B40" w:rsidRPr="001F5102" w:rsidRDefault="00157B40" w:rsidP="006E2BD9">
      <w:pPr>
        <w:rPr>
          <w:rFonts w:ascii="Arial" w:hAnsi="Arial" w:cs="Arial"/>
          <w:b/>
          <w:color w:val="365F91" w:themeColor="accent1" w:themeShade="BF"/>
          <w:szCs w:val="24"/>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EC9D0"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30"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31"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32"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7"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8"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bookmarkEnd w:id="1"/>
    </w:tbl>
    <w:p w14:paraId="6E0E606B" w14:textId="2AA10C3B" w:rsidR="00605E4A" w:rsidRPr="00E23EAD" w:rsidRDefault="00605E4A" w:rsidP="00740D11">
      <w:pPr>
        <w:rPr>
          <w:szCs w:val="24"/>
        </w:rPr>
      </w:pPr>
    </w:p>
    <w:sectPr w:rsidR="00605E4A" w:rsidRPr="00E23EAD" w:rsidSect="00E217E8">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85F6" w14:textId="77777777" w:rsidR="00B4381D" w:rsidRDefault="00B4381D" w:rsidP="00E724F7">
      <w:r>
        <w:separator/>
      </w:r>
    </w:p>
  </w:endnote>
  <w:endnote w:type="continuationSeparator" w:id="0">
    <w:p w14:paraId="3156DAD2" w14:textId="77777777" w:rsidR="00B4381D" w:rsidRDefault="00B4381D" w:rsidP="00E724F7">
      <w:r>
        <w:continuationSeparator/>
      </w:r>
    </w:p>
  </w:endnote>
  <w:endnote w:type="continuationNotice" w:id="1">
    <w:p w14:paraId="0DFF743F" w14:textId="77777777" w:rsidR="00B4381D" w:rsidRDefault="00B4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B731" w14:textId="77777777" w:rsidR="00B4381D" w:rsidRDefault="00B4381D" w:rsidP="00E724F7">
      <w:r>
        <w:separator/>
      </w:r>
    </w:p>
  </w:footnote>
  <w:footnote w:type="continuationSeparator" w:id="0">
    <w:p w14:paraId="4033FC52" w14:textId="77777777" w:rsidR="00B4381D" w:rsidRDefault="00B4381D" w:rsidP="00E724F7">
      <w:r>
        <w:continuationSeparator/>
      </w:r>
    </w:p>
  </w:footnote>
  <w:footnote w:type="continuationNotice" w:id="1">
    <w:p w14:paraId="7ACBB6E0" w14:textId="77777777" w:rsidR="00B4381D" w:rsidRDefault="00B43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4DD1FAEB"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A26"/>
    <w:multiLevelType w:val="hybridMultilevel"/>
    <w:tmpl w:val="26C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3"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7"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4"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530413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69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1554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096121">
    <w:abstractNumId w:val="14"/>
  </w:num>
  <w:num w:numId="5" w16cid:durableId="212280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124505">
    <w:abstractNumId w:val="13"/>
  </w:num>
  <w:num w:numId="7" w16cid:durableId="47459582">
    <w:abstractNumId w:val="19"/>
  </w:num>
  <w:num w:numId="8" w16cid:durableId="556547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635885">
    <w:abstractNumId w:val="6"/>
  </w:num>
  <w:num w:numId="10" w16cid:durableId="851913260">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265725411">
    <w:abstractNumId w:val="27"/>
  </w:num>
  <w:num w:numId="12" w16cid:durableId="870412764">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21198846">
    <w:abstractNumId w:val="12"/>
  </w:num>
  <w:num w:numId="14" w16cid:durableId="1191914562">
    <w:abstractNumId w:val="7"/>
  </w:num>
  <w:num w:numId="15" w16cid:durableId="1593126875">
    <w:abstractNumId w:val="34"/>
  </w:num>
  <w:num w:numId="16" w16cid:durableId="1086148125">
    <w:abstractNumId w:val="2"/>
  </w:num>
  <w:num w:numId="17" w16cid:durableId="440339464">
    <w:abstractNumId w:val="30"/>
  </w:num>
  <w:num w:numId="18" w16cid:durableId="1313022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819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0619629">
    <w:abstractNumId w:val="1"/>
  </w:num>
  <w:num w:numId="21" w16cid:durableId="947929746">
    <w:abstractNumId w:val="9"/>
  </w:num>
  <w:num w:numId="22" w16cid:durableId="1186476870">
    <w:abstractNumId w:val="8"/>
  </w:num>
  <w:num w:numId="23" w16cid:durableId="735127501">
    <w:abstractNumId w:val="22"/>
  </w:num>
  <w:num w:numId="24" w16cid:durableId="2002464500">
    <w:abstractNumId w:val="5"/>
  </w:num>
  <w:num w:numId="25" w16cid:durableId="1102452893">
    <w:abstractNumId w:val="15"/>
  </w:num>
  <w:num w:numId="26" w16cid:durableId="1337226911">
    <w:abstractNumId w:val="28"/>
  </w:num>
  <w:num w:numId="27" w16cid:durableId="1577125048">
    <w:abstractNumId w:val="3"/>
  </w:num>
  <w:num w:numId="28" w16cid:durableId="1365598773">
    <w:abstractNumId w:val="25"/>
  </w:num>
  <w:num w:numId="29" w16cid:durableId="1364135894">
    <w:abstractNumId w:val="21"/>
  </w:num>
  <w:num w:numId="30" w16cid:durableId="1204903092">
    <w:abstractNumId w:val="17"/>
  </w:num>
  <w:num w:numId="31" w16cid:durableId="1455754774">
    <w:abstractNumId w:val="4"/>
  </w:num>
  <w:num w:numId="32" w16cid:durableId="218981990">
    <w:abstractNumId w:val="31"/>
  </w:num>
  <w:num w:numId="33" w16cid:durableId="67272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5622460">
    <w:abstractNumId w:val="10"/>
  </w:num>
  <w:num w:numId="35" w16cid:durableId="1825703335">
    <w:abstractNumId w:val="23"/>
  </w:num>
  <w:num w:numId="36" w16cid:durableId="1694453200">
    <w:abstractNumId w:val="37"/>
  </w:num>
  <w:num w:numId="37" w16cid:durableId="379207524">
    <w:abstractNumId w:val="36"/>
  </w:num>
  <w:num w:numId="38" w16cid:durableId="1078552651">
    <w:abstractNumId w:val="24"/>
  </w:num>
  <w:num w:numId="39" w16cid:durableId="286012869">
    <w:abstractNumId w:val="29"/>
  </w:num>
  <w:num w:numId="40" w16cid:durableId="581918202">
    <w:abstractNumId w:val="16"/>
  </w:num>
  <w:num w:numId="41" w16cid:durableId="1180242854">
    <w:abstractNumId w:val="11"/>
  </w:num>
  <w:num w:numId="42" w16cid:durableId="18524513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2CEE"/>
    <w:rsid w:val="0001456D"/>
    <w:rsid w:val="00014A66"/>
    <w:rsid w:val="000220E1"/>
    <w:rsid w:val="0002519C"/>
    <w:rsid w:val="00026721"/>
    <w:rsid w:val="00027DF5"/>
    <w:rsid w:val="00031481"/>
    <w:rsid w:val="00036CEF"/>
    <w:rsid w:val="0003786A"/>
    <w:rsid w:val="00041F02"/>
    <w:rsid w:val="00042F9C"/>
    <w:rsid w:val="000431CA"/>
    <w:rsid w:val="00044CB8"/>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07A26"/>
    <w:rsid w:val="00114E43"/>
    <w:rsid w:val="001166D4"/>
    <w:rsid w:val="00117426"/>
    <w:rsid w:val="00122037"/>
    <w:rsid w:val="001234C0"/>
    <w:rsid w:val="00125568"/>
    <w:rsid w:val="00136D47"/>
    <w:rsid w:val="00136D4E"/>
    <w:rsid w:val="001372A5"/>
    <w:rsid w:val="00140FD8"/>
    <w:rsid w:val="00144F98"/>
    <w:rsid w:val="0015202C"/>
    <w:rsid w:val="0015490F"/>
    <w:rsid w:val="00154C45"/>
    <w:rsid w:val="001551B9"/>
    <w:rsid w:val="00157B40"/>
    <w:rsid w:val="001658FA"/>
    <w:rsid w:val="00167964"/>
    <w:rsid w:val="001703D1"/>
    <w:rsid w:val="001748B2"/>
    <w:rsid w:val="001748C6"/>
    <w:rsid w:val="00174F7A"/>
    <w:rsid w:val="0019457B"/>
    <w:rsid w:val="00194B8C"/>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290E"/>
    <w:rsid w:val="00205202"/>
    <w:rsid w:val="00205C0D"/>
    <w:rsid w:val="00210CA6"/>
    <w:rsid w:val="002125F1"/>
    <w:rsid w:val="002152F3"/>
    <w:rsid w:val="0021567D"/>
    <w:rsid w:val="002169B7"/>
    <w:rsid w:val="00221EC6"/>
    <w:rsid w:val="0022231F"/>
    <w:rsid w:val="00231312"/>
    <w:rsid w:val="002315E4"/>
    <w:rsid w:val="00233DA8"/>
    <w:rsid w:val="00234B3A"/>
    <w:rsid w:val="002403A0"/>
    <w:rsid w:val="00241184"/>
    <w:rsid w:val="00241BAB"/>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C6D9D"/>
    <w:rsid w:val="002E36C5"/>
    <w:rsid w:val="0030081A"/>
    <w:rsid w:val="003016E1"/>
    <w:rsid w:val="00302486"/>
    <w:rsid w:val="00303BBC"/>
    <w:rsid w:val="00305369"/>
    <w:rsid w:val="00313008"/>
    <w:rsid w:val="00323263"/>
    <w:rsid w:val="003241D8"/>
    <w:rsid w:val="003375F7"/>
    <w:rsid w:val="00342F09"/>
    <w:rsid w:val="0034362D"/>
    <w:rsid w:val="00345602"/>
    <w:rsid w:val="003514F7"/>
    <w:rsid w:val="00352F9A"/>
    <w:rsid w:val="00361A15"/>
    <w:rsid w:val="00367065"/>
    <w:rsid w:val="00367AC1"/>
    <w:rsid w:val="00370139"/>
    <w:rsid w:val="00370EA2"/>
    <w:rsid w:val="00380A0E"/>
    <w:rsid w:val="003850CD"/>
    <w:rsid w:val="00385613"/>
    <w:rsid w:val="00385E62"/>
    <w:rsid w:val="00392115"/>
    <w:rsid w:val="00396DB3"/>
    <w:rsid w:val="003976E9"/>
    <w:rsid w:val="003A0DC8"/>
    <w:rsid w:val="003A14CD"/>
    <w:rsid w:val="003A518E"/>
    <w:rsid w:val="003A7686"/>
    <w:rsid w:val="003B0B4E"/>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1501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57E51"/>
    <w:rsid w:val="0056265C"/>
    <w:rsid w:val="005626F6"/>
    <w:rsid w:val="0057025A"/>
    <w:rsid w:val="0057105F"/>
    <w:rsid w:val="0057310A"/>
    <w:rsid w:val="00590DA9"/>
    <w:rsid w:val="00593E55"/>
    <w:rsid w:val="005968CA"/>
    <w:rsid w:val="005A0D50"/>
    <w:rsid w:val="005A208E"/>
    <w:rsid w:val="005A5C2E"/>
    <w:rsid w:val="005B39A1"/>
    <w:rsid w:val="005C0D72"/>
    <w:rsid w:val="005C3423"/>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2C72"/>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355B"/>
    <w:rsid w:val="00735D4D"/>
    <w:rsid w:val="00740D11"/>
    <w:rsid w:val="00743451"/>
    <w:rsid w:val="00743DDB"/>
    <w:rsid w:val="00750ECD"/>
    <w:rsid w:val="00751AF4"/>
    <w:rsid w:val="0075254C"/>
    <w:rsid w:val="00754B66"/>
    <w:rsid w:val="007629CB"/>
    <w:rsid w:val="00762B2A"/>
    <w:rsid w:val="007633CA"/>
    <w:rsid w:val="00765853"/>
    <w:rsid w:val="007670CF"/>
    <w:rsid w:val="00771538"/>
    <w:rsid w:val="007865C2"/>
    <w:rsid w:val="0078774A"/>
    <w:rsid w:val="0079016E"/>
    <w:rsid w:val="007971B8"/>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348B"/>
    <w:rsid w:val="007E4EA9"/>
    <w:rsid w:val="007F10C3"/>
    <w:rsid w:val="007F1DFA"/>
    <w:rsid w:val="007F584C"/>
    <w:rsid w:val="008020BB"/>
    <w:rsid w:val="008036DA"/>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40DE"/>
    <w:rsid w:val="008D6545"/>
    <w:rsid w:val="008D7B74"/>
    <w:rsid w:val="008E29C9"/>
    <w:rsid w:val="008E6F7E"/>
    <w:rsid w:val="008E7CC5"/>
    <w:rsid w:val="008F1D31"/>
    <w:rsid w:val="008F2D90"/>
    <w:rsid w:val="008F4A71"/>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C7414"/>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B3A"/>
    <w:rsid w:val="00B34BA7"/>
    <w:rsid w:val="00B35DFB"/>
    <w:rsid w:val="00B4381D"/>
    <w:rsid w:val="00B45ACE"/>
    <w:rsid w:val="00B51EAE"/>
    <w:rsid w:val="00B61253"/>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5C95"/>
    <w:rsid w:val="00C51267"/>
    <w:rsid w:val="00C539CD"/>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5458"/>
    <w:rsid w:val="00D15893"/>
    <w:rsid w:val="00D16B29"/>
    <w:rsid w:val="00D16BAE"/>
    <w:rsid w:val="00D22E0C"/>
    <w:rsid w:val="00D22E2E"/>
    <w:rsid w:val="00D36FAA"/>
    <w:rsid w:val="00D37106"/>
    <w:rsid w:val="00D37F4F"/>
    <w:rsid w:val="00D411ED"/>
    <w:rsid w:val="00D41388"/>
    <w:rsid w:val="00D413C4"/>
    <w:rsid w:val="00D42FFF"/>
    <w:rsid w:val="00D50CB8"/>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95B5F"/>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2C87"/>
    <w:rsid w:val="00E23EAD"/>
    <w:rsid w:val="00E24238"/>
    <w:rsid w:val="00E26A71"/>
    <w:rsid w:val="00E33DB6"/>
    <w:rsid w:val="00E40451"/>
    <w:rsid w:val="00E426DA"/>
    <w:rsid w:val="00E43543"/>
    <w:rsid w:val="00E43618"/>
    <w:rsid w:val="00E52379"/>
    <w:rsid w:val="00E55131"/>
    <w:rsid w:val="00E56473"/>
    <w:rsid w:val="00E5678B"/>
    <w:rsid w:val="00E619E9"/>
    <w:rsid w:val="00E66073"/>
    <w:rsid w:val="00E70A67"/>
    <w:rsid w:val="00E70DA9"/>
    <w:rsid w:val="00E724F7"/>
    <w:rsid w:val="00E7390B"/>
    <w:rsid w:val="00E75A3F"/>
    <w:rsid w:val="00E77B9C"/>
    <w:rsid w:val="00E815B3"/>
    <w:rsid w:val="00E8206B"/>
    <w:rsid w:val="00E846AC"/>
    <w:rsid w:val="00E91ED5"/>
    <w:rsid w:val="00E933A0"/>
    <w:rsid w:val="00E95B28"/>
    <w:rsid w:val="00EA502A"/>
    <w:rsid w:val="00EA7708"/>
    <w:rsid w:val="00EB5431"/>
    <w:rsid w:val="00EB6A53"/>
    <w:rsid w:val="00EB6B2A"/>
    <w:rsid w:val="00EB6D83"/>
    <w:rsid w:val="00EC2BF5"/>
    <w:rsid w:val="00EC3328"/>
    <w:rsid w:val="00EC3F20"/>
    <w:rsid w:val="00EC66B3"/>
    <w:rsid w:val="00EC7192"/>
    <w:rsid w:val="00ED73B3"/>
    <w:rsid w:val="00EE1ADD"/>
    <w:rsid w:val="00EE201B"/>
    <w:rsid w:val="00EE2194"/>
    <w:rsid w:val="00EE5159"/>
    <w:rsid w:val="00EE6E3B"/>
    <w:rsid w:val="00EF0134"/>
    <w:rsid w:val="00EF0945"/>
    <w:rsid w:val="00F01A93"/>
    <w:rsid w:val="00F01E9B"/>
    <w:rsid w:val="00F0328A"/>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8BA"/>
    <w:rsid w:val="00F72BF6"/>
    <w:rsid w:val="00F733E7"/>
    <w:rsid w:val="00F76151"/>
    <w:rsid w:val="00F772F3"/>
    <w:rsid w:val="00F83D4D"/>
    <w:rsid w:val="00FA014D"/>
    <w:rsid w:val="00FA59C6"/>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7F10C3"/>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2CEE"/>
    <w:pPr>
      <w:spacing w:after="0"/>
    </w:pPr>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character" w:styleId="Strong">
    <w:name w:val="Strong"/>
    <w:basedOn w:val="DefaultParagraphFont"/>
    <w:uiPriority w:val="22"/>
    <w:qFormat/>
    <w:rsid w:val="00157B40"/>
    <w:rPr>
      <w:b/>
      <w:bCs/>
    </w:rPr>
  </w:style>
  <w:style w:type="character" w:styleId="Emphasis">
    <w:name w:val="Emphasis"/>
    <w:basedOn w:val="DefaultParagraphFont"/>
    <w:uiPriority w:val="20"/>
    <w:qFormat/>
    <w:rsid w:val="00157B40"/>
    <w:rPr>
      <w:i/>
      <w:iCs/>
    </w:rPr>
  </w:style>
  <w:style w:type="paragraph" w:styleId="Revision">
    <w:name w:val="Revision"/>
    <w:hidden/>
    <w:uiPriority w:val="99"/>
    <w:semiHidden/>
    <w:rsid w:val="00107A26"/>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125849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OCHCO/documents/2022-13hsgml.pdf" TargetMode="External"/><Relationship Id="rId18" Type="http://schemas.openxmlformats.org/officeDocument/2006/relationships/hyperlink" Target="https://hazards.fema.gov/nri/map" TargetMode="External"/><Relationship Id="rId26" Type="http://schemas.openxmlformats.org/officeDocument/2006/relationships/hyperlink" Target="https://www.usajobs.gov/job/673016700"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oast.noaa.gov/slr/"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federalregister.gov/documents/2022/08/12/2022-17306/changes-in-certain-office-of-healthcare-programs-insurance-premiums-correction" TargetMode="External"/><Relationship Id="rId17" Type="http://schemas.openxmlformats.org/officeDocument/2006/relationships/hyperlink" Target="https://files.hudexchange.info/course-content/environmental-assessment-factors-e-guide-webinar/Environmental-Assessment-Factors-eGuide-Webinar-FAQ-Handout.pdf" TargetMode="External"/><Relationship Id="rId25" Type="http://schemas.openxmlformats.org/officeDocument/2006/relationships/hyperlink" Target="mailto:orcfcloser@hud.gov" TargetMode="External"/><Relationship Id="rId33"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8"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2" Type="http://schemas.openxmlformats.org/officeDocument/2006/relationships/customXml" Target="../customXml/item2.xml"/><Relationship Id="rId16" Type="http://schemas.openxmlformats.org/officeDocument/2006/relationships/hyperlink" Target="https://www.hudexchange.info/news/environmental-assessment-factors-eguide-webinar/" TargetMode="External"/><Relationship Id="rId20" Type="http://schemas.openxmlformats.org/officeDocument/2006/relationships/hyperlink" Target="https://riskfactor.com/" TargetMode="External"/><Relationship Id="rId29" Type="http://schemas.openxmlformats.org/officeDocument/2006/relationships/hyperlink" Target="https://www.usajobs.gov/job/6730218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ttendee.gotowebinar.com/register/1776582517395683341" TargetMode="External"/><Relationship Id="rId32"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7"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udexchange.info/news/environmental-assessment-guide-and-resources/" TargetMode="External"/><Relationship Id="rId23" Type="http://schemas.openxmlformats.org/officeDocument/2006/relationships/hyperlink" Target="https://www.hudexchange.info/programs/environmental-review/environmental-assessment/guide/climate-and-energy/climate-change-impacts/" TargetMode="External"/><Relationship Id="rId28" Type="http://schemas.openxmlformats.org/officeDocument/2006/relationships/hyperlink" Target="https://www.usajobs.gov/job/673018500"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crt-climate-explorer.nemac.org/" TargetMode="External"/><Relationship Id="rId31" Type="http://schemas.openxmlformats.org/officeDocument/2006/relationships/hyperlink" Target="mailto:LeanThinking@hu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ess/press_releases_media_advisories/HUD_No_22_152" TargetMode="External"/><Relationship Id="rId22" Type="http://schemas.openxmlformats.org/officeDocument/2006/relationships/hyperlink" Target="https://coastal.climatecentral.org/" TargetMode="External"/><Relationship Id="rId27" Type="http://schemas.openxmlformats.org/officeDocument/2006/relationships/hyperlink" Target="https://www.usajobs.gov/job/673020900" TargetMode="External"/><Relationship Id="rId30"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5"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10446</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7</cp:revision>
  <cp:lastPrinted>2014-08-11T13:53:00Z</cp:lastPrinted>
  <dcterms:created xsi:type="dcterms:W3CDTF">2022-08-25T14:51:00Z</dcterms:created>
  <dcterms:modified xsi:type="dcterms:W3CDTF">2022-09-19T20:04:00Z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