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E603A" w14:textId="77777777" w:rsidR="00B962A5" w:rsidRPr="00863472" w:rsidRDefault="008819F8" w:rsidP="00863472">
      <w:pPr>
        <w:pStyle w:val="NormalWeb"/>
        <w:jc w:val="center"/>
        <w:rPr>
          <w:rStyle w:val="TitleChar"/>
          <w:u w:val="single"/>
        </w:rPr>
      </w:pPr>
      <w:bookmarkStart w:id="0" w:name="_top"/>
      <w:bookmarkStart w:id="1" w:name="_Hlk523293909"/>
      <w:bookmarkEnd w:id="0"/>
      <w:r w:rsidRPr="00863472">
        <w:rPr>
          <w:rStyle w:val="TitleChar"/>
          <w:u w:val="single"/>
        </w:rPr>
        <w:t>HUD’s L</w:t>
      </w:r>
      <w:r w:rsidR="00082FD5" w:rsidRPr="00863472">
        <w:rPr>
          <w:rStyle w:val="TitleChar"/>
          <w:u w:val="single"/>
        </w:rPr>
        <w:t>ean</w:t>
      </w:r>
      <w:r w:rsidRPr="00863472">
        <w:rPr>
          <w:rStyle w:val="TitleChar"/>
          <w:u w:val="single"/>
        </w:rPr>
        <w:t xml:space="preserve"> 232 Program</w:t>
      </w:r>
    </w:p>
    <w:p w14:paraId="6E0E603B" w14:textId="77777777" w:rsidR="00B962A5" w:rsidRPr="00863472" w:rsidRDefault="008819F8" w:rsidP="00863472">
      <w:pPr>
        <w:pStyle w:val="NormalWeb"/>
        <w:jc w:val="center"/>
        <w:rPr>
          <w:rStyle w:val="TitleChar"/>
        </w:rPr>
      </w:pPr>
      <w:r w:rsidRPr="00863472">
        <w:rPr>
          <w:rStyle w:val="TitleChar"/>
        </w:rPr>
        <w:t>Office of Residential Care Facilities (ORCF</w:t>
      </w:r>
      <w:r w:rsidR="00036CEF" w:rsidRPr="00863472">
        <w:rPr>
          <w:rStyle w:val="TitleChar"/>
        </w:rPr>
        <w:t>)</w:t>
      </w:r>
    </w:p>
    <w:p w14:paraId="6E0E603C" w14:textId="67860A30" w:rsidR="00B962A5" w:rsidRPr="00863472" w:rsidRDefault="008819F8" w:rsidP="00863472">
      <w:pPr>
        <w:pStyle w:val="NormalWeb"/>
        <w:jc w:val="center"/>
        <w:rPr>
          <w:rStyle w:val="TitleChar"/>
          <w:u w:val="single"/>
        </w:rPr>
      </w:pPr>
      <w:r w:rsidRPr="00863472">
        <w:rPr>
          <w:rStyle w:val="TitleChar"/>
          <w:u w:val="single"/>
        </w:rPr>
        <w:t xml:space="preserve">Update as </w:t>
      </w:r>
      <w:r w:rsidR="001E717C" w:rsidRPr="00DC3EE7">
        <w:rPr>
          <w:rStyle w:val="TitleChar"/>
          <w:u w:val="single"/>
        </w:rPr>
        <w:t xml:space="preserve">of </w:t>
      </w:r>
      <w:r w:rsidR="00DC3EE7" w:rsidRPr="00DC3EE7">
        <w:rPr>
          <w:rStyle w:val="TitleChar"/>
          <w:u w:val="single"/>
        </w:rPr>
        <w:t>August 29</w:t>
      </w:r>
      <w:r w:rsidR="008129A3" w:rsidRPr="00DC3EE7">
        <w:rPr>
          <w:rStyle w:val="TitleChar"/>
          <w:u w:val="single"/>
        </w:rPr>
        <w:t>, 201</w:t>
      </w:r>
      <w:r w:rsidR="00F27064" w:rsidRPr="00DC3EE7">
        <w:rPr>
          <w:rStyle w:val="TitleChar"/>
          <w:u w:val="single"/>
        </w:rPr>
        <w:t>8</w:t>
      </w:r>
    </w:p>
    <w:p w14:paraId="6E0E603D" w14:textId="77777777" w:rsidR="008819F8" w:rsidRPr="00863472" w:rsidRDefault="00CC1634" w:rsidP="00863472">
      <w:pPr>
        <w:pStyle w:val="NormalWeb"/>
        <w:jc w:val="center"/>
        <w:rPr>
          <w:rFonts w:ascii="Verdana" w:hAnsi="Verdana"/>
          <w:sz w:val="22"/>
          <w:szCs w:val="22"/>
        </w:rPr>
      </w:pPr>
      <w:r w:rsidRPr="00863472">
        <w:rPr>
          <w:rFonts w:ascii="Verdana" w:hAnsi="Verdana"/>
          <w:noProof/>
          <w:color w:val="1F497D"/>
          <w:sz w:val="22"/>
          <w:szCs w:val="22"/>
        </w:rPr>
        <w:drawing>
          <wp:inline distT="0" distB="0" distL="0" distR="0" wp14:anchorId="6E0E606C" wp14:editId="6E0E606D">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E0E603E" w14:textId="77777777" w:rsidR="008819F8" w:rsidRPr="00863472" w:rsidRDefault="008819F8" w:rsidP="00863472"/>
    <w:p w14:paraId="6E0E603F" w14:textId="77777777" w:rsidR="008819F8" w:rsidRPr="00863472" w:rsidRDefault="008819F8" w:rsidP="00863472"/>
    <w:p w14:paraId="6E0E6040" w14:textId="773C058E" w:rsidR="00743DDB" w:rsidRPr="00863472" w:rsidRDefault="00DC3EE7" w:rsidP="00863472">
      <w:pPr>
        <w:pStyle w:val="NoSpacing"/>
        <w:rPr>
          <w:rFonts w:ascii="Verdana" w:hAnsi="Verdana"/>
          <w:i/>
          <w:sz w:val="32"/>
          <w:u w:val="single"/>
        </w:rPr>
      </w:pPr>
      <w:r>
        <w:rPr>
          <w:rFonts w:ascii="Verdana" w:hAnsi="Verdana"/>
          <w:i/>
          <w:sz w:val="32"/>
          <w:u w:val="single"/>
        </w:rPr>
        <w:t>August 29</w:t>
      </w:r>
      <w:r w:rsidR="008129A3" w:rsidRPr="00863472">
        <w:rPr>
          <w:rFonts w:ascii="Verdana" w:hAnsi="Verdana"/>
          <w:i/>
          <w:sz w:val="32"/>
          <w:u w:val="single"/>
        </w:rPr>
        <w:t>, 201</w:t>
      </w:r>
      <w:r w:rsidR="00F27064">
        <w:rPr>
          <w:rFonts w:ascii="Verdana" w:hAnsi="Verdana"/>
          <w:i/>
          <w:sz w:val="32"/>
          <w:u w:val="single"/>
        </w:rPr>
        <w:t>8</w:t>
      </w:r>
      <w:r w:rsidR="00CD6874" w:rsidRPr="00863472">
        <w:rPr>
          <w:rFonts w:ascii="Verdana" w:hAnsi="Verdana"/>
          <w:i/>
          <w:sz w:val="32"/>
          <w:u w:val="single"/>
        </w:rPr>
        <w:t xml:space="preserve"> </w:t>
      </w:r>
      <w:r w:rsidR="00886FA2" w:rsidRPr="00863472">
        <w:rPr>
          <w:rFonts w:ascii="Verdana" w:hAnsi="Verdana"/>
          <w:i/>
          <w:sz w:val="32"/>
          <w:u w:val="single"/>
        </w:rPr>
        <w:t>Contents</w:t>
      </w:r>
    </w:p>
    <w:p w14:paraId="6E0E6041" w14:textId="77777777" w:rsidR="00E55131" w:rsidRPr="00863472" w:rsidRDefault="00E55131" w:rsidP="00863472">
      <w:pPr>
        <w:pStyle w:val="NoSpacing"/>
        <w:rPr>
          <w:rFonts w:ascii="Verdana" w:hAnsi="Verdana"/>
          <w:b/>
          <w:i/>
          <w:sz w:val="32"/>
          <w:u w:val="single"/>
        </w:rPr>
      </w:pPr>
    </w:p>
    <w:p w14:paraId="46A431ED" w14:textId="0C93B59B" w:rsidR="00FB1D9F" w:rsidRDefault="00396DB3">
      <w:pPr>
        <w:pStyle w:val="TOC1"/>
        <w:rPr>
          <w:rFonts w:asciiTheme="minorHAnsi" w:eastAsiaTheme="minorEastAsia" w:hAnsiTheme="minorHAnsi" w:cstheme="minorBidi"/>
          <w:noProof/>
          <w:sz w:val="22"/>
        </w:rPr>
      </w:pPr>
      <w:r w:rsidRPr="00863472">
        <w:rPr>
          <w:i/>
        </w:rPr>
        <w:fldChar w:fldCharType="begin"/>
      </w:r>
      <w:r w:rsidRPr="00863472">
        <w:rPr>
          <w:i/>
        </w:rPr>
        <w:instrText xml:space="preserve"> TOC \o "1-3" \n \h \z \u </w:instrText>
      </w:r>
      <w:r w:rsidRPr="00863472">
        <w:rPr>
          <w:i/>
        </w:rPr>
        <w:fldChar w:fldCharType="separate"/>
      </w:r>
      <w:hyperlink w:anchor="_Toc522027742" w:history="1">
        <w:r w:rsidR="00FB1D9F" w:rsidRPr="0056707F">
          <w:rPr>
            <w:rStyle w:val="Hyperlink"/>
            <w:noProof/>
          </w:rPr>
          <w:t>Consolidated Certification Review Due Diligence</w:t>
        </w:r>
      </w:hyperlink>
    </w:p>
    <w:p w14:paraId="241C1F66" w14:textId="4211BCF0" w:rsidR="00FB1D9F" w:rsidRDefault="00AA3268">
      <w:pPr>
        <w:pStyle w:val="TOC1"/>
        <w:rPr>
          <w:rFonts w:asciiTheme="minorHAnsi" w:eastAsiaTheme="minorEastAsia" w:hAnsiTheme="minorHAnsi" w:cstheme="minorBidi"/>
          <w:noProof/>
          <w:sz w:val="22"/>
        </w:rPr>
      </w:pPr>
      <w:hyperlink w:anchor="_Toc522027743" w:history="1">
        <w:r w:rsidR="00FB1D9F" w:rsidRPr="0056707F">
          <w:rPr>
            <w:rStyle w:val="Hyperlink"/>
            <w:noProof/>
          </w:rPr>
          <w:t>ORCF Appraisal Industry Group</w:t>
        </w:r>
      </w:hyperlink>
    </w:p>
    <w:p w14:paraId="65ED5EC6" w14:textId="7374CAA6" w:rsidR="00FB1D9F" w:rsidRDefault="00AA3268">
      <w:pPr>
        <w:pStyle w:val="TOC1"/>
        <w:rPr>
          <w:rFonts w:asciiTheme="minorHAnsi" w:eastAsiaTheme="minorEastAsia" w:hAnsiTheme="minorHAnsi" w:cstheme="minorBidi"/>
          <w:noProof/>
          <w:sz w:val="22"/>
        </w:rPr>
      </w:pPr>
      <w:hyperlink w:anchor="_Toc522027744" w:history="1">
        <w:r w:rsidR="00FB1D9F" w:rsidRPr="0056707F">
          <w:rPr>
            <w:rStyle w:val="Hyperlink"/>
            <w:noProof/>
          </w:rPr>
          <w:t>Improved Lists of Major Movable Equipment Necessary on Construction Loans</w:t>
        </w:r>
      </w:hyperlink>
    </w:p>
    <w:p w14:paraId="5E59C026" w14:textId="29A46D41" w:rsidR="00FB1D9F" w:rsidRDefault="00AA3268">
      <w:pPr>
        <w:pStyle w:val="TOC1"/>
        <w:rPr>
          <w:rFonts w:asciiTheme="minorHAnsi" w:eastAsiaTheme="minorEastAsia" w:hAnsiTheme="minorHAnsi" w:cstheme="minorBidi"/>
          <w:noProof/>
          <w:sz w:val="22"/>
        </w:rPr>
      </w:pPr>
      <w:hyperlink w:anchor="_Toc522027745" w:history="1">
        <w:r w:rsidR="00FB1D9F" w:rsidRPr="0056707F">
          <w:rPr>
            <w:rStyle w:val="Hyperlink"/>
            <w:noProof/>
          </w:rPr>
          <w:t>Reminders Related to Florida’s Emergency Power (Generator) Rules</w:t>
        </w:r>
      </w:hyperlink>
    </w:p>
    <w:p w14:paraId="342D5310" w14:textId="361EC603" w:rsidR="00FB1D9F" w:rsidRDefault="00AA3268">
      <w:pPr>
        <w:pStyle w:val="TOC1"/>
        <w:rPr>
          <w:rFonts w:asciiTheme="minorHAnsi" w:eastAsiaTheme="minorEastAsia" w:hAnsiTheme="minorHAnsi" w:cstheme="minorBidi"/>
          <w:noProof/>
          <w:sz w:val="22"/>
        </w:rPr>
      </w:pPr>
      <w:hyperlink w:anchor="_Toc522027746" w:history="1">
        <w:r w:rsidR="00FB1D9F" w:rsidRPr="0056707F">
          <w:rPr>
            <w:rStyle w:val="Hyperlink"/>
            <w:noProof/>
          </w:rPr>
          <w:t>Document Links Included In This Blast</w:t>
        </w:r>
      </w:hyperlink>
    </w:p>
    <w:p w14:paraId="6E0E6047" w14:textId="3DD8F10C" w:rsidR="00743DDB" w:rsidRPr="00863472" w:rsidRDefault="00396DB3" w:rsidP="00863472">
      <w:r w:rsidRPr="00863472">
        <w:rPr>
          <w:i/>
        </w:rPr>
        <w:fldChar w:fldCharType="end"/>
      </w:r>
    </w:p>
    <w:p w14:paraId="6E0E6048" w14:textId="77777777" w:rsidR="008819F8" w:rsidRPr="00863472" w:rsidRDefault="00CC1634" w:rsidP="00863472">
      <w:pPr>
        <w:jc w:val="center"/>
      </w:pPr>
      <w:r w:rsidRPr="00863472">
        <w:rPr>
          <w:noProof/>
          <w:color w:val="1F497D"/>
          <w:sz w:val="22"/>
        </w:rPr>
        <w:drawing>
          <wp:inline distT="0" distB="0" distL="0" distR="0" wp14:anchorId="6E0E606E" wp14:editId="6E0E606F">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66B3DC28" w14:textId="77777777" w:rsidR="00FB21E7" w:rsidRDefault="00FB21E7" w:rsidP="00FB21E7">
      <w:pPr>
        <w:rPr>
          <w:color w:val="000000"/>
        </w:rPr>
      </w:pPr>
      <w:bookmarkStart w:id="2" w:name="_Toc380585836"/>
      <w:bookmarkEnd w:id="2"/>
    </w:p>
    <w:p w14:paraId="31A5184A" w14:textId="37ED3D7B" w:rsidR="00E44938" w:rsidRPr="00E44938" w:rsidRDefault="00E44938" w:rsidP="00E44938">
      <w:pPr>
        <w:pStyle w:val="Heading1"/>
      </w:pPr>
      <w:bookmarkStart w:id="3" w:name="_Toc522027743"/>
      <w:r>
        <w:t xml:space="preserve">ORCF </w:t>
      </w:r>
      <w:r w:rsidRPr="00E44938">
        <w:t>Appraisal</w:t>
      </w:r>
      <w:r>
        <w:t xml:space="preserve"> Industry Group</w:t>
      </w:r>
      <w:bookmarkStart w:id="4" w:name="_GoBack"/>
      <w:bookmarkEnd w:id="3"/>
      <w:bookmarkEnd w:id="4"/>
    </w:p>
    <w:p w14:paraId="25A19B76" w14:textId="5F3D2853" w:rsidR="00E44938" w:rsidRPr="00D66860" w:rsidRDefault="00E44938" w:rsidP="00E44938">
      <w:pPr>
        <w:pStyle w:val="NormalWeb"/>
        <w:rPr>
          <w:rFonts w:ascii="Verdana" w:hAnsi="Verdana" w:cs="Arial"/>
        </w:rPr>
      </w:pPr>
      <w:r w:rsidRPr="00D66860">
        <w:rPr>
          <w:rFonts w:ascii="Verdana" w:hAnsi="Verdana" w:cs="Arial"/>
        </w:rPr>
        <w:t xml:space="preserve">Our ORCF appraisers are creating an industry group with the purpose of discussing topics that deal with Residential Care appraisals and reviews. </w:t>
      </w:r>
      <w:r w:rsidR="00C8431C" w:rsidRPr="00D66860">
        <w:rPr>
          <w:rFonts w:ascii="Verdana" w:hAnsi="Verdana" w:cs="Arial"/>
        </w:rPr>
        <w:t xml:space="preserve">To form this group, </w:t>
      </w:r>
      <w:r w:rsidRPr="00D66860">
        <w:rPr>
          <w:rFonts w:ascii="Verdana" w:hAnsi="Verdana" w:cs="Arial"/>
        </w:rPr>
        <w:t>we are asking lenders to spread the word to appraisers. Joining is voluntary and will be limited to appraisers only. We will periodically hold conference calls, the frequency of which will be decided on the first call. While the discussions will be led by ORCF</w:t>
      </w:r>
      <w:r w:rsidR="00C8431C" w:rsidRPr="00D66860">
        <w:rPr>
          <w:rFonts w:ascii="Verdana" w:hAnsi="Verdana" w:cs="Arial"/>
        </w:rPr>
        <w:t>,</w:t>
      </w:r>
      <w:r w:rsidRPr="00D66860">
        <w:rPr>
          <w:rFonts w:ascii="Verdana" w:hAnsi="Verdana" w:cs="Arial"/>
        </w:rPr>
        <w:t xml:space="preserve"> they will be participatory in nature. </w:t>
      </w:r>
      <w:r w:rsidR="00C8431C" w:rsidRPr="00D66860">
        <w:rPr>
          <w:rFonts w:ascii="Verdana" w:hAnsi="Verdana" w:cs="Arial"/>
        </w:rPr>
        <w:t>Interested appraisers can join and</w:t>
      </w:r>
      <w:r w:rsidRPr="00D66860">
        <w:rPr>
          <w:rFonts w:ascii="Verdana" w:hAnsi="Verdana" w:cs="Arial"/>
        </w:rPr>
        <w:t xml:space="preserve"> suggest agenda topics</w:t>
      </w:r>
      <w:r w:rsidR="00C8431C" w:rsidRPr="00D66860">
        <w:rPr>
          <w:rFonts w:ascii="Verdana" w:hAnsi="Verdana" w:cs="Arial"/>
        </w:rPr>
        <w:t xml:space="preserve"> by</w:t>
      </w:r>
      <w:r w:rsidR="004C2434" w:rsidRPr="00D66860">
        <w:rPr>
          <w:rFonts w:ascii="Verdana" w:hAnsi="Verdana" w:cs="Arial"/>
        </w:rPr>
        <w:t xml:space="preserve"> </w:t>
      </w:r>
      <w:r w:rsidRPr="00D66860">
        <w:rPr>
          <w:rFonts w:ascii="Verdana" w:hAnsi="Verdana" w:cs="Arial"/>
        </w:rPr>
        <w:t>send</w:t>
      </w:r>
      <w:r w:rsidR="00C8431C" w:rsidRPr="00D66860">
        <w:rPr>
          <w:rFonts w:ascii="Verdana" w:hAnsi="Verdana" w:cs="Arial"/>
        </w:rPr>
        <w:t>ing</w:t>
      </w:r>
      <w:r w:rsidRPr="00D66860">
        <w:rPr>
          <w:rFonts w:ascii="Verdana" w:hAnsi="Verdana" w:cs="Arial"/>
        </w:rPr>
        <w:t xml:space="preserve"> an email to Wayne Harris, Supervisory Appraiser at </w:t>
      </w:r>
      <w:hyperlink r:id="rId13" w:history="1">
        <w:r w:rsidRPr="00D66860">
          <w:rPr>
            <w:rStyle w:val="Hyperlink"/>
            <w:rFonts w:ascii="Verdana" w:hAnsi="Verdana" w:cs="Arial"/>
          </w:rPr>
          <w:t>wayne.d.harris@hud.gov</w:t>
        </w:r>
      </w:hyperlink>
      <w:r w:rsidRPr="00D66860">
        <w:rPr>
          <w:rFonts w:ascii="Verdana" w:hAnsi="Verdana" w:cs="Arial"/>
        </w:rPr>
        <w:t>. Wayne will maintain a members list, create the agendas, and schedule the calls.</w:t>
      </w:r>
    </w:p>
    <w:p w14:paraId="62CA3510" w14:textId="77777777" w:rsidR="00EB6B2A" w:rsidRPr="00D66860" w:rsidRDefault="00EB6B2A" w:rsidP="001D230E">
      <w:pPr>
        <w:rPr>
          <w:szCs w:val="24"/>
        </w:rPr>
      </w:pPr>
    </w:p>
    <w:p w14:paraId="712A9609" w14:textId="21101066" w:rsidR="001D230E" w:rsidRPr="00D66860" w:rsidRDefault="001D230E" w:rsidP="001D230E">
      <w:pPr>
        <w:rPr>
          <w:rFonts w:eastAsia="MS Mincho"/>
          <w:i/>
          <w:szCs w:val="24"/>
        </w:rPr>
      </w:pPr>
      <w:r w:rsidRPr="00D66860">
        <w:rPr>
          <w:rFonts w:eastAsia="MS Mincho"/>
          <w:b/>
          <w:i/>
          <w:szCs w:val="24"/>
        </w:rPr>
        <w:t>Keywords:</w:t>
      </w:r>
      <w:r w:rsidRPr="00D66860">
        <w:rPr>
          <w:rFonts w:eastAsia="MS Mincho"/>
          <w:i/>
          <w:szCs w:val="24"/>
        </w:rPr>
        <w:tab/>
      </w:r>
      <w:r w:rsidR="00E44938" w:rsidRPr="00D66860">
        <w:rPr>
          <w:rFonts w:eastAsia="MS Mincho"/>
          <w:i/>
          <w:szCs w:val="24"/>
        </w:rPr>
        <w:t>Appraisers, Industry Group</w:t>
      </w:r>
    </w:p>
    <w:p w14:paraId="0051E70F" w14:textId="77777777" w:rsidR="00E44938" w:rsidRPr="00D66860" w:rsidRDefault="00E44938" w:rsidP="001D230E">
      <w:pPr>
        <w:rPr>
          <w:rFonts w:eastAsia="MS Mincho"/>
          <w:b/>
          <w:szCs w:val="24"/>
        </w:rPr>
      </w:pPr>
    </w:p>
    <w:p w14:paraId="680EA169" w14:textId="77777777" w:rsidR="001D230E" w:rsidRPr="00E426DA" w:rsidRDefault="00AA3268" w:rsidP="001D230E">
      <w:pPr>
        <w:rPr>
          <w:color w:val="0000FF"/>
          <w:u w:val="single"/>
        </w:rPr>
      </w:pPr>
      <w:hyperlink w:anchor="_top" w:history="1">
        <w:r w:rsidR="001D230E" w:rsidRPr="00817EB6">
          <w:rPr>
            <w:rStyle w:val="Hyperlink"/>
          </w:rPr>
          <w:t>Back to top</w:t>
        </w:r>
      </w:hyperlink>
    </w:p>
    <w:p w14:paraId="24FA5B31" w14:textId="77777777" w:rsidR="001D230E" w:rsidRDefault="001D230E" w:rsidP="00512271"/>
    <w:p w14:paraId="3A2D257B" w14:textId="26E8823F" w:rsidR="0038356B" w:rsidRPr="0038356B" w:rsidRDefault="0038356B" w:rsidP="0038356B">
      <w:pPr>
        <w:pStyle w:val="Heading1"/>
      </w:pPr>
      <w:bookmarkStart w:id="5" w:name="_Toc522027744"/>
      <w:r>
        <w:t>Improved Lists of Major Movable Equipment Necessary on Construction Loans</w:t>
      </w:r>
      <w:bookmarkEnd w:id="5"/>
    </w:p>
    <w:p w14:paraId="33EBDE24" w14:textId="237AFC47" w:rsidR="0038356B" w:rsidRPr="0038356B" w:rsidRDefault="0038356B" w:rsidP="0038356B">
      <w:pPr>
        <w:rPr>
          <w:szCs w:val="24"/>
        </w:rPr>
      </w:pPr>
      <w:r w:rsidRPr="0038356B">
        <w:rPr>
          <w:szCs w:val="24"/>
        </w:rPr>
        <w:t>HUD’s Contract Inspectors are required to verify all Major Movable Equipment has been delivered to the site before the Final Inspection.</w:t>
      </w:r>
      <w:r w:rsidR="004C2434">
        <w:rPr>
          <w:szCs w:val="24"/>
        </w:rPr>
        <w:t xml:space="preserve">  </w:t>
      </w:r>
      <w:r w:rsidRPr="0038356B">
        <w:rPr>
          <w:szCs w:val="24"/>
        </w:rPr>
        <w:t>To do this, they must have an “inspectable” List of Major Movable Equipment.  For example, a List that merely states, “Community Dining Room (tables and chairs),” is not sufficient.  The “Community Dining Room,” line item on an acceptable List of Major Movable Equipment would include, for example:</w:t>
      </w:r>
    </w:p>
    <w:p w14:paraId="7AB5E091" w14:textId="77777777" w:rsidR="0038356B" w:rsidRPr="0038356B" w:rsidRDefault="0038356B" w:rsidP="0038356B">
      <w:pPr>
        <w:rPr>
          <w:szCs w:val="24"/>
        </w:rPr>
      </w:pPr>
    </w:p>
    <w:tbl>
      <w:tblPr>
        <w:tblW w:w="0" w:type="auto"/>
        <w:tblCellMar>
          <w:left w:w="0" w:type="dxa"/>
          <w:right w:w="0" w:type="dxa"/>
        </w:tblCellMar>
        <w:tblLook w:val="04A0" w:firstRow="1" w:lastRow="0" w:firstColumn="1" w:lastColumn="0" w:noHBand="0" w:noVBand="1"/>
      </w:tblPr>
      <w:tblGrid>
        <w:gridCol w:w="2649"/>
        <w:gridCol w:w="1668"/>
        <w:gridCol w:w="2157"/>
        <w:gridCol w:w="2146"/>
      </w:tblGrid>
      <w:tr w:rsidR="0038356B" w:rsidRPr="0038356B" w14:paraId="676C4DFD" w14:textId="77777777" w:rsidTr="0038356B">
        <w:tc>
          <w:tcPr>
            <w:tcW w:w="26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75248C" w14:textId="77777777" w:rsidR="0038356B" w:rsidRPr="0038356B" w:rsidRDefault="0038356B">
            <w:pPr>
              <w:rPr>
                <w:b/>
                <w:bCs/>
                <w:szCs w:val="24"/>
              </w:rPr>
            </w:pPr>
            <w:r w:rsidRPr="0038356B">
              <w:rPr>
                <w:b/>
                <w:bCs/>
                <w:szCs w:val="24"/>
              </w:rPr>
              <w:t>Location</w:t>
            </w:r>
          </w:p>
        </w:tc>
        <w:tc>
          <w:tcPr>
            <w:tcW w:w="16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07CABA" w14:textId="77777777" w:rsidR="0038356B" w:rsidRPr="0038356B" w:rsidRDefault="0038356B">
            <w:pPr>
              <w:rPr>
                <w:b/>
                <w:bCs/>
                <w:szCs w:val="24"/>
              </w:rPr>
            </w:pPr>
            <w:r w:rsidRPr="0038356B">
              <w:rPr>
                <w:b/>
                <w:bCs/>
                <w:szCs w:val="24"/>
              </w:rPr>
              <w:t>Item</w:t>
            </w:r>
          </w:p>
        </w:tc>
        <w:tc>
          <w:tcPr>
            <w:tcW w:w="21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F9206E" w14:textId="77777777" w:rsidR="0038356B" w:rsidRPr="0038356B" w:rsidRDefault="0038356B">
            <w:pPr>
              <w:rPr>
                <w:b/>
                <w:bCs/>
                <w:szCs w:val="24"/>
              </w:rPr>
            </w:pPr>
            <w:r w:rsidRPr="0038356B">
              <w:rPr>
                <w:b/>
                <w:bCs/>
                <w:szCs w:val="24"/>
              </w:rPr>
              <w:t>Quantity</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5DF427" w14:textId="77777777" w:rsidR="0038356B" w:rsidRPr="0038356B" w:rsidRDefault="0038356B">
            <w:pPr>
              <w:rPr>
                <w:b/>
                <w:bCs/>
                <w:szCs w:val="24"/>
              </w:rPr>
            </w:pPr>
            <w:r w:rsidRPr="0038356B">
              <w:rPr>
                <w:b/>
                <w:bCs/>
                <w:szCs w:val="24"/>
              </w:rPr>
              <w:t>Cost</w:t>
            </w:r>
          </w:p>
        </w:tc>
      </w:tr>
      <w:tr w:rsidR="0038356B" w:rsidRPr="0038356B" w14:paraId="606F15DE" w14:textId="77777777" w:rsidTr="0038356B">
        <w:tc>
          <w:tcPr>
            <w:tcW w:w="2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8CA3D" w14:textId="77777777" w:rsidR="0038356B" w:rsidRPr="0038356B" w:rsidRDefault="0038356B">
            <w:pPr>
              <w:rPr>
                <w:szCs w:val="24"/>
              </w:rPr>
            </w:pPr>
            <w:r w:rsidRPr="0038356B">
              <w:rPr>
                <w:szCs w:val="24"/>
              </w:rPr>
              <w:t>Community Dining Room</w:t>
            </w:r>
          </w:p>
        </w:tc>
        <w:tc>
          <w:tcPr>
            <w:tcW w:w="1668" w:type="dxa"/>
            <w:tcBorders>
              <w:top w:val="nil"/>
              <w:left w:val="nil"/>
              <w:bottom w:val="single" w:sz="8" w:space="0" w:color="auto"/>
              <w:right w:val="single" w:sz="8" w:space="0" w:color="auto"/>
            </w:tcBorders>
            <w:tcMar>
              <w:top w:w="0" w:type="dxa"/>
              <w:left w:w="108" w:type="dxa"/>
              <w:bottom w:w="0" w:type="dxa"/>
              <w:right w:w="108" w:type="dxa"/>
            </w:tcMar>
            <w:hideMark/>
          </w:tcPr>
          <w:p w14:paraId="23734C25" w14:textId="77777777" w:rsidR="0038356B" w:rsidRPr="0038356B" w:rsidRDefault="0038356B">
            <w:pPr>
              <w:rPr>
                <w:szCs w:val="24"/>
              </w:rPr>
            </w:pPr>
            <w:r w:rsidRPr="0038356B">
              <w:rPr>
                <w:szCs w:val="24"/>
              </w:rPr>
              <w:t>36” square tables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193CF3F2" w14:textId="77777777" w:rsidR="0038356B" w:rsidRPr="0038356B" w:rsidRDefault="0038356B">
            <w:pPr>
              <w:rPr>
                <w:szCs w:val="24"/>
              </w:rPr>
            </w:pPr>
            <w:r w:rsidRPr="0038356B">
              <w:rPr>
                <w:szCs w:val="24"/>
              </w:rPr>
              <w:t>24</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52674FD9" w14:textId="77777777" w:rsidR="0038356B" w:rsidRPr="0038356B" w:rsidRDefault="0038356B">
            <w:pPr>
              <w:rPr>
                <w:szCs w:val="24"/>
              </w:rPr>
            </w:pPr>
            <w:r w:rsidRPr="0038356B">
              <w:rPr>
                <w:szCs w:val="24"/>
              </w:rPr>
              <w:t>$275.00 each</w:t>
            </w:r>
          </w:p>
        </w:tc>
      </w:tr>
      <w:tr w:rsidR="0038356B" w:rsidRPr="0038356B" w14:paraId="3A704400" w14:textId="77777777" w:rsidTr="0038356B">
        <w:tc>
          <w:tcPr>
            <w:tcW w:w="26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A6BDEB" w14:textId="77777777" w:rsidR="0038356B" w:rsidRPr="0038356B" w:rsidRDefault="0038356B">
            <w:pPr>
              <w:rPr>
                <w:szCs w:val="24"/>
              </w:rPr>
            </w:pPr>
          </w:p>
        </w:tc>
        <w:tc>
          <w:tcPr>
            <w:tcW w:w="1668" w:type="dxa"/>
            <w:tcBorders>
              <w:top w:val="nil"/>
              <w:left w:val="nil"/>
              <w:bottom w:val="single" w:sz="8" w:space="0" w:color="auto"/>
              <w:right w:val="single" w:sz="8" w:space="0" w:color="auto"/>
            </w:tcBorders>
            <w:tcMar>
              <w:top w:w="0" w:type="dxa"/>
              <w:left w:w="108" w:type="dxa"/>
              <w:bottom w:w="0" w:type="dxa"/>
              <w:right w:w="108" w:type="dxa"/>
            </w:tcMar>
            <w:hideMark/>
          </w:tcPr>
          <w:p w14:paraId="37D092CC" w14:textId="77777777" w:rsidR="0038356B" w:rsidRPr="0038356B" w:rsidRDefault="0038356B">
            <w:pPr>
              <w:rPr>
                <w:szCs w:val="24"/>
              </w:rPr>
            </w:pPr>
            <w:r w:rsidRPr="0038356B">
              <w:rPr>
                <w:szCs w:val="24"/>
              </w:rPr>
              <w:t>Dining chairs</w:t>
            </w:r>
          </w:p>
        </w:tc>
        <w:tc>
          <w:tcPr>
            <w:tcW w:w="2157" w:type="dxa"/>
            <w:tcBorders>
              <w:top w:val="nil"/>
              <w:left w:val="nil"/>
              <w:bottom w:val="single" w:sz="8" w:space="0" w:color="auto"/>
              <w:right w:val="single" w:sz="8" w:space="0" w:color="auto"/>
            </w:tcBorders>
            <w:tcMar>
              <w:top w:w="0" w:type="dxa"/>
              <w:left w:w="108" w:type="dxa"/>
              <w:bottom w:w="0" w:type="dxa"/>
              <w:right w:w="108" w:type="dxa"/>
            </w:tcMar>
            <w:hideMark/>
          </w:tcPr>
          <w:p w14:paraId="579C7F50" w14:textId="77777777" w:rsidR="0038356B" w:rsidRPr="0038356B" w:rsidRDefault="0038356B">
            <w:pPr>
              <w:rPr>
                <w:szCs w:val="24"/>
              </w:rPr>
            </w:pPr>
            <w:r w:rsidRPr="0038356B">
              <w:rPr>
                <w:szCs w:val="24"/>
              </w:rPr>
              <w:t>125</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29CD0CC9" w14:textId="77777777" w:rsidR="0038356B" w:rsidRPr="0038356B" w:rsidRDefault="0038356B">
            <w:pPr>
              <w:rPr>
                <w:szCs w:val="24"/>
              </w:rPr>
            </w:pPr>
            <w:r w:rsidRPr="0038356B">
              <w:rPr>
                <w:szCs w:val="24"/>
              </w:rPr>
              <w:t>$75.00 each</w:t>
            </w:r>
          </w:p>
        </w:tc>
      </w:tr>
    </w:tbl>
    <w:p w14:paraId="7FED8AB0" w14:textId="77777777" w:rsidR="0038356B" w:rsidRPr="0038356B" w:rsidRDefault="0038356B" w:rsidP="0038356B">
      <w:pPr>
        <w:rPr>
          <w:rFonts w:eastAsiaTheme="minorHAnsi" w:cs="Calibri"/>
          <w:szCs w:val="24"/>
        </w:rPr>
      </w:pPr>
    </w:p>
    <w:p w14:paraId="56EE8835" w14:textId="51861711" w:rsidR="0038356B" w:rsidRPr="0038356B" w:rsidRDefault="0038356B" w:rsidP="0038356B">
      <w:pPr>
        <w:rPr>
          <w:szCs w:val="24"/>
        </w:rPr>
      </w:pPr>
      <w:r w:rsidRPr="0009287F">
        <w:rPr>
          <w:szCs w:val="24"/>
        </w:rPr>
        <w:t xml:space="preserve">The </w:t>
      </w:r>
      <w:r w:rsidRPr="0009287F">
        <w:rPr>
          <w:szCs w:val="24"/>
          <w:u w:val="single"/>
        </w:rPr>
        <w:t>Lender’s Architectural Reviewer and Cost Analyst’s Statement of Work</w:t>
      </w:r>
      <w:r w:rsidRPr="0009287F">
        <w:rPr>
          <w:szCs w:val="24"/>
        </w:rPr>
        <w:t>, dated July 30, 2018, has been revised accordingly</w:t>
      </w:r>
      <w:r w:rsidR="006F08C8">
        <w:rPr>
          <w:szCs w:val="24"/>
        </w:rPr>
        <w:t xml:space="preserve"> (</w:t>
      </w:r>
      <w:hyperlink r:id="rId14" w:history="1">
        <w:r w:rsidR="006F08C8" w:rsidRPr="006F08C8">
          <w:rPr>
            <w:rStyle w:val="Hyperlink"/>
            <w:szCs w:val="24"/>
          </w:rPr>
          <w:t>here</w:t>
        </w:r>
      </w:hyperlink>
      <w:r w:rsidR="006F08C8">
        <w:rPr>
          <w:szCs w:val="24"/>
        </w:rPr>
        <w:t>)</w:t>
      </w:r>
      <w:r w:rsidRPr="0009287F">
        <w:rPr>
          <w:szCs w:val="24"/>
        </w:rPr>
        <w:t>.</w:t>
      </w:r>
    </w:p>
    <w:p w14:paraId="17EC4647" w14:textId="77777777" w:rsidR="0038356B" w:rsidRPr="0038356B" w:rsidRDefault="0038356B" w:rsidP="0038356B">
      <w:pPr>
        <w:rPr>
          <w:szCs w:val="24"/>
        </w:rPr>
      </w:pPr>
    </w:p>
    <w:p w14:paraId="5F7A3C4C" w14:textId="4ADA8909" w:rsidR="00F76151" w:rsidRPr="00DD6A76" w:rsidRDefault="00F76151" w:rsidP="00F76151">
      <w:pPr>
        <w:rPr>
          <w:rFonts w:eastAsia="MS Mincho"/>
          <w:i/>
          <w:szCs w:val="24"/>
        </w:rPr>
      </w:pPr>
      <w:r w:rsidRPr="00B243B2">
        <w:rPr>
          <w:rFonts w:eastAsia="MS Mincho"/>
          <w:b/>
          <w:i/>
          <w:szCs w:val="24"/>
        </w:rPr>
        <w:t>Keywords:</w:t>
      </w:r>
      <w:r>
        <w:rPr>
          <w:rFonts w:eastAsia="MS Mincho"/>
          <w:i/>
          <w:szCs w:val="24"/>
        </w:rPr>
        <w:tab/>
      </w:r>
      <w:r w:rsidR="0009287F" w:rsidRPr="0009287F">
        <w:rPr>
          <w:rFonts w:eastAsia="MS Mincho"/>
          <w:i/>
          <w:szCs w:val="24"/>
        </w:rPr>
        <w:t xml:space="preserve">Major Movable Equipment, New Construction, Substantial Rehabilitation, 241(a), Lender’s Architectural Reviewer and Cost Analyst’s Statement of Work </w:t>
      </w:r>
      <w:r>
        <w:rPr>
          <w:rFonts w:eastAsia="MS Mincho"/>
          <w:i/>
          <w:szCs w:val="24"/>
        </w:rPr>
        <w:t>Documents, Firm Application Checklist, Firm Commitments</w:t>
      </w:r>
    </w:p>
    <w:p w14:paraId="6F680CD1" w14:textId="77777777" w:rsidR="00F76151" w:rsidRDefault="00F76151" w:rsidP="00F76151">
      <w:pPr>
        <w:rPr>
          <w:b/>
        </w:rPr>
      </w:pPr>
    </w:p>
    <w:p w14:paraId="0CCD3BD8" w14:textId="75396C36" w:rsidR="00F76151" w:rsidRDefault="00AA3268" w:rsidP="00F76151">
      <w:pPr>
        <w:rPr>
          <w:rStyle w:val="Hyperlink"/>
        </w:rPr>
      </w:pPr>
      <w:hyperlink w:anchor="_top" w:history="1">
        <w:r w:rsidR="00F76151" w:rsidRPr="00817EB6">
          <w:rPr>
            <w:rStyle w:val="Hyperlink"/>
          </w:rPr>
          <w:t>Back to top</w:t>
        </w:r>
      </w:hyperlink>
    </w:p>
    <w:p w14:paraId="36F94FD9" w14:textId="77777777" w:rsidR="0047642B" w:rsidRDefault="0047642B" w:rsidP="00F76151">
      <w:pPr>
        <w:rPr>
          <w:rStyle w:val="Hyperlink"/>
        </w:rPr>
      </w:pPr>
    </w:p>
    <w:p w14:paraId="62D76615" w14:textId="013CFE03" w:rsidR="002B3B98" w:rsidRPr="00E426DA" w:rsidRDefault="002B3B98" w:rsidP="002B3B98">
      <w:pPr>
        <w:pStyle w:val="Heading1"/>
      </w:pPr>
      <w:bookmarkStart w:id="6" w:name="_Toc522027745"/>
      <w:r>
        <w:rPr>
          <w:szCs w:val="28"/>
        </w:rPr>
        <w:t xml:space="preserve">Reminders </w:t>
      </w:r>
      <w:r w:rsidR="00001E94">
        <w:rPr>
          <w:szCs w:val="28"/>
        </w:rPr>
        <w:t>R</w:t>
      </w:r>
      <w:r>
        <w:rPr>
          <w:szCs w:val="28"/>
        </w:rPr>
        <w:t xml:space="preserve">elated to </w:t>
      </w:r>
      <w:r w:rsidR="00001E94">
        <w:rPr>
          <w:szCs w:val="28"/>
        </w:rPr>
        <w:t>F</w:t>
      </w:r>
      <w:r>
        <w:rPr>
          <w:szCs w:val="28"/>
        </w:rPr>
        <w:t xml:space="preserve">lorida’s </w:t>
      </w:r>
      <w:r w:rsidR="00001E94">
        <w:rPr>
          <w:szCs w:val="28"/>
        </w:rPr>
        <w:t>E</w:t>
      </w:r>
      <w:r>
        <w:rPr>
          <w:szCs w:val="28"/>
        </w:rPr>
        <w:t xml:space="preserve">mergency </w:t>
      </w:r>
      <w:r w:rsidR="00001E94">
        <w:rPr>
          <w:szCs w:val="28"/>
        </w:rPr>
        <w:t>P</w:t>
      </w:r>
      <w:r>
        <w:rPr>
          <w:szCs w:val="28"/>
        </w:rPr>
        <w:t>ower (</w:t>
      </w:r>
      <w:r w:rsidR="00001E94">
        <w:rPr>
          <w:szCs w:val="28"/>
        </w:rPr>
        <w:t>G</w:t>
      </w:r>
      <w:r>
        <w:rPr>
          <w:szCs w:val="28"/>
        </w:rPr>
        <w:t xml:space="preserve">enerator) </w:t>
      </w:r>
      <w:r w:rsidR="00001E94">
        <w:rPr>
          <w:szCs w:val="28"/>
        </w:rPr>
        <w:t>R</w:t>
      </w:r>
      <w:r>
        <w:rPr>
          <w:szCs w:val="28"/>
        </w:rPr>
        <w:t>ules</w:t>
      </w:r>
      <w:bookmarkEnd w:id="6"/>
      <w:r>
        <w:rPr>
          <w:szCs w:val="28"/>
        </w:rPr>
        <w:t xml:space="preserve"> </w:t>
      </w:r>
    </w:p>
    <w:p w14:paraId="7C742717" w14:textId="17C3C0F6" w:rsidR="002B3B98" w:rsidRDefault="002B3B98" w:rsidP="002B3B98">
      <w:r>
        <w:t xml:space="preserve">ORCF would like to thank all servicing lenders, borrowers and other stakeholders of Section 232 projects in Florida for their efforts in providing compliance status updates and working to process R4R requests pursuant to procedures outlined in </w:t>
      </w:r>
      <w:r w:rsidR="00C8431C">
        <w:t>our</w:t>
      </w:r>
      <w:r>
        <w:t xml:space="preserve"> April 3, 2018 Email Blast.  Please note the following points of emphasis:</w:t>
      </w:r>
    </w:p>
    <w:p w14:paraId="0F0C9A0A" w14:textId="77777777" w:rsidR="002B3B98" w:rsidRDefault="002B3B98" w:rsidP="002B3B98"/>
    <w:p w14:paraId="717E2EB2" w14:textId="77777777" w:rsidR="002B3B98" w:rsidRPr="00C44F71" w:rsidRDefault="002B3B98" w:rsidP="002B3B98">
      <w:pPr>
        <w:pStyle w:val="ListParagraph"/>
        <w:numPr>
          <w:ilvl w:val="0"/>
          <w:numId w:val="16"/>
        </w:numPr>
        <w:rPr>
          <w:szCs w:val="22"/>
        </w:rPr>
      </w:pPr>
      <w:r>
        <w:t>Florida’s Agency for Health Care Administration has a number of resources for borrowers and operators related to the Emergency Power Plan Rules posted online (</w:t>
      </w:r>
      <w:hyperlink r:id="rId15" w:history="1">
        <w:r w:rsidRPr="00207BCD">
          <w:rPr>
            <w:rStyle w:val="Hyperlink"/>
          </w:rPr>
          <w:t>here</w:t>
        </w:r>
      </w:hyperlink>
      <w:r>
        <w:t xml:space="preserve">).  </w:t>
      </w:r>
    </w:p>
    <w:p w14:paraId="10D2644B" w14:textId="77777777" w:rsidR="002B3B98" w:rsidRPr="00C44F71" w:rsidRDefault="002B3B98" w:rsidP="002B3B98">
      <w:pPr>
        <w:pStyle w:val="ListParagraph"/>
        <w:numPr>
          <w:ilvl w:val="0"/>
          <w:numId w:val="16"/>
        </w:numPr>
        <w:rPr>
          <w:szCs w:val="22"/>
        </w:rPr>
      </w:pPr>
      <w:r>
        <w:rPr>
          <w:szCs w:val="22"/>
        </w:rPr>
        <w:t xml:space="preserve">Stakeholders can use </w:t>
      </w:r>
      <w:hyperlink r:id="rId16" w:history="1">
        <w:r w:rsidRPr="009E70CD">
          <w:rPr>
            <w:rStyle w:val="Hyperlink"/>
            <w:szCs w:val="22"/>
          </w:rPr>
          <w:t>FloridaHealthFinder.gov</w:t>
        </w:r>
      </w:hyperlink>
      <w:r>
        <w:rPr>
          <w:szCs w:val="22"/>
        </w:rPr>
        <w:t xml:space="preserve"> to ascertain a facility’s compliance status, including the date a facility’s emergency power plan was approved and the date until which the facility has to fully implement the plan with a permanent, on-site alternate power source, if applicable.</w:t>
      </w:r>
    </w:p>
    <w:p w14:paraId="725E4E03" w14:textId="77777777" w:rsidR="002B3B98" w:rsidRPr="00B77F76" w:rsidRDefault="002B3B98" w:rsidP="002B3B98">
      <w:pPr>
        <w:pStyle w:val="ListParagraph"/>
        <w:numPr>
          <w:ilvl w:val="0"/>
          <w:numId w:val="16"/>
        </w:numPr>
        <w:rPr>
          <w:szCs w:val="22"/>
        </w:rPr>
      </w:pPr>
      <w:r>
        <w:rPr>
          <w:szCs w:val="22"/>
        </w:rPr>
        <w:t xml:space="preserve">All pertinent R4R release requests should be sent to </w:t>
      </w:r>
      <w:r>
        <w:t xml:space="preserve">the </w:t>
      </w:r>
      <w:hyperlink r:id="rId17" w:history="1">
        <w:r>
          <w:rPr>
            <w:rStyle w:val="Hyperlink"/>
          </w:rPr>
          <w:t>232R4RRequest@hud.gov</w:t>
        </w:r>
      </w:hyperlink>
      <w:r>
        <w:t xml:space="preserve"> mailbox, rather than through the Portal, and should </w:t>
      </w:r>
      <w:r>
        <w:rPr>
          <w:szCs w:val="22"/>
        </w:rPr>
        <w:t>include a copy of the emergency plan submitted to the state to demonstrate full or partial compliance, and must include copies of any supporting documentation used in connection with getting an extension beyond the June 1, 2018 deadline.</w:t>
      </w:r>
    </w:p>
    <w:p w14:paraId="3F09308F" w14:textId="73DC65D2" w:rsidR="00C8431C" w:rsidRDefault="002B3B98" w:rsidP="00C8431C">
      <w:pPr>
        <w:pStyle w:val="ListParagraph"/>
        <w:numPr>
          <w:ilvl w:val="0"/>
          <w:numId w:val="16"/>
        </w:numPr>
        <w:spacing w:after="160" w:line="259" w:lineRule="auto"/>
        <w:contextualSpacing/>
      </w:pPr>
      <w:r w:rsidRPr="00512623">
        <w:rPr>
          <w:b/>
          <w:szCs w:val="22"/>
        </w:rPr>
        <w:t>For Skilled Nursing Facilities only:</w:t>
      </w:r>
      <w:r w:rsidRPr="00512623">
        <w:rPr>
          <w:szCs w:val="22"/>
        </w:rPr>
        <w:t xml:space="preserve"> </w:t>
      </w:r>
      <w:r>
        <w:rPr>
          <w:szCs w:val="22"/>
        </w:rPr>
        <w:t>T</w:t>
      </w:r>
      <w:r w:rsidRPr="00512623">
        <w:rPr>
          <w:szCs w:val="22"/>
        </w:rPr>
        <w:t xml:space="preserve">he R4R release request must include </w:t>
      </w:r>
      <w:r>
        <w:rPr>
          <w:szCs w:val="22"/>
        </w:rPr>
        <w:t xml:space="preserve">a </w:t>
      </w:r>
      <w:r>
        <w:t xml:space="preserve">plan for replenishment of the R4R account within a six-year period (the approximate amount of time Medicaid is expected to reimburse providers via Florida’s Prospective Payment System).  The </w:t>
      </w:r>
      <w:r>
        <w:lastRenderedPageBreak/>
        <w:t>total amount to be replenished should be supported by documentation reflecting the percentage of Medicaid beds at the facility (e.g. documentation of the percentage of beds licensed or certified for Medicaid or trailing 12-month Census by payer for the facility).</w:t>
      </w:r>
    </w:p>
    <w:p w14:paraId="4D961ECB" w14:textId="4BCE6107" w:rsidR="0038356B" w:rsidRDefault="002B3B98" w:rsidP="002B3B98">
      <w:pPr>
        <w:pStyle w:val="ListParagraph"/>
        <w:numPr>
          <w:ilvl w:val="0"/>
          <w:numId w:val="16"/>
        </w:numPr>
        <w:spacing w:after="160" w:line="259" w:lineRule="auto"/>
        <w:contextualSpacing/>
      </w:pPr>
      <w:r>
        <w:t xml:space="preserve">Previous Email Blasts (most recently the April 3, 2018 Email Blast) indicated ORCF’s willingness to consider requests that would bring the R4R account balance below the standard recommended minimum threshold of $1,000 per unit.  However, ORCF does not anticipate granting exceptions to this minimum threshold that would substantially deplete the R4R account balance. </w:t>
      </w:r>
      <w:r w:rsidR="0038356B">
        <w:t xml:space="preserve"> </w:t>
      </w:r>
    </w:p>
    <w:p w14:paraId="073F699E" w14:textId="77777777" w:rsidR="0038356B" w:rsidRDefault="0038356B" w:rsidP="0038356B">
      <w:pPr>
        <w:pStyle w:val="ListParagraph"/>
        <w:spacing w:after="160" w:line="259" w:lineRule="auto"/>
        <w:contextualSpacing/>
      </w:pPr>
    </w:p>
    <w:p w14:paraId="07B761B9" w14:textId="4112D6DA" w:rsidR="002B3B98" w:rsidRDefault="002B3B98" w:rsidP="0038356B">
      <w:pPr>
        <w:pStyle w:val="ListParagraph"/>
        <w:spacing w:after="160" w:line="259" w:lineRule="auto"/>
        <w:contextualSpacing/>
      </w:pPr>
      <w:r>
        <w:t xml:space="preserve">Requests which will take the account below the ORCF-recommended $1000 per unit limit will be considered on a case-by-case basis to ensure the facility’s needs moving forward will not be impacted negatively.  Please review these cases with your assigned Account Executive (AE) </w:t>
      </w:r>
      <w:r w:rsidRPr="00FB4550">
        <w:t xml:space="preserve">and the AE can review it with his/her </w:t>
      </w:r>
      <w:r>
        <w:t>Workload Manager</w:t>
      </w:r>
      <w:r w:rsidRPr="00FB4550">
        <w:t xml:space="preserve"> for approval</w:t>
      </w:r>
      <w:r w:rsidR="00C8431C">
        <w:t>.</w:t>
      </w:r>
      <w:r>
        <w:t xml:space="preserve"> </w:t>
      </w:r>
      <w:r w:rsidR="00C8431C">
        <w:t>I</w:t>
      </w:r>
      <w:r>
        <w:t>n most cases a Replacement Reserve analysis may be necessary to ensure the Replacement Reserve is adequately funded for the foreseeable future.</w:t>
      </w:r>
    </w:p>
    <w:p w14:paraId="212CB41A" w14:textId="2ED3713B" w:rsidR="002B3B98" w:rsidRDefault="002B3B98" w:rsidP="002B3B98">
      <w:pPr>
        <w:pStyle w:val="ListParagraph"/>
        <w:numPr>
          <w:ilvl w:val="0"/>
          <w:numId w:val="16"/>
        </w:numPr>
        <w:spacing w:after="160" w:line="259" w:lineRule="auto"/>
        <w:contextualSpacing/>
      </w:pPr>
      <w:r>
        <w:t>ORCF is aware of one situation where a 5-year lease-to-</w:t>
      </w:r>
      <w:r w:rsidR="00853C6F">
        <w:t>purchase</w:t>
      </w:r>
      <w:r>
        <w:t xml:space="preserve"> arrangement made sense for a facility’s cash position, allowing it to achieve compliance with the rule even though the final overall cost of the generator w</w:t>
      </w:r>
      <w:r w:rsidR="00853C6F">
        <w:t>as</w:t>
      </w:r>
      <w:r>
        <w:t xml:space="preserve"> higher than if it were purchased up front.  If lenders are considering this or other sorts of alternate financing arrangements, please be sure to detail the plan and get prior approval from the assigned AE.</w:t>
      </w:r>
    </w:p>
    <w:p w14:paraId="4B05FE45" w14:textId="03812928" w:rsidR="002B3B98" w:rsidRDefault="002B3B98" w:rsidP="007826A0">
      <w:pPr>
        <w:pStyle w:val="ListParagraph"/>
        <w:numPr>
          <w:ilvl w:val="0"/>
          <w:numId w:val="16"/>
        </w:numPr>
        <w:contextualSpacing/>
      </w:pPr>
      <w:r>
        <w:t xml:space="preserve">Lenders that service loans on facilities that do not have </w:t>
      </w:r>
      <w:proofErr w:type="gramStart"/>
      <w:r>
        <w:t>sufficient</w:t>
      </w:r>
      <w:proofErr w:type="gramEnd"/>
      <w:r>
        <w:t xml:space="preserve"> funds in their R4R account should contact their Account Executive to discuss other options for funding the costs of coming into compliance with these rules.  ORCF would be open to considering Section 241(a) Supplemental Loans or Section 232(i) Fire Safety Equipment Loans if </w:t>
      </w:r>
      <w:r w:rsidR="003940B3">
        <w:t>the project is otherwise eligible</w:t>
      </w:r>
      <w:r>
        <w:t xml:space="preserve">.  </w:t>
      </w:r>
      <w:r w:rsidR="00D66860" w:rsidRPr="00D66860">
        <w:t>Per 24 CFR 200.85, any supplemental loan that might otherwise be approved for the FHA borrower entity would need to be repayable only from surplus cash and cannot be amortizing</w:t>
      </w:r>
      <w:r w:rsidR="007826A0">
        <w:t>.</w:t>
      </w:r>
    </w:p>
    <w:p w14:paraId="3FF87914" w14:textId="77777777" w:rsidR="002B3B98" w:rsidRPr="003B5289" w:rsidRDefault="002B3B98" w:rsidP="007826A0">
      <w:pPr>
        <w:pStyle w:val="ListParagraph"/>
        <w:contextualSpacing/>
        <w:rPr>
          <w:rFonts w:eastAsia="MS Mincho"/>
          <w:i/>
        </w:rPr>
      </w:pPr>
    </w:p>
    <w:p w14:paraId="3A49D034" w14:textId="77777777" w:rsidR="002B3B98" w:rsidRPr="003B5289" w:rsidRDefault="002B3B98" w:rsidP="007826A0">
      <w:pPr>
        <w:contextualSpacing/>
        <w:rPr>
          <w:rFonts w:eastAsia="MS Mincho"/>
          <w:i/>
        </w:rPr>
      </w:pPr>
      <w:r w:rsidRPr="003B5289">
        <w:rPr>
          <w:rFonts w:eastAsia="MS Mincho"/>
          <w:b/>
          <w:i/>
        </w:rPr>
        <w:t>Keywords:</w:t>
      </w:r>
      <w:r w:rsidRPr="003B5289">
        <w:rPr>
          <w:rFonts w:eastAsia="MS Mincho"/>
          <w:i/>
        </w:rPr>
        <w:tab/>
        <w:t xml:space="preserve"> </w:t>
      </w:r>
      <w:r>
        <w:rPr>
          <w:rFonts w:eastAsia="MS Mincho"/>
          <w:i/>
        </w:rPr>
        <w:t xml:space="preserve">Florida Emergency </w:t>
      </w:r>
      <w:r w:rsidRPr="003B5289">
        <w:rPr>
          <w:rFonts w:eastAsia="MS Mincho"/>
        </w:rPr>
        <w:t>Generator</w:t>
      </w:r>
      <w:r>
        <w:rPr>
          <w:rFonts w:eastAsia="MS Mincho"/>
        </w:rPr>
        <w:t xml:space="preserve"> Rules</w:t>
      </w:r>
    </w:p>
    <w:p w14:paraId="3CC52FDC" w14:textId="77777777" w:rsidR="002B3B98" w:rsidRDefault="002B3B98" w:rsidP="007826A0">
      <w:pPr>
        <w:rPr>
          <w:rFonts w:eastAsia="MS Mincho"/>
          <w:b/>
          <w:szCs w:val="24"/>
        </w:rPr>
      </w:pPr>
    </w:p>
    <w:p w14:paraId="7AF9FE12" w14:textId="77777777" w:rsidR="002B3B98" w:rsidRPr="00E426DA" w:rsidRDefault="00AA3268" w:rsidP="002B3B98">
      <w:pPr>
        <w:rPr>
          <w:color w:val="0000FF"/>
          <w:u w:val="single"/>
        </w:rPr>
      </w:pPr>
      <w:hyperlink w:anchor="_top" w:history="1">
        <w:r w:rsidR="002B3B98" w:rsidRPr="00817EB6">
          <w:rPr>
            <w:rStyle w:val="Hyperlink"/>
          </w:rPr>
          <w:t>Back to top</w:t>
        </w:r>
      </w:hyperlink>
    </w:p>
    <w:p w14:paraId="0EFD0424" w14:textId="5E4017CE" w:rsidR="00BD0D2E" w:rsidRDefault="00BD0D2E" w:rsidP="00BD0D2E">
      <w:pPr>
        <w:rPr>
          <w:rFonts w:eastAsia="MS Mincho"/>
          <w:b/>
          <w:i/>
          <w:szCs w:val="24"/>
        </w:rPr>
      </w:pPr>
    </w:p>
    <w:p w14:paraId="44E1BABC" w14:textId="77777777" w:rsidR="00DD0CD7" w:rsidRPr="00F27064" w:rsidRDefault="00DD0CD7" w:rsidP="00DD0CD7">
      <w:pPr>
        <w:pStyle w:val="Heading1"/>
      </w:pPr>
      <w:bookmarkStart w:id="7" w:name="_Toc522027742"/>
      <w:r>
        <w:t>Consolidated Certification Review Due Diligence</w:t>
      </w:r>
      <w:bookmarkEnd w:id="7"/>
    </w:p>
    <w:p w14:paraId="22C5A985" w14:textId="0AC93B9F" w:rsidR="00DD0CD7" w:rsidRPr="00F27064" w:rsidRDefault="00DD0CD7" w:rsidP="00DD0CD7">
      <w:pPr>
        <w:rPr>
          <w:szCs w:val="24"/>
        </w:rPr>
      </w:pPr>
      <w:r w:rsidRPr="00F27064">
        <w:rPr>
          <w:szCs w:val="24"/>
        </w:rPr>
        <w:lastRenderedPageBreak/>
        <w:t>Lenders are reminded that as part of underwriting due diligence</w:t>
      </w:r>
      <w:r>
        <w:rPr>
          <w:szCs w:val="24"/>
        </w:rPr>
        <w:t>,</w:t>
      </w:r>
      <w:r w:rsidRPr="00F27064">
        <w:rPr>
          <w:szCs w:val="24"/>
        </w:rPr>
        <w:t xml:space="preserve"> </w:t>
      </w:r>
      <w:r>
        <w:rPr>
          <w:szCs w:val="24"/>
        </w:rPr>
        <w:t>lenders</w:t>
      </w:r>
      <w:r w:rsidRPr="00F27064">
        <w:rPr>
          <w:szCs w:val="24"/>
        </w:rPr>
        <w:t xml:space="preserve"> are required to review the Consolidated Certifications for all participants</w:t>
      </w:r>
      <w:r w:rsidR="00421DC2">
        <w:rPr>
          <w:szCs w:val="24"/>
        </w:rPr>
        <w:t xml:space="preserve"> </w:t>
      </w:r>
      <w:r w:rsidR="00421DC2" w:rsidRPr="00421DC2">
        <w:rPr>
          <w:szCs w:val="24"/>
        </w:rPr>
        <w:t>(not form HUD-2530)</w:t>
      </w:r>
      <w:r w:rsidRPr="00F27064">
        <w:rPr>
          <w:szCs w:val="24"/>
        </w:rPr>
        <w:t xml:space="preserve"> and to discuss any derogatory information in the Lender Narrative.  This review and discussion should include any pending lawsuits, judgments or investigations.  The Lender Narrative must discuss why any such instance is not a material risk to the transaction or provide an explanation of how the risk is mitigated.  An additional best practice is to perform </w:t>
      </w:r>
      <w:r w:rsidR="00C8431C">
        <w:rPr>
          <w:szCs w:val="24"/>
        </w:rPr>
        <w:t>I</w:t>
      </w:r>
      <w:r w:rsidRPr="00F27064">
        <w:rPr>
          <w:szCs w:val="24"/>
        </w:rPr>
        <w:t>nternet searches on participants, in case there is more recent information available.</w:t>
      </w:r>
    </w:p>
    <w:p w14:paraId="14052A63" w14:textId="77777777" w:rsidR="00DD0CD7" w:rsidRPr="00F27064" w:rsidRDefault="00DD0CD7" w:rsidP="00DD0CD7">
      <w:pPr>
        <w:rPr>
          <w:szCs w:val="24"/>
        </w:rPr>
      </w:pPr>
    </w:p>
    <w:p w14:paraId="2537CDFD" w14:textId="77777777" w:rsidR="00DD0CD7" w:rsidRPr="00F27064" w:rsidRDefault="00DD0CD7" w:rsidP="00DD0CD7">
      <w:pPr>
        <w:rPr>
          <w:rFonts w:eastAsia="MS Mincho"/>
          <w:i/>
          <w:szCs w:val="24"/>
        </w:rPr>
      </w:pPr>
      <w:r w:rsidRPr="00F27064">
        <w:rPr>
          <w:rFonts w:eastAsia="MS Mincho"/>
          <w:b/>
          <w:i/>
          <w:szCs w:val="24"/>
        </w:rPr>
        <w:t>Keywords:</w:t>
      </w:r>
      <w:r w:rsidRPr="00F27064">
        <w:rPr>
          <w:rFonts w:eastAsia="MS Mincho"/>
          <w:i/>
          <w:szCs w:val="24"/>
        </w:rPr>
        <w:tab/>
        <w:t>Consolidated Certification</w:t>
      </w:r>
    </w:p>
    <w:p w14:paraId="68E63B53" w14:textId="77777777" w:rsidR="00DD0CD7" w:rsidRDefault="00DD0CD7" w:rsidP="00DD0CD7">
      <w:pPr>
        <w:rPr>
          <w:rFonts w:eastAsia="MS Mincho"/>
          <w:b/>
          <w:szCs w:val="24"/>
        </w:rPr>
      </w:pPr>
    </w:p>
    <w:p w14:paraId="15B87780" w14:textId="77777777" w:rsidR="00DD0CD7" w:rsidRPr="00E426DA" w:rsidRDefault="00AA3268" w:rsidP="00DD0CD7">
      <w:pPr>
        <w:rPr>
          <w:color w:val="0000FF"/>
          <w:u w:val="single"/>
        </w:rPr>
      </w:pPr>
      <w:hyperlink w:anchor="_top" w:history="1">
        <w:r w:rsidR="00DD0CD7" w:rsidRPr="00817EB6">
          <w:rPr>
            <w:rStyle w:val="Hyperlink"/>
          </w:rPr>
          <w:t>Back to top</w:t>
        </w:r>
      </w:hyperlink>
    </w:p>
    <w:p w14:paraId="6AD9E98D" w14:textId="77777777" w:rsidR="00DD0CD7" w:rsidRDefault="00DD0CD7" w:rsidP="00BD0D2E">
      <w:pPr>
        <w:rPr>
          <w:rFonts w:eastAsia="MS Mincho"/>
          <w:b/>
          <w:i/>
          <w:szCs w:val="24"/>
        </w:rPr>
      </w:pPr>
    </w:p>
    <w:p w14:paraId="627DC8E2" w14:textId="77777777" w:rsidR="00853C6F" w:rsidRDefault="00853C6F" w:rsidP="00853C6F">
      <w:pPr>
        <w:pStyle w:val="Heading1"/>
        <w:rPr>
          <w:rFonts w:ascii="Calibri" w:hAnsi="Calibri"/>
        </w:rPr>
      </w:pPr>
      <w:r>
        <w:t>Details for Major Organizational Change Submissions in APPS</w:t>
      </w:r>
    </w:p>
    <w:p w14:paraId="5677F2CC" w14:textId="3CE5CFD3" w:rsidR="00853C6F" w:rsidRDefault="00C8431C" w:rsidP="00853C6F">
      <w:pPr>
        <w:rPr>
          <w:szCs w:val="24"/>
        </w:rPr>
      </w:pPr>
      <w:r>
        <w:rPr>
          <w:szCs w:val="24"/>
        </w:rPr>
        <w:t>ORCF is working to improve turn-times related to previous participation requests.</w:t>
      </w:r>
      <w:r w:rsidR="00454CF0">
        <w:rPr>
          <w:szCs w:val="24"/>
        </w:rPr>
        <w:t xml:space="preserve"> </w:t>
      </w:r>
      <w:r>
        <w:rPr>
          <w:szCs w:val="24"/>
        </w:rPr>
        <w:t xml:space="preserve"> </w:t>
      </w:r>
      <w:proofErr w:type="gramStart"/>
      <w:r w:rsidR="00853C6F">
        <w:rPr>
          <w:szCs w:val="24"/>
        </w:rPr>
        <w:t>In order to</w:t>
      </w:r>
      <w:proofErr w:type="gramEnd"/>
      <w:r w:rsidR="00853C6F">
        <w:rPr>
          <w:szCs w:val="24"/>
        </w:rPr>
        <w:t xml:space="preserve"> streamline this process and expedite those reviews so that transactions can be completed in a consistent </w:t>
      </w:r>
      <w:r>
        <w:rPr>
          <w:szCs w:val="24"/>
        </w:rPr>
        <w:t xml:space="preserve">and timely </w:t>
      </w:r>
      <w:r w:rsidR="00853C6F">
        <w:rPr>
          <w:szCs w:val="24"/>
        </w:rPr>
        <w:t>manner, we need the below information to be submitted at the time of your review.</w:t>
      </w:r>
    </w:p>
    <w:p w14:paraId="52AA5187" w14:textId="77777777" w:rsidR="00853C6F" w:rsidRDefault="00853C6F" w:rsidP="00853C6F">
      <w:pPr>
        <w:rPr>
          <w:szCs w:val="24"/>
        </w:rPr>
      </w:pPr>
    </w:p>
    <w:p w14:paraId="6B068494" w14:textId="5EACD5FE" w:rsidR="00853C6F" w:rsidRDefault="00853C6F" w:rsidP="00853C6F">
      <w:pPr>
        <w:rPr>
          <w:szCs w:val="24"/>
        </w:rPr>
      </w:pPr>
      <w:r>
        <w:rPr>
          <w:szCs w:val="24"/>
        </w:rPr>
        <w:t xml:space="preserve">Per Housing Notice 16-15, if a transaction is being processed in conjunction with an APPS or paper previous participation submission (e.g. with a major organizational change that would trigger a change in participant or transfer of physical assets, based on Section 232 Handbook guidance), the submitter is not to send the APPS or paper submission until the transaction package is also submitted to HUD.  ORCF will not a process previous participation submission without having the transactional submission as well.  The previous participation review and approval is only one piece of the overall transactional submission and needs to be processed as part of that same review.  Please note that receiving approval of an APPS submission is </w:t>
      </w:r>
      <w:r>
        <w:rPr>
          <w:i/>
          <w:iCs/>
          <w:szCs w:val="24"/>
        </w:rPr>
        <w:t>not</w:t>
      </w:r>
      <w:r>
        <w:rPr>
          <w:szCs w:val="24"/>
        </w:rPr>
        <w:t xml:space="preserve"> approval of the overall transaction, and if you are doing a paper submission it must be on the ORCF Consolidated Certification form, and not using the Multifamily form HUD-2530.  Applications submitting the form HUD-2530 will be returned.  </w:t>
      </w:r>
    </w:p>
    <w:p w14:paraId="7419081D" w14:textId="77777777" w:rsidR="00853C6F" w:rsidRDefault="00853C6F" w:rsidP="00853C6F">
      <w:pPr>
        <w:rPr>
          <w:szCs w:val="24"/>
        </w:rPr>
      </w:pPr>
    </w:p>
    <w:p w14:paraId="7F594588" w14:textId="17963977" w:rsidR="00853C6F" w:rsidRDefault="00C8431C" w:rsidP="00853C6F">
      <w:pPr>
        <w:rPr>
          <w:szCs w:val="24"/>
        </w:rPr>
      </w:pPr>
      <w:r>
        <w:rPr>
          <w:szCs w:val="24"/>
        </w:rPr>
        <w:t>For</w:t>
      </w:r>
      <w:r w:rsidR="00D66860">
        <w:rPr>
          <w:szCs w:val="24"/>
        </w:rPr>
        <w:t xml:space="preserve"> </w:t>
      </w:r>
      <w:r w:rsidR="00853C6F">
        <w:rPr>
          <w:szCs w:val="24"/>
        </w:rPr>
        <w:t xml:space="preserve">the previous participation submission for major organizational changes, once you have submitted the online APPS information, or the paper version, additional information is necessary to complete the review.  Since the APPS submissions may have been completed directly by the participant, the Lender/Servicer will need to provide a detailed email, with additional information, and a recommendation for approval </w:t>
      </w:r>
      <w:r w:rsidR="00802A24">
        <w:rPr>
          <w:szCs w:val="24"/>
        </w:rPr>
        <w:t>per participant guidance noted throughout the Section 232 Handbook</w:t>
      </w:r>
      <w:r w:rsidR="00853C6F">
        <w:rPr>
          <w:szCs w:val="24"/>
        </w:rPr>
        <w:t xml:space="preserve">.  The Lender/Servicer email </w:t>
      </w:r>
      <w:r w:rsidR="00853C6F">
        <w:rPr>
          <w:szCs w:val="24"/>
        </w:rPr>
        <w:lastRenderedPageBreak/>
        <w:t xml:space="preserve">must be provided to </w:t>
      </w:r>
      <w:r w:rsidR="00804974" w:rsidRPr="00804974">
        <w:rPr>
          <w:rStyle w:val="Hyperlink"/>
          <w:szCs w:val="24"/>
        </w:rPr>
        <w:t>232PreviousParticipation@hud.gov</w:t>
      </w:r>
      <w:r w:rsidR="00853C6F">
        <w:rPr>
          <w:szCs w:val="24"/>
        </w:rPr>
        <w:t xml:space="preserve">, providing the information necessary to complete the review.  </w:t>
      </w:r>
      <w:proofErr w:type="gramStart"/>
      <w:r w:rsidR="00853C6F">
        <w:rPr>
          <w:szCs w:val="24"/>
        </w:rPr>
        <w:t>In order to</w:t>
      </w:r>
      <w:proofErr w:type="gramEnd"/>
      <w:r w:rsidR="00853C6F">
        <w:rPr>
          <w:szCs w:val="24"/>
        </w:rPr>
        <w:t xml:space="preserve"> ensure timely processing, submissions will not be assigned for review until the detailed email is received.</w:t>
      </w:r>
    </w:p>
    <w:p w14:paraId="1ECD5C22" w14:textId="77777777" w:rsidR="00853C6F" w:rsidRDefault="00853C6F" w:rsidP="00853C6F">
      <w:pPr>
        <w:rPr>
          <w:szCs w:val="24"/>
        </w:rPr>
      </w:pPr>
    </w:p>
    <w:p w14:paraId="47544337" w14:textId="40D38FC0" w:rsidR="00853C6F" w:rsidRDefault="00853C6F" w:rsidP="00853C6F">
      <w:pPr>
        <w:rPr>
          <w:szCs w:val="24"/>
        </w:rPr>
      </w:pPr>
      <w:r>
        <w:rPr>
          <w:szCs w:val="24"/>
        </w:rPr>
        <w:t xml:space="preserve">Detailed information to be included in the Lender/Servicer email, so that ORCF </w:t>
      </w:r>
      <w:proofErr w:type="gramStart"/>
      <w:r>
        <w:rPr>
          <w:szCs w:val="24"/>
        </w:rPr>
        <w:t>is able to</w:t>
      </w:r>
      <w:proofErr w:type="gramEnd"/>
      <w:r>
        <w:rPr>
          <w:szCs w:val="24"/>
        </w:rPr>
        <w:t xml:space="preserve"> evaluate and process the request, is outlined below. </w:t>
      </w:r>
    </w:p>
    <w:p w14:paraId="06A37E09" w14:textId="77777777" w:rsidR="00853C6F" w:rsidRDefault="00853C6F" w:rsidP="00853C6F">
      <w:pPr>
        <w:pStyle w:val="ListParagraph"/>
        <w:numPr>
          <w:ilvl w:val="0"/>
          <w:numId w:val="17"/>
        </w:numPr>
        <w:rPr>
          <w:rFonts w:eastAsia="Times New Roman"/>
        </w:rPr>
      </w:pPr>
      <w:r>
        <w:rPr>
          <w:rFonts w:eastAsia="Times New Roman"/>
        </w:rPr>
        <w:t>FHA Number</w:t>
      </w:r>
    </w:p>
    <w:p w14:paraId="4926C5B5" w14:textId="77777777" w:rsidR="00853C6F" w:rsidRDefault="00853C6F" w:rsidP="00853C6F">
      <w:pPr>
        <w:pStyle w:val="ListParagraph"/>
        <w:numPr>
          <w:ilvl w:val="0"/>
          <w:numId w:val="17"/>
        </w:numPr>
        <w:rPr>
          <w:rFonts w:eastAsia="Times New Roman"/>
        </w:rPr>
      </w:pPr>
      <w:r>
        <w:rPr>
          <w:rFonts w:eastAsia="Times New Roman"/>
        </w:rPr>
        <w:t xml:space="preserve">Submission ID Number, </w:t>
      </w:r>
    </w:p>
    <w:p w14:paraId="6F7B918F" w14:textId="595F8421" w:rsidR="00853C6F" w:rsidRDefault="00853C6F" w:rsidP="00851FE1">
      <w:pPr>
        <w:pStyle w:val="ListParagraph"/>
        <w:numPr>
          <w:ilvl w:val="0"/>
          <w:numId w:val="17"/>
        </w:numPr>
        <w:rPr>
          <w:rFonts w:eastAsia="Times New Roman"/>
        </w:rPr>
      </w:pPr>
      <w:r>
        <w:rPr>
          <w:rFonts w:eastAsia="Times New Roman"/>
        </w:rPr>
        <w:t>Assigned A</w:t>
      </w:r>
      <w:r w:rsidR="00851FE1">
        <w:rPr>
          <w:rFonts w:eastAsia="Times New Roman"/>
        </w:rPr>
        <w:t xml:space="preserve">ccount </w:t>
      </w:r>
      <w:r>
        <w:rPr>
          <w:rFonts w:eastAsia="Times New Roman"/>
        </w:rPr>
        <w:t>E</w:t>
      </w:r>
      <w:r w:rsidR="00851FE1">
        <w:rPr>
          <w:rFonts w:eastAsia="Times New Roman"/>
        </w:rPr>
        <w:t>xecutive</w:t>
      </w:r>
      <w:r>
        <w:rPr>
          <w:rFonts w:eastAsia="Times New Roman"/>
        </w:rPr>
        <w:t xml:space="preserve"> (</w:t>
      </w:r>
      <w:r w:rsidR="00851FE1">
        <w:rPr>
          <w:rFonts w:eastAsia="Times New Roman"/>
        </w:rPr>
        <w:t xml:space="preserve">find your Account Executive on the </w:t>
      </w:r>
      <w:bookmarkStart w:id="8" w:name="_Hlk522787344"/>
      <w:r w:rsidR="00851FE1" w:rsidRPr="00851FE1">
        <w:rPr>
          <w:rFonts w:eastAsia="Times New Roman"/>
        </w:rPr>
        <w:t xml:space="preserve">Account Executive Facility Assignments - Contact Listing </w:t>
      </w:r>
      <w:bookmarkEnd w:id="8"/>
      <w:r w:rsidR="00851FE1">
        <w:rPr>
          <w:rFonts w:eastAsia="Times New Roman"/>
        </w:rPr>
        <w:t>on the Section 232 Program Website</w:t>
      </w:r>
      <w:r>
        <w:rPr>
          <w:rFonts w:eastAsia="Times New Roman"/>
        </w:rPr>
        <w:t xml:space="preserve"> </w:t>
      </w:r>
      <w:hyperlink r:id="rId18" w:history="1">
        <w:r>
          <w:rPr>
            <w:rStyle w:val="Hyperlink"/>
            <w:rFonts w:eastAsia="Times New Roman"/>
          </w:rPr>
          <w:t>here</w:t>
        </w:r>
      </w:hyperlink>
      <w:r w:rsidR="00851FE1">
        <w:rPr>
          <w:rStyle w:val="Hyperlink"/>
          <w:rFonts w:eastAsia="Times New Roman"/>
        </w:rPr>
        <w:t>.</w:t>
      </w:r>
    </w:p>
    <w:p w14:paraId="728C0EDC" w14:textId="77777777" w:rsidR="00853C6F" w:rsidRDefault="00853C6F" w:rsidP="00853C6F">
      <w:pPr>
        <w:pStyle w:val="ListParagraph"/>
        <w:numPr>
          <w:ilvl w:val="0"/>
          <w:numId w:val="17"/>
        </w:numPr>
        <w:rPr>
          <w:rFonts w:eastAsia="Times New Roman"/>
        </w:rPr>
      </w:pPr>
      <w:r>
        <w:rPr>
          <w:rFonts w:eastAsia="Times New Roman"/>
        </w:rPr>
        <w:t>Identify if the project is currently in Asset Management or Production/Underwriting</w:t>
      </w:r>
    </w:p>
    <w:p w14:paraId="02230E21" w14:textId="77777777" w:rsidR="00853C6F" w:rsidRDefault="00853C6F" w:rsidP="00853C6F">
      <w:pPr>
        <w:pStyle w:val="ListParagraph"/>
        <w:numPr>
          <w:ilvl w:val="0"/>
          <w:numId w:val="17"/>
        </w:numPr>
        <w:rPr>
          <w:rFonts w:eastAsia="Times New Roman"/>
        </w:rPr>
      </w:pPr>
      <w:r>
        <w:rPr>
          <w:rFonts w:eastAsia="Times New Roman"/>
        </w:rPr>
        <w:t>Identify if there are other transactions in process related to the submission (refinance, change of participant, etc.)</w:t>
      </w:r>
    </w:p>
    <w:p w14:paraId="15E1B360" w14:textId="77777777" w:rsidR="00853C6F" w:rsidRDefault="00853C6F" w:rsidP="00853C6F">
      <w:pPr>
        <w:pStyle w:val="ListParagraph"/>
        <w:numPr>
          <w:ilvl w:val="0"/>
          <w:numId w:val="17"/>
        </w:numPr>
        <w:rPr>
          <w:rFonts w:eastAsia="Times New Roman"/>
        </w:rPr>
      </w:pPr>
      <w:r>
        <w:rPr>
          <w:rFonts w:eastAsia="Times New Roman"/>
        </w:rPr>
        <w:t>Provide date the transaction submission package related to this org change was submitted to HUD</w:t>
      </w:r>
    </w:p>
    <w:p w14:paraId="0EAB23E0" w14:textId="77777777" w:rsidR="00853C6F" w:rsidRDefault="00853C6F" w:rsidP="00853C6F">
      <w:pPr>
        <w:pStyle w:val="ListParagraph"/>
        <w:numPr>
          <w:ilvl w:val="0"/>
          <w:numId w:val="17"/>
        </w:numPr>
        <w:rPr>
          <w:rFonts w:eastAsia="Times New Roman"/>
        </w:rPr>
      </w:pPr>
      <w:r>
        <w:rPr>
          <w:rFonts w:eastAsia="Times New Roman"/>
        </w:rPr>
        <w:t xml:space="preserve">Is the submission for a portfolio?  List all projects the submission impacts for the org change </w:t>
      </w:r>
    </w:p>
    <w:p w14:paraId="568C031E" w14:textId="77777777" w:rsidR="00853C6F" w:rsidRDefault="00853C6F" w:rsidP="00853C6F">
      <w:pPr>
        <w:pStyle w:val="ListParagraph"/>
        <w:numPr>
          <w:ilvl w:val="0"/>
          <w:numId w:val="17"/>
        </w:numPr>
        <w:rPr>
          <w:rFonts w:eastAsia="Times New Roman"/>
        </w:rPr>
      </w:pPr>
      <w:r>
        <w:rPr>
          <w:rFonts w:eastAsia="Times New Roman"/>
        </w:rPr>
        <w:t>Describe the purpose of the organizational change, including who is being added, who is being removed and why</w:t>
      </w:r>
    </w:p>
    <w:p w14:paraId="54607F52" w14:textId="77777777" w:rsidR="00853C6F" w:rsidRDefault="00853C6F" w:rsidP="00853C6F">
      <w:pPr>
        <w:pStyle w:val="ListParagraph"/>
        <w:numPr>
          <w:ilvl w:val="0"/>
          <w:numId w:val="17"/>
        </w:numPr>
        <w:rPr>
          <w:rFonts w:eastAsia="Times New Roman"/>
        </w:rPr>
      </w:pPr>
      <w:r>
        <w:rPr>
          <w:rFonts w:eastAsia="Times New Roman"/>
        </w:rPr>
        <w:t>Per requirements of Notice 16-15 Section B, attach an org chart, identifying the proposed changes</w:t>
      </w:r>
    </w:p>
    <w:p w14:paraId="15015C6F" w14:textId="77777777" w:rsidR="00853C6F" w:rsidRDefault="00853C6F" w:rsidP="00853C6F">
      <w:pPr>
        <w:pStyle w:val="ListParagraph"/>
        <w:numPr>
          <w:ilvl w:val="0"/>
          <w:numId w:val="17"/>
        </w:numPr>
        <w:rPr>
          <w:rFonts w:eastAsia="Times New Roman"/>
        </w:rPr>
      </w:pPr>
      <w:r>
        <w:rPr>
          <w:rFonts w:eastAsia="Times New Roman"/>
        </w:rPr>
        <w:t xml:space="preserve">Does this package require HUD approval?  Does this trigger a change in participant, based on the </w:t>
      </w:r>
      <w:hyperlink r:id="rId19" w:history="1">
        <w:r>
          <w:rPr>
            <w:rStyle w:val="Hyperlink"/>
            <w:rFonts w:eastAsia="Times New Roman"/>
          </w:rPr>
          <w:t>Section 232 Handbook 4232.1</w:t>
        </w:r>
      </w:hyperlink>
      <w:r>
        <w:rPr>
          <w:rFonts w:eastAsia="Times New Roman"/>
        </w:rPr>
        <w:t>?  If not, please explain why?</w:t>
      </w:r>
    </w:p>
    <w:p w14:paraId="7043DA86" w14:textId="77777777" w:rsidR="00853C6F" w:rsidRDefault="00853C6F" w:rsidP="00853C6F">
      <w:pPr>
        <w:pStyle w:val="ListParagraph"/>
        <w:numPr>
          <w:ilvl w:val="0"/>
          <w:numId w:val="17"/>
        </w:numPr>
        <w:rPr>
          <w:rFonts w:eastAsia="Times New Roman"/>
        </w:rPr>
      </w:pPr>
      <w:r>
        <w:rPr>
          <w:rFonts w:eastAsia="Times New Roman"/>
        </w:rPr>
        <w:t>Include Lender/Servicer recommendation for approval</w:t>
      </w:r>
    </w:p>
    <w:p w14:paraId="76233C77" w14:textId="77777777" w:rsidR="00853C6F" w:rsidRDefault="00853C6F" w:rsidP="00853C6F">
      <w:pPr>
        <w:rPr>
          <w:rFonts w:eastAsiaTheme="minorHAnsi"/>
          <w:szCs w:val="24"/>
        </w:rPr>
      </w:pPr>
    </w:p>
    <w:p w14:paraId="67748883" w14:textId="29D46CF0" w:rsidR="00853C6F" w:rsidRPr="003B5289" w:rsidRDefault="00853C6F" w:rsidP="00853C6F">
      <w:pPr>
        <w:spacing w:after="160" w:line="259" w:lineRule="auto"/>
        <w:contextualSpacing/>
        <w:rPr>
          <w:rFonts w:eastAsia="MS Mincho"/>
          <w:i/>
        </w:rPr>
      </w:pPr>
      <w:r w:rsidRPr="003B5289">
        <w:rPr>
          <w:rFonts w:eastAsia="MS Mincho"/>
          <w:b/>
          <w:i/>
        </w:rPr>
        <w:t>Keywords:</w:t>
      </w:r>
      <w:r w:rsidRPr="003B5289">
        <w:rPr>
          <w:rFonts w:eastAsia="MS Mincho"/>
          <w:i/>
        </w:rPr>
        <w:tab/>
        <w:t xml:space="preserve"> </w:t>
      </w:r>
      <w:r>
        <w:rPr>
          <w:rFonts w:eastAsia="MS Mincho"/>
          <w:i/>
        </w:rPr>
        <w:t>Previous Participation</w:t>
      </w:r>
    </w:p>
    <w:p w14:paraId="7CA5F615" w14:textId="77777777" w:rsidR="00853C6F" w:rsidRDefault="00853C6F" w:rsidP="00853C6F">
      <w:pPr>
        <w:rPr>
          <w:rFonts w:eastAsia="MS Mincho"/>
          <w:b/>
          <w:szCs w:val="24"/>
        </w:rPr>
      </w:pPr>
    </w:p>
    <w:p w14:paraId="6E0E605F" w14:textId="77777777" w:rsidR="00D61A9F" w:rsidRPr="00863472" w:rsidRDefault="00D61A9F" w:rsidP="00863472">
      <w:pPr>
        <w:pStyle w:val="Heading1"/>
        <w:spacing w:after="0"/>
      </w:pPr>
      <w:bookmarkStart w:id="9" w:name="_Toc333920723"/>
      <w:bookmarkStart w:id="10" w:name="_Toc522027746"/>
      <w:r w:rsidRPr="00863472">
        <w:t>Docum</w:t>
      </w:r>
      <w:r w:rsidR="00F21C16" w:rsidRPr="00863472">
        <w:t>ent Link</w:t>
      </w:r>
      <w:r w:rsidR="00973B47" w:rsidRPr="00863472">
        <w:t>s</w:t>
      </w:r>
      <w:r w:rsidRPr="00863472">
        <w:t xml:space="preserve"> Included In This Blast</w:t>
      </w:r>
      <w:bookmarkEnd w:id="9"/>
      <w:bookmarkEnd w:id="10"/>
    </w:p>
    <w:p w14:paraId="6E0E6060" w14:textId="186AD14F" w:rsidR="00921EAA" w:rsidRPr="009F508B" w:rsidRDefault="009F508B" w:rsidP="00EF1DD8">
      <w:pPr>
        <w:pStyle w:val="ListParagraph"/>
        <w:numPr>
          <w:ilvl w:val="0"/>
          <w:numId w:val="18"/>
        </w:numPr>
        <w:rPr>
          <w:rStyle w:val="Hyperlink"/>
        </w:rPr>
      </w:pPr>
      <w:r>
        <w:rPr>
          <w:rStyle w:val="Hyperlink"/>
        </w:rPr>
        <w:fldChar w:fldCharType="begin"/>
      </w:r>
      <w:r>
        <w:rPr>
          <w:rStyle w:val="Hyperlink"/>
        </w:rPr>
        <w:instrText xml:space="preserve"> HYPERLINK "https://www.hud.gov/sites/dfiles/Housing/documents/LenArCsReSOW.docx" </w:instrText>
      </w:r>
      <w:r>
        <w:rPr>
          <w:rStyle w:val="Hyperlink"/>
        </w:rPr>
        <w:fldChar w:fldCharType="separate"/>
      </w:r>
      <w:r w:rsidR="00EF1DD8" w:rsidRPr="009F508B">
        <w:rPr>
          <w:rStyle w:val="Hyperlink"/>
        </w:rPr>
        <w:t>Lender’s Architectural Reviewer and Cost Analyst’s Statement of Work</w:t>
      </w:r>
    </w:p>
    <w:p w14:paraId="434813CA" w14:textId="7973FF2F" w:rsidR="00564CA7" w:rsidRDefault="009F508B" w:rsidP="00EF1DD8">
      <w:pPr>
        <w:pStyle w:val="ListParagraph"/>
        <w:numPr>
          <w:ilvl w:val="0"/>
          <w:numId w:val="18"/>
        </w:numPr>
      </w:pPr>
      <w:r>
        <w:rPr>
          <w:rStyle w:val="Hyperlink"/>
        </w:rPr>
        <w:fldChar w:fldCharType="end"/>
      </w:r>
      <w:hyperlink r:id="rId20" w:history="1">
        <w:r w:rsidR="00564CA7" w:rsidRPr="00564CA7">
          <w:rPr>
            <w:rStyle w:val="Hyperlink"/>
          </w:rPr>
          <w:t>Florida’s Agency for Health Care Administration</w:t>
        </w:r>
      </w:hyperlink>
    </w:p>
    <w:p w14:paraId="272EC0A8" w14:textId="1C5E9CC5" w:rsidR="00564CA7" w:rsidRPr="006F08C8" w:rsidRDefault="00AA3268" w:rsidP="00EF1DD8">
      <w:pPr>
        <w:pStyle w:val="ListParagraph"/>
        <w:numPr>
          <w:ilvl w:val="0"/>
          <w:numId w:val="18"/>
        </w:numPr>
      </w:pPr>
      <w:hyperlink r:id="rId21" w:history="1">
        <w:r w:rsidR="00564CA7" w:rsidRPr="009E70CD">
          <w:rPr>
            <w:rStyle w:val="Hyperlink"/>
            <w:szCs w:val="22"/>
          </w:rPr>
          <w:t>FloridaHealthFinder.gov</w:t>
        </w:r>
      </w:hyperlink>
    </w:p>
    <w:p w14:paraId="27681376" w14:textId="51F99360" w:rsidR="00851FE1" w:rsidRPr="006F08C8" w:rsidRDefault="00AA3268" w:rsidP="00EF1DD8">
      <w:pPr>
        <w:pStyle w:val="ListParagraph"/>
        <w:numPr>
          <w:ilvl w:val="0"/>
          <w:numId w:val="18"/>
        </w:numPr>
      </w:pPr>
      <w:hyperlink r:id="rId22" w:history="1">
        <w:r w:rsidR="00851FE1" w:rsidRPr="006F08C8">
          <w:rPr>
            <w:rStyle w:val="Hyperlink"/>
            <w:rFonts w:eastAsia="Times New Roman"/>
          </w:rPr>
          <w:t>Account Executive Facility Assignments - Contact Listing</w:t>
        </w:r>
      </w:hyperlink>
    </w:p>
    <w:p w14:paraId="6E0E6062" w14:textId="3464FF45" w:rsidR="00F03E9E" w:rsidRPr="00863472" w:rsidRDefault="00F03E9E" w:rsidP="00863472">
      <w:pPr>
        <w:rPr>
          <w:color w:val="000000" w:themeColor="text1"/>
        </w:rPr>
      </w:pPr>
    </w:p>
    <w:p w14:paraId="6E0E6063" w14:textId="77777777" w:rsidR="00D61A9F" w:rsidRPr="00863472" w:rsidRDefault="00AA3268" w:rsidP="00863472">
      <w:pPr>
        <w:rPr>
          <w:b/>
          <w:bCs/>
        </w:rPr>
      </w:pPr>
      <w:hyperlink w:anchor="_top" w:history="1">
        <w:r w:rsidR="00D61A9F" w:rsidRPr="00863472">
          <w:rPr>
            <w:rStyle w:val="Hyperlink"/>
          </w:rPr>
          <w:t>Back to top</w:t>
        </w:r>
      </w:hyperlink>
    </w:p>
    <w:p w14:paraId="6E0E6064" w14:textId="77777777" w:rsidR="00D61A9F" w:rsidRPr="00863472" w:rsidRDefault="00D61A9F" w:rsidP="00863472"/>
    <w:p w14:paraId="6E0E6065" w14:textId="77777777" w:rsidR="008819F8" w:rsidRPr="00863472" w:rsidRDefault="00CC1634" w:rsidP="00863472">
      <w:pPr>
        <w:pStyle w:val="NormalWeb"/>
        <w:jc w:val="center"/>
        <w:rPr>
          <w:rFonts w:ascii="Verdana" w:hAnsi="Verdana"/>
          <w:color w:val="000000"/>
          <w:sz w:val="22"/>
          <w:szCs w:val="22"/>
        </w:rPr>
      </w:pPr>
      <w:r w:rsidRPr="00863472">
        <w:rPr>
          <w:rFonts w:ascii="Verdana" w:hAnsi="Verdana"/>
          <w:b/>
          <w:noProof/>
          <w:color w:val="1F497D"/>
          <w:sz w:val="22"/>
          <w:szCs w:val="22"/>
        </w:rPr>
        <w:drawing>
          <wp:inline distT="0" distB="0" distL="0" distR="0" wp14:anchorId="6E0E6070" wp14:editId="6E0E6071">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0D9D6876" w14:textId="77777777" w:rsidR="00E23EAD" w:rsidRPr="00412C1B" w:rsidRDefault="00E23EAD" w:rsidP="00E23EAD">
      <w:pPr>
        <w:spacing w:before="100" w:beforeAutospacing="1" w:after="100" w:afterAutospacing="1"/>
        <w:rPr>
          <w:szCs w:val="24"/>
        </w:rPr>
      </w:pPr>
      <w:r w:rsidRPr="00412C1B">
        <w:rPr>
          <w:szCs w:val="24"/>
        </w:rPr>
        <w:t xml:space="preserve">Past Lean 232 Updates are </w:t>
      </w:r>
      <w:hyperlink r:id="rId23" w:history="1">
        <w:r w:rsidRPr="00412C1B">
          <w:rPr>
            <w:color w:val="0000FF"/>
            <w:szCs w:val="24"/>
            <w:u w:val="single"/>
          </w:rPr>
          <w:t>available online</w:t>
        </w:r>
      </w:hyperlink>
      <w:r w:rsidRPr="00412C1B">
        <w:rPr>
          <w:szCs w:val="24"/>
        </w:rPr>
        <w:t>.</w:t>
      </w:r>
    </w:p>
    <w:p w14:paraId="6ABD2B3D" w14:textId="77777777" w:rsidR="00E23EAD" w:rsidRPr="00412C1B" w:rsidRDefault="00E23EAD" w:rsidP="00E23EAD">
      <w:pPr>
        <w:spacing w:before="100" w:beforeAutospacing="1" w:after="100" w:afterAutospacing="1"/>
        <w:rPr>
          <w:szCs w:val="24"/>
        </w:rPr>
      </w:pPr>
      <w:r w:rsidRPr="00412C1B">
        <w:rPr>
          <w:szCs w:val="24"/>
        </w:rPr>
        <w:lastRenderedPageBreak/>
        <w:t xml:space="preserve">Have questions about the Lean 232 Program? Please contact </w:t>
      </w:r>
      <w:hyperlink r:id="rId24" w:history="1">
        <w:r w:rsidRPr="00412C1B">
          <w:rPr>
            <w:color w:val="0000FF"/>
            <w:szCs w:val="24"/>
            <w:u w:val="single"/>
          </w:rPr>
          <w:t>LeanThinking@hud.gov</w:t>
        </w:r>
      </w:hyperlink>
      <w:r w:rsidRPr="00412C1B">
        <w:rPr>
          <w:szCs w:val="24"/>
        </w:rPr>
        <w:t>.</w:t>
      </w:r>
    </w:p>
    <w:p w14:paraId="7630C216" w14:textId="77777777" w:rsidR="00E23EAD" w:rsidRPr="00412C1B" w:rsidRDefault="00E23EAD" w:rsidP="00E23EAD">
      <w:pPr>
        <w:spacing w:before="100" w:beforeAutospacing="1" w:after="100" w:afterAutospacing="1"/>
        <w:rPr>
          <w:szCs w:val="24"/>
        </w:rPr>
      </w:pPr>
      <w:r w:rsidRPr="00412C1B">
        <w:rPr>
          <w:szCs w:val="24"/>
        </w:rPr>
        <w:t xml:space="preserve">For more information on the Lean 232 Program, check out: </w:t>
      </w:r>
      <w:hyperlink r:id="rId25" w:history="1">
        <w:r w:rsidRPr="00412C1B">
          <w:rPr>
            <w:color w:val="0000FF"/>
            <w:szCs w:val="24"/>
            <w:u w:val="single"/>
          </w:rPr>
          <w:t>http://www.hud.gov/healthcare</w:t>
        </w:r>
      </w:hyperlink>
      <w:r w:rsidRPr="00412C1B">
        <w:rPr>
          <w:szCs w:val="24"/>
        </w:rPr>
        <w:t>.</w:t>
      </w:r>
    </w:p>
    <w:p w14:paraId="4792BAA8" w14:textId="77777777" w:rsidR="00E23EAD" w:rsidRPr="00412C1B" w:rsidRDefault="00E23EAD" w:rsidP="00E23EAD">
      <w:pPr>
        <w:spacing w:before="100" w:beforeAutospacing="1" w:after="100" w:afterAutospacing="1"/>
        <w:rPr>
          <w:szCs w:val="24"/>
        </w:rPr>
      </w:pPr>
      <w:r w:rsidRPr="00412C1B">
        <w:rPr>
          <w:szCs w:val="24"/>
        </w:rPr>
        <w:t xml:space="preserve">Have your loan servicing colleagues joined our email list? The Email Blasts contain information relevant to them as well. You might suggest they </w:t>
      </w:r>
      <w:hyperlink r:id="rId26" w:history="1">
        <w:r w:rsidRPr="00412C1B">
          <w:rPr>
            <w:color w:val="0000FF"/>
            <w:szCs w:val="24"/>
            <w:u w:val="single"/>
          </w:rPr>
          <w:t>Join here</w:t>
        </w:r>
      </w:hyperlink>
      <w:r w:rsidRPr="00412C1B">
        <w:rPr>
          <w:szCs w:val="24"/>
        </w:rPr>
        <w:t>.</w:t>
      </w:r>
    </w:p>
    <w:p w14:paraId="6E0E606B" w14:textId="675A40D7" w:rsidR="00605E4A" w:rsidRPr="00E23EAD" w:rsidRDefault="00E23EAD" w:rsidP="00E23EAD">
      <w:pPr>
        <w:spacing w:before="100" w:beforeAutospacing="1" w:after="100" w:afterAutospacing="1"/>
        <w:rPr>
          <w:szCs w:val="24"/>
        </w:rPr>
      </w:pPr>
      <w:r w:rsidRPr="00412C1B">
        <w:rPr>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27" w:history="1">
        <w:r w:rsidRPr="00412C1B">
          <w:rPr>
            <w:color w:val="0000FF"/>
            <w:szCs w:val="24"/>
            <w:u w:val="single"/>
          </w:rPr>
          <w:t>go here</w:t>
        </w:r>
      </w:hyperlink>
      <w:r w:rsidRPr="00412C1B">
        <w:rPr>
          <w:szCs w:val="24"/>
        </w:rPr>
        <w:t>.</w:t>
      </w:r>
      <w:bookmarkEnd w:id="1"/>
    </w:p>
    <w:sectPr w:rsidR="00605E4A" w:rsidRPr="00E23EAD" w:rsidSect="00E217E8">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142B4" w14:textId="77777777" w:rsidR="00AA3268" w:rsidRDefault="00AA3268" w:rsidP="00E724F7">
      <w:r>
        <w:separator/>
      </w:r>
    </w:p>
  </w:endnote>
  <w:endnote w:type="continuationSeparator" w:id="0">
    <w:p w14:paraId="1E99292B" w14:textId="77777777" w:rsidR="00AA3268" w:rsidRDefault="00AA3268"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9FCD3" w14:textId="77777777" w:rsidR="00AA3268" w:rsidRDefault="00AA3268" w:rsidP="00E724F7">
      <w:r>
        <w:separator/>
      </w:r>
    </w:p>
  </w:footnote>
  <w:footnote w:type="continuationSeparator" w:id="0">
    <w:p w14:paraId="0239E2E2" w14:textId="77777777" w:rsidR="00AA3268" w:rsidRDefault="00AA3268"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68D190E6"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1"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A3985"/>
    <w:multiLevelType w:val="hybridMultilevel"/>
    <w:tmpl w:val="A8C89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5"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A3A52"/>
    <w:multiLevelType w:val="hybridMultilevel"/>
    <w:tmpl w:val="13F02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76B6"/>
    <w:multiLevelType w:val="hybridMultilevel"/>
    <w:tmpl w:val="CD0CE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0"/>
  </w:num>
  <w:num w:numId="1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
  </w:num>
  <w:num w:numId="14">
    <w:abstractNumId w:val="1"/>
  </w:num>
  <w:num w:numId="15">
    <w:abstractNumId w:val="13"/>
  </w:num>
  <w:num w:numId="16">
    <w:abstractNumId w:val="6"/>
  </w:num>
  <w:num w:numId="17">
    <w:abstractNumId w:val="2"/>
  </w:num>
  <w:num w:numId="1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01E94"/>
    <w:rsid w:val="00010565"/>
    <w:rsid w:val="00011D16"/>
    <w:rsid w:val="0001456D"/>
    <w:rsid w:val="00014A66"/>
    <w:rsid w:val="000220E1"/>
    <w:rsid w:val="00026721"/>
    <w:rsid w:val="00027DF5"/>
    <w:rsid w:val="00031481"/>
    <w:rsid w:val="00036CEF"/>
    <w:rsid w:val="0003786A"/>
    <w:rsid w:val="00041F02"/>
    <w:rsid w:val="00042F9C"/>
    <w:rsid w:val="000431CA"/>
    <w:rsid w:val="000452B8"/>
    <w:rsid w:val="000530A7"/>
    <w:rsid w:val="000553FE"/>
    <w:rsid w:val="000579E7"/>
    <w:rsid w:val="000747AE"/>
    <w:rsid w:val="00074C29"/>
    <w:rsid w:val="00074C2C"/>
    <w:rsid w:val="00082F31"/>
    <w:rsid w:val="00082FD5"/>
    <w:rsid w:val="0009287F"/>
    <w:rsid w:val="00096BE1"/>
    <w:rsid w:val="00096F9D"/>
    <w:rsid w:val="000B00A2"/>
    <w:rsid w:val="000B7B24"/>
    <w:rsid w:val="000B7CBB"/>
    <w:rsid w:val="000C3107"/>
    <w:rsid w:val="000C337B"/>
    <w:rsid w:val="000C3411"/>
    <w:rsid w:val="000C354A"/>
    <w:rsid w:val="000C3DC6"/>
    <w:rsid w:val="000C3E54"/>
    <w:rsid w:val="000C77E8"/>
    <w:rsid w:val="000D1AD7"/>
    <w:rsid w:val="000D590E"/>
    <w:rsid w:val="000D662C"/>
    <w:rsid w:val="000D7B99"/>
    <w:rsid w:val="000E1C49"/>
    <w:rsid w:val="000E3EFF"/>
    <w:rsid w:val="000E4B11"/>
    <w:rsid w:val="000E5E74"/>
    <w:rsid w:val="000F55F6"/>
    <w:rsid w:val="000F593D"/>
    <w:rsid w:val="000F7D2E"/>
    <w:rsid w:val="001007E7"/>
    <w:rsid w:val="001010D0"/>
    <w:rsid w:val="00102E21"/>
    <w:rsid w:val="00102EA3"/>
    <w:rsid w:val="00103273"/>
    <w:rsid w:val="00114E43"/>
    <w:rsid w:val="00117426"/>
    <w:rsid w:val="001234C0"/>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82EDD"/>
    <w:rsid w:val="0019457B"/>
    <w:rsid w:val="00194B8C"/>
    <w:rsid w:val="001A06DA"/>
    <w:rsid w:val="001A50AE"/>
    <w:rsid w:val="001A5994"/>
    <w:rsid w:val="001A64CB"/>
    <w:rsid w:val="001B1502"/>
    <w:rsid w:val="001B72D4"/>
    <w:rsid w:val="001C3886"/>
    <w:rsid w:val="001D230E"/>
    <w:rsid w:val="001D2514"/>
    <w:rsid w:val="001D31C7"/>
    <w:rsid w:val="001D749B"/>
    <w:rsid w:val="001E172A"/>
    <w:rsid w:val="001E2581"/>
    <w:rsid w:val="001E717C"/>
    <w:rsid w:val="001F0D91"/>
    <w:rsid w:val="001F7501"/>
    <w:rsid w:val="00205202"/>
    <w:rsid w:val="00205C0D"/>
    <w:rsid w:val="00210D8A"/>
    <w:rsid w:val="002125F1"/>
    <w:rsid w:val="002152F3"/>
    <w:rsid w:val="0021567D"/>
    <w:rsid w:val="002169B7"/>
    <w:rsid w:val="00221EC6"/>
    <w:rsid w:val="0022231F"/>
    <w:rsid w:val="00231312"/>
    <w:rsid w:val="002315E4"/>
    <w:rsid w:val="00233DA8"/>
    <w:rsid w:val="00234B3A"/>
    <w:rsid w:val="00241BAB"/>
    <w:rsid w:val="00245A9D"/>
    <w:rsid w:val="00250450"/>
    <w:rsid w:val="00252904"/>
    <w:rsid w:val="002533F5"/>
    <w:rsid w:val="00266332"/>
    <w:rsid w:val="002671AF"/>
    <w:rsid w:val="00275348"/>
    <w:rsid w:val="00276FA2"/>
    <w:rsid w:val="002811AB"/>
    <w:rsid w:val="00283571"/>
    <w:rsid w:val="00291BF9"/>
    <w:rsid w:val="002A43CF"/>
    <w:rsid w:val="002B3B98"/>
    <w:rsid w:val="002C1693"/>
    <w:rsid w:val="002C1CC2"/>
    <w:rsid w:val="002C7FFB"/>
    <w:rsid w:val="002E36C5"/>
    <w:rsid w:val="0030081A"/>
    <w:rsid w:val="00302486"/>
    <w:rsid w:val="00303BBC"/>
    <w:rsid w:val="00305369"/>
    <w:rsid w:val="00312B32"/>
    <w:rsid w:val="00313008"/>
    <w:rsid w:val="00323263"/>
    <w:rsid w:val="003406BB"/>
    <w:rsid w:val="00342F09"/>
    <w:rsid w:val="00345602"/>
    <w:rsid w:val="003514F7"/>
    <w:rsid w:val="00352F9A"/>
    <w:rsid w:val="00361A15"/>
    <w:rsid w:val="00367065"/>
    <w:rsid w:val="00367AC1"/>
    <w:rsid w:val="00370139"/>
    <w:rsid w:val="00370EA2"/>
    <w:rsid w:val="00380A0E"/>
    <w:rsid w:val="0038356B"/>
    <w:rsid w:val="00385613"/>
    <w:rsid w:val="00385E62"/>
    <w:rsid w:val="00392115"/>
    <w:rsid w:val="003940B3"/>
    <w:rsid w:val="00396DB3"/>
    <w:rsid w:val="003A0DC8"/>
    <w:rsid w:val="003A14CD"/>
    <w:rsid w:val="003A518E"/>
    <w:rsid w:val="003A7686"/>
    <w:rsid w:val="003B0B4E"/>
    <w:rsid w:val="003B3640"/>
    <w:rsid w:val="003B609D"/>
    <w:rsid w:val="003C256D"/>
    <w:rsid w:val="003C28A2"/>
    <w:rsid w:val="003C74DF"/>
    <w:rsid w:val="003C796D"/>
    <w:rsid w:val="003D288C"/>
    <w:rsid w:val="003D50FE"/>
    <w:rsid w:val="003D5C49"/>
    <w:rsid w:val="003D6F20"/>
    <w:rsid w:val="003D759C"/>
    <w:rsid w:val="003F42BE"/>
    <w:rsid w:val="003F5A47"/>
    <w:rsid w:val="004014E6"/>
    <w:rsid w:val="00403500"/>
    <w:rsid w:val="004044EC"/>
    <w:rsid w:val="004153A7"/>
    <w:rsid w:val="00420C01"/>
    <w:rsid w:val="00421DC2"/>
    <w:rsid w:val="0042314C"/>
    <w:rsid w:val="00423F99"/>
    <w:rsid w:val="00427390"/>
    <w:rsid w:val="0043705A"/>
    <w:rsid w:val="00451A3D"/>
    <w:rsid w:val="00454CF0"/>
    <w:rsid w:val="00455415"/>
    <w:rsid w:val="00463B25"/>
    <w:rsid w:val="00465878"/>
    <w:rsid w:val="0046634C"/>
    <w:rsid w:val="004678DD"/>
    <w:rsid w:val="00475909"/>
    <w:rsid w:val="0047642B"/>
    <w:rsid w:val="00486B21"/>
    <w:rsid w:val="004A0486"/>
    <w:rsid w:val="004A0E10"/>
    <w:rsid w:val="004A612A"/>
    <w:rsid w:val="004B021A"/>
    <w:rsid w:val="004B1439"/>
    <w:rsid w:val="004B1446"/>
    <w:rsid w:val="004B182F"/>
    <w:rsid w:val="004B1C9D"/>
    <w:rsid w:val="004B316D"/>
    <w:rsid w:val="004C2434"/>
    <w:rsid w:val="004D68AA"/>
    <w:rsid w:val="004D6BFF"/>
    <w:rsid w:val="004E35EC"/>
    <w:rsid w:val="004E46F8"/>
    <w:rsid w:val="004E64BA"/>
    <w:rsid w:val="004E6BBE"/>
    <w:rsid w:val="00500157"/>
    <w:rsid w:val="00506220"/>
    <w:rsid w:val="0050749B"/>
    <w:rsid w:val="00507D4A"/>
    <w:rsid w:val="00512271"/>
    <w:rsid w:val="00514249"/>
    <w:rsid w:val="00520297"/>
    <w:rsid w:val="0052057F"/>
    <w:rsid w:val="0052394E"/>
    <w:rsid w:val="0052470D"/>
    <w:rsid w:val="00527CA3"/>
    <w:rsid w:val="00530DFD"/>
    <w:rsid w:val="00532341"/>
    <w:rsid w:val="00536EA6"/>
    <w:rsid w:val="00537E8B"/>
    <w:rsid w:val="00540251"/>
    <w:rsid w:val="00541F0A"/>
    <w:rsid w:val="00543FEC"/>
    <w:rsid w:val="005456D4"/>
    <w:rsid w:val="00546640"/>
    <w:rsid w:val="005504CA"/>
    <w:rsid w:val="0055355A"/>
    <w:rsid w:val="0055444D"/>
    <w:rsid w:val="0056265C"/>
    <w:rsid w:val="005626F6"/>
    <w:rsid w:val="00564CA7"/>
    <w:rsid w:val="0057025A"/>
    <w:rsid w:val="0057105F"/>
    <w:rsid w:val="0057310A"/>
    <w:rsid w:val="00593E55"/>
    <w:rsid w:val="005A0D50"/>
    <w:rsid w:val="005C0D72"/>
    <w:rsid w:val="005C3423"/>
    <w:rsid w:val="005D223B"/>
    <w:rsid w:val="005D370A"/>
    <w:rsid w:val="005D39DB"/>
    <w:rsid w:val="005D5C09"/>
    <w:rsid w:val="005D6571"/>
    <w:rsid w:val="005E29A7"/>
    <w:rsid w:val="005E67FE"/>
    <w:rsid w:val="005F02F2"/>
    <w:rsid w:val="005F074F"/>
    <w:rsid w:val="005F08B9"/>
    <w:rsid w:val="005F213F"/>
    <w:rsid w:val="005F2CCA"/>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60CC"/>
    <w:rsid w:val="00646656"/>
    <w:rsid w:val="00653934"/>
    <w:rsid w:val="0065509A"/>
    <w:rsid w:val="00655831"/>
    <w:rsid w:val="006559A6"/>
    <w:rsid w:val="006601D1"/>
    <w:rsid w:val="00660780"/>
    <w:rsid w:val="00665BBC"/>
    <w:rsid w:val="006668CD"/>
    <w:rsid w:val="00666DB8"/>
    <w:rsid w:val="00670C8F"/>
    <w:rsid w:val="00676689"/>
    <w:rsid w:val="00681FAC"/>
    <w:rsid w:val="006909A3"/>
    <w:rsid w:val="00696BE5"/>
    <w:rsid w:val="00696CFA"/>
    <w:rsid w:val="0069739B"/>
    <w:rsid w:val="006A2DCD"/>
    <w:rsid w:val="006A4F7E"/>
    <w:rsid w:val="006A5A1E"/>
    <w:rsid w:val="006B0D96"/>
    <w:rsid w:val="006B5DA3"/>
    <w:rsid w:val="006C3AD6"/>
    <w:rsid w:val="006C7F7B"/>
    <w:rsid w:val="006D0A86"/>
    <w:rsid w:val="006D7D46"/>
    <w:rsid w:val="006E3544"/>
    <w:rsid w:val="006E63FB"/>
    <w:rsid w:val="006F08C8"/>
    <w:rsid w:val="006F1EB4"/>
    <w:rsid w:val="006F547F"/>
    <w:rsid w:val="006F5762"/>
    <w:rsid w:val="007011EC"/>
    <w:rsid w:val="00701E9E"/>
    <w:rsid w:val="00702CE9"/>
    <w:rsid w:val="007035E0"/>
    <w:rsid w:val="007054B4"/>
    <w:rsid w:val="007071E2"/>
    <w:rsid w:val="00711FBB"/>
    <w:rsid w:val="00712EA6"/>
    <w:rsid w:val="00713F6A"/>
    <w:rsid w:val="00720B5D"/>
    <w:rsid w:val="00723EA8"/>
    <w:rsid w:val="0073355B"/>
    <w:rsid w:val="00735D4D"/>
    <w:rsid w:val="00743451"/>
    <w:rsid w:val="00743DDB"/>
    <w:rsid w:val="00750ECD"/>
    <w:rsid w:val="00751AF4"/>
    <w:rsid w:val="0075254C"/>
    <w:rsid w:val="007629CB"/>
    <w:rsid w:val="007633CA"/>
    <w:rsid w:val="00763A52"/>
    <w:rsid w:val="00771538"/>
    <w:rsid w:val="007826A0"/>
    <w:rsid w:val="007865C2"/>
    <w:rsid w:val="0078774A"/>
    <w:rsid w:val="0079016E"/>
    <w:rsid w:val="007971B8"/>
    <w:rsid w:val="007A6AF1"/>
    <w:rsid w:val="007A7AD2"/>
    <w:rsid w:val="007B1CB9"/>
    <w:rsid w:val="007B5246"/>
    <w:rsid w:val="007B680A"/>
    <w:rsid w:val="007B75D8"/>
    <w:rsid w:val="007C570C"/>
    <w:rsid w:val="007C78C0"/>
    <w:rsid w:val="007D0FA3"/>
    <w:rsid w:val="007D1CB6"/>
    <w:rsid w:val="007D22CD"/>
    <w:rsid w:val="007E02EB"/>
    <w:rsid w:val="007E348B"/>
    <w:rsid w:val="007E4EA9"/>
    <w:rsid w:val="00802A24"/>
    <w:rsid w:val="008036DA"/>
    <w:rsid w:val="00803C36"/>
    <w:rsid w:val="00804974"/>
    <w:rsid w:val="00804AF0"/>
    <w:rsid w:val="008060EC"/>
    <w:rsid w:val="00806994"/>
    <w:rsid w:val="00807374"/>
    <w:rsid w:val="008129A3"/>
    <w:rsid w:val="008144D7"/>
    <w:rsid w:val="00820B0D"/>
    <w:rsid w:val="00823286"/>
    <w:rsid w:val="0082548B"/>
    <w:rsid w:val="008345F6"/>
    <w:rsid w:val="00834693"/>
    <w:rsid w:val="00850C00"/>
    <w:rsid w:val="008516E7"/>
    <w:rsid w:val="00851FE1"/>
    <w:rsid w:val="00853C6F"/>
    <w:rsid w:val="00856481"/>
    <w:rsid w:val="00862CE3"/>
    <w:rsid w:val="00863472"/>
    <w:rsid w:val="008636A0"/>
    <w:rsid w:val="00865B51"/>
    <w:rsid w:val="00866350"/>
    <w:rsid w:val="00866C75"/>
    <w:rsid w:val="008675F8"/>
    <w:rsid w:val="00877BC5"/>
    <w:rsid w:val="008819F8"/>
    <w:rsid w:val="0088414C"/>
    <w:rsid w:val="0088466C"/>
    <w:rsid w:val="00886FA2"/>
    <w:rsid w:val="008930F5"/>
    <w:rsid w:val="0089592C"/>
    <w:rsid w:val="008A1765"/>
    <w:rsid w:val="008A7284"/>
    <w:rsid w:val="008A7F37"/>
    <w:rsid w:val="008B56DD"/>
    <w:rsid w:val="008B71F2"/>
    <w:rsid w:val="008C018C"/>
    <w:rsid w:val="008C28EE"/>
    <w:rsid w:val="008C2DB4"/>
    <w:rsid w:val="008C3ED8"/>
    <w:rsid w:val="008C5805"/>
    <w:rsid w:val="008C5D76"/>
    <w:rsid w:val="008C79AD"/>
    <w:rsid w:val="008D7B74"/>
    <w:rsid w:val="008E6F7E"/>
    <w:rsid w:val="008E725A"/>
    <w:rsid w:val="008E7CC5"/>
    <w:rsid w:val="008F2D90"/>
    <w:rsid w:val="008F66AB"/>
    <w:rsid w:val="0090051D"/>
    <w:rsid w:val="00907060"/>
    <w:rsid w:val="009073D2"/>
    <w:rsid w:val="00910E23"/>
    <w:rsid w:val="009117CA"/>
    <w:rsid w:val="00912D45"/>
    <w:rsid w:val="00921EAA"/>
    <w:rsid w:val="00932987"/>
    <w:rsid w:val="0093564D"/>
    <w:rsid w:val="00935890"/>
    <w:rsid w:val="00951E70"/>
    <w:rsid w:val="00961669"/>
    <w:rsid w:val="00963204"/>
    <w:rsid w:val="00973B47"/>
    <w:rsid w:val="0097518E"/>
    <w:rsid w:val="00981AE8"/>
    <w:rsid w:val="00981E04"/>
    <w:rsid w:val="009825CE"/>
    <w:rsid w:val="00990150"/>
    <w:rsid w:val="009924BF"/>
    <w:rsid w:val="00995A44"/>
    <w:rsid w:val="009979FA"/>
    <w:rsid w:val="009A6D83"/>
    <w:rsid w:val="009B3394"/>
    <w:rsid w:val="009C10DF"/>
    <w:rsid w:val="009C3410"/>
    <w:rsid w:val="009C5760"/>
    <w:rsid w:val="009D0FB7"/>
    <w:rsid w:val="009E7AD6"/>
    <w:rsid w:val="009F508B"/>
    <w:rsid w:val="00A01E02"/>
    <w:rsid w:val="00A10FC0"/>
    <w:rsid w:val="00A22AD1"/>
    <w:rsid w:val="00A25626"/>
    <w:rsid w:val="00A25B2E"/>
    <w:rsid w:val="00A332DE"/>
    <w:rsid w:val="00A33C6C"/>
    <w:rsid w:val="00A36B64"/>
    <w:rsid w:val="00A37D94"/>
    <w:rsid w:val="00A461EB"/>
    <w:rsid w:val="00A537F4"/>
    <w:rsid w:val="00A56EDC"/>
    <w:rsid w:val="00A66B15"/>
    <w:rsid w:val="00A76D42"/>
    <w:rsid w:val="00A77F96"/>
    <w:rsid w:val="00AA0603"/>
    <w:rsid w:val="00AA2770"/>
    <w:rsid w:val="00AA2E09"/>
    <w:rsid w:val="00AA3268"/>
    <w:rsid w:val="00AA705E"/>
    <w:rsid w:val="00AC2FE1"/>
    <w:rsid w:val="00AD43A5"/>
    <w:rsid w:val="00AD6B44"/>
    <w:rsid w:val="00AE26DB"/>
    <w:rsid w:val="00AE2C86"/>
    <w:rsid w:val="00AE43AF"/>
    <w:rsid w:val="00AE43FC"/>
    <w:rsid w:val="00AE491D"/>
    <w:rsid w:val="00AF12FC"/>
    <w:rsid w:val="00AF20E1"/>
    <w:rsid w:val="00AF2F30"/>
    <w:rsid w:val="00B0162E"/>
    <w:rsid w:val="00B017F1"/>
    <w:rsid w:val="00B22440"/>
    <w:rsid w:val="00B22F0F"/>
    <w:rsid w:val="00B23EC5"/>
    <w:rsid w:val="00B243B2"/>
    <w:rsid w:val="00B30118"/>
    <w:rsid w:val="00B31B3A"/>
    <w:rsid w:val="00B31BF4"/>
    <w:rsid w:val="00B34BA7"/>
    <w:rsid w:val="00B35DFB"/>
    <w:rsid w:val="00B45ACE"/>
    <w:rsid w:val="00B51EAE"/>
    <w:rsid w:val="00B61253"/>
    <w:rsid w:val="00B66D4E"/>
    <w:rsid w:val="00B713C0"/>
    <w:rsid w:val="00B75A8D"/>
    <w:rsid w:val="00B82D2D"/>
    <w:rsid w:val="00B85220"/>
    <w:rsid w:val="00B95455"/>
    <w:rsid w:val="00B962A5"/>
    <w:rsid w:val="00BB1493"/>
    <w:rsid w:val="00BB53D7"/>
    <w:rsid w:val="00BC1861"/>
    <w:rsid w:val="00BC1ED8"/>
    <w:rsid w:val="00BC39FA"/>
    <w:rsid w:val="00BC70D6"/>
    <w:rsid w:val="00BC7604"/>
    <w:rsid w:val="00BD0D2E"/>
    <w:rsid w:val="00BD2669"/>
    <w:rsid w:val="00BD7A55"/>
    <w:rsid w:val="00BE2F56"/>
    <w:rsid w:val="00BE3854"/>
    <w:rsid w:val="00BE5ACC"/>
    <w:rsid w:val="00BF0444"/>
    <w:rsid w:val="00BF51C8"/>
    <w:rsid w:val="00C01E84"/>
    <w:rsid w:val="00C02DF1"/>
    <w:rsid w:val="00C115E0"/>
    <w:rsid w:val="00C12924"/>
    <w:rsid w:val="00C1601F"/>
    <w:rsid w:val="00C17185"/>
    <w:rsid w:val="00C21F3E"/>
    <w:rsid w:val="00C32066"/>
    <w:rsid w:val="00C34DE9"/>
    <w:rsid w:val="00C34E86"/>
    <w:rsid w:val="00C35C95"/>
    <w:rsid w:val="00C51267"/>
    <w:rsid w:val="00C55261"/>
    <w:rsid w:val="00C56E9D"/>
    <w:rsid w:val="00C602B9"/>
    <w:rsid w:val="00C62E34"/>
    <w:rsid w:val="00C64758"/>
    <w:rsid w:val="00C65673"/>
    <w:rsid w:val="00C6586B"/>
    <w:rsid w:val="00C73CFC"/>
    <w:rsid w:val="00C81877"/>
    <w:rsid w:val="00C835D5"/>
    <w:rsid w:val="00C8431C"/>
    <w:rsid w:val="00C857F3"/>
    <w:rsid w:val="00C94EB3"/>
    <w:rsid w:val="00C96CE0"/>
    <w:rsid w:val="00CA09BE"/>
    <w:rsid w:val="00CA46D6"/>
    <w:rsid w:val="00CA546A"/>
    <w:rsid w:val="00CB59F4"/>
    <w:rsid w:val="00CC1634"/>
    <w:rsid w:val="00CC1B05"/>
    <w:rsid w:val="00CC4B57"/>
    <w:rsid w:val="00CC5C95"/>
    <w:rsid w:val="00CC6B53"/>
    <w:rsid w:val="00CD3061"/>
    <w:rsid w:val="00CD5E1F"/>
    <w:rsid w:val="00CD6874"/>
    <w:rsid w:val="00CE5846"/>
    <w:rsid w:val="00CE75ED"/>
    <w:rsid w:val="00CF04B2"/>
    <w:rsid w:val="00CF070D"/>
    <w:rsid w:val="00CF2541"/>
    <w:rsid w:val="00CF3CA7"/>
    <w:rsid w:val="00D027F2"/>
    <w:rsid w:val="00D0463E"/>
    <w:rsid w:val="00D15458"/>
    <w:rsid w:val="00D15893"/>
    <w:rsid w:val="00D16B29"/>
    <w:rsid w:val="00D16BAE"/>
    <w:rsid w:val="00D22E0C"/>
    <w:rsid w:val="00D36FAA"/>
    <w:rsid w:val="00D37106"/>
    <w:rsid w:val="00D37F4F"/>
    <w:rsid w:val="00D411ED"/>
    <w:rsid w:val="00D413C4"/>
    <w:rsid w:val="00D42FFF"/>
    <w:rsid w:val="00D5116C"/>
    <w:rsid w:val="00D52A61"/>
    <w:rsid w:val="00D55967"/>
    <w:rsid w:val="00D57F37"/>
    <w:rsid w:val="00D61A9F"/>
    <w:rsid w:val="00D65FE3"/>
    <w:rsid w:val="00D66860"/>
    <w:rsid w:val="00D71BD4"/>
    <w:rsid w:val="00D72348"/>
    <w:rsid w:val="00D72DA8"/>
    <w:rsid w:val="00D72FBA"/>
    <w:rsid w:val="00D822D0"/>
    <w:rsid w:val="00D84FD4"/>
    <w:rsid w:val="00D94614"/>
    <w:rsid w:val="00DA0410"/>
    <w:rsid w:val="00DA1056"/>
    <w:rsid w:val="00DA2126"/>
    <w:rsid w:val="00DA2230"/>
    <w:rsid w:val="00DA31D4"/>
    <w:rsid w:val="00DA5A5A"/>
    <w:rsid w:val="00DA72F3"/>
    <w:rsid w:val="00DC3EE7"/>
    <w:rsid w:val="00DC6BD6"/>
    <w:rsid w:val="00DD0CD7"/>
    <w:rsid w:val="00DD138A"/>
    <w:rsid w:val="00DD42D7"/>
    <w:rsid w:val="00DD6A76"/>
    <w:rsid w:val="00DD6E60"/>
    <w:rsid w:val="00DE5952"/>
    <w:rsid w:val="00DF0114"/>
    <w:rsid w:val="00DF13D9"/>
    <w:rsid w:val="00DF1937"/>
    <w:rsid w:val="00DF25BF"/>
    <w:rsid w:val="00DF6AC9"/>
    <w:rsid w:val="00DF7B47"/>
    <w:rsid w:val="00E03189"/>
    <w:rsid w:val="00E101B9"/>
    <w:rsid w:val="00E115E8"/>
    <w:rsid w:val="00E217E8"/>
    <w:rsid w:val="00E23EAD"/>
    <w:rsid w:val="00E24238"/>
    <w:rsid w:val="00E26A71"/>
    <w:rsid w:val="00E338D9"/>
    <w:rsid w:val="00E33DB6"/>
    <w:rsid w:val="00E40451"/>
    <w:rsid w:val="00E426DA"/>
    <w:rsid w:val="00E43543"/>
    <w:rsid w:val="00E44938"/>
    <w:rsid w:val="00E46A22"/>
    <w:rsid w:val="00E52379"/>
    <w:rsid w:val="00E55131"/>
    <w:rsid w:val="00E56473"/>
    <w:rsid w:val="00E6242A"/>
    <w:rsid w:val="00E66073"/>
    <w:rsid w:val="00E70DA9"/>
    <w:rsid w:val="00E724F7"/>
    <w:rsid w:val="00E7390B"/>
    <w:rsid w:val="00E75A3F"/>
    <w:rsid w:val="00E77B9C"/>
    <w:rsid w:val="00E8206B"/>
    <w:rsid w:val="00E91ED5"/>
    <w:rsid w:val="00E933A0"/>
    <w:rsid w:val="00E95B28"/>
    <w:rsid w:val="00EB6A53"/>
    <w:rsid w:val="00EB6B2A"/>
    <w:rsid w:val="00EC2BF5"/>
    <w:rsid w:val="00EC3328"/>
    <w:rsid w:val="00EC66B3"/>
    <w:rsid w:val="00EC7192"/>
    <w:rsid w:val="00ED73B3"/>
    <w:rsid w:val="00EE1ADD"/>
    <w:rsid w:val="00EE2194"/>
    <w:rsid w:val="00EE5159"/>
    <w:rsid w:val="00EE6E3B"/>
    <w:rsid w:val="00EF0134"/>
    <w:rsid w:val="00EF1DD8"/>
    <w:rsid w:val="00F01A93"/>
    <w:rsid w:val="00F01E9B"/>
    <w:rsid w:val="00F03E9E"/>
    <w:rsid w:val="00F14266"/>
    <w:rsid w:val="00F1564F"/>
    <w:rsid w:val="00F21965"/>
    <w:rsid w:val="00F21C16"/>
    <w:rsid w:val="00F25F13"/>
    <w:rsid w:val="00F27064"/>
    <w:rsid w:val="00F30127"/>
    <w:rsid w:val="00F33ECB"/>
    <w:rsid w:val="00F35D8B"/>
    <w:rsid w:val="00F43BCF"/>
    <w:rsid w:val="00F603BF"/>
    <w:rsid w:val="00F64758"/>
    <w:rsid w:val="00F649F0"/>
    <w:rsid w:val="00F65977"/>
    <w:rsid w:val="00F66FF8"/>
    <w:rsid w:val="00F72754"/>
    <w:rsid w:val="00F72BF6"/>
    <w:rsid w:val="00F733E7"/>
    <w:rsid w:val="00F76151"/>
    <w:rsid w:val="00F83D4D"/>
    <w:rsid w:val="00F97044"/>
    <w:rsid w:val="00FA014D"/>
    <w:rsid w:val="00FA59C6"/>
    <w:rsid w:val="00FB1D9F"/>
    <w:rsid w:val="00FB21E7"/>
    <w:rsid w:val="00FB5F9A"/>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A0E"/>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F01E9B"/>
    <w:pPr>
      <w:tabs>
        <w:tab w:val="right" w:leader="dot" w:pos="9350"/>
      </w:tabs>
      <w:ind w:left="270" w:hanging="270"/>
    </w:p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51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0019985">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284506667">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8094641">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72163942">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yne.d.harris@hud.gov" TargetMode="External"/><Relationship Id="rId18" Type="http://schemas.openxmlformats.org/officeDocument/2006/relationships/hyperlink" Target="https://www.hud.gov/federal_housing_administration/healthcare_facilities/residential_care/loan_servicing" TargetMode="External"/><Relationship Id="rId26" Type="http://schemas.openxmlformats.org/officeDocument/2006/relationships/hyperlink" Target="http://portal.hud.gov/hudportal/HUD?src=/subscribe/signup&amp;listname=Lean%20232%20Updates&amp;list=LEAN-232-UPDATES-L" TargetMode="External"/><Relationship Id="rId3" Type="http://schemas.openxmlformats.org/officeDocument/2006/relationships/customXml" Target="../customXml/item3.xml"/><Relationship Id="rId21" Type="http://schemas.openxmlformats.org/officeDocument/2006/relationships/hyperlink" Target="http://www.floridahealthfinder.gov/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232R4RRequest@hud.gov" TargetMode="External"/><Relationship Id="rId25" Type="http://schemas.openxmlformats.org/officeDocument/2006/relationships/hyperlink" Target="http://www.hud.gov/healthcare" TargetMode="External"/><Relationship Id="rId2" Type="http://schemas.openxmlformats.org/officeDocument/2006/relationships/customXml" Target="../customXml/item2.xml"/><Relationship Id="rId16" Type="http://schemas.openxmlformats.org/officeDocument/2006/relationships/hyperlink" Target="http://www.floridahealthfinder.gov/index.html" TargetMode="External"/><Relationship Id="rId20" Type="http://schemas.openxmlformats.org/officeDocument/2006/relationships/hyperlink" Target="http://ahca.myflorida.com/MCHQ/Emergency_Activities/EPP.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eanThinking@hud.gov" TargetMode="External"/><Relationship Id="rId5" Type="http://schemas.openxmlformats.org/officeDocument/2006/relationships/customXml" Target="../customXml/item5.xml"/><Relationship Id="rId15" Type="http://schemas.openxmlformats.org/officeDocument/2006/relationships/hyperlink" Target="http://ahca.myflorida.com/MCHQ/Emergency_Activities/EPP.shtml" TargetMode="External"/><Relationship Id="rId23" Type="http://schemas.openxmlformats.org/officeDocument/2006/relationships/hyperlink" Target="http://portal.hud.gov/hudportal/HUD?src=/federal_housing_administration/healthcare_facilities/residential_care/mail_blast_inde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hud.gov/program_offices/administration/hudclips/handbooks/hsgh/4232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ud.gov/sites/dfiles/Housing/documents/LenArCsReSOW.docx" TargetMode="External"/><Relationship Id="rId22" Type="http://schemas.openxmlformats.org/officeDocument/2006/relationships/hyperlink" Target="https://www.hud.gov/federal_housing_administration/healthcare_facilities/residential_care/loan_servicing" TargetMode="External"/><Relationship Id="rId27" Type="http://schemas.openxmlformats.org/officeDocument/2006/relationships/hyperlink" Target="http://portal.hud.gov/hudportal/HUD?src=/subscribe/signup&amp;listname=Lean%20232%20Updates&amp;list=LEAN-232-UPDATES-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890e4778-6dda-4922-9cbb-844e3833891c">HUDIHCF2-23-360</_dlc_DocId>
    <_dlc_DocIdUrl xmlns="890e4778-6dda-4922-9cbb-844e3833891c">
      <Url>http://hudsharepoint.hud.gov/sites/IHCF2/DEVL/pp/_layouts/DocIdRedir.aspx?ID=HUDIHCF2-23-360</Url>
      <Description>HUDIHCF2-23-360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01BCA1D27C7B4798DA3C9C3924B8ED" ma:contentTypeVersion="2" ma:contentTypeDescription="Create a new document." ma:contentTypeScope="" ma:versionID="10714258aac49d987caef211d6342210">
  <xsd:schema xmlns:xsd="http://www.w3.org/2001/XMLSchema" xmlns:xs="http://www.w3.org/2001/XMLSchema" xmlns:p="http://schemas.microsoft.com/office/2006/metadata/properties" xmlns:ns2="890e4778-6dda-4922-9cbb-844e3833891c" targetNamespace="http://schemas.microsoft.com/office/2006/metadata/properties" ma:root="true" ma:fieldsID="38a3e21a0d4dec1c47ab96758e670ffd"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E91A1-75EC-4DF4-8B28-97A8E2EA8838}">
  <ds:schemaRefs>
    <ds:schemaRef ds:uri="http://schemas.microsoft.com/sharepoint/events"/>
  </ds:schemaRefs>
</ds:datastoreItem>
</file>

<file path=customXml/itemProps2.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3.xml><?xml version="1.0" encoding="utf-8"?>
<ds:datastoreItem xmlns:ds="http://schemas.openxmlformats.org/officeDocument/2006/customXml" ds:itemID="{C7006BBC-32F7-4A52-981C-D6BD01ED9833}">
  <ds:schemaRefs>
    <ds:schemaRef ds:uri="http://schemas.microsoft.com/office/2006/metadata/properties"/>
    <ds:schemaRef ds:uri="890e4778-6dda-4922-9cbb-844e3833891c"/>
  </ds:schemaRefs>
</ds:datastoreItem>
</file>

<file path=customXml/itemProps4.xml><?xml version="1.0" encoding="utf-8"?>
<ds:datastoreItem xmlns:ds="http://schemas.openxmlformats.org/officeDocument/2006/customXml" ds:itemID="{9B7E5337-AED4-413B-BE56-C034B3769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1E3AF0-39FD-4EC9-BFF5-666D3699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12317</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2</cp:revision>
  <cp:lastPrinted>2014-08-11T13:53:00Z</cp:lastPrinted>
  <dcterms:created xsi:type="dcterms:W3CDTF">2018-08-29T12:19:00Z</dcterms:created>
  <dcterms:modified xsi:type="dcterms:W3CDTF">2018-08-29T12:19:00Z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0x010100AE01BCA1D27C7B4798DA3C9C3924B8ED</vt:lpwstr>
  </property>
  <property fmtid="{D5CDD505-2E9C-101B-9397-08002B2CF9AE}" pid="3" name="_dlc_DocIdItemGuid">
    <vt:lpwstr>d4b7f483-aa4e-489b-8b7c-f8f08f0effa7</vt:lpwstr>
  </property>
</Properties>
</file>