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17E8F9D6" w:rsidR="008819F8" w:rsidRPr="00863472" w:rsidRDefault="00191856" w:rsidP="00863472">
      <w:pPr>
        <w:pStyle w:val="NormalWeb"/>
        <w:jc w:val="center"/>
        <w:rPr>
          <w:rFonts w:ascii="Verdana" w:hAnsi="Verdana"/>
          <w:sz w:val="22"/>
          <w:szCs w:val="22"/>
        </w:rPr>
      </w:pPr>
      <w:bookmarkStart w:id="0" w:name="_Hlk33784864"/>
      <w:r>
        <w:rPr>
          <w:noProof/>
        </w:rPr>
        <w:drawing>
          <wp:inline distT="0" distB="0" distL="0" distR="0" wp14:anchorId="2B8D6818" wp14:editId="30F73CEC">
            <wp:extent cx="5943600" cy="957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957580"/>
                    </a:xfrm>
                    <a:prstGeom prst="rect">
                      <a:avLst/>
                    </a:prstGeom>
                    <a:noFill/>
                    <a:ln>
                      <a:noFill/>
                    </a:ln>
                  </pic:spPr>
                </pic:pic>
              </a:graphicData>
            </a:graphic>
          </wp:inline>
        </w:drawing>
      </w:r>
      <w:bookmarkStart w:id="1" w:name="_GoBack"/>
      <w:bookmarkEnd w:id="1"/>
    </w:p>
    <w:p w14:paraId="6E0E603E" w14:textId="77777777" w:rsidR="008819F8" w:rsidRPr="00863472" w:rsidRDefault="008819F8" w:rsidP="00863472"/>
    <w:p w14:paraId="6E0E6040" w14:textId="434D6DA8" w:rsidR="00743DDB" w:rsidRPr="001F5102" w:rsidRDefault="0008211E" w:rsidP="00863472">
      <w:pPr>
        <w:pStyle w:val="NoSpacing"/>
        <w:rPr>
          <w:rFonts w:ascii="Arial" w:hAnsi="Arial" w:cs="Arial"/>
          <w:iCs/>
          <w:sz w:val="28"/>
          <w:szCs w:val="28"/>
        </w:rPr>
      </w:pPr>
      <w:r>
        <w:rPr>
          <w:rFonts w:ascii="Arial" w:hAnsi="Arial" w:cs="Arial"/>
          <w:iCs/>
          <w:sz w:val="28"/>
          <w:szCs w:val="28"/>
        </w:rPr>
        <w:t>August 26</w:t>
      </w:r>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276D140C" w:rsidR="00E55131" w:rsidRDefault="00E55131" w:rsidP="00863472">
      <w:pPr>
        <w:pStyle w:val="NoSpacing"/>
        <w:rPr>
          <w:rFonts w:ascii="Arial" w:hAnsi="Arial" w:cs="Arial"/>
          <w:b/>
          <w:i/>
          <w:sz w:val="32"/>
          <w:u w:val="single"/>
        </w:rPr>
      </w:pPr>
    </w:p>
    <w:p w14:paraId="36360F06" w14:textId="77777777" w:rsidR="0008211E" w:rsidRPr="00F51B3F" w:rsidRDefault="0008211E" w:rsidP="0008211E">
      <w:pPr>
        <w:pStyle w:val="NoSpacing"/>
        <w:rPr>
          <w:rFonts w:ascii="Arial" w:hAnsi="Arial" w:cs="Arial"/>
          <w:bCs/>
          <w:iCs/>
          <w:color w:val="000066"/>
          <w:sz w:val="28"/>
          <w:szCs w:val="28"/>
        </w:rPr>
      </w:pPr>
      <w:r w:rsidRPr="00A85C6F">
        <w:rPr>
          <w:rFonts w:ascii="Arial" w:hAnsi="Arial" w:cs="Arial"/>
          <w:bCs/>
          <w:iCs/>
          <w:color w:val="000066"/>
          <w:sz w:val="28"/>
          <w:szCs w:val="28"/>
        </w:rPr>
        <w:t>In This Update</w:t>
      </w:r>
    </w:p>
    <w:p w14:paraId="1EA6CFC0" w14:textId="77777777" w:rsidR="0008211E" w:rsidRPr="0008211E" w:rsidRDefault="0008211E" w:rsidP="00863472">
      <w:pPr>
        <w:pStyle w:val="NoSpacing"/>
        <w:rPr>
          <w:rFonts w:ascii="Arial" w:hAnsi="Arial" w:cs="Arial"/>
          <w:b/>
          <w:i/>
          <w:sz w:val="24"/>
          <w:szCs w:val="24"/>
          <w:u w:val="single"/>
        </w:rPr>
      </w:pPr>
    </w:p>
    <w:p w14:paraId="38AB4260" w14:textId="77777777" w:rsidR="00F8115C" w:rsidRPr="00F8115C" w:rsidRDefault="00396DB3" w:rsidP="00F8115C">
      <w:pPr>
        <w:pStyle w:val="TOC1"/>
        <w:spacing w:before="120"/>
        <w:rPr>
          <w:rFonts w:asciiTheme="minorHAnsi" w:eastAsiaTheme="minorEastAsia" w:hAnsiTheme="minorHAnsi" w:cstheme="minorBidi"/>
          <w:noProof/>
          <w:color w:val="000066"/>
          <w:sz w:val="22"/>
        </w:rPr>
      </w:pPr>
      <w:r w:rsidRPr="001F5102">
        <w:rPr>
          <w:rFonts w:ascii="Arial" w:hAnsi="Arial" w:cs="Arial"/>
          <w:i/>
        </w:rPr>
        <w:fldChar w:fldCharType="begin"/>
      </w:r>
      <w:r w:rsidRPr="001F5102">
        <w:rPr>
          <w:rFonts w:ascii="Arial" w:hAnsi="Arial" w:cs="Arial"/>
          <w:i/>
        </w:rPr>
        <w:instrText xml:space="preserve"> TOC \o "1-3" \n \h \z \u </w:instrText>
      </w:r>
      <w:r w:rsidRPr="001F5102">
        <w:rPr>
          <w:rFonts w:ascii="Arial" w:hAnsi="Arial" w:cs="Arial"/>
          <w:i/>
        </w:rPr>
        <w:fldChar w:fldCharType="separate"/>
      </w:r>
      <w:hyperlink w:anchor="_Toc49255196" w:history="1">
        <w:r w:rsidR="00F8115C" w:rsidRPr="00F8115C">
          <w:rPr>
            <w:rStyle w:val="Hyperlink"/>
            <w:noProof/>
            <w:color w:val="000066"/>
          </w:rPr>
          <w:t>Production Queue Assignments</w:t>
        </w:r>
      </w:hyperlink>
    </w:p>
    <w:p w14:paraId="1D1E2748" w14:textId="77777777" w:rsidR="00F8115C" w:rsidRPr="00F8115C" w:rsidRDefault="00B05350" w:rsidP="00F8115C">
      <w:pPr>
        <w:pStyle w:val="TOC1"/>
        <w:spacing w:before="120"/>
        <w:rPr>
          <w:rFonts w:asciiTheme="minorHAnsi" w:eastAsiaTheme="minorEastAsia" w:hAnsiTheme="minorHAnsi" w:cstheme="minorBidi"/>
          <w:noProof/>
          <w:color w:val="000066"/>
          <w:sz w:val="22"/>
        </w:rPr>
      </w:pPr>
      <w:hyperlink w:anchor="_Toc49255197" w:history="1">
        <w:r w:rsidR="00F8115C" w:rsidRPr="00F8115C">
          <w:rPr>
            <w:rStyle w:val="Hyperlink"/>
            <w:noProof/>
            <w:color w:val="000066"/>
          </w:rPr>
          <w:t>HUD Underwriting Queue Questions</w:t>
        </w:r>
      </w:hyperlink>
    </w:p>
    <w:p w14:paraId="28D5B6CC" w14:textId="77777777" w:rsidR="00F8115C" w:rsidRPr="00F8115C" w:rsidRDefault="00B05350" w:rsidP="00F8115C">
      <w:pPr>
        <w:pStyle w:val="TOC1"/>
        <w:spacing w:before="120"/>
        <w:rPr>
          <w:rFonts w:asciiTheme="minorHAnsi" w:eastAsiaTheme="minorEastAsia" w:hAnsiTheme="minorHAnsi" w:cstheme="minorBidi"/>
          <w:noProof/>
          <w:color w:val="000066"/>
          <w:sz w:val="22"/>
        </w:rPr>
      </w:pPr>
      <w:hyperlink w:anchor="_Toc49255198" w:history="1">
        <w:r w:rsidR="00F8115C" w:rsidRPr="00F8115C">
          <w:rPr>
            <w:rStyle w:val="Hyperlink"/>
            <w:noProof/>
            <w:color w:val="000066"/>
          </w:rPr>
          <w:t>Portfolio Names and Numbers</w:t>
        </w:r>
      </w:hyperlink>
    </w:p>
    <w:p w14:paraId="29D26815" w14:textId="77777777" w:rsidR="00F8115C" w:rsidRPr="00F8115C" w:rsidRDefault="00B05350" w:rsidP="00F8115C">
      <w:pPr>
        <w:pStyle w:val="TOC1"/>
        <w:spacing w:before="120"/>
        <w:rPr>
          <w:rFonts w:asciiTheme="minorHAnsi" w:eastAsiaTheme="minorEastAsia" w:hAnsiTheme="minorHAnsi" w:cstheme="minorBidi"/>
          <w:noProof/>
          <w:color w:val="000066"/>
          <w:sz w:val="22"/>
        </w:rPr>
      </w:pPr>
      <w:hyperlink w:anchor="_Toc49255199" w:history="1">
        <w:r w:rsidR="00F8115C" w:rsidRPr="00F8115C">
          <w:rPr>
            <w:rStyle w:val="Hyperlink"/>
            <w:noProof/>
            <w:color w:val="000066"/>
          </w:rPr>
          <w:t>Updated Email Address on Lender Narrative for Requests to Release or Modify Original Loan Collateral (form HUD-90030-ORCF)</w:t>
        </w:r>
      </w:hyperlink>
    </w:p>
    <w:p w14:paraId="07EFBB69" w14:textId="77777777" w:rsidR="00F8115C" w:rsidRPr="00F8115C" w:rsidRDefault="00B05350" w:rsidP="00F8115C">
      <w:pPr>
        <w:pStyle w:val="TOC1"/>
        <w:spacing w:before="120"/>
        <w:rPr>
          <w:rFonts w:asciiTheme="minorHAnsi" w:eastAsiaTheme="minorEastAsia" w:hAnsiTheme="minorHAnsi" w:cstheme="minorBidi"/>
          <w:noProof/>
          <w:color w:val="000066"/>
          <w:sz w:val="22"/>
        </w:rPr>
      </w:pPr>
      <w:hyperlink w:anchor="_Toc49255200" w:history="1">
        <w:r w:rsidR="00F8115C" w:rsidRPr="00F8115C">
          <w:rPr>
            <w:rStyle w:val="Hyperlink"/>
            <w:noProof/>
            <w:color w:val="000066"/>
          </w:rPr>
          <w:t>FROM THE CLOSING CORNER</w:t>
        </w:r>
      </w:hyperlink>
    </w:p>
    <w:p w14:paraId="12F54D17" w14:textId="77777777" w:rsidR="00F8115C" w:rsidRPr="00F8115C" w:rsidRDefault="00B05350" w:rsidP="00F8115C">
      <w:pPr>
        <w:pStyle w:val="TOC1"/>
        <w:numPr>
          <w:ilvl w:val="1"/>
          <w:numId w:val="30"/>
        </w:numPr>
        <w:spacing w:before="120"/>
        <w:ind w:left="1080"/>
        <w:rPr>
          <w:rFonts w:asciiTheme="minorHAnsi" w:eastAsiaTheme="minorEastAsia" w:hAnsiTheme="minorHAnsi" w:cstheme="minorBidi"/>
          <w:noProof/>
          <w:color w:val="000066"/>
          <w:sz w:val="22"/>
        </w:rPr>
      </w:pPr>
      <w:hyperlink w:anchor="_Toc49255201" w:history="1">
        <w:r w:rsidR="00F8115C" w:rsidRPr="00F8115C">
          <w:rPr>
            <w:rStyle w:val="Hyperlink"/>
            <w:noProof/>
            <w:color w:val="000066"/>
          </w:rPr>
          <w:t>Correctly Identifying Section of the Act Code in Pay.gov</w:t>
        </w:r>
      </w:hyperlink>
    </w:p>
    <w:p w14:paraId="679B29B2" w14:textId="77777777" w:rsidR="00F8115C" w:rsidRPr="00F8115C" w:rsidRDefault="00B05350" w:rsidP="00F8115C">
      <w:pPr>
        <w:pStyle w:val="TOC1"/>
        <w:numPr>
          <w:ilvl w:val="1"/>
          <w:numId w:val="30"/>
        </w:numPr>
        <w:spacing w:before="120"/>
        <w:ind w:left="1080"/>
        <w:rPr>
          <w:rFonts w:asciiTheme="minorHAnsi" w:eastAsiaTheme="minorEastAsia" w:hAnsiTheme="minorHAnsi" w:cstheme="minorBidi"/>
          <w:noProof/>
          <w:color w:val="000066"/>
          <w:sz w:val="22"/>
        </w:rPr>
      </w:pPr>
      <w:hyperlink w:anchor="_Toc49255202" w:history="1">
        <w:r w:rsidR="00F8115C" w:rsidRPr="00F8115C">
          <w:rPr>
            <w:rStyle w:val="Hyperlink"/>
            <w:noProof/>
            <w:color w:val="000066"/>
          </w:rPr>
          <w:t>Closing Document Changes</w:t>
        </w:r>
      </w:hyperlink>
    </w:p>
    <w:p w14:paraId="6E0E6047" w14:textId="469B704C" w:rsidR="00743DDB" w:rsidRPr="001F5102" w:rsidRDefault="00396DB3" w:rsidP="00863472">
      <w:pPr>
        <w:rPr>
          <w:rFonts w:ascii="Arial" w:hAnsi="Arial" w:cs="Arial"/>
          <w:iCs/>
        </w:rPr>
      </w:pPr>
      <w:r w:rsidRPr="001F5102">
        <w:rPr>
          <w:rFonts w:ascii="Arial" w:hAnsi="Arial" w:cs="Arial"/>
          <w:i/>
        </w:rPr>
        <w:fldChar w:fldCharType="end"/>
      </w:r>
    </w:p>
    <w:p w14:paraId="5A625462" w14:textId="77777777" w:rsidR="000112A7" w:rsidRPr="001F5102" w:rsidRDefault="000112A7" w:rsidP="00863472">
      <w:pPr>
        <w:rPr>
          <w:rFonts w:ascii="Arial" w:hAnsi="Arial" w:cs="Arial"/>
          <w:iCs/>
        </w:rPr>
      </w:pPr>
    </w:p>
    <w:p w14:paraId="7F487397" w14:textId="546A6AD9" w:rsidR="00A5443B" w:rsidRPr="00A5443B" w:rsidRDefault="00A5443B" w:rsidP="00F67EF8">
      <w:pPr>
        <w:pStyle w:val="EmailBlast"/>
        <w:rPr>
          <w:szCs w:val="28"/>
        </w:rPr>
      </w:pPr>
      <w:bookmarkStart w:id="2" w:name="_Toc380585836"/>
      <w:bookmarkStart w:id="3" w:name="_Toc49255196"/>
      <w:bookmarkStart w:id="4" w:name="_Hlk47622163"/>
      <w:bookmarkEnd w:id="2"/>
      <w:r>
        <w:t>Production Queue Assignments</w:t>
      </w:r>
      <w:bookmarkEnd w:id="3"/>
    </w:p>
    <w:bookmarkEnd w:id="4"/>
    <w:p w14:paraId="7C39A766" w14:textId="77777777" w:rsidR="00A5443B" w:rsidRPr="00A5443B" w:rsidRDefault="00A5443B" w:rsidP="00A5443B">
      <w:pPr>
        <w:rPr>
          <w:rFonts w:ascii="Arial" w:hAnsi="Arial" w:cs="Arial"/>
          <w:szCs w:val="24"/>
        </w:rPr>
      </w:pPr>
      <w:r w:rsidRPr="00A5443B">
        <w:rPr>
          <w:rFonts w:ascii="Arial" w:hAnsi="Arial" w:cs="Arial"/>
          <w:szCs w:val="24"/>
        </w:rPr>
        <w:t>As ORCF has presented in various industry meetings, below is the general order of assigning applications out of the Production Queues for underwriting review:</w:t>
      </w:r>
    </w:p>
    <w:p w14:paraId="4AD7FEAC" w14:textId="77777777" w:rsidR="00A5443B" w:rsidRPr="00A5443B" w:rsidRDefault="00A5443B" w:rsidP="00A5443B">
      <w:pPr>
        <w:rPr>
          <w:rFonts w:ascii="Arial" w:hAnsi="Arial" w:cs="Arial"/>
          <w:szCs w:val="24"/>
        </w:rPr>
      </w:pPr>
    </w:p>
    <w:p w14:paraId="5B51E7D2" w14:textId="11BEFA6A" w:rsidR="00A5443B" w:rsidRPr="00A5443B" w:rsidRDefault="00A5443B" w:rsidP="00975485">
      <w:pPr>
        <w:pStyle w:val="ListParagraph"/>
        <w:numPr>
          <w:ilvl w:val="0"/>
          <w:numId w:val="27"/>
        </w:numPr>
        <w:spacing w:before="120"/>
        <w:rPr>
          <w:rFonts w:ascii="Arial" w:eastAsia="Times New Roman" w:hAnsi="Arial" w:cs="Arial"/>
          <w:b/>
          <w:bCs/>
          <w:i/>
          <w:iCs/>
        </w:rPr>
      </w:pPr>
      <w:r w:rsidRPr="00A5443B">
        <w:rPr>
          <w:rFonts w:ascii="Arial" w:eastAsia="Times New Roman" w:hAnsi="Arial" w:cs="Arial"/>
        </w:rPr>
        <w:t xml:space="preserve">Section 223(f) transactions below $25M – </w:t>
      </w:r>
      <w:r w:rsidRPr="00A5443B">
        <w:rPr>
          <w:rFonts w:ascii="Arial" w:eastAsia="Times New Roman" w:hAnsi="Arial" w:cs="Arial"/>
          <w:b/>
          <w:bCs/>
          <w:i/>
          <w:iCs/>
        </w:rPr>
        <w:t xml:space="preserve">Assigned to either </w:t>
      </w:r>
      <w:proofErr w:type="spellStart"/>
      <w:r w:rsidRPr="00A5443B">
        <w:rPr>
          <w:rFonts w:ascii="Arial" w:eastAsia="Times New Roman" w:hAnsi="Arial" w:cs="Arial"/>
          <w:b/>
          <w:bCs/>
          <w:i/>
          <w:iCs/>
        </w:rPr>
        <w:t>ORCF</w:t>
      </w:r>
      <w:proofErr w:type="spellEnd"/>
      <w:r w:rsidRPr="00A5443B">
        <w:rPr>
          <w:rFonts w:ascii="Arial" w:eastAsia="Times New Roman" w:hAnsi="Arial" w:cs="Arial"/>
          <w:b/>
          <w:bCs/>
          <w:i/>
          <w:iCs/>
        </w:rPr>
        <w:t xml:space="preserve"> </w:t>
      </w:r>
      <w:r w:rsidR="00EC3A5D">
        <w:rPr>
          <w:rFonts w:ascii="Arial" w:eastAsia="Times New Roman" w:hAnsi="Arial" w:cs="Arial"/>
          <w:b/>
          <w:bCs/>
          <w:i/>
          <w:iCs/>
        </w:rPr>
        <w:t>Underwriters</w:t>
      </w:r>
      <w:r w:rsidR="004F57EB">
        <w:rPr>
          <w:rFonts w:ascii="Arial" w:eastAsia="Times New Roman" w:hAnsi="Arial" w:cs="Arial"/>
          <w:b/>
          <w:bCs/>
          <w:i/>
          <w:iCs/>
        </w:rPr>
        <w:t xml:space="preserve"> (</w:t>
      </w:r>
      <w:r w:rsidRPr="00A5443B">
        <w:rPr>
          <w:rFonts w:ascii="Arial" w:eastAsia="Times New Roman" w:hAnsi="Arial" w:cs="Arial"/>
          <w:b/>
          <w:bCs/>
          <w:i/>
          <w:iCs/>
        </w:rPr>
        <w:t>UW’s</w:t>
      </w:r>
      <w:r w:rsidR="004F57EB">
        <w:rPr>
          <w:rFonts w:ascii="Arial" w:eastAsia="Times New Roman" w:hAnsi="Arial" w:cs="Arial"/>
          <w:b/>
          <w:bCs/>
          <w:i/>
          <w:iCs/>
        </w:rPr>
        <w:t>)</w:t>
      </w:r>
      <w:r w:rsidRPr="00A5443B">
        <w:rPr>
          <w:rFonts w:ascii="Arial" w:eastAsia="Times New Roman" w:hAnsi="Arial" w:cs="Arial"/>
          <w:b/>
          <w:bCs/>
          <w:i/>
          <w:iCs/>
        </w:rPr>
        <w:t xml:space="preserve"> or Contract UW’s, based on capacity:</w:t>
      </w:r>
    </w:p>
    <w:p w14:paraId="70374D3C" w14:textId="77777777" w:rsidR="00A5443B" w:rsidRPr="00A5443B" w:rsidRDefault="00A5443B" w:rsidP="00975485">
      <w:pPr>
        <w:pStyle w:val="ListParagraph"/>
        <w:numPr>
          <w:ilvl w:val="1"/>
          <w:numId w:val="27"/>
        </w:numPr>
        <w:spacing w:before="120"/>
        <w:rPr>
          <w:rFonts w:ascii="Arial" w:eastAsia="Times New Roman" w:hAnsi="Arial" w:cs="Arial"/>
        </w:rPr>
      </w:pPr>
      <w:r w:rsidRPr="00A5443B">
        <w:rPr>
          <w:rFonts w:ascii="Arial" w:eastAsia="Times New Roman" w:hAnsi="Arial" w:cs="Arial"/>
        </w:rPr>
        <w:t>Opportunity Zone applications, by application submission date</w:t>
      </w:r>
    </w:p>
    <w:p w14:paraId="149AF0DC" w14:textId="1D64F0D3" w:rsidR="00A5443B" w:rsidRPr="00A5443B" w:rsidRDefault="00A5443B" w:rsidP="00975485">
      <w:pPr>
        <w:pStyle w:val="ListParagraph"/>
        <w:numPr>
          <w:ilvl w:val="1"/>
          <w:numId w:val="27"/>
        </w:numPr>
        <w:spacing w:before="120"/>
        <w:rPr>
          <w:rFonts w:ascii="Arial" w:eastAsia="Times New Roman" w:hAnsi="Arial" w:cs="Arial"/>
        </w:rPr>
      </w:pPr>
      <w:r w:rsidRPr="00A5443B">
        <w:rPr>
          <w:rFonts w:ascii="Arial" w:eastAsia="Times New Roman" w:hAnsi="Arial" w:cs="Arial"/>
        </w:rPr>
        <w:t>Oldest application submission date</w:t>
      </w:r>
    </w:p>
    <w:p w14:paraId="1716D75B" w14:textId="2542AB37" w:rsidR="00A5443B" w:rsidRPr="00A5443B" w:rsidRDefault="00A5443B" w:rsidP="00975485">
      <w:pPr>
        <w:pStyle w:val="ListParagraph"/>
        <w:numPr>
          <w:ilvl w:val="0"/>
          <w:numId w:val="27"/>
        </w:numPr>
        <w:spacing w:before="120"/>
        <w:rPr>
          <w:rFonts w:ascii="Arial" w:eastAsia="Times New Roman" w:hAnsi="Arial" w:cs="Arial"/>
          <w:b/>
          <w:bCs/>
          <w:i/>
          <w:iCs/>
        </w:rPr>
      </w:pPr>
      <w:r w:rsidRPr="00A5443B">
        <w:rPr>
          <w:rFonts w:ascii="Arial" w:eastAsia="Times New Roman" w:hAnsi="Arial" w:cs="Arial"/>
        </w:rPr>
        <w:t xml:space="preserve">Section 223(f) transactions over $25M and all other loan types – </w:t>
      </w:r>
      <w:r w:rsidRPr="00A5443B">
        <w:rPr>
          <w:rFonts w:ascii="Arial" w:eastAsia="Times New Roman" w:hAnsi="Arial" w:cs="Arial"/>
          <w:b/>
          <w:bCs/>
          <w:i/>
          <w:iCs/>
        </w:rPr>
        <w:t xml:space="preserve">Assigned only to </w:t>
      </w:r>
      <w:proofErr w:type="spellStart"/>
      <w:r w:rsidRPr="00A5443B">
        <w:rPr>
          <w:rFonts w:ascii="Arial" w:eastAsia="Times New Roman" w:hAnsi="Arial" w:cs="Arial"/>
          <w:b/>
          <w:bCs/>
          <w:i/>
          <w:iCs/>
        </w:rPr>
        <w:t>ORCF</w:t>
      </w:r>
      <w:proofErr w:type="spellEnd"/>
      <w:r w:rsidRPr="00A5443B">
        <w:rPr>
          <w:rFonts w:ascii="Arial" w:eastAsia="Times New Roman" w:hAnsi="Arial" w:cs="Arial"/>
          <w:b/>
          <w:bCs/>
          <w:i/>
          <w:iCs/>
        </w:rPr>
        <w:t xml:space="preserve"> UW’s; based on availability of UW capacity with specific loan type (i.e., $25M+ transactions, construction transactions):</w:t>
      </w:r>
    </w:p>
    <w:p w14:paraId="625070B5" w14:textId="111CFE78" w:rsidR="00A5443B" w:rsidRPr="00A5443B" w:rsidRDefault="00A5443B" w:rsidP="00975485">
      <w:pPr>
        <w:pStyle w:val="ListParagraph"/>
        <w:numPr>
          <w:ilvl w:val="1"/>
          <w:numId w:val="27"/>
        </w:numPr>
        <w:spacing w:before="120"/>
        <w:rPr>
          <w:rFonts w:ascii="Arial" w:eastAsia="Times New Roman" w:hAnsi="Arial" w:cs="Arial"/>
        </w:rPr>
      </w:pPr>
      <w:r w:rsidRPr="00A5443B">
        <w:rPr>
          <w:rFonts w:ascii="Arial" w:eastAsia="Times New Roman" w:hAnsi="Arial" w:cs="Arial"/>
        </w:rPr>
        <w:t>Section 223</w:t>
      </w:r>
      <w:r w:rsidR="00E77BB7">
        <w:rPr>
          <w:rFonts w:ascii="Arial" w:eastAsia="Times New Roman" w:hAnsi="Arial" w:cs="Arial"/>
        </w:rPr>
        <w:t>(</w:t>
      </w:r>
      <w:r w:rsidRPr="00A5443B">
        <w:rPr>
          <w:rFonts w:ascii="Arial" w:eastAsia="Times New Roman" w:hAnsi="Arial" w:cs="Arial"/>
        </w:rPr>
        <w:t>a</w:t>
      </w:r>
      <w:r w:rsidR="00E77BB7">
        <w:rPr>
          <w:rFonts w:ascii="Arial" w:eastAsia="Times New Roman" w:hAnsi="Arial" w:cs="Arial"/>
        </w:rPr>
        <w:t>)</w:t>
      </w:r>
      <w:r w:rsidRPr="00A5443B">
        <w:rPr>
          <w:rFonts w:ascii="Arial" w:eastAsia="Times New Roman" w:hAnsi="Arial" w:cs="Arial"/>
        </w:rPr>
        <w:t>7 applications, by application submission date</w:t>
      </w:r>
    </w:p>
    <w:p w14:paraId="4300C7DD" w14:textId="6725058F" w:rsidR="00A5443B" w:rsidRPr="00A5443B" w:rsidRDefault="00A5443B" w:rsidP="00975485">
      <w:pPr>
        <w:pStyle w:val="ListParagraph"/>
        <w:numPr>
          <w:ilvl w:val="1"/>
          <w:numId w:val="27"/>
        </w:numPr>
        <w:spacing w:before="120"/>
        <w:rPr>
          <w:rFonts w:ascii="Arial" w:eastAsia="Times New Roman" w:hAnsi="Arial" w:cs="Arial"/>
        </w:rPr>
      </w:pPr>
      <w:r w:rsidRPr="00A5443B">
        <w:rPr>
          <w:rFonts w:ascii="Arial" w:eastAsia="Times New Roman" w:hAnsi="Arial" w:cs="Arial"/>
        </w:rPr>
        <w:t>Section 223</w:t>
      </w:r>
      <w:r w:rsidR="00E77BB7">
        <w:rPr>
          <w:rFonts w:ascii="Arial" w:eastAsia="Times New Roman" w:hAnsi="Arial" w:cs="Arial"/>
        </w:rPr>
        <w:t>(</w:t>
      </w:r>
      <w:r w:rsidRPr="00A5443B">
        <w:rPr>
          <w:rFonts w:ascii="Arial" w:eastAsia="Times New Roman" w:hAnsi="Arial" w:cs="Arial"/>
        </w:rPr>
        <w:t>f</w:t>
      </w:r>
      <w:r w:rsidR="00E77BB7">
        <w:rPr>
          <w:rFonts w:ascii="Arial" w:eastAsia="Times New Roman" w:hAnsi="Arial" w:cs="Arial"/>
        </w:rPr>
        <w:t>)</w:t>
      </w:r>
      <w:r w:rsidRPr="00A5443B">
        <w:rPr>
          <w:rFonts w:ascii="Arial" w:eastAsia="Times New Roman" w:hAnsi="Arial" w:cs="Arial"/>
        </w:rPr>
        <w:t xml:space="preserve"> Opportunity Zone applications, by application submission date</w:t>
      </w:r>
    </w:p>
    <w:p w14:paraId="100049A5" w14:textId="09AF1508" w:rsidR="00A5443B" w:rsidRDefault="00A5443B" w:rsidP="00975485">
      <w:pPr>
        <w:pStyle w:val="ListParagraph"/>
        <w:numPr>
          <w:ilvl w:val="1"/>
          <w:numId w:val="27"/>
        </w:numPr>
        <w:spacing w:before="120"/>
        <w:rPr>
          <w:rFonts w:ascii="Arial" w:eastAsia="Times New Roman" w:hAnsi="Arial" w:cs="Arial"/>
        </w:rPr>
      </w:pPr>
      <w:r w:rsidRPr="00A5443B">
        <w:rPr>
          <w:rFonts w:ascii="Arial" w:eastAsia="Times New Roman" w:hAnsi="Arial" w:cs="Arial"/>
        </w:rPr>
        <w:t>Oldest application submission date and available specialized UW capacity</w:t>
      </w:r>
      <w:r w:rsidR="008D62B5">
        <w:rPr>
          <w:rFonts w:ascii="Arial" w:eastAsia="Times New Roman" w:hAnsi="Arial" w:cs="Arial"/>
        </w:rPr>
        <w:t>.</w:t>
      </w:r>
    </w:p>
    <w:p w14:paraId="7ACC2E15" w14:textId="32A04E1C" w:rsidR="00975485" w:rsidRDefault="00975485" w:rsidP="00975485">
      <w:pPr>
        <w:pStyle w:val="ListParagraph"/>
        <w:spacing w:before="120"/>
        <w:ind w:left="1440"/>
        <w:rPr>
          <w:rFonts w:ascii="Arial" w:eastAsia="Times New Roman" w:hAnsi="Arial" w:cs="Arial"/>
        </w:rPr>
      </w:pPr>
    </w:p>
    <w:p w14:paraId="4AE15A38" w14:textId="77777777" w:rsidR="00B809CD" w:rsidRDefault="00B809CD" w:rsidP="00975485">
      <w:pPr>
        <w:pStyle w:val="ListParagraph"/>
        <w:spacing w:before="120"/>
        <w:ind w:left="1440"/>
        <w:rPr>
          <w:rFonts w:ascii="Arial" w:eastAsia="Times New Roman" w:hAnsi="Arial" w:cs="Arial"/>
        </w:rPr>
      </w:pPr>
    </w:p>
    <w:p w14:paraId="1AAAFBCD" w14:textId="445057CD" w:rsidR="008D62B5" w:rsidRPr="00A5443B" w:rsidRDefault="00C8752D" w:rsidP="00194CB3">
      <w:pPr>
        <w:pStyle w:val="ListParagraph"/>
        <w:ind w:left="360"/>
        <w:rPr>
          <w:rFonts w:ascii="Arial" w:eastAsia="Times New Roman" w:hAnsi="Arial" w:cs="Arial"/>
        </w:rPr>
      </w:pPr>
      <w:r>
        <w:rPr>
          <w:rFonts w:ascii="Arial" w:eastAsia="Times New Roman" w:hAnsi="Arial" w:cs="Arial"/>
        </w:rPr>
        <w:t>Exceptions:</w:t>
      </w:r>
    </w:p>
    <w:p w14:paraId="7616090B" w14:textId="3F341EA6" w:rsidR="00A5443B" w:rsidRPr="00975485" w:rsidRDefault="00E77BB7" w:rsidP="00975485">
      <w:pPr>
        <w:pStyle w:val="ListParagraph"/>
        <w:numPr>
          <w:ilvl w:val="0"/>
          <w:numId w:val="27"/>
        </w:numPr>
        <w:spacing w:before="120"/>
        <w:rPr>
          <w:rFonts w:ascii="Arial" w:eastAsia="Times New Roman" w:hAnsi="Arial" w:cs="Arial"/>
        </w:rPr>
      </w:pPr>
      <w:r w:rsidRPr="00975485">
        <w:rPr>
          <w:rFonts w:ascii="Arial" w:eastAsia="Times New Roman" w:hAnsi="Arial" w:cs="Arial"/>
        </w:rPr>
        <w:t>A</w:t>
      </w:r>
      <w:r w:rsidR="00A5443B" w:rsidRPr="00975485">
        <w:rPr>
          <w:rFonts w:ascii="Arial" w:eastAsia="Times New Roman" w:hAnsi="Arial" w:cs="Arial"/>
        </w:rPr>
        <w:t>pplications that are part of a portfolio may be assigned as a group, based on Underwriter capacity</w:t>
      </w:r>
      <w:r w:rsidR="00EC3A5D">
        <w:rPr>
          <w:rFonts w:ascii="Arial" w:eastAsia="Times New Roman" w:hAnsi="Arial" w:cs="Arial"/>
        </w:rPr>
        <w:t>.</w:t>
      </w:r>
      <w:r w:rsidR="00A5443B" w:rsidRPr="00975485">
        <w:rPr>
          <w:rFonts w:ascii="Arial" w:eastAsia="Times New Roman" w:hAnsi="Arial" w:cs="Arial"/>
        </w:rPr>
        <w:t xml:space="preserve"> </w:t>
      </w:r>
      <w:r w:rsidR="00EC3A5D">
        <w:rPr>
          <w:rFonts w:ascii="Arial" w:eastAsia="Times New Roman" w:hAnsi="Arial" w:cs="Arial"/>
        </w:rPr>
        <w:t>A</w:t>
      </w:r>
      <w:r w:rsidRPr="00975485">
        <w:rPr>
          <w:rFonts w:ascii="Arial" w:eastAsia="Times New Roman" w:hAnsi="Arial" w:cs="Arial"/>
        </w:rPr>
        <w:t>s a result</w:t>
      </w:r>
      <w:r w:rsidR="00EC3A5D">
        <w:rPr>
          <w:rFonts w:ascii="Arial" w:eastAsia="Times New Roman" w:hAnsi="Arial" w:cs="Arial"/>
        </w:rPr>
        <w:t>,</w:t>
      </w:r>
      <w:r w:rsidRPr="00975485">
        <w:rPr>
          <w:rFonts w:ascii="Arial" w:eastAsia="Times New Roman" w:hAnsi="Arial" w:cs="Arial"/>
        </w:rPr>
        <w:t xml:space="preserve"> some </w:t>
      </w:r>
      <w:r w:rsidR="00A5443B" w:rsidRPr="00975485">
        <w:rPr>
          <w:rFonts w:ascii="Arial" w:eastAsia="Times New Roman" w:hAnsi="Arial" w:cs="Arial"/>
        </w:rPr>
        <w:t xml:space="preserve">applications may be assigned ahead of </w:t>
      </w:r>
      <w:r w:rsidR="00C41C7B" w:rsidRPr="00975485">
        <w:rPr>
          <w:rFonts w:ascii="Arial" w:eastAsia="Times New Roman" w:hAnsi="Arial" w:cs="Arial"/>
        </w:rPr>
        <w:t xml:space="preserve">individual deals with earlier application submission dates. </w:t>
      </w:r>
    </w:p>
    <w:p w14:paraId="286DF7C2" w14:textId="77777777" w:rsidR="00975485" w:rsidRPr="00975485" w:rsidRDefault="001B6F4D" w:rsidP="00975485">
      <w:pPr>
        <w:pStyle w:val="ListParagraph"/>
        <w:numPr>
          <w:ilvl w:val="0"/>
          <w:numId w:val="27"/>
        </w:numPr>
        <w:spacing w:before="120"/>
        <w:rPr>
          <w:rFonts w:ascii="Arial" w:hAnsi="Arial" w:cs="Arial"/>
        </w:rPr>
      </w:pPr>
      <w:r w:rsidRPr="00975485">
        <w:rPr>
          <w:rFonts w:ascii="Arial" w:eastAsia="Times New Roman" w:hAnsi="Arial" w:cs="Arial"/>
        </w:rPr>
        <w:t>A</w:t>
      </w:r>
      <w:r w:rsidR="00A5443B" w:rsidRPr="00975485">
        <w:rPr>
          <w:rFonts w:ascii="Arial" w:eastAsia="Times New Roman" w:hAnsi="Arial" w:cs="Arial"/>
        </w:rPr>
        <w:t xml:space="preserve">pplications that are taken off Temporary Hold are placed back in the queue </w:t>
      </w:r>
      <w:r w:rsidR="00C41C7B" w:rsidRPr="00975485">
        <w:rPr>
          <w:rFonts w:ascii="Arial" w:eastAsia="Times New Roman" w:hAnsi="Arial" w:cs="Arial"/>
        </w:rPr>
        <w:t>based on</w:t>
      </w:r>
      <w:r w:rsidR="00A5443B" w:rsidRPr="00975485">
        <w:rPr>
          <w:rFonts w:ascii="Arial" w:eastAsia="Times New Roman" w:hAnsi="Arial" w:cs="Arial"/>
        </w:rPr>
        <w:t xml:space="preserve"> the original application date, as agreed to with lenders, and may go ahead of other applications in the queue.</w:t>
      </w:r>
    </w:p>
    <w:p w14:paraId="00362CEE" w14:textId="3648F864" w:rsidR="00A5443B" w:rsidRPr="00975485" w:rsidRDefault="00A5443B" w:rsidP="00975485">
      <w:pPr>
        <w:pStyle w:val="ListParagraph"/>
        <w:numPr>
          <w:ilvl w:val="0"/>
          <w:numId w:val="27"/>
        </w:numPr>
        <w:spacing w:before="120"/>
        <w:rPr>
          <w:rFonts w:ascii="Arial" w:hAnsi="Arial" w:cs="Arial"/>
        </w:rPr>
      </w:pPr>
      <w:r w:rsidRPr="00975485">
        <w:rPr>
          <w:rFonts w:ascii="Arial" w:hAnsi="Arial" w:cs="Arial"/>
        </w:rPr>
        <w:t xml:space="preserve">ORCF reserves the right to assign applications in a different order as needed, based on circumstances such as specific application details or specific </w:t>
      </w:r>
      <w:r w:rsidR="00C41C7B" w:rsidRPr="00975485">
        <w:rPr>
          <w:rFonts w:ascii="Arial" w:hAnsi="Arial" w:cs="Arial"/>
        </w:rPr>
        <w:t xml:space="preserve">Underwriter </w:t>
      </w:r>
      <w:r w:rsidRPr="00975485">
        <w:rPr>
          <w:rFonts w:ascii="Arial" w:hAnsi="Arial" w:cs="Arial"/>
        </w:rPr>
        <w:t>capacity.</w:t>
      </w:r>
    </w:p>
    <w:p w14:paraId="0C832CD2" w14:textId="77777777" w:rsidR="00997C33" w:rsidRPr="001F5102" w:rsidRDefault="00997C33" w:rsidP="00997C33">
      <w:pPr>
        <w:rPr>
          <w:rFonts w:ascii="Arial" w:hAnsi="Arial" w:cs="Arial"/>
          <w:szCs w:val="24"/>
        </w:rPr>
      </w:pPr>
    </w:p>
    <w:p w14:paraId="1F5B3B19" w14:textId="2886AC90" w:rsidR="00997C33" w:rsidRDefault="00997C33" w:rsidP="00997C33">
      <w:pPr>
        <w:rPr>
          <w:rFonts w:ascii="Arial" w:hAnsi="Arial" w:cs="Arial"/>
          <w:i/>
          <w:iCs/>
          <w:szCs w:val="24"/>
        </w:rPr>
      </w:pPr>
      <w:r w:rsidRPr="001F5102">
        <w:rPr>
          <w:rFonts w:ascii="Arial" w:hAnsi="Arial" w:cs="Arial"/>
          <w:b/>
          <w:bCs/>
          <w:i/>
          <w:iCs/>
          <w:szCs w:val="24"/>
        </w:rPr>
        <w:t>Keywords:</w:t>
      </w:r>
      <w:r w:rsidRPr="001F5102">
        <w:rPr>
          <w:rFonts w:ascii="Arial" w:hAnsi="Arial" w:cs="Arial"/>
          <w:i/>
          <w:iCs/>
          <w:szCs w:val="24"/>
        </w:rPr>
        <w:t xml:space="preserve"> </w:t>
      </w:r>
      <w:r w:rsidR="008D62B5">
        <w:rPr>
          <w:rFonts w:ascii="Arial" w:hAnsi="Arial" w:cs="Arial"/>
          <w:i/>
          <w:iCs/>
          <w:szCs w:val="24"/>
        </w:rPr>
        <w:t>Application Processing</w:t>
      </w:r>
    </w:p>
    <w:p w14:paraId="5196D120" w14:textId="77777777" w:rsidR="00F67EF8" w:rsidRDefault="00F67EF8" w:rsidP="00997C33">
      <w:pPr>
        <w:rPr>
          <w:rFonts w:ascii="Arial" w:hAnsi="Arial" w:cs="Arial"/>
          <w:i/>
          <w:iCs/>
          <w:szCs w:val="24"/>
        </w:rPr>
      </w:pPr>
    </w:p>
    <w:p w14:paraId="4BDEDCFC" w14:textId="77777777" w:rsidR="00B7164F" w:rsidRPr="001F5102" w:rsidRDefault="00B05350"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EAFD37A" w14:textId="77777777" w:rsidR="00512271" w:rsidRPr="001F5102" w:rsidRDefault="00512271" w:rsidP="00512271">
      <w:pPr>
        <w:rPr>
          <w:rFonts w:ascii="Arial" w:hAnsi="Arial" w:cs="Arial"/>
        </w:rPr>
      </w:pPr>
    </w:p>
    <w:p w14:paraId="2FD0D058" w14:textId="65EC5B22" w:rsidR="00A5443B" w:rsidRPr="00A5443B" w:rsidRDefault="00A5443B" w:rsidP="00F67EF8">
      <w:pPr>
        <w:pStyle w:val="EmailBlast"/>
        <w:rPr>
          <w:szCs w:val="28"/>
        </w:rPr>
      </w:pPr>
      <w:bookmarkStart w:id="5" w:name="_Toc49255197"/>
      <w:r w:rsidRPr="00A5443B">
        <w:t>HUD Underwriting Queue Questions</w:t>
      </w:r>
      <w:bookmarkEnd w:id="5"/>
    </w:p>
    <w:p w14:paraId="3183D087" w14:textId="1CC6824A" w:rsidR="00A5443B" w:rsidRPr="00A5443B" w:rsidRDefault="00A5443B" w:rsidP="00A5443B">
      <w:pPr>
        <w:rPr>
          <w:rFonts w:ascii="Arial" w:hAnsi="Arial" w:cs="Arial"/>
          <w:color w:val="000000"/>
          <w:szCs w:val="24"/>
        </w:rPr>
      </w:pPr>
      <w:r w:rsidRPr="00A5443B">
        <w:rPr>
          <w:rFonts w:ascii="Arial" w:hAnsi="Arial" w:cs="Arial"/>
          <w:color w:val="000000"/>
          <w:szCs w:val="24"/>
        </w:rPr>
        <w:t xml:space="preserve">As a reminder, any questions regarding the HUD Underwriting Queues posted on </w:t>
      </w:r>
      <w:r w:rsidR="00EC3A5D">
        <w:rPr>
          <w:rFonts w:ascii="Arial" w:hAnsi="Arial" w:cs="Arial"/>
          <w:color w:val="000000"/>
          <w:szCs w:val="24"/>
        </w:rPr>
        <w:t>H</w:t>
      </w:r>
      <w:r w:rsidRPr="00A5443B">
        <w:rPr>
          <w:rFonts w:ascii="Arial" w:hAnsi="Arial" w:cs="Arial"/>
          <w:color w:val="000000"/>
          <w:szCs w:val="24"/>
        </w:rPr>
        <w:t xml:space="preserve">ud.gov should be directed to </w:t>
      </w:r>
      <w:proofErr w:type="spellStart"/>
      <w:r w:rsidRPr="00A5443B">
        <w:rPr>
          <w:rFonts w:ascii="Arial" w:hAnsi="Arial" w:cs="Arial"/>
          <w:color w:val="000000"/>
          <w:szCs w:val="24"/>
        </w:rPr>
        <w:t>LeanThinking</w:t>
      </w:r>
      <w:proofErr w:type="spellEnd"/>
      <w:r w:rsidRPr="00A5443B">
        <w:rPr>
          <w:rFonts w:ascii="Arial" w:hAnsi="Arial" w:cs="Arial"/>
          <w:color w:val="000000"/>
          <w:szCs w:val="24"/>
        </w:rPr>
        <w:t>, rather than individual ORCF staff. </w:t>
      </w:r>
      <w:proofErr w:type="spellStart"/>
      <w:r w:rsidRPr="00A5443B">
        <w:rPr>
          <w:rFonts w:ascii="Arial" w:hAnsi="Arial" w:cs="Arial"/>
          <w:color w:val="000000"/>
          <w:szCs w:val="24"/>
        </w:rPr>
        <w:t>LeanThinking</w:t>
      </w:r>
      <w:proofErr w:type="spellEnd"/>
      <w:r w:rsidRPr="00A5443B">
        <w:rPr>
          <w:rFonts w:ascii="Arial" w:hAnsi="Arial" w:cs="Arial"/>
          <w:color w:val="000000"/>
          <w:szCs w:val="24"/>
        </w:rPr>
        <w:t xml:space="preserve"> will coordinate with the appropriate contacts within ORCF to provide responses.</w:t>
      </w:r>
    </w:p>
    <w:p w14:paraId="6C4962F0" w14:textId="77777777" w:rsidR="008930F5" w:rsidRPr="001F5102" w:rsidRDefault="008930F5" w:rsidP="007D55E6">
      <w:pPr>
        <w:rPr>
          <w:rFonts w:ascii="Arial" w:eastAsia="MS Mincho" w:hAnsi="Arial" w:cs="Arial"/>
          <w:b/>
          <w:szCs w:val="24"/>
        </w:rPr>
      </w:pPr>
    </w:p>
    <w:p w14:paraId="56656F5F" w14:textId="525C9AEC" w:rsidR="008930F5" w:rsidRDefault="008930F5" w:rsidP="007D55E6">
      <w:pPr>
        <w:rPr>
          <w:rFonts w:ascii="Arial" w:eastAsia="MS Mincho" w:hAnsi="Arial" w:cs="Arial"/>
          <w:i/>
          <w:szCs w:val="24"/>
        </w:rPr>
      </w:pPr>
      <w:r w:rsidRPr="001F5102">
        <w:rPr>
          <w:rFonts w:ascii="Arial" w:eastAsia="MS Mincho" w:hAnsi="Arial" w:cs="Arial"/>
          <w:b/>
          <w:i/>
          <w:szCs w:val="24"/>
        </w:rPr>
        <w:t>Keywords:</w:t>
      </w:r>
      <w:r w:rsidRPr="001F5102">
        <w:rPr>
          <w:rFonts w:ascii="Arial" w:eastAsia="MS Mincho" w:hAnsi="Arial" w:cs="Arial"/>
          <w:i/>
          <w:szCs w:val="24"/>
        </w:rPr>
        <w:t xml:space="preserve"> </w:t>
      </w:r>
      <w:r w:rsidR="00A5443B">
        <w:rPr>
          <w:rFonts w:ascii="Arial" w:eastAsia="MS Mincho" w:hAnsi="Arial" w:cs="Arial"/>
          <w:i/>
          <w:szCs w:val="24"/>
        </w:rPr>
        <w:t>Application</w:t>
      </w:r>
      <w:r w:rsidR="008D62B5">
        <w:rPr>
          <w:rFonts w:ascii="Arial" w:eastAsia="MS Mincho" w:hAnsi="Arial" w:cs="Arial"/>
          <w:i/>
          <w:szCs w:val="24"/>
        </w:rPr>
        <w:t xml:space="preserve"> Processing</w:t>
      </w:r>
    </w:p>
    <w:p w14:paraId="45B040A7" w14:textId="77777777" w:rsidR="00F67EF8" w:rsidRDefault="00F67EF8" w:rsidP="007D55E6">
      <w:pPr>
        <w:rPr>
          <w:rFonts w:ascii="Arial" w:eastAsia="MS Mincho" w:hAnsi="Arial" w:cs="Arial"/>
          <w:i/>
          <w:szCs w:val="24"/>
        </w:rPr>
      </w:pPr>
    </w:p>
    <w:p w14:paraId="426858B8" w14:textId="77777777" w:rsidR="00F67EF8" w:rsidRPr="001F5102" w:rsidRDefault="00B05350" w:rsidP="00F67EF8">
      <w:pPr>
        <w:rPr>
          <w:rFonts w:ascii="Arial" w:hAnsi="Arial" w:cs="Arial"/>
          <w:b/>
          <w:color w:val="365F91" w:themeColor="accent1" w:themeShade="BF"/>
          <w:szCs w:val="24"/>
        </w:rPr>
      </w:pPr>
      <w:hyperlink w:anchor="_top" w:history="1">
        <w:r w:rsidR="00F67EF8" w:rsidRPr="001F5102">
          <w:rPr>
            <w:rFonts w:ascii="Arial" w:hAnsi="Arial" w:cs="Arial"/>
            <w:color w:val="365F91" w:themeColor="accent1" w:themeShade="BF"/>
            <w:szCs w:val="24"/>
            <w:u w:val="single"/>
          </w:rPr>
          <w:t>Back to top</w:t>
        </w:r>
      </w:hyperlink>
    </w:p>
    <w:p w14:paraId="58EF276C" w14:textId="77777777" w:rsidR="00F67EF8" w:rsidRDefault="00F67EF8" w:rsidP="008930F5">
      <w:pPr>
        <w:rPr>
          <w:rFonts w:ascii="Arial" w:eastAsia="MS Mincho" w:hAnsi="Arial" w:cs="Arial"/>
          <w:b/>
          <w:szCs w:val="24"/>
        </w:rPr>
      </w:pPr>
    </w:p>
    <w:p w14:paraId="004C7E7A" w14:textId="77777777" w:rsidR="00F67EF8" w:rsidRPr="00A5443B" w:rsidRDefault="00F67EF8" w:rsidP="00F67EF8">
      <w:pPr>
        <w:pStyle w:val="EmailBlast"/>
        <w:rPr>
          <w:szCs w:val="28"/>
        </w:rPr>
      </w:pPr>
      <w:bookmarkStart w:id="6" w:name="_Toc49255198"/>
      <w:r w:rsidRPr="00A5443B">
        <w:t>Portfolio Names and Numbers</w:t>
      </w:r>
      <w:bookmarkEnd w:id="6"/>
    </w:p>
    <w:p w14:paraId="119CC1E0" w14:textId="06811512" w:rsidR="00F67EF8" w:rsidRPr="00A5443B" w:rsidRDefault="00F67EF8" w:rsidP="00F67EF8">
      <w:pPr>
        <w:rPr>
          <w:rFonts w:ascii="Arial" w:hAnsi="Arial" w:cs="Arial"/>
          <w:szCs w:val="24"/>
        </w:rPr>
      </w:pPr>
      <w:r w:rsidRPr="00A5443B">
        <w:rPr>
          <w:rFonts w:ascii="Arial" w:hAnsi="Arial" w:cs="Arial"/>
          <w:szCs w:val="24"/>
        </w:rPr>
        <w:t>If a project is part of a portfolio</w:t>
      </w:r>
      <w:r w:rsidR="00EC3A5D">
        <w:rPr>
          <w:rFonts w:ascii="Arial" w:hAnsi="Arial" w:cs="Arial"/>
          <w:szCs w:val="24"/>
        </w:rPr>
        <w:t>,</w:t>
      </w:r>
      <w:r w:rsidRPr="00A5443B">
        <w:rPr>
          <w:rFonts w:ascii="Arial" w:hAnsi="Arial" w:cs="Arial"/>
          <w:szCs w:val="24"/>
        </w:rPr>
        <w:t xml:space="preserve"> it requires a portfolio name. Lenders provide the portfolio name when an FHA Number Request is </w:t>
      </w:r>
      <w:r w:rsidR="00975485" w:rsidRPr="00A5443B">
        <w:rPr>
          <w:rFonts w:ascii="Arial" w:hAnsi="Arial" w:cs="Arial"/>
          <w:szCs w:val="24"/>
        </w:rPr>
        <w:t>submitted</w:t>
      </w:r>
      <w:r w:rsidR="00975485">
        <w:rPr>
          <w:rFonts w:ascii="Arial" w:hAnsi="Arial" w:cs="Arial"/>
          <w:szCs w:val="24"/>
        </w:rPr>
        <w:t>*</w:t>
      </w:r>
      <w:r w:rsidR="00975485" w:rsidRPr="00A5443B">
        <w:rPr>
          <w:rFonts w:ascii="Arial" w:hAnsi="Arial" w:cs="Arial"/>
          <w:szCs w:val="24"/>
        </w:rPr>
        <w:t>.</w:t>
      </w:r>
    </w:p>
    <w:p w14:paraId="45C660A7" w14:textId="77777777" w:rsidR="00F67EF8" w:rsidRPr="00A5443B" w:rsidRDefault="00F67EF8" w:rsidP="00F67EF8">
      <w:pPr>
        <w:rPr>
          <w:rFonts w:ascii="Arial" w:hAnsi="Arial" w:cs="Arial"/>
          <w:szCs w:val="24"/>
        </w:rPr>
      </w:pPr>
    </w:p>
    <w:p w14:paraId="6676CA4D" w14:textId="77777777" w:rsidR="00F67EF8" w:rsidRPr="00A5443B" w:rsidRDefault="00F67EF8" w:rsidP="00F67EF8">
      <w:pPr>
        <w:rPr>
          <w:rFonts w:ascii="Arial" w:hAnsi="Arial" w:cs="Arial"/>
          <w:szCs w:val="24"/>
        </w:rPr>
      </w:pPr>
      <w:r w:rsidRPr="00A5443B">
        <w:rPr>
          <w:rFonts w:ascii="Arial" w:hAnsi="Arial" w:cs="Arial"/>
          <w:szCs w:val="24"/>
        </w:rPr>
        <w:t>A portfolio number is also needed in order to complete FHA Number Requests.</w:t>
      </w:r>
    </w:p>
    <w:p w14:paraId="763BE401" w14:textId="77777777" w:rsidR="00F67EF8" w:rsidRPr="00A5443B" w:rsidRDefault="00F67EF8" w:rsidP="00F67EF8">
      <w:pPr>
        <w:rPr>
          <w:rFonts w:ascii="Arial" w:hAnsi="Arial" w:cs="Arial"/>
          <w:szCs w:val="24"/>
        </w:rPr>
      </w:pPr>
    </w:p>
    <w:p w14:paraId="72A6FA1D" w14:textId="15D054CA" w:rsidR="00F67EF8" w:rsidRPr="00A5443B" w:rsidRDefault="00F67EF8" w:rsidP="00F67EF8">
      <w:pPr>
        <w:rPr>
          <w:rFonts w:ascii="Arial" w:hAnsi="Arial" w:cs="Arial"/>
          <w:szCs w:val="24"/>
        </w:rPr>
      </w:pPr>
      <w:r w:rsidRPr="00A5443B">
        <w:rPr>
          <w:rFonts w:ascii="Arial" w:hAnsi="Arial" w:cs="Arial"/>
          <w:szCs w:val="24"/>
        </w:rPr>
        <w:t>If a project is part of an existing portfolio and the Lender does not know the portfolio name and/or portfolio number</w:t>
      </w:r>
      <w:r w:rsidR="00EC3A5D">
        <w:rPr>
          <w:rFonts w:ascii="Arial" w:hAnsi="Arial" w:cs="Arial"/>
          <w:szCs w:val="24"/>
        </w:rPr>
        <w:t>,</w:t>
      </w:r>
      <w:r w:rsidRPr="00A5443B">
        <w:rPr>
          <w:rFonts w:ascii="Arial" w:hAnsi="Arial" w:cs="Arial"/>
          <w:szCs w:val="24"/>
        </w:rPr>
        <w:t xml:space="preserve"> th</w:t>
      </w:r>
      <w:r w:rsidR="00EC3A5D">
        <w:rPr>
          <w:rFonts w:ascii="Arial" w:hAnsi="Arial" w:cs="Arial"/>
          <w:szCs w:val="24"/>
        </w:rPr>
        <w:t>is</w:t>
      </w:r>
      <w:r w:rsidRPr="00A5443B">
        <w:rPr>
          <w:rFonts w:ascii="Arial" w:hAnsi="Arial" w:cs="Arial"/>
          <w:szCs w:val="24"/>
        </w:rPr>
        <w:t xml:space="preserve"> information can be requested through the FHA Number Request</w:t>
      </w:r>
      <w:r w:rsidR="00EC3A5D">
        <w:rPr>
          <w:rFonts w:ascii="Arial" w:hAnsi="Arial" w:cs="Arial"/>
          <w:szCs w:val="24"/>
        </w:rPr>
        <w:t>.</w:t>
      </w:r>
      <w:r w:rsidRPr="00A5443B">
        <w:rPr>
          <w:rFonts w:ascii="Arial" w:hAnsi="Arial" w:cs="Arial"/>
          <w:szCs w:val="24"/>
        </w:rPr>
        <w:t xml:space="preserve"> </w:t>
      </w:r>
      <w:r w:rsidR="00EC3A5D">
        <w:rPr>
          <w:rFonts w:ascii="Arial" w:hAnsi="Arial" w:cs="Arial"/>
          <w:szCs w:val="24"/>
        </w:rPr>
        <w:t xml:space="preserve">Lenders should </w:t>
      </w:r>
      <w:r w:rsidRPr="00A5443B">
        <w:rPr>
          <w:rFonts w:ascii="Arial" w:hAnsi="Arial" w:cs="Arial"/>
          <w:szCs w:val="24"/>
        </w:rPr>
        <w:t>note the request and any related information in the comments box</w:t>
      </w:r>
      <w:r w:rsidR="00EC3A5D">
        <w:rPr>
          <w:rFonts w:ascii="Arial" w:hAnsi="Arial" w:cs="Arial"/>
          <w:szCs w:val="24"/>
        </w:rPr>
        <w:t>,</w:t>
      </w:r>
      <w:r w:rsidRPr="00A5443B">
        <w:rPr>
          <w:rFonts w:ascii="Arial" w:hAnsi="Arial" w:cs="Arial"/>
          <w:szCs w:val="24"/>
        </w:rPr>
        <w:t xml:space="preserve"> or by </w:t>
      </w:r>
      <w:r w:rsidR="00EC3A5D">
        <w:rPr>
          <w:rFonts w:ascii="Arial" w:hAnsi="Arial" w:cs="Arial"/>
          <w:szCs w:val="24"/>
        </w:rPr>
        <w:t xml:space="preserve">submitting an email </w:t>
      </w:r>
      <w:r w:rsidRPr="00A5443B">
        <w:rPr>
          <w:rFonts w:ascii="Arial" w:hAnsi="Arial" w:cs="Arial"/>
          <w:szCs w:val="24"/>
        </w:rPr>
        <w:t xml:space="preserve">inquiry to </w:t>
      </w:r>
      <w:proofErr w:type="spellStart"/>
      <w:r w:rsidRPr="00A5443B">
        <w:rPr>
          <w:rFonts w:ascii="Arial" w:hAnsi="Arial" w:cs="Arial"/>
          <w:szCs w:val="24"/>
        </w:rPr>
        <w:t>LeanThinking</w:t>
      </w:r>
      <w:proofErr w:type="spellEnd"/>
      <w:r w:rsidRPr="00A5443B">
        <w:rPr>
          <w:rFonts w:ascii="Arial" w:hAnsi="Arial" w:cs="Arial"/>
          <w:szCs w:val="24"/>
        </w:rPr>
        <w:t>.</w:t>
      </w:r>
    </w:p>
    <w:p w14:paraId="0AD61F34" w14:textId="77777777" w:rsidR="00F67EF8" w:rsidRPr="00A5443B" w:rsidRDefault="00F67EF8" w:rsidP="00F67EF8">
      <w:pPr>
        <w:rPr>
          <w:rFonts w:ascii="Arial" w:hAnsi="Arial" w:cs="Arial"/>
          <w:szCs w:val="24"/>
        </w:rPr>
      </w:pPr>
    </w:p>
    <w:p w14:paraId="5377BA52" w14:textId="138D23AC" w:rsidR="00F67EF8" w:rsidRPr="00A5443B" w:rsidRDefault="00F67EF8" w:rsidP="00F67EF8">
      <w:pPr>
        <w:rPr>
          <w:rFonts w:ascii="Arial" w:hAnsi="Arial" w:cs="Arial"/>
          <w:szCs w:val="24"/>
        </w:rPr>
      </w:pPr>
      <w:r w:rsidRPr="00A5443B">
        <w:rPr>
          <w:rFonts w:ascii="Arial" w:hAnsi="Arial" w:cs="Arial"/>
          <w:szCs w:val="24"/>
        </w:rPr>
        <w:t xml:space="preserve">Changes to portfolio names after an FHA Number has been issued require changes to multiple systems </w:t>
      </w:r>
      <w:r w:rsidR="00EC3A5D">
        <w:rPr>
          <w:rFonts w:ascii="Arial" w:hAnsi="Arial" w:cs="Arial"/>
          <w:szCs w:val="24"/>
        </w:rPr>
        <w:t>and m</w:t>
      </w:r>
      <w:r w:rsidR="0008211E">
        <w:rPr>
          <w:rFonts w:ascii="Arial" w:hAnsi="Arial" w:cs="Arial"/>
          <w:szCs w:val="24"/>
        </w:rPr>
        <w:t>ay</w:t>
      </w:r>
      <w:r w:rsidR="00EC3A5D">
        <w:rPr>
          <w:rFonts w:ascii="Arial" w:hAnsi="Arial" w:cs="Arial"/>
          <w:szCs w:val="24"/>
        </w:rPr>
        <w:t xml:space="preserve"> take a considerable amount of time to complete</w:t>
      </w:r>
      <w:r w:rsidR="001B6F4D">
        <w:rPr>
          <w:rFonts w:ascii="Arial" w:hAnsi="Arial" w:cs="Arial"/>
          <w:szCs w:val="24"/>
        </w:rPr>
        <w:t xml:space="preserve">. </w:t>
      </w:r>
      <w:proofErr w:type="spellStart"/>
      <w:r w:rsidR="00EC3A5D">
        <w:rPr>
          <w:rFonts w:ascii="Arial" w:hAnsi="Arial" w:cs="Arial"/>
          <w:szCs w:val="24"/>
        </w:rPr>
        <w:t>ORCF</w:t>
      </w:r>
      <w:proofErr w:type="spellEnd"/>
      <w:r w:rsidR="00EC3A5D">
        <w:rPr>
          <w:rFonts w:ascii="Arial" w:hAnsi="Arial" w:cs="Arial"/>
          <w:szCs w:val="24"/>
        </w:rPr>
        <w:t xml:space="preserve"> requests that lenders identify their preferred portfolio name before an FHA Number is assigned to the portfolio. </w:t>
      </w:r>
    </w:p>
    <w:p w14:paraId="3333D0FA" w14:textId="77777777" w:rsidR="00F67EF8" w:rsidRPr="00A5443B" w:rsidRDefault="00F67EF8" w:rsidP="00F67EF8">
      <w:pPr>
        <w:rPr>
          <w:rFonts w:ascii="Arial" w:hAnsi="Arial" w:cs="Arial"/>
          <w:szCs w:val="24"/>
        </w:rPr>
      </w:pPr>
    </w:p>
    <w:p w14:paraId="65E4E3F4" w14:textId="0C1E765D" w:rsidR="00F67EF8" w:rsidRPr="00A5443B" w:rsidRDefault="00D32344" w:rsidP="00F67EF8">
      <w:pPr>
        <w:rPr>
          <w:rFonts w:ascii="Arial" w:hAnsi="Arial" w:cs="Arial"/>
          <w:szCs w:val="24"/>
        </w:rPr>
      </w:pPr>
      <w:r>
        <w:rPr>
          <w:rFonts w:ascii="Arial" w:hAnsi="Arial" w:cs="Arial"/>
          <w:szCs w:val="24"/>
        </w:rPr>
        <w:lastRenderedPageBreak/>
        <w:t>*</w:t>
      </w:r>
      <w:r w:rsidR="00F67EF8" w:rsidRPr="00A5443B">
        <w:rPr>
          <w:rFonts w:ascii="Arial" w:hAnsi="Arial" w:cs="Arial"/>
          <w:szCs w:val="24"/>
        </w:rPr>
        <w:t xml:space="preserve">  Portfolio names are added to the name of the project for workload tracking in HUD systems so that the </w:t>
      </w:r>
      <w:r w:rsidR="00EC3A5D">
        <w:rPr>
          <w:rFonts w:ascii="Arial" w:hAnsi="Arial" w:cs="Arial"/>
          <w:szCs w:val="24"/>
        </w:rPr>
        <w:t xml:space="preserve">individual </w:t>
      </w:r>
      <w:r w:rsidR="00F67EF8" w:rsidRPr="00A5443B">
        <w:rPr>
          <w:rFonts w:ascii="Arial" w:hAnsi="Arial" w:cs="Arial"/>
          <w:szCs w:val="24"/>
        </w:rPr>
        <w:t xml:space="preserve">projects in the portfolio </w:t>
      </w:r>
      <w:r w:rsidR="00EC3A5D">
        <w:rPr>
          <w:rFonts w:ascii="Arial" w:hAnsi="Arial" w:cs="Arial"/>
          <w:szCs w:val="24"/>
        </w:rPr>
        <w:t xml:space="preserve">may be </w:t>
      </w:r>
      <w:r w:rsidR="00E43C67">
        <w:rPr>
          <w:rFonts w:ascii="Arial" w:hAnsi="Arial" w:cs="Arial"/>
          <w:szCs w:val="24"/>
        </w:rPr>
        <w:t>tracked together.</w:t>
      </w:r>
      <w:r w:rsidR="00F67EF8" w:rsidRPr="00A5443B">
        <w:rPr>
          <w:rFonts w:ascii="Arial" w:hAnsi="Arial" w:cs="Arial"/>
          <w:szCs w:val="24"/>
        </w:rPr>
        <w:t> This naming convention does not impact the legal name of the project.</w:t>
      </w:r>
    </w:p>
    <w:p w14:paraId="1909FF61" w14:textId="77777777" w:rsidR="00F67EF8" w:rsidRPr="001F5102" w:rsidRDefault="00F67EF8" w:rsidP="00F67EF8">
      <w:pPr>
        <w:rPr>
          <w:rFonts w:ascii="Arial" w:hAnsi="Arial" w:cs="Arial"/>
          <w:sz w:val="22"/>
        </w:rPr>
      </w:pPr>
    </w:p>
    <w:p w14:paraId="2F96E9C1" w14:textId="77777777" w:rsidR="00F67EF8" w:rsidRDefault="00F67EF8" w:rsidP="00F67EF8">
      <w:pPr>
        <w:rPr>
          <w:rFonts w:ascii="Arial" w:hAnsi="Arial" w:cs="Arial"/>
          <w:i/>
          <w:iCs/>
          <w:szCs w:val="24"/>
        </w:rPr>
      </w:pPr>
      <w:r w:rsidRPr="001F5102">
        <w:rPr>
          <w:rFonts w:ascii="Arial" w:hAnsi="Arial" w:cs="Arial"/>
          <w:b/>
          <w:bCs/>
          <w:i/>
          <w:iCs/>
          <w:szCs w:val="24"/>
        </w:rPr>
        <w:t>Keywords:</w:t>
      </w:r>
      <w:r w:rsidRPr="001F5102">
        <w:rPr>
          <w:rFonts w:ascii="Arial" w:hAnsi="Arial" w:cs="Arial"/>
          <w:i/>
          <w:iCs/>
          <w:szCs w:val="24"/>
        </w:rPr>
        <w:t xml:space="preserve"> </w:t>
      </w:r>
      <w:r>
        <w:rPr>
          <w:rFonts w:ascii="Arial" w:hAnsi="Arial" w:cs="Arial"/>
          <w:i/>
          <w:iCs/>
          <w:szCs w:val="24"/>
        </w:rPr>
        <w:t>Portfolios</w:t>
      </w:r>
    </w:p>
    <w:p w14:paraId="4B926FD2" w14:textId="77777777" w:rsidR="00F67EF8" w:rsidRDefault="00F67EF8" w:rsidP="00F67EF8">
      <w:pPr>
        <w:rPr>
          <w:rFonts w:ascii="Arial" w:hAnsi="Arial" w:cs="Arial"/>
          <w:i/>
          <w:iCs/>
          <w:szCs w:val="24"/>
        </w:rPr>
      </w:pPr>
    </w:p>
    <w:p w14:paraId="15070C03" w14:textId="77777777" w:rsidR="00B7164F" w:rsidRPr="001F5102" w:rsidRDefault="00B05350"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BD50F7B" w14:textId="1175F5E2" w:rsidR="0084300D" w:rsidRPr="001F5102" w:rsidRDefault="0084300D" w:rsidP="00997C33">
      <w:pPr>
        <w:rPr>
          <w:rFonts w:ascii="Arial" w:hAnsi="Arial" w:cs="Arial"/>
        </w:rPr>
      </w:pPr>
    </w:p>
    <w:p w14:paraId="4437259B" w14:textId="7BA369C8" w:rsidR="00A5443B" w:rsidRPr="00F67EF8" w:rsidRDefault="002A36A2" w:rsidP="00F67EF8">
      <w:pPr>
        <w:pStyle w:val="EmailBlast"/>
      </w:pPr>
      <w:bookmarkStart w:id="7" w:name="_Toc42164344"/>
      <w:bookmarkStart w:id="8" w:name="_Toc42155142"/>
      <w:bookmarkStart w:id="9" w:name="_Toc49255199"/>
      <w:r>
        <w:t>Updated Email Address</w:t>
      </w:r>
      <w:r w:rsidR="00F67EF8">
        <w:t xml:space="preserve"> on</w:t>
      </w:r>
      <w:r w:rsidR="00A5443B">
        <w:t xml:space="preserve"> Lender Narrative for Requests to Release or Modify Original Loan Collateral (</w:t>
      </w:r>
      <w:r w:rsidR="00F67EF8">
        <w:t>form HUD</w:t>
      </w:r>
      <w:r w:rsidR="00A5443B">
        <w:t>-90030-</w:t>
      </w:r>
      <w:r w:rsidR="00F67EF8">
        <w:t>ORCF</w:t>
      </w:r>
      <w:r w:rsidR="00A5443B">
        <w:t>)</w:t>
      </w:r>
      <w:bookmarkEnd w:id="7"/>
      <w:bookmarkEnd w:id="8"/>
      <w:bookmarkEnd w:id="9"/>
    </w:p>
    <w:p w14:paraId="12AA8C1E" w14:textId="15BA2687" w:rsidR="00A5443B" w:rsidRDefault="002A36A2" w:rsidP="00A5443B">
      <w:pPr>
        <w:rPr>
          <w:rFonts w:ascii="Arial" w:hAnsi="Arial" w:cs="Arial"/>
          <w:szCs w:val="24"/>
        </w:rPr>
      </w:pPr>
      <w:r>
        <w:rPr>
          <w:rFonts w:ascii="Arial" w:hAnsi="Arial" w:cs="Arial"/>
          <w:szCs w:val="24"/>
        </w:rPr>
        <w:t xml:space="preserve">ORCF is in the process of updating the email address in </w:t>
      </w:r>
      <w:r w:rsidR="00A5443B">
        <w:rPr>
          <w:rFonts w:ascii="Arial" w:hAnsi="Arial" w:cs="Arial"/>
          <w:szCs w:val="24"/>
        </w:rPr>
        <w:t xml:space="preserve">the Environmental </w:t>
      </w:r>
      <w:r w:rsidR="00693C25">
        <w:rPr>
          <w:rFonts w:ascii="Arial" w:hAnsi="Arial" w:cs="Arial"/>
          <w:szCs w:val="24"/>
        </w:rPr>
        <w:t>section</w:t>
      </w:r>
      <w:r w:rsidR="00A5443B">
        <w:rPr>
          <w:rFonts w:ascii="Arial" w:hAnsi="Arial" w:cs="Arial"/>
          <w:szCs w:val="24"/>
        </w:rPr>
        <w:t xml:space="preserve"> of the </w:t>
      </w:r>
      <w:r w:rsidR="00A5443B">
        <w:rPr>
          <w:rFonts w:ascii="Arial" w:hAnsi="Arial" w:cs="Arial"/>
          <w:i/>
          <w:iCs/>
          <w:szCs w:val="24"/>
        </w:rPr>
        <w:t>Lender Narrative for Requests to Release or Modify Original Loan Collateral (form HUD-90030-ORCF)</w:t>
      </w:r>
      <w:r>
        <w:rPr>
          <w:rFonts w:ascii="Arial" w:hAnsi="Arial" w:cs="Arial"/>
          <w:i/>
          <w:iCs/>
          <w:szCs w:val="24"/>
        </w:rPr>
        <w:t xml:space="preserve">. </w:t>
      </w:r>
      <w:r>
        <w:rPr>
          <w:rFonts w:ascii="Arial" w:hAnsi="Arial" w:cs="Arial"/>
          <w:szCs w:val="24"/>
        </w:rPr>
        <w:t xml:space="preserve">Please use </w:t>
      </w:r>
      <w:hyperlink r:id="rId12" w:history="1">
        <w:r w:rsidRPr="00CF234D">
          <w:rPr>
            <w:rStyle w:val="Hyperlink"/>
            <w:rFonts w:ascii="Arial" w:hAnsi="Arial" w:cs="Arial"/>
            <w:szCs w:val="24"/>
          </w:rPr>
          <w:t>OHPTribeNotice@hud.gov</w:t>
        </w:r>
      </w:hyperlink>
      <w:r>
        <w:rPr>
          <w:rFonts w:ascii="Arial" w:hAnsi="Arial" w:cs="Arial"/>
          <w:szCs w:val="24"/>
        </w:rPr>
        <w:t xml:space="preserve"> </w:t>
      </w:r>
      <w:r w:rsidR="00A5443B">
        <w:rPr>
          <w:rFonts w:ascii="Arial" w:hAnsi="Arial" w:cs="Arial"/>
          <w:szCs w:val="24"/>
        </w:rPr>
        <w:t>for submission of tribal notification documents</w:t>
      </w:r>
      <w:r>
        <w:rPr>
          <w:rFonts w:ascii="Arial" w:hAnsi="Arial" w:cs="Arial"/>
          <w:szCs w:val="24"/>
        </w:rPr>
        <w:t xml:space="preserve">. </w:t>
      </w:r>
      <w:r w:rsidR="00693C25">
        <w:rPr>
          <w:rFonts w:ascii="Arial" w:hAnsi="Arial" w:cs="Arial"/>
          <w:szCs w:val="24"/>
        </w:rPr>
        <w:t>For further information, p</w:t>
      </w:r>
      <w:r w:rsidR="00F67EF8">
        <w:rPr>
          <w:rFonts w:ascii="Arial" w:hAnsi="Arial" w:cs="Arial"/>
          <w:szCs w:val="24"/>
        </w:rPr>
        <w:t xml:space="preserve">lease see the associated Lender Checklist: </w:t>
      </w:r>
      <w:r w:rsidR="00F67EF8" w:rsidRPr="00F67EF8">
        <w:rPr>
          <w:rFonts w:ascii="Arial" w:hAnsi="Arial" w:cs="Arial"/>
          <w:i/>
          <w:iCs/>
          <w:szCs w:val="24"/>
        </w:rPr>
        <w:t>Requests to Release or Modify Original Loan Collateral Checklist</w:t>
      </w:r>
      <w:r w:rsidR="00A5443B">
        <w:rPr>
          <w:rFonts w:ascii="Arial" w:hAnsi="Arial" w:cs="Arial"/>
          <w:szCs w:val="24"/>
        </w:rPr>
        <w:t xml:space="preserve"> on the Loan Servicing website</w:t>
      </w:r>
      <w:r w:rsidR="00F67EF8">
        <w:rPr>
          <w:rFonts w:ascii="Arial" w:hAnsi="Arial" w:cs="Arial"/>
          <w:szCs w:val="24"/>
        </w:rPr>
        <w:t xml:space="preserve"> (</w:t>
      </w:r>
      <w:hyperlink r:id="rId13" w:history="1">
        <w:r w:rsidR="00F67EF8" w:rsidRPr="00F67EF8">
          <w:rPr>
            <w:rStyle w:val="Hyperlink"/>
            <w:rFonts w:ascii="Arial" w:hAnsi="Arial" w:cs="Arial"/>
            <w:szCs w:val="24"/>
          </w:rPr>
          <w:t>here</w:t>
        </w:r>
      </w:hyperlink>
      <w:r w:rsidR="00F67EF8">
        <w:rPr>
          <w:rFonts w:ascii="Arial" w:hAnsi="Arial" w:cs="Arial"/>
          <w:szCs w:val="24"/>
        </w:rPr>
        <w:t>)</w:t>
      </w:r>
      <w:r w:rsidR="00A5443B">
        <w:rPr>
          <w:rFonts w:ascii="Arial" w:hAnsi="Arial" w:cs="Arial"/>
          <w:szCs w:val="24"/>
        </w:rPr>
        <w:t xml:space="preserve">. </w:t>
      </w:r>
    </w:p>
    <w:p w14:paraId="33CE2873" w14:textId="77777777" w:rsidR="00A5443B" w:rsidRDefault="00A5443B" w:rsidP="00A5443B">
      <w:pPr>
        <w:rPr>
          <w:rFonts w:ascii="Arial" w:hAnsi="Arial" w:cs="Arial"/>
          <w:szCs w:val="24"/>
        </w:rPr>
      </w:pPr>
    </w:p>
    <w:p w14:paraId="06F29D8C" w14:textId="2E89CB0A" w:rsidR="00A5443B" w:rsidRDefault="00A5443B" w:rsidP="00A5443B">
      <w:pPr>
        <w:rPr>
          <w:rFonts w:ascii="Arial" w:hAnsi="Arial" w:cs="Arial"/>
          <w:i/>
          <w:iCs/>
          <w:szCs w:val="24"/>
        </w:rPr>
      </w:pPr>
      <w:r>
        <w:rPr>
          <w:rFonts w:ascii="Arial" w:hAnsi="Arial" w:cs="Arial"/>
          <w:b/>
          <w:bCs/>
          <w:i/>
          <w:iCs/>
          <w:szCs w:val="24"/>
        </w:rPr>
        <w:t>Keywords:</w:t>
      </w:r>
      <w:r>
        <w:rPr>
          <w:rFonts w:ascii="Arial" w:hAnsi="Arial" w:cs="Arial"/>
          <w:i/>
          <w:iCs/>
          <w:szCs w:val="24"/>
        </w:rPr>
        <w:t xml:space="preserve"> Change of Collateral</w:t>
      </w:r>
    </w:p>
    <w:p w14:paraId="773F0BBB" w14:textId="48B2019D" w:rsidR="002A36A2" w:rsidRDefault="002A36A2" w:rsidP="00A5443B">
      <w:pPr>
        <w:rPr>
          <w:rFonts w:ascii="Arial" w:hAnsi="Arial" w:cs="Arial"/>
          <w:i/>
          <w:iCs/>
          <w:szCs w:val="24"/>
        </w:rPr>
      </w:pPr>
    </w:p>
    <w:p w14:paraId="76D84854" w14:textId="77777777" w:rsidR="00740D11" w:rsidRPr="001F5102" w:rsidRDefault="00B05350" w:rsidP="00740D11">
      <w:pPr>
        <w:rPr>
          <w:rFonts w:ascii="Arial" w:hAnsi="Arial" w:cs="Arial"/>
          <w:b/>
          <w:color w:val="365F91" w:themeColor="accent1" w:themeShade="BF"/>
          <w:szCs w:val="24"/>
        </w:rPr>
      </w:pPr>
      <w:hyperlink w:anchor="_top" w:history="1">
        <w:r w:rsidR="00740D11" w:rsidRPr="001F5102">
          <w:rPr>
            <w:rFonts w:ascii="Arial" w:hAnsi="Arial" w:cs="Arial"/>
            <w:color w:val="365F91" w:themeColor="accent1" w:themeShade="BF"/>
            <w:szCs w:val="24"/>
            <w:u w:val="single"/>
          </w:rPr>
          <w:t>Back to top</w:t>
        </w:r>
      </w:hyperlink>
    </w:p>
    <w:p w14:paraId="55133E22" w14:textId="3C84DE6A" w:rsidR="001D721A" w:rsidRPr="001F5102" w:rsidRDefault="001D721A" w:rsidP="008930F5">
      <w:pPr>
        <w:rPr>
          <w:rFonts w:ascii="Arial" w:hAnsi="Arial" w:cs="Arial"/>
          <w:b/>
        </w:rPr>
      </w:pPr>
    </w:p>
    <w:p w14:paraId="0128A89B" w14:textId="77777777" w:rsidR="009F4D59" w:rsidRPr="001F5102" w:rsidRDefault="009F4D59" w:rsidP="008930F5">
      <w:pPr>
        <w:rPr>
          <w:rFonts w:ascii="Arial" w:hAnsi="Arial" w:cs="Arial"/>
          <w:b/>
        </w:rPr>
      </w:pPr>
    </w:p>
    <w:p w14:paraId="6EAC7DE2" w14:textId="0172E1D2" w:rsidR="00910E23" w:rsidRPr="001F5102" w:rsidRDefault="00910E23" w:rsidP="00F67EF8">
      <w:pPr>
        <w:pStyle w:val="EmailBlast"/>
      </w:pPr>
      <w:bookmarkStart w:id="10" w:name="_Toc396209070"/>
      <w:bookmarkStart w:id="11" w:name="_Toc49255200"/>
      <w:r w:rsidRPr="001F5102">
        <w:t>FROM THE CLOSING CORNER</w:t>
      </w:r>
      <w:bookmarkEnd w:id="10"/>
      <w:bookmarkEnd w:id="11"/>
    </w:p>
    <w:p w14:paraId="2DD5F4A2" w14:textId="6DEF9AB8" w:rsidR="00960A98" w:rsidRPr="00960A98" w:rsidRDefault="00960A98" w:rsidP="00960A98">
      <w:pPr>
        <w:pStyle w:val="EmailBlast2"/>
      </w:pPr>
      <w:bookmarkStart w:id="12" w:name="_Toc49255201"/>
      <w:r>
        <w:t>Correctly Identifying Section of the Act</w:t>
      </w:r>
      <w:r w:rsidR="00126473">
        <w:t xml:space="preserve"> Code</w:t>
      </w:r>
      <w:r w:rsidR="00232F98">
        <w:t xml:space="preserve"> in Pay.gov</w:t>
      </w:r>
      <w:bookmarkEnd w:id="12"/>
    </w:p>
    <w:p w14:paraId="0416B3B0" w14:textId="4D5322BA" w:rsidR="00960A98" w:rsidRPr="00960A98" w:rsidRDefault="00960A98" w:rsidP="00960A98">
      <w:pPr>
        <w:rPr>
          <w:rFonts w:ascii="Arial" w:hAnsi="Arial" w:cs="Arial"/>
          <w:szCs w:val="24"/>
        </w:rPr>
      </w:pPr>
      <w:r w:rsidRPr="00960A98">
        <w:rPr>
          <w:rFonts w:ascii="Arial" w:hAnsi="Arial" w:cs="Arial"/>
          <w:szCs w:val="24"/>
        </w:rPr>
        <w:t xml:space="preserve">As </w:t>
      </w:r>
      <w:r w:rsidRPr="00F67EF8">
        <w:rPr>
          <w:rFonts w:ascii="Arial" w:hAnsi="Arial" w:cs="Arial"/>
          <w:szCs w:val="24"/>
        </w:rPr>
        <w:t xml:space="preserve">stated </w:t>
      </w:r>
      <w:r w:rsidRPr="00960A98">
        <w:rPr>
          <w:rFonts w:ascii="Arial" w:hAnsi="Arial" w:cs="Arial"/>
          <w:szCs w:val="24"/>
        </w:rPr>
        <w:t>in the June 2</w:t>
      </w:r>
      <w:r w:rsidRPr="00F67EF8">
        <w:rPr>
          <w:rFonts w:ascii="Arial" w:hAnsi="Arial" w:cs="Arial"/>
          <w:szCs w:val="24"/>
        </w:rPr>
        <w:t>6, 2</w:t>
      </w:r>
      <w:r w:rsidRPr="00960A98">
        <w:rPr>
          <w:rFonts w:ascii="Arial" w:hAnsi="Arial" w:cs="Arial"/>
          <w:szCs w:val="24"/>
        </w:rPr>
        <w:t>020</w:t>
      </w:r>
      <w:r w:rsidR="00D32344">
        <w:rPr>
          <w:rFonts w:ascii="Arial" w:hAnsi="Arial" w:cs="Arial"/>
          <w:szCs w:val="24"/>
        </w:rPr>
        <w:t>,</w:t>
      </w:r>
      <w:r w:rsidRPr="00960A98">
        <w:rPr>
          <w:rFonts w:ascii="Arial" w:hAnsi="Arial" w:cs="Arial"/>
          <w:szCs w:val="24"/>
        </w:rPr>
        <w:t xml:space="preserve"> Email Blast, it is crucial to use the correct Section of the Act (SOA) Code </w:t>
      </w:r>
      <w:r w:rsidR="00E43C67">
        <w:rPr>
          <w:rFonts w:ascii="Arial" w:hAnsi="Arial" w:cs="Arial"/>
          <w:szCs w:val="24"/>
        </w:rPr>
        <w:t>at the beginning of the process</w:t>
      </w:r>
      <w:r w:rsidRPr="00960A98">
        <w:rPr>
          <w:rFonts w:ascii="Arial" w:hAnsi="Arial" w:cs="Arial"/>
          <w:szCs w:val="24"/>
        </w:rPr>
        <w:t>. </w:t>
      </w:r>
      <w:r w:rsidRPr="00F67EF8">
        <w:rPr>
          <w:rFonts w:ascii="Arial" w:hAnsi="Arial" w:cs="Arial"/>
          <w:szCs w:val="24"/>
        </w:rPr>
        <w:t>Please e</w:t>
      </w:r>
      <w:r w:rsidRPr="00960A98">
        <w:rPr>
          <w:rFonts w:ascii="Arial" w:hAnsi="Arial" w:cs="Arial"/>
          <w:szCs w:val="24"/>
        </w:rPr>
        <w:t>nsure that the correct Program Type is used (e.g. SNF vs. ALF vs. Board &amp; Care; 223(a)(7) vs. 223(f) vs. New Construction, etc.). </w:t>
      </w:r>
      <w:r w:rsidRPr="00F67EF8">
        <w:rPr>
          <w:rFonts w:ascii="Arial" w:hAnsi="Arial" w:cs="Arial"/>
          <w:szCs w:val="24"/>
        </w:rPr>
        <w:t>Below are k</w:t>
      </w:r>
      <w:r w:rsidRPr="00960A98">
        <w:rPr>
          <w:rFonts w:ascii="Arial" w:hAnsi="Arial" w:cs="Arial"/>
          <w:szCs w:val="24"/>
        </w:rPr>
        <w:t xml:space="preserve">ey times </w:t>
      </w:r>
      <w:r w:rsidR="00693C25">
        <w:rPr>
          <w:rFonts w:ascii="Arial" w:hAnsi="Arial" w:cs="Arial"/>
          <w:szCs w:val="24"/>
        </w:rPr>
        <w:t xml:space="preserve">during the application process </w:t>
      </w:r>
      <w:r w:rsidRPr="00960A98">
        <w:rPr>
          <w:rFonts w:ascii="Arial" w:hAnsi="Arial" w:cs="Arial"/>
          <w:szCs w:val="24"/>
        </w:rPr>
        <w:t>to double check the SOA Code to ensure it is correct:</w:t>
      </w:r>
    </w:p>
    <w:p w14:paraId="75F80954" w14:textId="77777777" w:rsidR="00960A98" w:rsidRPr="00960A98" w:rsidRDefault="00960A98" w:rsidP="00960A98">
      <w:pPr>
        <w:rPr>
          <w:rFonts w:ascii="Arial" w:hAnsi="Arial" w:cs="Arial"/>
          <w:szCs w:val="24"/>
          <w:highlight w:val="yellow"/>
        </w:rPr>
      </w:pPr>
    </w:p>
    <w:p w14:paraId="478AC3AA" w14:textId="77777777" w:rsidR="00960A98" w:rsidRPr="00960A98" w:rsidRDefault="00960A98" w:rsidP="00960A98">
      <w:pPr>
        <w:numPr>
          <w:ilvl w:val="0"/>
          <w:numId w:val="26"/>
        </w:numPr>
        <w:rPr>
          <w:rFonts w:ascii="Arial" w:hAnsi="Arial" w:cs="Arial"/>
          <w:szCs w:val="24"/>
        </w:rPr>
      </w:pPr>
      <w:r w:rsidRPr="00960A98">
        <w:rPr>
          <w:rFonts w:ascii="Arial" w:hAnsi="Arial" w:cs="Arial"/>
          <w:szCs w:val="24"/>
          <w:u w:val="single"/>
        </w:rPr>
        <w:t>Application/Exam Fee at Firm Application Submission</w:t>
      </w:r>
      <w:r w:rsidRPr="00960A98">
        <w:rPr>
          <w:rFonts w:ascii="Arial" w:hAnsi="Arial" w:cs="Arial"/>
          <w:szCs w:val="24"/>
        </w:rPr>
        <w:t xml:space="preserve"> – Check before sending the Application (Exam) Fee to Pay.gov </w:t>
      </w:r>
    </w:p>
    <w:p w14:paraId="31813D2E" w14:textId="77777777" w:rsidR="00960A98" w:rsidRPr="00960A98" w:rsidRDefault="00960A98" w:rsidP="00960A98">
      <w:pPr>
        <w:numPr>
          <w:ilvl w:val="0"/>
          <w:numId w:val="26"/>
        </w:numPr>
        <w:rPr>
          <w:rFonts w:ascii="Arial" w:hAnsi="Arial" w:cs="Arial"/>
          <w:szCs w:val="24"/>
          <w:u w:val="single"/>
        </w:rPr>
      </w:pPr>
      <w:r w:rsidRPr="00960A98">
        <w:rPr>
          <w:rFonts w:ascii="Arial" w:hAnsi="Arial" w:cs="Arial"/>
          <w:szCs w:val="24"/>
          <w:u w:val="single"/>
        </w:rPr>
        <w:t>MIP Fee at Closing</w:t>
      </w:r>
      <w:r w:rsidRPr="00960A98">
        <w:rPr>
          <w:rFonts w:ascii="Arial" w:hAnsi="Arial" w:cs="Arial"/>
          <w:szCs w:val="24"/>
        </w:rPr>
        <w:t xml:space="preserve"> – Check before sending the MIP Fee to Pay.gov for Closing </w:t>
      </w:r>
    </w:p>
    <w:p w14:paraId="4614E12E" w14:textId="77777777" w:rsidR="00960A98" w:rsidRPr="00960A98" w:rsidRDefault="00960A98" w:rsidP="00960A98">
      <w:pPr>
        <w:numPr>
          <w:ilvl w:val="0"/>
          <w:numId w:val="26"/>
        </w:numPr>
        <w:rPr>
          <w:rFonts w:ascii="Arial" w:hAnsi="Arial" w:cs="Arial"/>
          <w:szCs w:val="24"/>
        </w:rPr>
      </w:pPr>
      <w:r w:rsidRPr="00960A98">
        <w:rPr>
          <w:rFonts w:ascii="Arial" w:hAnsi="Arial" w:cs="Arial"/>
          <w:szCs w:val="24"/>
          <w:u w:val="single"/>
        </w:rPr>
        <w:t>Inspection Fee, if applicable, at Closing</w:t>
      </w:r>
      <w:r w:rsidRPr="00960A98">
        <w:rPr>
          <w:rFonts w:ascii="Arial" w:hAnsi="Arial" w:cs="Arial"/>
          <w:szCs w:val="24"/>
        </w:rPr>
        <w:t xml:space="preserve"> – Check before sending the Inspection Fee to Pay.gov for Closing</w:t>
      </w:r>
    </w:p>
    <w:p w14:paraId="2A0F88E4" w14:textId="77777777" w:rsidR="00960A98" w:rsidRPr="00960A98" w:rsidRDefault="00960A98" w:rsidP="00960A98">
      <w:pPr>
        <w:ind w:left="-720"/>
        <w:rPr>
          <w:rFonts w:ascii="Arial" w:hAnsi="Arial" w:cs="Arial"/>
          <w:szCs w:val="24"/>
          <w:highlight w:val="yellow"/>
        </w:rPr>
      </w:pPr>
    </w:p>
    <w:p w14:paraId="31034AE0" w14:textId="059CD651" w:rsidR="00960A98" w:rsidRPr="00960A98" w:rsidRDefault="00960A98" w:rsidP="00960A98">
      <w:pPr>
        <w:ind w:left="360"/>
        <w:rPr>
          <w:rFonts w:ascii="Arial" w:hAnsi="Arial" w:cs="Arial"/>
          <w:szCs w:val="24"/>
        </w:rPr>
      </w:pPr>
      <w:r w:rsidRPr="00960A98">
        <w:rPr>
          <w:rFonts w:ascii="Arial" w:hAnsi="Arial" w:cs="Arial"/>
          <w:szCs w:val="24"/>
        </w:rPr>
        <w:t>(</w:t>
      </w:r>
      <w:r w:rsidRPr="00960A98">
        <w:rPr>
          <w:rFonts w:ascii="Arial" w:hAnsi="Arial" w:cs="Arial"/>
          <w:i/>
          <w:iCs/>
          <w:szCs w:val="24"/>
        </w:rPr>
        <w:t xml:space="preserve">Note: If you experience a problem with a </w:t>
      </w:r>
      <w:r w:rsidR="00E43C67">
        <w:rPr>
          <w:rFonts w:ascii="Arial" w:hAnsi="Arial" w:cs="Arial"/>
          <w:i/>
          <w:iCs/>
          <w:szCs w:val="24"/>
        </w:rPr>
        <w:t>P</w:t>
      </w:r>
      <w:r w:rsidRPr="00960A98">
        <w:rPr>
          <w:rFonts w:ascii="Arial" w:hAnsi="Arial" w:cs="Arial"/>
          <w:i/>
          <w:iCs/>
          <w:szCs w:val="24"/>
        </w:rPr>
        <w:t>ay.gov payment, it can be canceled</w:t>
      </w:r>
      <w:r w:rsidRPr="00F67EF8">
        <w:rPr>
          <w:rFonts w:ascii="Arial" w:hAnsi="Arial" w:cs="Arial"/>
          <w:i/>
          <w:iCs/>
          <w:szCs w:val="24"/>
        </w:rPr>
        <w:t xml:space="preserve"> within 24 hours</w:t>
      </w:r>
      <w:r w:rsidRPr="00960A98">
        <w:rPr>
          <w:rFonts w:ascii="Arial" w:hAnsi="Arial" w:cs="Arial"/>
          <w:i/>
          <w:iCs/>
          <w:szCs w:val="24"/>
        </w:rPr>
        <w:t xml:space="preserve"> if you </w:t>
      </w:r>
      <w:r w:rsidR="00C8752D">
        <w:rPr>
          <w:rFonts w:ascii="Arial" w:hAnsi="Arial" w:cs="Arial"/>
          <w:i/>
          <w:iCs/>
          <w:szCs w:val="24"/>
        </w:rPr>
        <w:t>contact</w:t>
      </w:r>
      <w:r w:rsidRPr="00960A98">
        <w:rPr>
          <w:rFonts w:ascii="Arial" w:hAnsi="Arial" w:cs="Arial"/>
          <w:i/>
          <w:iCs/>
          <w:szCs w:val="24"/>
        </w:rPr>
        <w:t xml:space="preserve"> pay.gov directly. </w:t>
      </w:r>
      <w:r w:rsidR="00E43C67">
        <w:rPr>
          <w:rFonts w:ascii="Arial" w:hAnsi="Arial" w:cs="Arial"/>
          <w:i/>
          <w:iCs/>
          <w:szCs w:val="24"/>
        </w:rPr>
        <w:t>Contact the Pay.gov</w:t>
      </w:r>
      <w:r w:rsidRPr="00960A98">
        <w:rPr>
          <w:rFonts w:ascii="Arial" w:hAnsi="Arial" w:cs="Arial"/>
          <w:i/>
          <w:iCs/>
          <w:szCs w:val="24"/>
        </w:rPr>
        <w:t xml:space="preserve"> helpline </w:t>
      </w:r>
      <w:r w:rsidR="00E43C67">
        <w:rPr>
          <w:rFonts w:ascii="Arial" w:hAnsi="Arial" w:cs="Arial"/>
          <w:i/>
          <w:iCs/>
          <w:szCs w:val="24"/>
        </w:rPr>
        <w:t>via phone at</w:t>
      </w:r>
      <w:r w:rsidRPr="00960A98">
        <w:rPr>
          <w:rFonts w:ascii="Arial" w:hAnsi="Arial" w:cs="Arial"/>
          <w:i/>
          <w:iCs/>
          <w:szCs w:val="24"/>
        </w:rPr>
        <w:t xml:space="preserve"> (800) 624-1373).</w:t>
      </w:r>
    </w:p>
    <w:p w14:paraId="665C481E" w14:textId="77777777" w:rsidR="00960A98" w:rsidRPr="00960A98" w:rsidRDefault="00960A98" w:rsidP="00960A98">
      <w:pPr>
        <w:rPr>
          <w:rFonts w:ascii="Arial" w:hAnsi="Arial" w:cs="Arial"/>
          <w:szCs w:val="24"/>
        </w:rPr>
      </w:pPr>
    </w:p>
    <w:p w14:paraId="096F568D" w14:textId="491FB726" w:rsidR="00A14D7F" w:rsidRDefault="00960A98" w:rsidP="00960A98">
      <w:pPr>
        <w:rPr>
          <w:rFonts w:ascii="Arial" w:hAnsi="Arial" w:cs="Arial"/>
          <w:szCs w:val="24"/>
        </w:rPr>
      </w:pPr>
      <w:r w:rsidRPr="00960A98">
        <w:rPr>
          <w:rFonts w:ascii="Arial" w:hAnsi="Arial" w:cs="Arial"/>
          <w:szCs w:val="24"/>
        </w:rPr>
        <w:t xml:space="preserve">For a complete list of </w:t>
      </w:r>
      <w:r w:rsidRPr="00960A98">
        <w:rPr>
          <w:rFonts w:ascii="Arial" w:hAnsi="Arial" w:cs="Arial"/>
          <w:b/>
          <w:bCs/>
          <w:szCs w:val="24"/>
          <w:u w:val="single"/>
        </w:rPr>
        <w:t>SOA Codes</w:t>
      </w:r>
      <w:r w:rsidRPr="00960A98">
        <w:rPr>
          <w:rFonts w:ascii="Arial" w:hAnsi="Arial" w:cs="Arial"/>
          <w:szCs w:val="24"/>
        </w:rPr>
        <w:t xml:space="preserve"> under the Section 232 Program, please refer to </w:t>
      </w:r>
      <w:r w:rsidR="00C8752D">
        <w:rPr>
          <w:rFonts w:ascii="Arial" w:hAnsi="Arial" w:cs="Arial"/>
          <w:szCs w:val="24"/>
        </w:rPr>
        <w:t xml:space="preserve">the </w:t>
      </w:r>
      <w:r w:rsidRPr="00960A98">
        <w:rPr>
          <w:rFonts w:ascii="Arial" w:hAnsi="Arial" w:cs="Arial"/>
          <w:szCs w:val="24"/>
        </w:rPr>
        <w:t>list below</w:t>
      </w:r>
      <w:r w:rsidR="00A14D7F">
        <w:rPr>
          <w:rFonts w:ascii="Arial" w:hAnsi="Arial" w:cs="Arial"/>
          <w:szCs w:val="24"/>
        </w:rPr>
        <w:t>:</w:t>
      </w:r>
    </w:p>
    <w:p w14:paraId="3FE6794E" w14:textId="77777777" w:rsidR="00A14D7F" w:rsidRDefault="00A14D7F" w:rsidP="00960A98">
      <w:pPr>
        <w:rPr>
          <w:rFonts w:ascii="Arial" w:hAnsi="Arial" w:cs="Arial"/>
          <w:szCs w:val="24"/>
        </w:rPr>
      </w:pPr>
    </w:p>
    <w:p w14:paraId="7D479171" w14:textId="1C46AF45" w:rsidR="00960A98" w:rsidRPr="00960A98" w:rsidRDefault="00960A98" w:rsidP="00960A98">
      <w:pPr>
        <w:rPr>
          <w:rFonts w:ascii="Arial" w:hAnsi="Arial" w:cs="Arial"/>
          <w:i/>
          <w:iCs/>
          <w:szCs w:val="24"/>
        </w:rPr>
      </w:pPr>
      <w:r w:rsidRPr="00960A98">
        <w:rPr>
          <w:rFonts w:ascii="Arial" w:hAnsi="Arial" w:cs="Arial"/>
          <w:szCs w:val="24"/>
        </w:rPr>
        <w:lastRenderedPageBreak/>
        <w:t>(</w:t>
      </w:r>
      <w:r w:rsidRPr="00960A98">
        <w:rPr>
          <w:rFonts w:ascii="Arial" w:hAnsi="Arial" w:cs="Arial"/>
          <w:i/>
          <w:iCs/>
          <w:szCs w:val="24"/>
        </w:rPr>
        <w:t>Note: If the project is a mixed</w:t>
      </w:r>
      <w:r w:rsidR="00021E35">
        <w:rPr>
          <w:rFonts w:ascii="Arial" w:hAnsi="Arial" w:cs="Arial"/>
          <w:i/>
          <w:iCs/>
          <w:szCs w:val="24"/>
        </w:rPr>
        <w:t>-</w:t>
      </w:r>
      <w:r w:rsidRPr="00960A98">
        <w:rPr>
          <w:rFonts w:ascii="Arial" w:hAnsi="Arial" w:cs="Arial"/>
          <w:i/>
          <w:iCs/>
          <w:szCs w:val="24"/>
        </w:rPr>
        <w:t>use facility, the type of project will be determined by the highest number of underwritten bed type and the SOA Code to be used.)</w:t>
      </w:r>
    </w:p>
    <w:p w14:paraId="3DA3A77E" w14:textId="77777777" w:rsidR="00960A98" w:rsidRPr="00960A98" w:rsidRDefault="00960A98" w:rsidP="00960A98">
      <w:pPr>
        <w:ind w:left="1440"/>
        <w:rPr>
          <w:rFonts w:ascii="Calibri" w:hAnsi="Calibri" w:cs="Calibri"/>
          <w:szCs w:val="24"/>
        </w:rPr>
      </w:pPr>
    </w:p>
    <w:p w14:paraId="4A5D67F6" w14:textId="77777777" w:rsidR="00960A98" w:rsidRPr="00960A98" w:rsidRDefault="00960A98" w:rsidP="00960A98">
      <w:pPr>
        <w:ind w:left="720"/>
        <w:rPr>
          <w:rFonts w:ascii="Calibri" w:hAnsi="Calibri" w:cs="Calibri"/>
          <w:sz w:val="22"/>
        </w:rPr>
      </w:pPr>
      <w:r w:rsidRPr="00960A98">
        <w:rPr>
          <w:rFonts w:ascii="Calibri" w:hAnsi="Calibri" w:cs="Calibri"/>
          <w:noProof/>
          <w:sz w:val="22"/>
        </w:rPr>
        <w:drawing>
          <wp:inline distT="0" distB="0" distL="0" distR="0" wp14:anchorId="6CEF8864" wp14:editId="3C504463">
            <wp:extent cx="5080000" cy="3009900"/>
            <wp:effectExtent l="0" t="0" r="635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080000" cy="3009900"/>
                    </a:xfrm>
                    <a:prstGeom prst="rect">
                      <a:avLst/>
                    </a:prstGeom>
                    <a:noFill/>
                    <a:ln>
                      <a:noFill/>
                    </a:ln>
                  </pic:spPr>
                </pic:pic>
              </a:graphicData>
            </a:graphic>
          </wp:inline>
        </w:drawing>
      </w:r>
    </w:p>
    <w:p w14:paraId="7C6A2460" w14:textId="77777777" w:rsidR="00960A98" w:rsidRPr="00960A98" w:rsidRDefault="00960A98" w:rsidP="00960A98">
      <w:pPr>
        <w:ind w:left="1440"/>
        <w:rPr>
          <w:rFonts w:ascii="Calibri" w:hAnsi="Calibri" w:cs="Calibri"/>
          <w:szCs w:val="24"/>
        </w:rPr>
      </w:pPr>
    </w:p>
    <w:p w14:paraId="0F02792E" w14:textId="58B4604D" w:rsidR="00960A98" w:rsidRPr="00F67EF8" w:rsidRDefault="00960A98" w:rsidP="00960A98">
      <w:pPr>
        <w:rPr>
          <w:rFonts w:ascii="Arial" w:hAnsi="Arial" w:cs="Arial"/>
          <w:i/>
          <w:iCs/>
          <w:szCs w:val="24"/>
        </w:rPr>
      </w:pPr>
      <w:r w:rsidRPr="00960A98">
        <w:rPr>
          <w:rFonts w:ascii="Arial" w:hAnsi="Arial" w:cs="Arial"/>
          <w:b/>
          <w:bCs/>
          <w:i/>
          <w:iCs/>
          <w:szCs w:val="24"/>
        </w:rPr>
        <w:t xml:space="preserve">Keywords: </w:t>
      </w:r>
      <w:r w:rsidRPr="00960A98">
        <w:rPr>
          <w:rFonts w:ascii="Arial" w:hAnsi="Arial" w:cs="Arial"/>
          <w:i/>
          <w:iCs/>
          <w:szCs w:val="24"/>
        </w:rPr>
        <w:t>Section of the Act</w:t>
      </w:r>
      <w:r w:rsidR="00A32FDD">
        <w:rPr>
          <w:rFonts w:ascii="Arial" w:hAnsi="Arial" w:cs="Arial"/>
          <w:i/>
          <w:iCs/>
          <w:szCs w:val="24"/>
        </w:rPr>
        <w:t>, Pay.gov</w:t>
      </w:r>
    </w:p>
    <w:p w14:paraId="28A073DE" w14:textId="77777777" w:rsidR="002A36A2" w:rsidRPr="00F67EF8" w:rsidRDefault="002A36A2" w:rsidP="00960A98">
      <w:pPr>
        <w:rPr>
          <w:rFonts w:ascii="Arial" w:hAnsi="Arial" w:cs="Arial"/>
          <w:i/>
          <w:iCs/>
          <w:szCs w:val="24"/>
        </w:rPr>
      </w:pPr>
    </w:p>
    <w:p w14:paraId="506F4172" w14:textId="77777777" w:rsidR="00740D11" w:rsidRPr="001F5102" w:rsidRDefault="00B05350" w:rsidP="00740D11">
      <w:pPr>
        <w:rPr>
          <w:rFonts w:ascii="Arial" w:hAnsi="Arial" w:cs="Arial"/>
          <w:b/>
          <w:color w:val="365F91" w:themeColor="accent1" w:themeShade="BF"/>
          <w:szCs w:val="24"/>
        </w:rPr>
      </w:pPr>
      <w:hyperlink w:anchor="_top" w:history="1">
        <w:r w:rsidR="00740D11" w:rsidRPr="001F5102">
          <w:rPr>
            <w:rFonts w:ascii="Arial" w:hAnsi="Arial" w:cs="Arial"/>
            <w:color w:val="365F91" w:themeColor="accent1" w:themeShade="BF"/>
            <w:szCs w:val="24"/>
            <w:u w:val="single"/>
          </w:rPr>
          <w:t>Back to top</w:t>
        </w:r>
      </w:hyperlink>
    </w:p>
    <w:p w14:paraId="110FEF21" w14:textId="450B4BD3" w:rsidR="00E52379" w:rsidRDefault="00E52379" w:rsidP="00C835D5">
      <w:pPr>
        <w:rPr>
          <w:rFonts w:ascii="Arial" w:eastAsia="MS Mincho" w:hAnsi="Arial" w:cs="Arial"/>
          <w:b/>
          <w:szCs w:val="24"/>
        </w:rPr>
      </w:pPr>
    </w:p>
    <w:p w14:paraId="6274FF32" w14:textId="77777777" w:rsidR="003E7AAD" w:rsidRPr="001D721A" w:rsidRDefault="003E7AAD" w:rsidP="003E7AAD">
      <w:pPr>
        <w:pStyle w:val="EmailBlast2"/>
      </w:pPr>
      <w:bookmarkStart w:id="13" w:name="_Toc49255202"/>
      <w:r>
        <w:t>Closing Document Changes</w:t>
      </w:r>
      <w:bookmarkEnd w:id="13"/>
    </w:p>
    <w:p w14:paraId="3D6F0B30" w14:textId="77777777" w:rsidR="003E7AAD" w:rsidRPr="001D721A" w:rsidRDefault="003E7AAD" w:rsidP="003E7AAD">
      <w:pPr>
        <w:rPr>
          <w:rFonts w:ascii="Arial" w:hAnsi="Arial" w:cs="Arial"/>
          <w:szCs w:val="24"/>
        </w:rPr>
      </w:pPr>
      <w:r w:rsidRPr="001D721A">
        <w:rPr>
          <w:rFonts w:ascii="Arial" w:hAnsi="Arial" w:cs="Arial"/>
          <w:szCs w:val="24"/>
        </w:rPr>
        <w:t>As a reminder, all changes to the closing documents must be approved by HUD and identified in the memo to form HUD Request for Endorsement, HUD-92023-ORCF</w:t>
      </w:r>
      <w:r>
        <w:rPr>
          <w:rFonts w:ascii="Arial" w:hAnsi="Arial" w:cs="Arial"/>
          <w:szCs w:val="24"/>
        </w:rPr>
        <w:t>.</w:t>
      </w:r>
      <w:r w:rsidRPr="001D721A">
        <w:rPr>
          <w:rFonts w:ascii="Arial" w:hAnsi="Arial" w:cs="Arial"/>
          <w:szCs w:val="24"/>
        </w:rPr>
        <w:t xml:space="preserve"> Section IC9 of the Request for Endorsement provides:</w:t>
      </w:r>
    </w:p>
    <w:p w14:paraId="680D0B19" w14:textId="77777777" w:rsidR="003E7AAD" w:rsidRPr="001D721A" w:rsidRDefault="003E7AAD" w:rsidP="003E7AAD">
      <w:pPr>
        <w:rPr>
          <w:rFonts w:ascii="Arial" w:hAnsi="Arial" w:cs="Arial"/>
          <w:szCs w:val="24"/>
        </w:rPr>
      </w:pPr>
    </w:p>
    <w:p w14:paraId="576FB60B" w14:textId="761F5E72" w:rsidR="003E7AAD" w:rsidRPr="001D721A" w:rsidRDefault="003E7AAD" w:rsidP="003E7AAD">
      <w:pPr>
        <w:ind w:left="720"/>
        <w:rPr>
          <w:rFonts w:ascii="Arial" w:hAnsi="Arial" w:cs="Arial"/>
          <w:szCs w:val="24"/>
        </w:rPr>
      </w:pPr>
      <w:r w:rsidRPr="001D721A">
        <w:rPr>
          <w:rFonts w:ascii="Arial" w:hAnsi="Arial" w:cs="Arial"/>
          <w:szCs w:val="24"/>
        </w:rPr>
        <w:t>Lender certifies that all HUD form closing documents submitted to HUD in connection with this transaction (with the exception of the Opinion by Counsel to Borrower and the accompanying Certification by Borrower) conform to those documents Lender obtained from HUD and such documents have not been changed or modified in any manner except as suitably identified and approved by HUD as evidenced by the Closing Documents Memorandum attached as Exhibit</w:t>
      </w:r>
      <w:r w:rsidR="00A32FDD">
        <w:rPr>
          <w:rFonts w:ascii="Arial" w:hAnsi="Arial" w:cs="Arial"/>
          <w:szCs w:val="24"/>
        </w:rPr>
        <w:t> (XX)</w:t>
      </w:r>
      <w:r w:rsidRPr="001D721A">
        <w:rPr>
          <w:rFonts w:ascii="Arial" w:hAnsi="Arial" w:cs="Arial"/>
          <w:szCs w:val="24"/>
        </w:rPr>
        <w:t xml:space="preserve">. It is understood that changes and modifications do not include filling in blanks, attaching exhibits or riders, deleting inapplicable provisions or making changes authorized by Program Obligations.  Lender further certifies that all closing documents submitted to and accepted by HUD at closing in connection with this transaction are listed in the Closing Documents Memorandum attached as Exhibit </w:t>
      </w:r>
      <w:r w:rsidR="00A32FDD">
        <w:rPr>
          <w:rFonts w:ascii="Arial" w:hAnsi="Arial" w:cs="Arial"/>
          <w:szCs w:val="24"/>
        </w:rPr>
        <w:t>(XX)</w:t>
      </w:r>
      <w:r w:rsidRPr="001D721A">
        <w:rPr>
          <w:rFonts w:ascii="Arial" w:hAnsi="Arial" w:cs="Arial"/>
          <w:szCs w:val="24"/>
        </w:rPr>
        <w:t xml:space="preserve">.  </w:t>
      </w:r>
    </w:p>
    <w:p w14:paraId="73A7966A" w14:textId="77777777" w:rsidR="003E7AAD" w:rsidRPr="001D721A" w:rsidRDefault="003E7AAD" w:rsidP="003E7AAD">
      <w:pPr>
        <w:rPr>
          <w:rFonts w:ascii="Arial" w:hAnsi="Arial" w:cs="Arial"/>
          <w:szCs w:val="24"/>
        </w:rPr>
      </w:pPr>
    </w:p>
    <w:p w14:paraId="7F425937" w14:textId="77777777" w:rsidR="003E7AAD" w:rsidRPr="001D721A" w:rsidRDefault="003E7AAD" w:rsidP="003E7AAD">
      <w:pPr>
        <w:rPr>
          <w:rFonts w:ascii="Arial" w:hAnsi="Arial" w:cs="Arial"/>
          <w:color w:val="000000"/>
          <w:szCs w:val="24"/>
        </w:rPr>
      </w:pPr>
      <w:r w:rsidRPr="001D721A">
        <w:rPr>
          <w:rFonts w:ascii="Arial" w:hAnsi="Arial" w:cs="Arial"/>
          <w:color w:val="000000"/>
          <w:szCs w:val="24"/>
        </w:rPr>
        <w:t xml:space="preserve">The requirement for the memo of approved changes to the Request for Endorsement is to maintain consistency in the approval of revisions made to the closing documents as well as to ensure that the approved changes are consistent within a portfolio, a subject </w:t>
      </w:r>
      <w:r w:rsidRPr="001D721A">
        <w:rPr>
          <w:rFonts w:ascii="Arial" w:hAnsi="Arial" w:cs="Arial"/>
          <w:color w:val="000000"/>
          <w:szCs w:val="24"/>
        </w:rPr>
        <w:lastRenderedPageBreak/>
        <w:t>matter, or the transactional history of a project where the original loan is refinanced with a new HUD-insured loan.  The memo required by the Request for Endorsement is also essential where the revisions approved for one deal are cited as precedent for approving proposed changes to another deal. The memo is intended to create a record that efficiently tracks the revisions approved in each deal in one document certified by the lender.  </w:t>
      </w:r>
    </w:p>
    <w:p w14:paraId="2F6584CC" w14:textId="77777777" w:rsidR="003E7AAD" w:rsidRPr="001D721A" w:rsidRDefault="003E7AAD" w:rsidP="003E7AAD">
      <w:pPr>
        <w:rPr>
          <w:rFonts w:ascii="Arial" w:hAnsi="Arial" w:cs="Arial"/>
          <w:color w:val="000000"/>
          <w:szCs w:val="24"/>
        </w:rPr>
      </w:pPr>
    </w:p>
    <w:p w14:paraId="64A45CA6" w14:textId="7E458979" w:rsidR="003E7AAD" w:rsidRPr="001D721A" w:rsidRDefault="003E7AAD" w:rsidP="003E7AAD">
      <w:pPr>
        <w:rPr>
          <w:rFonts w:ascii="Arial" w:hAnsi="Arial" w:cs="Arial"/>
          <w:color w:val="000000"/>
          <w:szCs w:val="24"/>
        </w:rPr>
      </w:pPr>
      <w:r w:rsidRPr="001D721A">
        <w:rPr>
          <w:rFonts w:ascii="Arial" w:hAnsi="Arial" w:cs="Arial"/>
          <w:color w:val="000000"/>
          <w:szCs w:val="24"/>
        </w:rPr>
        <w:t xml:space="preserve">The memorandum to the </w:t>
      </w:r>
      <w:r w:rsidR="0008211E" w:rsidRPr="0008211E">
        <w:rPr>
          <w:rFonts w:ascii="Arial" w:hAnsi="Arial" w:cs="Arial"/>
          <w:color w:val="000000"/>
          <w:szCs w:val="24"/>
        </w:rPr>
        <w:t>Request for Endorsement</w:t>
      </w:r>
      <w:r w:rsidRPr="001D721A">
        <w:rPr>
          <w:rFonts w:ascii="Arial" w:hAnsi="Arial" w:cs="Arial"/>
          <w:color w:val="000000"/>
          <w:szCs w:val="24"/>
        </w:rPr>
        <w:t xml:space="preserve"> should identify the changes by listing the document title and section containing the change(s) and language redlined against the HUD form that shows how the redlined language deviates from the HUD form language.  </w:t>
      </w:r>
    </w:p>
    <w:p w14:paraId="108344A5" w14:textId="77777777" w:rsidR="003E7AAD" w:rsidRPr="001D721A" w:rsidRDefault="003E7AAD" w:rsidP="003E7AAD">
      <w:pPr>
        <w:rPr>
          <w:rFonts w:ascii="Arial" w:hAnsi="Arial" w:cs="Arial"/>
          <w:color w:val="000000"/>
          <w:szCs w:val="24"/>
        </w:rPr>
      </w:pPr>
    </w:p>
    <w:p w14:paraId="16ED167B" w14:textId="77777777" w:rsidR="003E7AAD" w:rsidRPr="001D721A" w:rsidRDefault="003E7AAD" w:rsidP="003E7AAD">
      <w:pPr>
        <w:rPr>
          <w:rFonts w:ascii="Arial" w:hAnsi="Arial" w:cs="Arial"/>
          <w:szCs w:val="24"/>
        </w:rPr>
      </w:pPr>
      <w:r w:rsidRPr="001D721A">
        <w:rPr>
          <w:rFonts w:ascii="Arial" w:hAnsi="Arial" w:cs="Arial"/>
          <w:color w:val="000000"/>
          <w:szCs w:val="24"/>
        </w:rPr>
        <w:t>For example</w:t>
      </w:r>
      <w:r w:rsidRPr="001D721A">
        <w:rPr>
          <w:rFonts w:ascii="Arial" w:hAnsi="Arial" w:cs="Arial"/>
          <w:szCs w:val="24"/>
        </w:rPr>
        <w:t>:</w:t>
      </w:r>
    </w:p>
    <w:p w14:paraId="20842A6D" w14:textId="77777777" w:rsidR="003E7AAD" w:rsidRPr="001D721A" w:rsidRDefault="003E7AAD" w:rsidP="003E7AAD">
      <w:pPr>
        <w:rPr>
          <w:rFonts w:ascii="Arial" w:hAnsi="Arial" w:cs="Arial"/>
          <w:szCs w:val="24"/>
        </w:rPr>
      </w:pPr>
    </w:p>
    <w:p w14:paraId="095C64DA" w14:textId="77777777" w:rsidR="003E7AAD" w:rsidRPr="001D721A" w:rsidRDefault="003E7AAD" w:rsidP="003E7AAD">
      <w:pPr>
        <w:rPr>
          <w:rFonts w:ascii="Arial" w:hAnsi="Arial" w:cs="Arial"/>
          <w:i/>
          <w:iCs/>
          <w:szCs w:val="24"/>
        </w:rPr>
      </w:pPr>
      <w:r w:rsidRPr="001D721A">
        <w:rPr>
          <w:rFonts w:ascii="Arial" w:hAnsi="Arial" w:cs="Arial"/>
          <w:i/>
          <w:iCs/>
          <w:szCs w:val="24"/>
        </w:rPr>
        <w:t>Borrower’s Regulatory Agreement, Section 11, Property Operation/Encumbrances</w:t>
      </w:r>
    </w:p>
    <w:p w14:paraId="3895BD16" w14:textId="77777777" w:rsidR="003E7AAD" w:rsidRDefault="003E7AAD" w:rsidP="003E7AAD">
      <w:pPr>
        <w:rPr>
          <w:i/>
          <w:iCs/>
        </w:rPr>
      </w:pPr>
    </w:p>
    <w:p w14:paraId="6383D02E" w14:textId="77777777" w:rsidR="003E7AAD" w:rsidRDefault="003E7AAD" w:rsidP="003E7AAD">
      <w:pPr>
        <w:rPr>
          <w:rFonts w:ascii="Arial" w:hAnsi="Arial" w:cs="Arial"/>
          <w:szCs w:val="24"/>
        </w:rPr>
      </w:pPr>
      <w:r>
        <w:rPr>
          <w:i/>
          <w:iCs/>
          <w:noProof/>
        </w:rPr>
        <w:drawing>
          <wp:inline distT="0" distB="0" distL="0" distR="0" wp14:anchorId="3D9F04EE" wp14:editId="188CE6FF">
            <wp:extent cx="5943600"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43600" cy="633730"/>
                    </a:xfrm>
                    <a:prstGeom prst="rect">
                      <a:avLst/>
                    </a:prstGeom>
                    <a:noFill/>
                    <a:ln>
                      <a:noFill/>
                    </a:ln>
                  </pic:spPr>
                </pic:pic>
              </a:graphicData>
            </a:graphic>
          </wp:inline>
        </w:drawing>
      </w:r>
    </w:p>
    <w:p w14:paraId="52D650B9" w14:textId="77777777" w:rsidR="003E7AAD" w:rsidRDefault="003E7AAD" w:rsidP="003E7AAD">
      <w:pPr>
        <w:rPr>
          <w:rFonts w:ascii="Arial" w:hAnsi="Arial" w:cs="Arial"/>
          <w:b/>
          <w:bCs/>
          <w:i/>
          <w:iCs/>
          <w:szCs w:val="24"/>
        </w:rPr>
      </w:pPr>
    </w:p>
    <w:p w14:paraId="02E3A526" w14:textId="77777777" w:rsidR="003E7AAD" w:rsidRDefault="003E7AAD" w:rsidP="003E7AAD">
      <w:pPr>
        <w:rPr>
          <w:rFonts w:ascii="Arial" w:hAnsi="Arial" w:cs="Arial"/>
          <w:i/>
          <w:iCs/>
          <w:szCs w:val="24"/>
        </w:rPr>
      </w:pPr>
      <w:r>
        <w:rPr>
          <w:rFonts w:ascii="Arial" w:hAnsi="Arial" w:cs="Arial"/>
          <w:b/>
          <w:bCs/>
          <w:i/>
          <w:iCs/>
          <w:szCs w:val="24"/>
        </w:rPr>
        <w:t>Keywords:</w:t>
      </w:r>
      <w:r>
        <w:rPr>
          <w:rFonts w:ascii="Arial" w:hAnsi="Arial" w:cs="Arial"/>
          <w:i/>
          <w:iCs/>
          <w:szCs w:val="24"/>
        </w:rPr>
        <w:t xml:space="preserve"> Closings</w:t>
      </w:r>
    </w:p>
    <w:p w14:paraId="72435168" w14:textId="77777777" w:rsidR="003E7AAD" w:rsidRDefault="003E7AAD" w:rsidP="003E7AAD">
      <w:pPr>
        <w:rPr>
          <w:rFonts w:ascii="Arial" w:hAnsi="Arial" w:cs="Arial"/>
          <w:i/>
          <w:iCs/>
          <w:szCs w:val="24"/>
        </w:rPr>
      </w:pPr>
    </w:p>
    <w:p w14:paraId="5750461F" w14:textId="77777777" w:rsidR="003E7AAD" w:rsidRPr="001F5102" w:rsidRDefault="00B05350" w:rsidP="003E7AAD">
      <w:pPr>
        <w:rPr>
          <w:rFonts w:ascii="Arial" w:hAnsi="Arial" w:cs="Arial"/>
          <w:b/>
          <w:color w:val="365F91" w:themeColor="accent1" w:themeShade="BF"/>
          <w:szCs w:val="24"/>
        </w:rPr>
      </w:pPr>
      <w:hyperlink w:anchor="_top" w:history="1">
        <w:r w:rsidR="003E7AAD" w:rsidRPr="001F5102">
          <w:rPr>
            <w:rFonts w:ascii="Arial" w:hAnsi="Arial" w:cs="Arial"/>
            <w:color w:val="365F91" w:themeColor="accent1" w:themeShade="BF"/>
            <w:szCs w:val="24"/>
            <w:u w:val="single"/>
          </w:rPr>
          <w:t>Back to top</w:t>
        </w:r>
      </w:hyperlink>
    </w:p>
    <w:p w14:paraId="5D68A582" w14:textId="05E21067" w:rsidR="003E7AAD" w:rsidRDefault="003E7AAD" w:rsidP="00C835D5">
      <w:pPr>
        <w:rPr>
          <w:rFonts w:ascii="Arial" w:eastAsia="MS Mincho" w:hAnsi="Arial" w:cs="Arial"/>
          <w:b/>
          <w:szCs w:val="24"/>
        </w:rPr>
      </w:pPr>
    </w:p>
    <w:p w14:paraId="4C9BE601" w14:textId="77777777" w:rsidR="003E7AAD" w:rsidRPr="001F5102" w:rsidRDefault="003E7AAD"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960A98" w:rsidRDefault="00740D11" w:rsidP="00740D11">
      <w:pPr>
        <w:rPr>
          <w:rFonts w:ascii="Calibri" w:hAnsi="Calibri"/>
          <w:szCs w:val="24"/>
        </w:rPr>
      </w:pPr>
      <w:r w:rsidRPr="00960A98">
        <w:rPr>
          <w:rFonts w:ascii="Calibri" w:hAnsi="Calibri"/>
          <w:szCs w:val="24"/>
        </w:rPr>
        <w:t xml:space="preserve">Past Lean 232 Updates are </w:t>
      </w:r>
      <w:hyperlink r:id="rId19" w:history="1">
        <w:r w:rsidRPr="00960A98">
          <w:rPr>
            <w:rFonts w:ascii="Calibri" w:hAnsi="Calibri"/>
            <w:color w:val="0000FF"/>
            <w:szCs w:val="24"/>
            <w:u w:val="single"/>
          </w:rPr>
          <w:t>available online</w:t>
        </w:r>
      </w:hyperlink>
      <w:r w:rsidRPr="00960A98">
        <w:rPr>
          <w:rFonts w:ascii="Calibri" w:hAnsi="Calibri"/>
          <w:szCs w:val="24"/>
        </w:rPr>
        <w:t>.</w:t>
      </w:r>
    </w:p>
    <w:p w14:paraId="6ED6B71D" w14:textId="77777777" w:rsidR="00740D11" w:rsidRPr="00960A98" w:rsidRDefault="00740D11" w:rsidP="00740D11">
      <w:pPr>
        <w:rPr>
          <w:rFonts w:ascii="Calibri" w:hAnsi="Calibri"/>
          <w:szCs w:val="24"/>
        </w:rPr>
      </w:pPr>
    </w:p>
    <w:p w14:paraId="3E3BD4F0" w14:textId="77777777" w:rsidR="00740D11" w:rsidRPr="00960A98" w:rsidRDefault="00740D11" w:rsidP="00740D11">
      <w:pPr>
        <w:rPr>
          <w:rFonts w:ascii="Calibri" w:hAnsi="Calibri"/>
          <w:szCs w:val="24"/>
        </w:rPr>
      </w:pPr>
      <w:r w:rsidRPr="00960A98">
        <w:rPr>
          <w:rFonts w:ascii="Calibri" w:hAnsi="Calibri"/>
          <w:szCs w:val="24"/>
        </w:rPr>
        <w:t xml:space="preserve">Have questions about the Lean 232 Program? Please contact </w:t>
      </w:r>
      <w:hyperlink r:id="rId20" w:history="1">
        <w:r w:rsidRPr="00960A98">
          <w:rPr>
            <w:rFonts w:ascii="Calibri" w:hAnsi="Calibri"/>
            <w:color w:val="0000FF"/>
            <w:szCs w:val="24"/>
            <w:u w:val="single"/>
          </w:rPr>
          <w:t>LeanThinking@hud.gov</w:t>
        </w:r>
      </w:hyperlink>
      <w:r w:rsidRPr="00960A98">
        <w:rPr>
          <w:rFonts w:ascii="Calibri" w:hAnsi="Calibri"/>
          <w:szCs w:val="24"/>
        </w:rPr>
        <w:t>.</w:t>
      </w:r>
    </w:p>
    <w:p w14:paraId="1864C957" w14:textId="77777777" w:rsidR="00740D11" w:rsidRPr="00960A98" w:rsidRDefault="00740D11" w:rsidP="00740D11">
      <w:pPr>
        <w:rPr>
          <w:rFonts w:ascii="Calibri" w:hAnsi="Calibri"/>
          <w:szCs w:val="24"/>
        </w:rPr>
      </w:pPr>
    </w:p>
    <w:p w14:paraId="6D8CD363" w14:textId="77777777" w:rsidR="00740D11" w:rsidRPr="00960A98" w:rsidRDefault="00740D11" w:rsidP="00740D11">
      <w:pPr>
        <w:rPr>
          <w:rFonts w:ascii="Calibri" w:hAnsi="Calibri"/>
          <w:szCs w:val="24"/>
        </w:rPr>
      </w:pPr>
      <w:r w:rsidRPr="00960A98">
        <w:rPr>
          <w:rFonts w:ascii="Calibri" w:hAnsi="Calibri"/>
          <w:szCs w:val="24"/>
        </w:rPr>
        <w:t xml:space="preserve">For more information on the Lean 232 Program, check out: </w:t>
      </w:r>
      <w:hyperlink r:id="rId21" w:history="1">
        <w:r w:rsidRPr="00960A98">
          <w:rPr>
            <w:rFonts w:ascii="Calibri" w:hAnsi="Calibri"/>
            <w:color w:val="0000FF"/>
            <w:szCs w:val="24"/>
            <w:u w:val="single"/>
          </w:rPr>
          <w:t>http://www.hud.gov/healthcare</w:t>
        </w:r>
      </w:hyperlink>
      <w:r w:rsidRPr="00960A98">
        <w:rPr>
          <w:rFonts w:ascii="Calibri" w:hAnsi="Calibri"/>
          <w:szCs w:val="24"/>
        </w:rPr>
        <w:t>.</w:t>
      </w:r>
    </w:p>
    <w:p w14:paraId="4E96736D" w14:textId="77777777" w:rsidR="00740D11" w:rsidRPr="00960A98" w:rsidRDefault="00740D11" w:rsidP="00740D11">
      <w:pPr>
        <w:rPr>
          <w:rFonts w:ascii="Calibri" w:hAnsi="Calibri"/>
          <w:szCs w:val="24"/>
        </w:rPr>
      </w:pPr>
    </w:p>
    <w:p w14:paraId="7CD6FD2D" w14:textId="77777777" w:rsidR="00740D11" w:rsidRPr="00960A98" w:rsidRDefault="00740D11" w:rsidP="00740D11">
      <w:pPr>
        <w:rPr>
          <w:rFonts w:ascii="Calibri" w:hAnsi="Calibri"/>
          <w:szCs w:val="24"/>
        </w:rPr>
      </w:pPr>
      <w:r w:rsidRPr="00960A98">
        <w:rPr>
          <w:rFonts w:ascii="Calibri" w:hAnsi="Calibri"/>
          <w:szCs w:val="24"/>
        </w:rPr>
        <w:t xml:space="preserve">Have your loan servicing colleagues joined our email list? The Email Blasts contain information relevant to them as well. You might suggest they </w:t>
      </w:r>
      <w:hyperlink r:id="rId22" w:history="1">
        <w:r w:rsidRPr="00960A98">
          <w:rPr>
            <w:rFonts w:ascii="Calibri" w:hAnsi="Calibri"/>
            <w:color w:val="0000FF"/>
            <w:szCs w:val="24"/>
            <w:u w:val="single"/>
          </w:rPr>
          <w:t>Join here</w:t>
        </w:r>
      </w:hyperlink>
      <w:r w:rsidRPr="00960A98">
        <w:rPr>
          <w:rFonts w:ascii="Calibri" w:hAnsi="Calibri"/>
          <w:szCs w:val="24"/>
        </w:rPr>
        <w:t>.</w:t>
      </w:r>
    </w:p>
    <w:p w14:paraId="5EBBACB8" w14:textId="77777777" w:rsidR="00740D11" w:rsidRPr="00960A98" w:rsidRDefault="00740D11" w:rsidP="00740D11">
      <w:pPr>
        <w:rPr>
          <w:rFonts w:ascii="Calibri" w:hAnsi="Calibri"/>
          <w:szCs w:val="24"/>
        </w:rPr>
      </w:pPr>
    </w:p>
    <w:p w14:paraId="60DDF4F8" w14:textId="77777777" w:rsidR="00740D11" w:rsidRPr="00960A98" w:rsidRDefault="00740D11" w:rsidP="00740D11">
      <w:pPr>
        <w:rPr>
          <w:rFonts w:ascii="Calibri" w:hAnsi="Calibri"/>
          <w:szCs w:val="24"/>
        </w:rPr>
      </w:pPr>
      <w:r w:rsidRPr="00960A98">
        <w:rPr>
          <w:rFonts w:ascii="Calibri" w:hAnsi="Calibri"/>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3" w:history="1">
        <w:r w:rsidRPr="00960A98">
          <w:rPr>
            <w:rFonts w:ascii="Calibri" w:hAnsi="Calibri"/>
            <w:color w:val="0000FF"/>
            <w:szCs w:val="24"/>
            <w:u w:val="single"/>
          </w:rPr>
          <w:t>go here</w:t>
        </w:r>
      </w:hyperlink>
      <w:r w:rsidRPr="00960A98">
        <w:rPr>
          <w:rFonts w:ascii="Calibri" w:hAnsi="Calibri"/>
          <w:szCs w:val="24"/>
        </w:rPr>
        <w:t>.</w:t>
      </w:r>
    </w:p>
    <w:p w14:paraId="3E0BBE09" w14:textId="77777777" w:rsidR="00740D11" w:rsidRPr="00960A98" w:rsidRDefault="00740D11" w:rsidP="00740D11">
      <w:pPr>
        <w:rPr>
          <w:rFonts w:ascii="Calibri" w:hAnsi="Calibri"/>
          <w:szCs w:val="24"/>
        </w:rPr>
      </w:pPr>
    </w:p>
    <w:p w14:paraId="63864758" w14:textId="77777777" w:rsidR="00740D11" w:rsidRPr="00960A98" w:rsidRDefault="00740D11" w:rsidP="00740D11">
      <w:pPr>
        <w:rPr>
          <w:rFonts w:ascii="Times New Roman" w:eastAsia="Times New Roman" w:hAnsi="Times New Roman"/>
          <w:szCs w:val="24"/>
        </w:rPr>
      </w:pPr>
      <w:r w:rsidRPr="00960A98">
        <w:rPr>
          <w:rFonts w:ascii="Calibri" w:eastAsia="Times New Roman" w:hAnsi="Calibri"/>
          <w:i/>
          <w:iCs/>
          <w:color w:val="000000"/>
          <w:kern w:val="24"/>
          <w:szCs w:val="24"/>
        </w:rPr>
        <w:t xml:space="preserve">Lean 232 </w:t>
      </w:r>
      <w:r w:rsidRPr="00960A98">
        <w:rPr>
          <w:rFonts w:ascii="Calibri" w:eastAsia="Times New Roman" w:hAnsi="Calibri"/>
          <w:color w:val="000000"/>
          <w:kern w:val="24"/>
          <w:szCs w:val="24"/>
        </w:rPr>
        <w:t>is a publication of the Federal Housing Administration (FHA) Office of Healthcare Programs, U.S. Department of Housing and Urban Development, 451 7</w:t>
      </w:r>
      <w:proofErr w:type="spellStart"/>
      <w:r w:rsidRPr="00960A98">
        <w:rPr>
          <w:rFonts w:ascii="Calibri" w:eastAsia="Times New Roman" w:hAnsi="Calibri"/>
          <w:color w:val="000000"/>
          <w:kern w:val="24"/>
          <w:position w:val="5"/>
          <w:szCs w:val="24"/>
          <w:vertAlign w:val="superscript"/>
        </w:rPr>
        <w:t>th</w:t>
      </w:r>
      <w:proofErr w:type="spellEnd"/>
      <w:r w:rsidRPr="00960A98">
        <w:rPr>
          <w:rFonts w:ascii="Calibri" w:eastAsia="Times New Roman" w:hAnsi="Calibri"/>
          <w:color w:val="000000"/>
          <w:kern w:val="24"/>
          <w:szCs w:val="24"/>
        </w:rPr>
        <w:t xml:space="preserve"> Street, SE, Washington, DC 20410.</w:t>
      </w:r>
    </w:p>
    <w:p w14:paraId="316BE046" w14:textId="77777777" w:rsidR="00740D11" w:rsidRPr="00960A98" w:rsidRDefault="00740D11" w:rsidP="00740D11">
      <w:pPr>
        <w:rPr>
          <w:rFonts w:ascii="Calibri" w:eastAsia="Times New Roman" w:hAnsi="Calibri"/>
          <w:color w:val="000000"/>
          <w:kern w:val="24"/>
          <w:szCs w:val="24"/>
        </w:rPr>
      </w:pPr>
    </w:p>
    <w:p w14:paraId="1287A716" w14:textId="77777777" w:rsidR="00740D11" w:rsidRPr="00960A98" w:rsidRDefault="00740D11" w:rsidP="00740D11">
      <w:pPr>
        <w:rPr>
          <w:rFonts w:ascii="Calibri" w:eastAsia="Times New Roman" w:hAnsi="Calibri"/>
          <w:color w:val="000000"/>
          <w:kern w:val="24"/>
          <w:szCs w:val="24"/>
        </w:rPr>
      </w:pPr>
      <w:r w:rsidRPr="00960A98">
        <w:rPr>
          <w:rFonts w:ascii="Calibri" w:eastAsia="Times New Roman" w:hAnsi="Calibri"/>
          <w:color w:val="000000"/>
          <w:kern w:val="24"/>
          <w:szCs w:val="24"/>
        </w:rPr>
        <w:t xml:space="preserve">Connect with FHA on </w:t>
      </w:r>
      <w:hyperlink r:id="rId24" w:history="1">
        <w:r w:rsidRPr="00960A98">
          <w:rPr>
            <w:rFonts w:ascii="Calibri" w:eastAsia="Times New Roman" w:hAnsi="Calibri"/>
            <w:color w:val="0000FF"/>
            <w:kern w:val="24"/>
            <w:szCs w:val="24"/>
            <w:u w:val="single"/>
          </w:rPr>
          <w:t>Social Media</w:t>
        </w:r>
      </w:hyperlink>
      <w:r w:rsidRPr="00960A98">
        <w:rPr>
          <w:rFonts w:ascii="Calibri" w:eastAsia="Times New Roman" w:hAnsi="Calibri"/>
          <w:color w:val="000000"/>
          <w:kern w:val="24"/>
          <w:szCs w:val="24"/>
        </w:rPr>
        <w:t xml:space="preserve"> </w:t>
      </w:r>
      <w:r w:rsidRPr="00960A98">
        <w:rPr>
          <w:rFonts w:ascii="Calibri" w:eastAsia="Times New Roman" w:hAnsi="Calibri"/>
          <w:noProof/>
          <w:color w:val="000000"/>
          <w:kern w:val="24"/>
          <w:szCs w:val="24"/>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5"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960A98">
        <w:rPr>
          <w:rFonts w:ascii="Calibri" w:eastAsia="Times New Roman" w:hAnsi="Calibri"/>
          <w:noProof/>
          <w:color w:val="000000"/>
          <w:kern w:val="24"/>
          <w:szCs w:val="24"/>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6">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sectPr w:rsidR="00740D11" w:rsidRPr="00960A98" w:rsidSect="00E217E8">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85FBD" w14:textId="77777777" w:rsidR="00B05350" w:rsidRDefault="00B05350" w:rsidP="00E724F7">
      <w:r>
        <w:separator/>
      </w:r>
    </w:p>
  </w:endnote>
  <w:endnote w:type="continuationSeparator" w:id="0">
    <w:p w14:paraId="4A0B5E4B" w14:textId="77777777" w:rsidR="00B05350" w:rsidRDefault="00B05350"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421C8" w14:textId="77777777" w:rsidR="00B05350" w:rsidRDefault="00B05350" w:rsidP="00E724F7">
      <w:r>
        <w:separator/>
      </w:r>
    </w:p>
  </w:footnote>
  <w:footnote w:type="continuationSeparator" w:id="0">
    <w:p w14:paraId="41D98753" w14:textId="77777777" w:rsidR="00B05350" w:rsidRDefault="00B05350"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3501736F"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5176282"/>
    <w:multiLevelType w:val="hybridMultilevel"/>
    <w:tmpl w:val="E2D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5"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15:restartNumberingAfterBreak="0">
    <w:nsid w:val="2CB43789"/>
    <w:multiLevelType w:val="hybridMultilevel"/>
    <w:tmpl w:val="F3B4F88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F215C"/>
    <w:multiLevelType w:val="hybridMultilevel"/>
    <w:tmpl w:val="DACA35BC"/>
    <w:lvl w:ilvl="0" w:tplc="C692618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F5013"/>
    <w:multiLevelType w:val="hybridMultilevel"/>
    <w:tmpl w:val="B0B0CE0C"/>
    <w:lvl w:ilvl="0" w:tplc="C6926188">
      <w:start w:val="1"/>
      <w:numFmt w:val="bullet"/>
      <w:pStyle w:val="TOC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76D66FD"/>
    <w:multiLevelType w:val="hybridMultilevel"/>
    <w:tmpl w:val="711838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9"/>
  </w:num>
  <w:num w:numId="1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5"/>
  </w:num>
  <w:num w:numId="15">
    <w:abstractNumId w:val="25"/>
  </w:num>
  <w:num w:numId="16">
    <w:abstractNumId w:val="1"/>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num>
  <w:num w:numId="22">
    <w:abstractNumId w:val="6"/>
  </w:num>
  <w:num w:numId="23">
    <w:abstractNumId w:val="17"/>
  </w:num>
  <w:num w:numId="24">
    <w:abstractNumId w:val="3"/>
  </w:num>
  <w:num w:numId="25">
    <w:abstractNumId w:val="12"/>
  </w:num>
  <w:num w:numId="26">
    <w:abstractNumId w:val="24"/>
  </w:num>
  <w:num w:numId="27">
    <w:abstractNumId w:val="10"/>
  </w:num>
  <w:num w:numId="28">
    <w:abstractNumId w:val="2"/>
  </w:num>
  <w:num w:numId="29">
    <w:abstractNumId w:val="20"/>
  </w:num>
  <w:num w:numId="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1E35"/>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11E"/>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44D5"/>
    <w:rsid w:val="000C55E3"/>
    <w:rsid w:val="000C77E8"/>
    <w:rsid w:val="000D1AD7"/>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26473"/>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1856"/>
    <w:rsid w:val="0019457B"/>
    <w:rsid w:val="00194B8C"/>
    <w:rsid w:val="00194CB3"/>
    <w:rsid w:val="001A06DA"/>
    <w:rsid w:val="001A50AE"/>
    <w:rsid w:val="001A5994"/>
    <w:rsid w:val="001A64CB"/>
    <w:rsid w:val="001B1502"/>
    <w:rsid w:val="001B4E70"/>
    <w:rsid w:val="001B6F4D"/>
    <w:rsid w:val="001B72D4"/>
    <w:rsid w:val="001C3886"/>
    <w:rsid w:val="001D230E"/>
    <w:rsid w:val="001D2514"/>
    <w:rsid w:val="001D32E4"/>
    <w:rsid w:val="001D721A"/>
    <w:rsid w:val="001E172A"/>
    <w:rsid w:val="001E2581"/>
    <w:rsid w:val="001E717C"/>
    <w:rsid w:val="001F0D91"/>
    <w:rsid w:val="001F488B"/>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22FF"/>
    <w:rsid w:val="00232F98"/>
    <w:rsid w:val="00233DA8"/>
    <w:rsid w:val="00234B3A"/>
    <w:rsid w:val="00241BAB"/>
    <w:rsid w:val="00242EE8"/>
    <w:rsid w:val="00245A9D"/>
    <w:rsid w:val="00250450"/>
    <w:rsid w:val="00252904"/>
    <w:rsid w:val="002533F5"/>
    <w:rsid w:val="00254E17"/>
    <w:rsid w:val="00266332"/>
    <w:rsid w:val="00275348"/>
    <w:rsid w:val="00276FA2"/>
    <w:rsid w:val="002811AB"/>
    <w:rsid w:val="00283571"/>
    <w:rsid w:val="00291BF9"/>
    <w:rsid w:val="002A36A2"/>
    <w:rsid w:val="002A43CF"/>
    <w:rsid w:val="002C1693"/>
    <w:rsid w:val="002C1CC2"/>
    <w:rsid w:val="002D0C44"/>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E7AAD"/>
    <w:rsid w:val="003F42BE"/>
    <w:rsid w:val="003F5A47"/>
    <w:rsid w:val="004014E6"/>
    <w:rsid w:val="00403500"/>
    <w:rsid w:val="004044EC"/>
    <w:rsid w:val="004118AD"/>
    <w:rsid w:val="004153A7"/>
    <w:rsid w:val="004165AD"/>
    <w:rsid w:val="00420C01"/>
    <w:rsid w:val="0042314C"/>
    <w:rsid w:val="00423F99"/>
    <w:rsid w:val="00427390"/>
    <w:rsid w:val="0043705A"/>
    <w:rsid w:val="00451A3D"/>
    <w:rsid w:val="00455415"/>
    <w:rsid w:val="00463B25"/>
    <w:rsid w:val="00465878"/>
    <w:rsid w:val="0046634C"/>
    <w:rsid w:val="004678DD"/>
    <w:rsid w:val="00475909"/>
    <w:rsid w:val="0047642B"/>
    <w:rsid w:val="00486B21"/>
    <w:rsid w:val="004A0486"/>
    <w:rsid w:val="004A0E10"/>
    <w:rsid w:val="004A5D11"/>
    <w:rsid w:val="004B1439"/>
    <w:rsid w:val="004B1446"/>
    <w:rsid w:val="004B182F"/>
    <w:rsid w:val="004B1C9D"/>
    <w:rsid w:val="004B316D"/>
    <w:rsid w:val="004D68AA"/>
    <w:rsid w:val="004D6BFF"/>
    <w:rsid w:val="004E35EC"/>
    <w:rsid w:val="004E46F8"/>
    <w:rsid w:val="004E64BA"/>
    <w:rsid w:val="004E6BBE"/>
    <w:rsid w:val="004F57EB"/>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A0D50"/>
    <w:rsid w:val="005A208E"/>
    <w:rsid w:val="005A5C2E"/>
    <w:rsid w:val="005B39A1"/>
    <w:rsid w:val="005B4DEA"/>
    <w:rsid w:val="005C0D72"/>
    <w:rsid w:val="005C3423"/>
    <w:rsid w:val="005D223B"/>
    <w:rsid w:val="005D370A"/>
    <w:rsid w:val="005D39DB"/>
    <w:rsid w:val="005D5C09"/>
    <w:rsid w:val="005D6571"/>
    <w:rsid w:val="005D6685"/>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3C25"/>
    <w:rsid w:val="00696BE5"/>
    <w:rsid w:val="00696CFA"/>
    <w:rsid w:val="0069739B"/>
    <w:rsid w:val="006A2DCD"/>
    <w:rsid w:val="006A4F7E"/>
    <w:rsid w:val="006A5A1E"/>
    <w:rsid w:val="006B0D96"/>
    <w:rsid w:val="006B5DA3"/>
    <w:rsid w:val="006C3AD6"/>
    <w:rsid w:val="006C7F7B"/>
    <w:rsid w:val="006D0A86"/>
    <w:rsid w:val="006D7D46"/>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629CB"/>
    <w:rsid w:val="007633CA"/>
    <w:rsid w:val="007670CF"/>
    <w:rsid w:val="00771538"/>
    <w:rsid w:val="007865C2"/>
    <w:rsid w:val="0078774A"/>
    <w:rsid w:val="0079016E"/>
    <w:rsid w:val="007971B8"/>
    <w:rsid w:val="007A6AF1"/>
    <w:rsid w:val="007A7AD2"/>
    <w:rsid w:val="007B1CB9"/>
    <w:rsid w:val="007B5246"/>
    <w:rsid w:val="007B680A"/>
    <w:rsid w:val="007C570C"/>
    <w:rsid w:val="007C6A9B"/>
    <w:rsid w:val="007C78C0"/>
    <w:rsid w:val="007D0FA3"/>
    <w:rsid w:val="007D1CB6"/>
    <w:rsid w:val="007D22CD"/>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F37"/>
    <w:rsid w:val="008B56DD"/>
    <w:rsid w:val="008B71F2"/>
    <w:rsid w:val="008C018C"/>
    <w:rsid w:val="008C28EE"/>
    <w:rsid w:val="008C2DB4"/>
    <w:rsid w:val="008C3ED8"/>
    <w:rsid w:val="008C5805"/>
    <w:rsid w:val="008C78BE"/>
    <w:rsid w:val="008C79AD"/>
    <w:rsid w:val="008D62B5"/>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51E70"/>
    <w:rsid w:val="009539F0"/>
    <w:rsid w:val="00960A98"/>
    <w:rsid w:val="00961669"/>
    <w:rsid w:val="00963204"/>
    <w:rsid w:val="00967EEB"/>
    <w:rsid w:val="00973B47"/>
    <w:rsid w:val="0097518E"/>
    <w:rsid w:val="00975485"/>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14D7F"/>
    <w:rsid w:val="00A22AD1"/>
    <w:rsid w:val="00A25626"/>
    <w:rsid w:val="00A25B2E"/>
    <w:rsid w:val="00A30FDD"/>
    <w:rsid w:val="00A32FDD"/>
    <w:rsid w:val="00A332DE"/>
    <w:rsid w:val="00A33C6C"/>
    <w:rsid w:val="00A36B64"/>
    <w:rsid w:val="00A37D94"/>
    <w:rsid w:val="00A461EB"/>
    <w:rsid w:val="00A537F4"/>
    <w:rsid w:val="00A5443B"/>
    <w:rsid w:val="00A56EDC"/>
    <w:rsid w:val="00A66B15"/>
    <w:rsid w:val="00A76D42"/>
    <w:rsid w:val="00A77F96"/>
    <w:rsid w:val="00AA0603"/>
    <w:rsid w:val="00AA2770"/>
    <w:rsid w:val="00AA2E09"/>
    <w:rsid w:val="00AA705E"/>
    <w:rsid w:val="00AB0B1C"/>
    <w:rsid w:val="00AC2FE1"/>
    <w:rsid w:val="00AD43A5"/>
    <w:rsid w:val="00AD6B44"/>
    <w:rsid w:val="00AE26DB"/>
    <w:rsid w:val="00AE2C86"/>
    <w:rsid w:val="00AE43AF"/>
    <w:rsid w:val="00AE43FC"/>
    <w:rsid w:val="00AE491D"/>
    <w:rsid w:val="00AF12FC"/>
    <w:rsid w:val="00AF20E1"/>
    <w:rsid w:val="00AF2F30"/>
    <w:rsid w:val="00B00372"/>
    <w:rsid w:val="00B0162E"/>
    <w:rsid w:val="00B017F1"/>
    <w:rsid w:val="00B05350"/>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09CD"/>
    <w:rsid w:val="00B82D2D"/>
    <w:rsid w:val="00B85220"/>
    <w:rsid w:val="00B95455"/>
    <w:rsid w:val="00B962A5"/>
    <w:rsid w:val="00BA0435"/>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41C7B"/>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8752D"/>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2344"/>
    <w:rsid w:val="00D36FAA"/>
    <w:rsid w:val="00D37106"/>
    <w:rsid w:val="00D37F4F"/>
    <w:rsid w:val="00D411ED"/>
    <w:rsid w:val="00D413C4"/>
    <w:rsid w:val="00D42FFF"/>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A0410"/>
    <w:rsid w:val="00DA1056"/>
    <w:rsid w:val="00DA2126"/>
    <w:rsid w:val="00DA2230"/>
    <w:rsid w:val="00DA31D4"/>
    <w:rsid w:val="00DA5A5A"/>
    <w:rsid w:val="00DA72F3"/>
    <w:rsid w:val="00DC0C97"/>
    <w:rsid w:val="00DC6BD6"/>
    <w:rsid w:val="00DD138A"/>
    <w:rsid w:val="00DD42D7"/>
    <w:rsid w:val="00DD6A76"/>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43C67"/>
    <w:rsid w:val="00E52379"/>
    <w:rsid w:val="00E55131"/>
    <w:rsid w:val="00E56473"/>
    <w:rsid w:val="00E66073"/>
    <w:rsid w:val="00E70DA9"/>
    <w:rsid w:val="00E724F7"/>
    <w:rsid w:val="00E7390B"/>
    <w:rsid w:val="00E75A3F"/>
    <w:rsid w:val="00E77B9C"/>
    <w:rsid w:val="00E77BB7"/>
    <w:rsid w:val="00E8206B"/>
    <w:rsid w:val="00E91ED5"/>
    <w:rsid w:val="00E933A0"/>
    <w:rsid w:val="00E95B28"/>
    <w:rsid w:val="00EA7708"/>
    <w:rsid w:val="00EB6A53"/>
    <w:rsid w:val="00EB6B2A"/>
    <w:rsid w:val="00EC2BF5"/>
    <w:rsid w:val="00EC3328"/>
    <w:rsid w:val="00EC3A5D"/>
    <w:rsid w:val="00EC3F20"/>
    <w:rsid w:val="00EC66B3"/>
    <w:rsid w:val="00EC7192"/>
    <w:rsid w:val="00ED73B3"/>
    <w:rsid w:val="00EE1ADD"/>
    <w:rsid w:val="00EE2194"/>
    <w:rsid w:val="00EE5159"/>
    <w:rsid w:val="00EE6E3B"/>
    <w:rsid w:val="00EF0134"/>
    <w:rsid w:val="00F01A93"/>
    <w:rsid w:val="00F01E9B"/>
    <w:rsid w:val="00F03E9E"/>
    <w:rsid w:val="00F11220"/>
    <w:rsid w:val="00F14266"/>
    <w:rsid w:val="00F1564F"/>
    <w:rsid w:val="00F21965"/>
    <w:rsid w:val="00F21C16"/>
    <w:rsid w:val="00F25F13"/>
    <w:rsid w:val="00F30127"/>
    <w:rsid w:val="00F35B6D"/>
    <w:rsid w:val="00F43BCF"/>
    <w:rsid w:val="00F603BF"/>
    <w:rsid w:val="00F64758"/>
    <w:rsid w:val="00F649F0"/>
    <w:rsid w:val="00F65977"/>
    <w:rsid w:val="00F66FF8"/>
    <w:rsid w:val="00F67EF8"/>
    <w:rsid w:val="00F72754"/>
    <w:rsid w:val="00F72BF6"/>
    <w:rsid w:val="00F733E7"/>
    <w:rsid w:val="00F74369"/>
    <w:rsid w:val="00F76151"/>
    <w:rsid w:val="00F8115C"/>
    <w:rsid w:val="00F83D4D"/>
    <w:rsid w:val="00F9463B"/>
    <w:rsid w:val="00FA014D"/>
    <w:rsid w:val="00FA59C6"/>
    <w:rsid w:val="00FB21E7"/>
    <w:rsid w:val="00FB5F9A"/>
    <w:rsid w:val="00FB72FD"/>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8115C"/>
    <w:pPr>
      <w:numPr>
        <w:numId w:val="29"/>
      </w:numPr>
      <w:tabs>
        <w:tab w:val="right" w:leader="dot" w:pos="9350"/>
      </w:tabs>
    </w:pPr>
  </w:style>
  <w:style w:type="paragraph" w:styleId="TOC2">
    <w:name w:val="toc 2"/>
    <w:basedOn w:val="Normal"/>
    <w:next w:val="Normal"/>
    <w:autoRedefine/>
    <w:uiPriority w:val="39"/>
    <w:unhideWhenUsed/>
    <w:rsid w:val="00F67EF8"/>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F67EF8"/>
    <w:rPr>
      <w:rFonts w:ascii="Arial" w:hAnsi="Arial" w:cs="Arial"/>
      <w:b w:val="0"/>
      <w:bCs w:val="0"/>
      <w:color w:val="000066"/>
      <w:szCs w:val="24"/>
      <w:u w:val="none"/>
    </w:rPr>
  </w:style>
  <w:style w:type="paragraph" w:customStyle="1" w:styleId="EmailBlast2">
    <w:name w:val="Email Blast2"/>
    <w:basedOn w:val="Normal"/>
    <w:autoRedefine/>
    <w:qFormat/>
    <w:rsid w:val="001D721A"/>
    <w:pPr>
      <w:spacing w:after="120"/>
      <w:outlineLvl w:val="1"/>
    </w:pPr>
    <w:rPr>
      <w:rFonts w:ascii="Arial" w:hAnsi="Arial" w:cs="Arial"/>
      <w:bCs/>
      <w:color w:val="000066"/>
      <w:sz w:val="28"/>
      <w:szCs w:val="24"/>
    </w:rPr>
  </w:style>
  <w:style w:type="character" w:styleId="Emphasis">
    <w:name w:val="Emphasis"/>
    <w:basedOn w:val="DefaultParagraphFont"/>
    <w:uiPriority w:val="20"/>
    <w:qFormat/>
    <w:rsid w:val="00C41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7164574">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53768308">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86938195">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88531498">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33090679">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0150832">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federal_housing_administration/healthcare_facilities/residential_care/loan_servicing" TargetMode="External"/><Relationship Id="rId18" Type="http://schemas.openxmlformats.org/officeDocument/2006/relationships/image" Target="media/image4.jpe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hud.gov/healthcare" TargetMode="External"/><Relationship Id="rId7" Type="http://schemas.openxmlformats.org/officeDocument/2006/relationships/settings" Target="settings.xml"/><Relationship Id="rId12" Type="http://schemas.openxmlformats.org/officeDocument/2006/relationships/hyperlink" Target="mailto:OHPTribeNotice@hud.gov" TargetMode="External"/><Relationship Id="rId17" Type="http://schemas.openxmlformats.org/officeDocument/2006/relationships/image" Target="cid:image002.jpg@01D674A1.182C2030"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LeanThinking@hu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ortal.hud.gov/hudportal/HUD?src=/program_offices/public_affairs/socialmedia" TargetMode="External"/><Relationship Id="rId5" Type="http://schemas.openxmlformats.org/officeDocument/2006/relationships/numbering" Target="numbering.xml"/><Relationship Id="rId15" Type="http://schemas.openxmlformats.org/officeDocument/2006/relationships/image" Target="cid:image006.jpg@01D66B2C.92D84B70" TargetMode="External"/><Relationship Id="rId23" Type="http://schemas.openxmlformats.org/officeDocument/2006/relationships/hyperlink" Target="http://portal.hud.gov/hudportal/HUD?src=/subscribe/signup&amp;listname=Lean%20232%20Updates&amp;list=LEAN-232-UPDATES-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ortal.hud.gov/hudportal/HUD?src=/federal_housing_administration/healthcare_facilities/residential_care/mail_blast_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portal.hud.gov/hudportal/HUD?src=/subscribe/signup&amp;listname=Lean%20232%20Updates&amp;list=LEAN-232-UPDATES-L"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5ac8fb5356b54fd841ed0525ca58f83c">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c53c9e2e5d43d17b3fff2da2eb1016b7"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B973858-C84B-42F6-992D-CC929D88F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62B75086-EB9D-4526-82AF-1E013EA5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9342</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4</cp:revision>
  <cp:lastPrinted>2014-08-11T13:53:00Z</cp:lastPrinted>
  <dcterms:created xsi:type="dcterms:W3CDTF">2020-08-25T17:43:00Z</dcterms:created>
  <dcterms:modified xsi:type="dcterms:W3CDTF">2020-08-26T15:58:00Z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