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17853" w14:textId="77777777" w:rsidR="00137A0F" w:rsidRPr="00137A0F" w:rsidRDefault="00137A0F" w:rsidP="00137A0F">
      <w:pPr>
        <w:spacing w:after="0" w:line="240" w:lineRule="auto"/>
        <w:jc w:val="center"/>
        <w:rPr>
          <w:rFonts w:ascii="Verdana" w:eastAsia="Calibri" w:hAnsi="Verdana" w:cs="Times New Roman"/>
          <w:b/>
          <w:sz w:val="32"/>
          <w:szCs w:val="32"/>
          <w:u w:val="single"/>
        </w:rPr>
      </w:pPr>
      <w:bookmarkStart w:id="0" w:name="_top"/>
      <w:bookmarkEnd w:id="0"/>
      <w:r w:rsidRPr="00137A0F">
        <w:rPr>
          <w:rFonts w:ascii="Verdana" w:eastAsia="Calibri" w:hAnsi="Verdana" w:cs="Times New Roman"/>
          <w:b/>
          <w:sz w:val="32"/>
          <w:szCs w:val="32"/>
          <w:u w:val="single"/>
        </w:rPr>
        <w:t>HUD’s Lean 232 Program</w:t>
      </w:r>
    </w:p>
    <w:p w14:paraId="39C214B8" w14:textId="77777777" w:rsidR="00137A0F" w:rsidRPr="00137A0F" w:rsidRDefault="00137A0F" w:rsidP="00137A0F">
      <w:pPr>
        <w:spacing w:after="0" w:line="240" w:lineRule="auto"/>
        <w:jc w:val="center"/>
        <w:rPr>
          <w:rFonts w:ascii="Verdana" w:eastAsia="Calibri" w:hAnsi="Verdana" w:cs="Times New Roman"/>
          <w:b/>
          <w:sz w:val="32"/>
          <w:szCs w:val="32"/>
        </w:rPr>
      </w:pPr>
      <w:r w:rsidRPr="00137A0F">
        <w:rPr>
          <w:rFonts w:ascii="Verdana" w:eastAsia="Calibri" w:hAnsi="Verdana" w:cs="Times New Roman"/>
          <w:b/>
          <w:sz w:val="32"/>
          <w:szCs w:val="32"/>
        </w:rPr>
        <w:t>Office of Residential Care Facilities (ORCF)</w:t>
      </w:r>
    </w:p>
    <w:p w14:paraId="65A1A764" w14:textId="77777777" w:rsidR="00137A0F" w:rsidRPr="00137A0F" w:rsidRDefault="00137A0F" w:rsidP="00137A0F">
      <w:pPr>
        <w:spacing w:after="0" w:line="240" w:lineRule="auto"/>
        <w:jc w:val="center"/>
        <w:rPr>
          <w:rFonts w:ascii="Verdana" w:eastAsia="Calibri" w:hAnsi="Verdana" w:cs="Times New Roman"/>
          <w:b/>
          <w:sz w:val="32"/>
          <w:szCs w:val="32"/>
          <w:u w:val="single"/>
        </w:rPr>
      </w:pPr>
      <w:r w:rsidRPr="00137A0F">
        <w:rPr>
          <w:rFonts w:ascii="Verdana" w:eastAsia="Calibri" w:hAnsi="Verdana" w:cs="Times New Roman"/>
          <w:b/>
          <w:sz w:val="32"/>
          <w:szCs w:val="32"/>
          <w:u w:val="single"/>
        </w:rPr>
        <w:t>Update as of August 5, 2019</w:t>
      </w:r>
    </w:p>
    <w:p w14:paraId="059F8B49" w14:textId="77777777" w:rsidR="00137A0F" w:rsidRPr="00137A0F" w:rsidRDefault="00137A0F" w:rsidP="00137A0F">
      <w:pPr>
        <w:spacing w:after="0" w:line="240" w:lineRule="auto"/>
        <w:jc w:val="center"/>
        <w:rPr>
          <w:rFonts w:ascii="Verdana" w:eastAsia="Calibri" w:hAnsi="Verdana" w:cs="Times New Roman"/>
        </w:rPr>
      </w:pPr>
      <w:r w:rsidRPr="00137A0F">
        <w:rPr>
          <w:rFonts w:ascii="Verdana" w:eastAsia="Calibri" w:hAnsi="Verdana" w:cs="Times New Roman"/>
          <w:noProof/>
          <w:color w:val="1F497D"/>
        </w:rPr>
        <w:drawing>
          <wp:inline distT="0" distB="0" distL="0" distR="0" wp14:anchorId="51E044DB" wp14:editId="23BE683E">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54AF2ED5" w14:textId="77777777" w:rsidR="00137A0F" w:rsidRPr="00137A0F" w:rsidRDefault="00137A0F" w:rsidP="00137A0F">
      <w:pPr>
        <w:spacing w:after="0" w:line="240" w:lineRule="auto"/>
        <w:rPr>
          <w:rFonts w:ascii="Verdana" w:eastAsia="Calibri" w:hAnsi="Verdana" w:cs="Times New Roman"/>
          <w:sz w:val="24"/>
        </w:rPr>
      </w:pPr>
    </w:p>
    <w:p w14:paraId="5FA48DE0" w14:textId="77777777" w:rsidR="00137A0F" w:rsidRPr="00137A0F" w:rsidRDefault="00137A0F" w:rsidP="00137A0F">
      <w:pPr>
        <w:spacing w:after="0" w:line="240" w:lineRule="auto"/>
        <w:rPr>
          <w:rFonts w:ascii="Verdana" w:eastAsia="Calibri" w:hAnsi="Verdana" w:cs="Times New Roman"/>
          <w:sz w:val="24"/>
        </w:rPr>
      </w:pPr>
    </w:p>
    <w:p w14:paraId="46E3A4D0" w14:textId="77777777" w:rsidR="00137A0F" w:rsidRPr="00137A0F" w:rsidRDefault="00137A0F" w:rsidP="00137A0F">
      <w:pPr>
        <w:spacing w:after="0" w:line="240" w:lineRule="auto"/>
        <w:rPr>
          <w:rFonts w:ascii="Verdana" w:eastAsia="Calibri" w:hAnsi="Verdana" w:cs="Times New Roman"/>
          <w:i/>
          <w:sz w:val="32"/>
          <w:u w:val="single"/>
        </w:rPr>
      </w:pPr>
      <w:r w:rsidRPr="00137A0F">
        <w:rPr>
          <w:rFonts w:ascii="Verdana" w:eastAsia="Calibri" w:hAnsi="Verdana" w:cs="Times New Roman"/>
          <w:i/>
          <w:sz w:val="32"/>
          <w:u w:val="single"/>
        </w:rPr>
        <w:t>August 5, 2019 Contents</w:t>
      </w:r>
    </w:p>
    <w:p w14:paraId="2636A29F" w14:textId="77777777" w:rsidR="00137A0F" w:rsidRPr="00137A0F" w:rsidRDefault="00137A0F" w:rsidP="00137A0F">
      <w:pPr>
        <w:spacing w:after="0" w:line="240" w:lineRule="auto"/>
        <w:rPr>
          <w:rFonts w:ascii="Verdana" w:eastAsia="Calibri" w:hAnsi="Verdana" w:cs="Times New Roman"/>
          <w:b/>
          <w:i/>
          <w:sz w:val="32"/>
          <w:u w:val="single"/>
        </w:rPr>
      </w:pPr>
    </w:p>
    <w:p w14:paraId="1909662F" w14:textId="77777777" w:rsidR="00137A0F" w:rsidRPr="00137A0F" w:rsidRDefault="00137A0F" w:rsidP="00137A0F">
      <w:pPr>
        <w:tabs>
          <w:tab w:val="right" w:leader="dot" w:pos="9350"/>
        </w:tabs>
        <w:spacing w:after="0" w:line="240" w:lineRule="auto"/>
        <w:ind w:left="270" w:hanging="270"/>
        <w:rPr>
          <w:rFonts w:ascii="Calibri" w:eastAsia="Times New Roman" w:hAnsi="Calibri" w:cs="Times New Roman"/>
          <w:noProof/>
        </w:rPr>
      </w:pPr>
      <w:r w:rsidRPr="00137A0F">
        <w:rPr>
          <w:rFonts w:ascii="Verdana" w:eastAsia="Calibri" w:hAnsi="Verdana" w:cs="Times New Roman"/>
          <w:i/>
          <w:sz w:val="24"/>
        </w:rPr>
        <w:fldChar w:fldCharType="begin"/>
      </w:r>
      <w:r w:rsidRPr="00137A0F">
        <w:rPr>
          <w:rFonts w:ascii="Verdana" w:eastAsia="Calibri" w:hAnsi="Verdana" w:cs="Times New Roman"/>
          <w:i/>
          <w:sz w:val="24"/>
        </w:rPr>
        <w:instrText xml:space="preserve"> TOC \o "1-3" \n \h \z \u </w:instrText>
      </w:r>
      <w:r w:rsidRPr="00137A0F">
        <w:rPr>
          <w:rFonts w:ascii="Verdana" w:eastAsia="Calibri" w:hAnsi="Verdana" w:cs="Times New Roman"/>
          <w:i/>
          <w:sz w:val="24"/>
        </w:rPr>
        <w:fldChar w:fldCharType="separate"/>
      </w:r>
      <w:hyperlink w:anchor="_Toc15896499" w:history="1">
        <w:r w:rsidRPr="00137A0F">
          <w:rPr>
            <w:rFonts w:ascii="Verdana" w:eastAsia="Calibri" w:hAnsi="Verdana" w:cs="Times New Roman"/>
            <w:noProof/>
            <w:color w:val="0000FF"/>
            <w:sz w:val="24"/>
            <w:u w:val="single"/>
          </w:rPr>
          <w:t>Section 232 Healthcare Facility Documents Implementation Date Clarification</w:t>
        </w:r>
      </w:hyperlink>
    </w:p>
    <w:p w14:paraId="18A1EA4D" w14:textId="77777777" w:rsidR="00137A0F" w:rsidRPr="00137A0F" w:rsidRDefault="00137A0F" w:rsidP="00137A0F">
      <w:pPr>
        <w:tabs>
          <w:tab w:val="right" w:leader="dot" w:pos="9350"/>
        </w:tabs>
        <w:spacing w:after="0" w:line="240" w:lineRule="auto"/>
        <w:ind w:left="270" w:hanging="270"/>
        <w:rPr>
          <w:rFonts w:ascii="Calibri" w:eastAsia="Times New Roman" w:hAnsi="Calibri" w:cs="Times New Roman"/>
          <w:noProof/>
        </w:rPr>
      </w:pPr>
      <w:hyperlink w:anchor="_Toc15896500" w:history="1">
        <w:r w:rsidRPr="00137A0F">
          <w:rPr>
            <w:rFonts w:ascii="Verdana" w:eastAsia="Calibri" w:hAnsi="Verdana" w:cs="Times New Roman"/>
            <w:noProof/>
            <w:color w:val="0000FF"/>
            <w:sz w:val="24"/>
            <w:u w:val="single"/>
          </w:rPr>
          <w:t>Production Portal Submissions</w:t>
        </w:r>
      </w:hyperlink>
    </w:p>
    <w:p w14:paraId="16A63B8E" w14:textId="77777777" w:rsidR="00137A0F" w:rsidRPr="00137A0F" w:rsidRDefault="00137A0F" w:rsidP="00137A0F">
      <w:pPr>
        <w:spacing w:after="0" w:line="240" w:lineRule="auto"/>
        <w:rPr>
          <w:rFonts w:ascii="Verdana" w:eastAsia="Calibri" w:hAnsi="Verdana" w:cs="Times New Roman"/>
          <w:sz w:val="24"/>
        </w:rPr>
      </w:pPr>
      <w:r w:rsidRPr="00137A0F">
        <w:rPr>
          <w:rFonts w:ascii="Verdana" w:eastAsia="Calibri" w:hAnsi="Verdana" w:cs="Times New Roman"/>
          <w:i/>
          <w:sz w:val="24"/>
        </w:rPr>
        <w:fldChar w:fldCharType="end"/>
      </w:r>
    </w:p>
    <w:p w14:paraId="0247772E" w14:textId="77777777" w:rsidR="00137A0F" w:rsidRPr="00137A0F" w:rsidRDefault="00137A0F" w:rsidP="00137A0F">
      <w:pPr>
        <w:spacing w:after="0" w:line="240" w:lineRule="auto"/>
        <w:jc w:val="center"/>
        <w:rPr>
          <w:rFonts w:ascii="Verdana" w:eastAsia="Calibri" w:hAnsi="Verdana" w:cs="Times New Roman"/>
          <w:sz w:val="24"/>
        </w:rPr>
      </w:pPr>
      <w:r w:rsidRPr="00137A0F">
        <w:rPr>
          <w:rFonts w:ascii="Verdana" w:eastAsia="Calibri" w:hAnsi="Verdana" w:cs="Times New Roman"/>
          <w:noProof/>
          <w:color w:val="1F497D"/>
        </w:rPr>
        <w:drawing>
          <wp:inline distT="0" distB="0" distL="0" distR="0" wp14:anchorId="5AB1CE77" wp14:editId="724A910E">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0AB3C2DB" w14:textId="77777777" w:rsidR="00137A0F" w:rsidRPr="00137A0F" w:rsidRDefault="00137A0F" w:rsidP="00137A0F">
      <w:pPr>
        <w:spacing w:after="0" w:line="240" w:lineRule="auto"/>
        <w:rPr>
          <w:rFonts w:ascii="Verdana" w:eastAsia="Calibri" w:hAnsi="Verdana" w:cs="Times New Roman"/>
          <w:color w:val="000000"/>
          <w:sz w:val="24"/>
        </w:rPr>
      </w:pPr>
      <w:bookmarkStart w:id="1" w:name="_Toc380585836"/>
      <w:bookmarkEnd w:id="1"/>
    </w:p>
    <w:p w14:paraId="2D47064E" w14:textId="77777777" w:rsidR="00137A0F" w:rsidRPr="00137A0F" w:rsidRDefault="00137A0F" w:rsidP="00137A0F">
      <w:pPr>
        <w:spacing w:after="120" w:line="240" w:lineRule="auto"/>
        <w:outlineLvl w:val="0"/>
        <w:rPr>
          <w:rFonts w:ascii="Verdana" w:eastAsia="Calibri" w:hAnsi="Verdana" w:cs="Times New Roman"/>
          <w:b/>
          <w:bCs/>
          <w:caps/>
          <w:sz w:val="28"/>
          <w:szCs w:val="32"/>
          <w:u w:val="single"/>
        </w:rPr>
      </w:pPr>
      <w:bookmarkStart w:id="2" w:name="_Toc15896499"/>
      <w:r w:rsidRPr="00137A0F">
        <w:rPr>
          <w:rFonts w:ascii="Verdana" w:eastAsia="Calibri" w:hAnsi="Verdana" w:cs="Times New Roman"/>
          <w:b/>
          <w:bCs/>
          <w:caps/>
          <w:sz w:val="28"/>
          <w:szCs w:val="32"/>
          <w:u w:val="single"/>
        </w:rPr>
        <w:t>Section 232 Healthcare Facility Documents Implementation Date Clarification</w:t>
      </w:r>
      <w:bookmarkEnd w:id="2"/>
      <w:r w:rsidRPr="00137A0F">
        <w:rPr>
          <w:rFonts w:ascii="Verdana" w:eastAsia="Calibri" w:hAnsi="Verdana" w:cs="Times New Roman"/>
          <w:b/>
          <w:bCs/>
          <w:caps/>
          <w:sz w:val="28"/>
          <w:szCs w:val="32"/>
          <w:u w:val="single"/>
        </w:rPr>
        <w:t xml:space="preserve"> </w:t>
      </w:r>
    </w:p>
    <w:p w14:paraId="18C9B865" w14:textId="50E426F9" w:rsidR="00137A0F" w:rsidRPr="00137A0F" w:rsidRDefault="00137A0F" w:rsidP="00137A0F">
      <w:pPr>
        <w:spacing w:after="0" w:line="240" w:lineRule="auto"/>
        <w:rPr>
          <w:rFonts w:ascii="Calibri" w:eastAsia="Calibri" w:hAnsi="Calibri" w:cs="Times New Roman"/>
        </w:rPr>
      </w:pPr>
      <w:r w:rsidRPr="00137A0F">
        <w:rPr>
          <w:rFonts w:ascii="Verdana" w:eastAsia="Calibri" w:hAnsi="Verdana" w:cs="Times New Roman"/>
          <w:sz w:val="24"/>
        </w:rPr>
        <w:t>As announced in the July 5, 2019 Email Blast (</w:t>
      </w:r>
      <w:hyperlink r:id="rId6" w:history="1">
        <w:r w:rsidRPr="00137A0F">
          <w:rPr>
            <w:rStyle w:val="Hyperlink"/>
            <w:rFonts w:ascii="Verdana" w:eastAsia="Calibri" w:hAnsi="Verdana" w:cs="Times New Roman"/>
            <w:sz w:val="24"/>
          </w:rPr>
          <w:t>here</w:t>
        </w:r>
      </w:hyperlink>
      <w:r w:rsidRPr="00137A0F">
        <w:rPr>
          <w:rFonts w:ascii="Verdana" w:eastAsia="Calibri" w:hAnsi="Verdana" w:cs="Times New Roman"/>
          <w:sz w:val="24"/>
        </w:rPr>
        <w:t>), the new Section 232 Healthcare documents were published with a 90-day transition period.  During this transition time, old documents can still be used and are still available on our PRA documents website (</w:t>
      </w:r>
      <w:hyperlink r:id="rId7" w:history="1">
        <w:r w:rsidRPr="00137A0F">
          <w:rPr>
            <w:rFonts w:ascii="Verdana" w:eastAsia="Calibri" w:hAnsi="Verdana" w:cs="Times New Roman"/>
            <w:color w:val="0000FF"/>
            <w:sz w:val="24"/>
            <w:u w:val="single"/>
          </w:rPr>
          <w:t>here</w:t>
        </w:r>
      </w:hyperlink>
      <w:r w:rsidRPr="00137A0F">
        <w:rPr>
          <w:rFonts w:ascii="Verdana" w:eastAsia="Calibri" w:hAnsi="Verdana" w:cs="Times New Roman"/>
          <w:sz w:val="24"/>
        </w:rPr>
        <w:t>).  However, on or after October 3, 2019, please see the following details for clarification:</w:t>
      </w:r>
    </w:p>
    <w:p w14:paraId="0DB3ABA9" w14:textId="77777777" w:rsidR="00137A0F" w:rsidRPr="00137A0F" w:rsidRDefault="00137A0F" w:rsidP="00137A0F">
      <w:pPr>
        <w:spacing w:after="0" w:line="240" w:lineRule="auto"/>
        <w:rPr>
          <w:rFonts w:ascii="Verdana" w:eastAsia="Calibri" w:hAnsi="Verdana" w:cs="Times New Roman"/>
          <w:sz w:val="24"/>
        </w:rPr>
      </w:pPr>
    </w:p>
    <w:p w14:paraId="40CD2DA0" w14:textId="77777777" w:rsidR="00137A0F" w:rsidRPr="00137A0F" w:rsidRDefault="00137A0F" w:rsidP="00137A0F">
      <w:pPr>
        <w:spacing w:after="0" w:line="240" w:lineRule="auto"/>
        <w:ind w:left="720" w:right="165"/>
        <w:rPr>
          <w:rFonts w:ascii="Verdana" w:eastAsia="Calibri" w:hAnsi="Verdana" w:cs="Times New Roman"/>
          <w:sz w:val="24"/>
        </w:rPr>
      </w:pPr>
      <w:r w:rsidRPr="00137A0F">
        <w:rPr>
          <w:rFonts w:ascii="Verdana" w:eastAsia="Calibri" w:hAnsi="Verdana" w:cs="Times New Roman"/>
          <w:b/>
          <w:bCs/>
          <w:sz w:val="24"/>
          <w:u w:val="single"/>
        </w:rPr>
        <w:t>Production:</w:t>
      </w:r>
      <w:r w:rsidRPr="00137A0F">
        <w:rPr>
          <w:rFonts w:ascii="Verdana" w:eastAsia="Calibri" w:hAnsi="Verdana" w:cs="Times New Roman"/>
          <w:sz w:val="24"/>
        </w:rPr>
        <w:t xml:space="preserve"> All new Firm Commitment application documents will be required for Firm applications submitted on or after Oct 3.  If an applicant chooses to use new Firm Commitment application documents before that date, then the applicant must also use new closing documents, regardless of closing date.  Additionally, all new closing documents must be used for any project that receives a Firm Commitment on or after Oct 3. </w:t>
      </w:r>
    </w:p>
    <w:p w14:paraId="1A5C304D" w14:textId="77777777" w:rsidR="00137A0F" w:rsidRPr="00137A0F" w:rsidRDefault="00137A0F" w:rsidP="00137A0F">
      <w:pPr>
        <w:spacing w:after="0" w:line="240" w:lineRule="auto"/>
        <w:ind w:left="720"/>
        <w:rPr>
          <w:rFonts w:ascii="Verdana" w:eastAsia="Calibri" w:hAnsi="Verdana" w:cs="Times New Roman"/>
          <w:sz w:val="24"/>
        </w:rPr>
      </w:pPr>
    </w:p>
    <w:p w14:paraId="5DB5BB9C" w14:textId="77777777" w:rsidR="00137A0F" w:rsidRPr="00137A0F" w:rsidRDefault="00137A0F" w:rsidP="00137A0F">
      <w:pPr>
        <w:spacing w:after="0" w:line="240" w:lineRule="auto"/>
        <w:ind w:left="720"/>
        <w:rPr>
          <w:rFonts w:ascii="Verdana" w:eastAsia="Calibri" w:hAnsi="Verdana" w:cs="Times New Roman"/>
          <w:sz w:val="24"/>
        </w:rPr>
      </w:pPr>
      <w:r w:rsidRPr="00137A0F">
        <w:rPr>
          <w:rFonts w:ascii="Verdana" w:eastAsia="Calibri" w:hAnsi="Verdana" w:cs="Times New Roman"/>
          <w:b/>
          <w:bCs/>
          <w:sz w:val="24"/>
          <w:u w:val="single"/>
        </w:rPr>
        <w:t>Asset Management:</w:t>
      </w:r>
      <w:r w:rsidRPr="00137A0F">
        <w:rPr>
          <w:rFonts w:ascii="Verdana" w:eastAsia="Calibri" w:hAnsi="Verdana" w:cs="Times New Roman"/>
          <w:sz w:val="24"/>
        </w:rPr>
        <w:t>  All Asset Management transactions must use new documents on or after Oct 3.</w:t>
      </w:r>
    </w:p>
    <w:p w14:paraId="1FEB2E02" w14:textId="77777777" w:rsidR="00137A0F" w:rsidRPr="00137A0F" w:rsidRDefault="00137A0F" w:rsidP="00137A0F">
      <w:pPr>
        <w:spacing w:after="0" w:line="240" w:lineRule="auto"/>
        <w:rPr>
          <w:rFonts w:ascii="Verdana" w:eastAsia="Calibri" w:hAnsi="Verdana" w:cs="Times New Roman"/>
          <w:sz w:val="24"/>
        </w:rPr>
      </w:pPr>
    </w:p>
    <w:p w14:paraId="1C50D081" w14:textId="77777777" w:rsidR="00137A0F" w:rsidRPr="00137A0F" w:rsidRDefault="00137A0F" w:rsidP="00137A0F">
      <w:pPr>
        <w:spacing w:after="0" w:line="240" w:lineRule="auto"/>
        <w:rPr>
          <w:rFonts w:ascii="Verdana" w:eastAsia="MS Mincho" w:hAnsi="Verdana" w:cs="Times New Roman"/>
          <w:i/>
          <w:sz w:val="24"/>
          <w:szCs w:val="24"/>
        </w:rPr>
      </w:pPr>
      <w:r w:rsidRPr="00137A0F">
        <w:rPr>
          <w:rFonts w:ascii="Verdana" w:eastAsia="MS Mincho" w:hAnsi="Verdana" w:cs="Times New Roman"/>
          <w:b/>
          <w:i/>
          <w:sz w:val="24"/>
          <w:szCs w:val="24"/>
        </w:rPr>
        <w:t>Keywords:</w:t>
      </w:r>
      <w:r w:rsidRPr="00137A0F">
        <w:rPr>
          <w:rFonts w:ascii="Verdana" w:eastAsia="MS Mincho" w:hAnsi="Verdana" w:cs="Times New Roman"/>
          <w:i/>
          <w:sz w:val="24"/>
          <w:szCs w:val="24"/>
        </w:rPr>
        <w:tab/>
        <w:t>Section 232 Documents</w:t>
      </w:r>
    </w:p>
    <w:p w14:paraId="635BAD2B" w14:textId="77777777" w:rsidR="00137A0F" w:rsidRPr="00137A0F" w:rsidRDefault="00137A0F" w:rsidP="00137A0F">
      <w:pPr>
        <w:spacing w:after="0" w:line="240" w:lineRule="auto"/>
        <w:rPr>
          <w:rFonts w:ascii="Verdana" w:eastAsia="MS Mincho" w:hAnsi="Verdana" w:cs="Times New Roman"/>
          <w:b/>
          <w:sz w:val="24"/>
          <w:szCs w:val="24"/>
        </w:rPr>
      </w:pPr>
    </w:p>
    <w:p w14:paraId="4F0F2F53" w14:textId="77777777" w:rsidR="00137A0F" w:rsidRPr="00137A0F" w:rsidRDefault="00137A0F" w:rsidP="00137A0F">
      <w:pPr>
        <w:spacing w:after="0" w:line="240" w:lineRule="auto"/>
        <w:rPr>
          <w:rFonts w:ascii="Verdana" w:eastAsia="Calibri" w:hAnsi="Verdana" w:cs="Times New Roman"/>
          <w:color w:val="0000FF"/>
          <w:sz w:val="24"/>
          <w:u w:val="single"/>
        </w:rPr>
      </w:pPr>
      <w:hyperlink w:anchor="_top" w:history="1">
        <w:r w:rsidRPr="00137A0F">
          <w:rPr>
            <w:rFonts w:ascii="Verdana" w:eastAsia="Calibri" w:hAnsi="Verdana" w:cs="Times New Roman"/>
            <w:color w:val="0000FF"/>
            <w:sz w:val="24"/>
            <w:u w:val="single"/>
          </w:rPr>
          <w:t>Back to top</w:t>
        </w:r>
      </w:hyperlink>
    </w:p>
    <w:p w14:paraId="149761CA" w14:textId="77777777" w:rsidR="00137A0F" w:rsidRPr="00137A0F" w:rsidRDefault="00137A0F" w:rsidP="00137A0F">
      <w:pPr>
        <w:spacing w:after="0" w:line="240" w:lineRule="auto"/>
        <w:rPr>
          <w:rFonts w:ascii="Verdana" w:eastAsia="Calibri" w:hAnsi="Verdana" w:cs="Times New Roman"/>
          <w:sz w:val="24"/>
        </w:rPr>
      </w:pPr>
    </w:p>
    <w:p w14:paraId="0E8F45AC" w14:textId="77777777" w:rsidR="00137A0F" w:rsidRPr="00137A0F" w:rsidRDefault="00137A0F" w:rsidP="00137A0F">
      <w:pPr>
        <w:spacing w:after="120" w:line="240" w:lineRule="auto"/>
        <w:outlineLvl w:val="0"/>
        <w:rPr>
          <w:rFonts w:ascii="Verdana" w:eastAsia="Calibri" w:hAnsi="Verdana" w:cs="Times New Roman"/>
          <w:b/>
          <w:bCs/>
          <w:caps/>
          <w:sz w:val="28"/>
          <w:szCs w:val="32"/>
          <w:u w:val="single"/>
        </w:rPr>
      </w:pPr>
      <w:bookmarkStart w:id="3" w:name="_Toc15896500"/>
      <w:r w:rsidRPr="00137A0F">
        <w:rPr>
          <w:rFonts w:ascii="Verdana" w:eastAsia="Calibri" w:hAnsi="Verdana" w:cs="Times New Roman"/>
          <w:b/>
          <w:bCs/>
          <w:caps/>
          <w:sz w:val="28"/>
          <w:szCs w:val="32"/>
          <w:u w:val="single"/>
        </w:rPr>
        <w:t>Production Portal Submissions</w:t>
      </w:r>
      <w:bookmarkEnd w:id="3"/>
    </w:p>
    <w:p w14:paraId="29708F4F" w14:textId="77777777" w:rsidR="00137A0F" w:rsidRPr="00137A0F" w:rsidRDefault="00137A0F" w:rsidP="00137A0F">
      <w:pPr>
        <w:spacing w:after="0" w:line="240" w:lineRule="auto"/>
        <w:rPr>
          <w:rFonts w:ascii="Verdana" w:eastAsia="Calibri" w:hAnsi="Verdana" w:cs="Times New Roman"/>
          <w:sz w:val="24"/>
        </w:rPr>
      </w:pPr>
      <w:r w:rsidRPr="00137A0F">
        <w:rPr>
          <w:rFonts w:ascii="Verdana" w:eastAsia="Calibri" w:hAnsi="Verdana" w:cs="Times New Roman"/>
          <w:sz w:val="24"/>
        </w:rPr>
        <w:t>The following is provided as guidance for Production submissions through the 232 Healthcare portal:</w:t>
      </w:r>
    </w:p>
    <w:p w14:paraId="5E368989" w14:textId="77777777" w:rsidR="00137A0F" w:rsidRPr="00137A0F" w:rsidRDefault="00137A0F" w:rsidP="00137A0F">
      <w:pPr>
        <w:spacing w:after="0" w:line="240" w:lineRule="auto"/>
        <w:rPr>
          <w:rFonts w:ascii="Verdana" w:eastAsia="Calibri" w:hAnsi="Verdana" w:cs="Times New Roman"/>
          <w:sz w:val="24"/>
        </w:rPr>
      </w:pPr>
    </w:p>
    <w:p w14:paraId="6D4743AE" w14:textId="77777777" w:rsidR="00137A0F" w:rsidRPr="00137A0F" w:rsidRDefault="00137A0F" w:rsidP="00137A0F">
      <w:pPr>
        <w:spacing w:after="0" w:line="240" w:lineRule="auto"/>
        <w:rPr>
          <w:rFonts w:ascii="Verdana" w:eastAsia="Calibri" w:hAnsi="Verdana" w:cs="Times New Roman"/>
          <w:b/>
          <w:bCs/>
          <w:sz w:val="24"/>
          <w:u w:val="single"/>
        </w:rPr>
      </w:pPr>
      <w:r w:rsidRPr="00137A0F">
        <w:rPr>
          <w:rFonts w:ascii="Verdana" w:eastAsia="Calibri" w:hAnsi="Verdana" w:cs="Times New Roman"/>
          <w:b/>
          <w:bCs/>
          <w:sz w:val="24"/>
          <w:u w:val="single"/>
        </w:rPr>
        <w:t>Document Naming</w:t>
      </w:r>
    </w:p>
    <w:p w14:paraId="61FC4E2A" w14:textId="77777777" w:rsidR="00137A0F" w:rsidRPr="00137A0F" w:rsidRDefault="00137A0F" w:rsidP="00137A0F">
      <w:pPr>
        <w:numPr>
          <w:ilvl w:val="0"/>
          <w:numId w:val="1"/>
        </w:numPr>
        <w:spacing w:after="0" w:line="240" w:lineRule="auto"/>
        <w:rPr>
          <w:rFonts w:ascii="Verdana" w:eastAsia="Calibri" w:hAnsi="Verdana" w:cs="Times New Roman"/>
          <w:b/>
          <w:bCs/>
          <w:sz w:val="24"/>
        </w:rPr>
      </w:pPr>
      <w:r w:rsidRPr="00137A0F">
        <w:rPr>
          <w:rFonts w:ascii="Verdana" w:eastAsia="Calibri" w:hAnsi="Verdana" w:cs="Times New Roman"/>
          <w:b/>
          <w:bCs/>
          <w:sz w:val="24"/>
        </w:rPr>
        <w:lastRenderedPageBreak/>
        <w:t xml:space="preserve">Decision Circuit:  </w:t>
      </w:r>
      <w:r w:rsidRPr="00137A0F">
        <w:rPr>
          <w:rFonts w:ascii="Verdana" w:eastAsia="Calibri" w:hAnsi="Verdana" w:cs="Times New Roman"/>
          <w:sz w:val="24"/>
        </w:rPr>
        <w:t>The Decision Circuit is an optional document and is therefore not identified on Firm Application Checklists.  However, we are instituting a document naming convention for it so the files will be consistently named and located going forward.  Please name the Decision Circuit files “</w:t>
      </w:r>
      <w:proofErr w:type="spellStart"/>
      <w:r w:rsidRPr="00137A0F">
        <w:rPr>
          <w:rFonts w:ascii="Verdana" w:eastAsia="Calibri" w:hAnsi="Verdana" w:cs="Times New Roman"/>
          <w:sz w:val="24"/>
        </w:rPr>
        <w:t>Others</w:t>
      </w:r>
      <w:r w:rsidRPr="00137A0F">
        <w:rPr>
          <w:rFonts w:ascii="Verdana" w:eastAsia="Calibri" w:hAnsi="Verdana" w:cs="Times New Roman"/>
          <w:b/>
          <w:bCs/>
          <w:sz w:val="24"/>
        </w:rPr>
        <w:t>_Decision</w:t>
      </w:r>
      <w:proofErr w:type="spellEnd"/>
      <w:r w:rsidRPr="00137A0F">
        <w:rPr>
          <w:rFonts w:ascii="Verdana" w:eastAsia="Calibri" w:hAnsi="Verdana" w:cs="Times New Roman"/>
          <w:b/>
          <w:bCs/>
          <w:sz w:val="24"/>
        </w:rPr>
        <w:t xml:space="preserve"> Circuit” and place it in the Section 1 Underwriting folder.</w:t>
      </w:r>
    </w:p>
    <w:p w14:paraId="274F8716" w14:textId="77777777" w:rsidR="00137A0F" w:rsidRPr="00137A0F" w:rsidRDefault="00137A0F" w:rsidP="00137A0F">
      <w:pPr>
        <w:numPr>
          <w:ilvl w:val="0"/>
          <w:numId w:val="1"/>
        </w:numPr>
        <w:spacing w:after="0" w:line="240" w:lineRule="auto"/>
        <w:rPr>
          <w:rFonts w:ascii="Verdana" w:eastAsia="Calibri" w:hAnsi="Verdana" w:cs="Times New Roman"/>
          <w:sz w:val="24"/>
        </w:rPr>
      </w:pPr>
      <w:r w:rsidRPr="00137A0F">
        <w:rPr>
          <w:rFonts w:ascii="Verdana" w:eastAsia="Calibri" w:hAnsi="Verdana" w:cs="Times New Roman"/>
          <w:b/>
          <w:bCs/>
          <w:sz w:val="24"/>
        </w:rPr>
        <w:t xml:space="preserve">Other Documents Not Identified on Checklists:  </w:t>
      </w:r>
      <w:r w:rsidRPr="00137A0F">
        <w:rPr>
          <w:rFonts w:ascii="Verdana" w:eastAsia="Calibri" w:hAnsi="Verdana" w:cs="Times New Roman"/>
          <w:sz w:val="24"/>
        </w:rPr>
        <w:t>For other documents that are not standard Checklist exhibits, please add a descriptor to the file name so that the files are more easily identified.  For example, “</w:t>
      </w:r>
      <w:proofErr w:type="spellStart"/>
      <w:r w:rsidRPr="00137A0F">
        <w:rPr>
          <w:rFonts w:ascii="Verdana" w:eastAsia="Calibri" w:hAnsi="Verdana" w:cs="Times New Roman"/>
          <w:sz w:val="24"/>
        </w:rPr>
        <w:t>Others</w:t>
      </w:r>
      <w:r w:rsidRPr="00137A0F">
        <w:rPr>
          <w:rFonts w:ascii="Verdana" w:eastAsia="Calibri" w:hAnsi="Verdana" w:cs="Times New Roman"/>
          <w:b/>
          <w:bCs/>
          <w:sz w:val="24"/>
        </w:rPr>
        <w:t>_Promissory</w:t>
      </w:r>
      <w:proofErr w:type="spellEnd"/>
      <w:r w:rsidRPr="00137A0F">
        <w:rPr>
          <w:rFonts w:ascii="Verdana" w:eastAsia="Calibri" w:hAnsi="Verdana" w:cs="Times New Roman"/>
          <w:b/>
          <w:bCs/>
          <w:sz w:val="24"/>
        </w:rPr>
        <w:t xml:space="preserve"> Note</w:t>
      </w:r>
      <w:r w:rsidRPr="00137A0F">
        <w:rPr>
          <w:rFonts w:ascii="Verdana" w:eastAsia="Calibri" w:hAnsi="Verdana" w:cs="Times New Roman"/>
          <w:sz w:val="24"/>
        </w:rPr>
        <w:t>” or “2-</w:t>
      </w:r>
      <w:proofErr w:type="gramStart"/>
      <w:r w:rsidRPr="00137A0F">
        <w:rPr>
          <w:rFonts w:ascii="Verdana" w:eastAsia="Calibri" w:hAnsi="Verdana" w:cs="Times New Roman"/>
          <w:sz w:val="24"/>
        </w:rPr>
        <w:t>3.E</w:t>
      </w:r>
      <w:proofErr w:type="gramEnd"/>
      <w:r w:rsidRPr="00137A0F">
        <w:rPr>
          <w:rFonts w:ascii="Verdana" w:eastAsia="Calibri" w:hAnsi="Verdana" w:cs="Times New Roman"/>
          <w:sz w:val="24"/>
        </w:rPr>
        <w:t xml:space="preserve">_Other Specify </w:t>
      </w:r>
      <w:r w:rsidRPr="00137A0F">
        <w:rPr>
          <w:rFonts w:ascii="Verdana" w:eastAsia="Calibri" w:hAnsi="Verdana" w:cs="Times New Roman"/>
          <w:b/>
          <w:bCs/>
          <w:sz w:val="24"/>
        </w:rPr>
        <w:t>– Tank Closure</w:t>
      </w:r>
      <w:r w:rsidRPr="00137A0F">
        <w:rPr>
          <w:rFonts w:ascii="Verdana" w:eastAsia="Calibri" w:hAnsi="Verdana" w:cs="Times New Roman"/>
          <w:sz w:val="24"/>
        </w:rPr>
        <w:t>”.</w:t>
      </w:r>
    </w:p>
    <w:p w14:paraId="30FE2B10" w14:textId="77777777" w:rsidR="00137A0F" w:rsidRPr="00137A0F" w:rsidRDefault="00137A0F" w:rsidP="00137A0F">
      <w:pPr>
        <w:numPr>
          <w:ilvl w:val="0"/>
          <w:numId w:val="1"/>
        </w:numPr>
        <w:spacing w:after="0" w:line="240" w:lineRule="auto"/>
        <w:rPr>
          <w:rFonts w:ascii="Verdana" w:eastAsia="Calibri" w:hAnsi="Verdana" w:cs="Times New Roman"/>
          <w:b/>
          <w:bCs/>
          <w:sz w:val="24"/>
        </w:rPr>
      </w:pPr>
      <w:r w:rsidRPr="00137A0F">
        <w:rPr>
          <w:rFonts w:ascii="Verdana" w:eastAsia="Calibri" w:hAnsi="Verdana" w:cs="Times New Roman"/>
          <w:b/>
          <w:bCs/>
          <w:sz w:val="24"/>
        </w:rPr>
        <w:t xml:space="preserve">N/A Exhibits:  </w:t>
      </w:r>
      <w:r w:rsidRPr="00137A0F">
        <w:rPr>
          <w:rFonts w:ascii="Verdana" w:eastAsia="Calibri" w:hAnsi="Verdana" w:cs="Times New Roman"/>
          <w:sz w:val="24"/>
        </w:rPr>
        <w:t>Lenders are not required to submit N/A exhibits, but if choosing to do so, please identify that it is “NA” in the document name so that reviewers don’t spend time opening documents that do not require review.  For example, “2-</w:t>
      </w:r>
      <w:proofErr w:type="gramStart"/>
      <w:r w:rsidRPr="00137A0F">
        <w:rPr>
          <w:rFonts w:ascii="Verdana" w:eastAsia="Calibri" w:hAnsi="Verdana" w:cs="Times New Roman"/>
          <w:sz w:val="24"/>
        </w:rPr>
        <w:t>3.B</w:t>
      </w:r>
      <w:proofErr w:type="gramEnd"/>
      <w:r w:rsidRPr="00137A0F">
        <w:rPr>
          <w:rFonts w:ascii="Verdana" w:eastAsia="Calibri" w:hAnsi="Verdana" w:cs="Times New Roman"/>
          <w:sz w:val="24"/>
        </w:rPr>
        <w:t>_</w:t>
      </w:r>
      <w:r w:rsidRPr="00137A0F">
        <w:rPr>
          <w:rFonts w:ascii="Verdana" w:eastAsia="Calibri" w:hAnsi="Verdana" w:cs="Times New Roman"/>
          <w:b/>
          <w:bCs/>
          <w:sz w:val="24"/>
        </w:rPr>
        <w:t xml:space="preserve"> NA</w:t>
      </w:r>
      <w:r w:rsidRPr="00137A0F">
        <w:rPr>
          <w:rFonts w:ascii="Verdana" w:eastAsia="Calibri" w:hAnsi="Verdana" w:cs="Times New Roman"/>
          <w:sz w:val="24"/>
        </w:rPr>
        <w:t xml:space="preserve"> - Phase II Environmental Report”.</w:t>
      </w:r>
    </w:p>
    <w:p w14:paraId="21C6D703" w14:textId="77777777" w:rsidR="00137A0F" w:rsidRPr="00137A0F" w:rsidRDefault="00137A0F" w:rsidP="00137A0F">
      <w:pPr>
        <w:numPr>
          <w:ilvl w:val="0"/>
          <w:numId w:val="1"/>
        </w:numPr>
        <w:spacing w:after="0" w:line="240" w:lineRule="auto"/>
        <w:rPr>
          <w:rFonts w:ascii="Verdana" w:eastAsia="Calibri" w:hAnsi="Verdana" w:cs="Times New Roman"/>
          <w:sz w:val="24"/>
        </w:rPr>
      </w:pPr>
      <w:r w:rsidRPr="00137A0F">
        <w:rPr>
          <w:rFonts w:ascii="Verdana" w:eastAsia="Calibri" w:hAnsi="Verdana" w:cs="Times New Roman"/>
          <w:b/>
          <w:bCs/>
          <w:sz w:val="24"/>
        </w:rPr>
        <w:t xml:space="preserve">Multiple Version Documents:  </w:t>
      </w:r>
      <w:r w:rsidRPr="00137A0F">
        <w:rPr>
          <w:rFonts w:ascii="Verdana" w:eastAsia="Calibri" w:hAnsi="Verdana" w:cs="Times New Roman"/>
          <w:sz w:val="24"/>
        </w:rPr>
        <w:t xml:space="preserve">Uploading multiple versions of the same document or adding additional description to </w:t>
      </w:r>
      <w:proofErr w:type="gramStart"/>
      <w:r w:rsidRPr="00137A0F">
        <w:rPr>
          <w:rFonts w:ascii="Verdana" w:eastAsia="Calibri" w:hAnsi="Verdana" w:cs="Times New Roman"/>
          <w:sz w:val="24"/>
        </w:rPr>
        <w:t>“Others”</w:t>
      </w:r>
      <w:proofErr w:type="gramEnd"/>
      <w:r w:rsidRPr="00137A0F">
        <w:rPr>
          <w:rFonts w:ascii="Verdana" w:eastAsia="Calibri" w:hAnsi="Verdana" w:cs="Times New Roman"/>
          <w:sz w:val="24"/>
        </w:rPr>
        <w:t xml:space="preserve"> documents is possible provided the document number (and underscore) is the same. Anything to the right of the underscore can be modified and uploaded.  For example,</w:t>
      </w:r>
    </w:p>
    <w:p w14:paraId="64334B87" w14:textId="77777777" w:rsidR="00137A0F" w:rsidRPr="00137A0F" w:rsidRDefault="00137A0F" w:rsidP="00137A0F">
      <w:pPr>
        <w:numPr>
          <w:ilvl w:val="1"/>
          <w:numId w:val="1"/>
        </w:numPr>
        <w:spacing w:after="0" w:line="240" w:lineRule="auto"/>
        <w:rPr>
          <w:rFonts w:ascii="Verdana" w:eastAsia="Calibri" w:hAnsi="Verdana" w:cs="Times New Roman"/>
          <w:sz w:val="24"/>
        </w:rPr>
      </w:pPr>
      <w:r w:rsidRPr="00137A0F">
        <w:rPr>
          <w:rFonts w:ascii="Verdana" w:eastAsia="Calibri" w:hAnsi="Verdana" w:cs="Times New Roman"/>
          <w:sz w:val="24"/>
        </w:rPr>
        <w:t>1-2-9002_HUD-9002-ORCF, Lender Narrative</w:t>
      </w:r>
    </w:p>
    <w:p w14:paraId="1EE57826" w14:textId="77777777" w:rsidR="00137A0F" w:rsidRPr="00137A0F" w:rsidRDefault="00137A0F" w:rsidP="00137A0F">
      <w:pPr>
        <w:numPr>
          <w:ilvl w:val="1"/>
          <w:numId w:val="1"/>
        </w:numPr>
        <w:spacing w:after="0" w:line="240" w:lineRule="auto"/>
        <w:rPr>
          <w:rFonts w:ascii="Verdana" w:eastAsia="Calibri" w:hAnsi="Verdana" w:cs="Times New Roman"/>
          <w:sz w:val="24"/>
        </w:rPr>
      </w:pPr>
      <w:r w:rsidRPr="00137A0F">
        <w:rPr>
          <w:rFonts w:ascii="Verdana" w:eastAsia="Calibri" w:hAnsi="Verdana" w:cs="Times New Roman"/>
          <w:sz w:val="24"/>
        </w:rPr>
        <w:t xml:space="preserve">1-2-9002_HUD-9002-ORCF, Lender Narrative </w:t>
      </w:r>
      <w:r w:rsidRPr="00137A0F">
        <w:rPr>
          <w:rFonts w:ascii="Verdana" w:eastAsia="Calibri" w:hAnsi="Verdana" w:cs="Times New Roman"/>
          <w:b/>
          <w:bCs/>
          <w:sz w:val="24"/>
        </w:rPr>
        <w:t>– Common Sections</w:t>
      </w:r>
    </w:p>
    <w:p w14:paraId="643F182E" w14:textId="77777777" w:rsidR="00137A0F" w:rsidRPr="00137A0F" w:rsidRDefault="00137A0F" w:rsidP="00137A0F">
      <w:pPr>
        <w:spacing w:after="0" w:line="240" w:lineRule="auto"/>
        <w:rPr>
          <w:rFonts w:ascii="Verdana" w:eastAsia="Calibri" w:hAnsi="Verdana" w:cs="Times New Roman"/>
          <w:sz w:val="24"/>
        </w:rPr>
      </w:pPr>
    </w:p>
    <w:p w14:paraId="638F7666" w14:textId="77777777" w:rsidR="00137A0F" w:rsidRPr="00137A0F" w:rsidRDefault="00137A0F" w:rsidP="00137A0F">
      <w:pPr>
        <w:numPr>
          <w:ilvl w:val="1"/>
          <w:numId w:val="1"/>
        </w:numPr>
        <w:spacing w:after="0" w:line="240" w:lineRule="auto"/>
        <w:rPr>
          <w:rFonts w:ascii="Verdana" w:eastAsia="Calibri" w:hAnsi="Verdana" w:cs="Times New Roman"/>
          <w:b/>
          <w:bCs/>
          <w:sz w:val="24"/>
        </w:rPr>
      </w:pPr>
      <w:r w:rsidRPr="00137A0F">
        <w:rPr>
          <w:rFonts w:ascii="Verdana" w:eastAsia="Calibri" w:hAnsi="Verdana" w:cs="Times New Roman"/>
          <w:sz w:val="24"/>
        </w:rPr>
        <w:t xml:space="preserve">1-8.HUD 2_HUD-2-ORCF, Request for Waiver of Housing Directive </w:t>
      </w:r>
      <w:r w:rsidRPr="00137A0F">
        <w:rPr>
          <w:rFonts w:ascii="Verdana" w:eastAsia="Calibri" w:hAnsi="Verdana" w:cs="Times New Roman"/>
          <w:b/>
          <w:bCs/>
          <w:sz w:val="24"/>
        </w:rPr>
        <w:t>– PCNA date</w:t>
      </w:r>
    </w:p>
    <w:p w14:paraId="11BE1128" w14:textId="77777777" w:rsidR="00137A0F" w:rsidRPr="00137A0F" w:rsidRDefault="00137A0F" w:rsidP="00137A0F">
      <w:pPr>
        <w:numPr>
          <w:ilvl w:val="1"/>
          <w:numId w:val="1"/>
        </w:numPr>
        <w:spacing w:after="0" w:line="240" w:lineRule="auto"/>
        <w:rPr>
          <w:rFonts w:ascii="Verdana" w:eastAsia="Calibri" w:hAnsi="Verdana" w:cs="Times New Roman"/>
          <w:b/>
          <w:bCs/>
          <w:sz w:val="24"/>
        </w:rPr>
      </w:pPr>
      <w:r w:rsidRPr="00137A0F">
        <w:rPr>
          <w:rFonts w:ascii="Verdana" w:eastAsia="Calibri" w:hAnsi="Verdana" w:cs="Times New Roman"/>
          <w:sz w:val="24"/>
        </w:rPr>
        <w:t xml:space="preserve">1-8.HUD 2_HUD-2-ORCF, Request for Waiver of Housing Directive </w:t>
      </w:r>
      <w:r w:rsidRPr="00137A0F">
        <w:rPr>
          <w:rFonts w:ascii="Verdana" w:eastAsia="Calibri" w:hAnsi="Verdana" w:cs="Times New Roman"/>
          <w:b/>
          <w:bCs/>
          <w:sz w:val="24"/>
        </w:rPr>
        <w:t>– PLI</w:t>
      </w:r>
    </w:p>
    <w:p w14:paraId="43A4E6CD" w14:textId="77777777" w:rsidR="00137A0F" w:rsidRPr="00137A0F" w:rsidRDefault="00137A0F" w:rsidP="00137A0F">
      <w:pPr>
        <w:spacing w:after="0" w:line="240" w:lineRule="auto"/>
        <w:rPr>
          <w:rFonts w:ascii="Verdana" w:eastAsia="Calibri" w:hAnsi="Verdana" w:cs="Times New Roman"/>
          <w:sz w:val="24"/>
        </w:rPr>
      </w:pPr>
    </w:p>
    <w:p w14:paraId="283713F3" w14:textId="77777777" w:rsidR="00137A0F" w:rsidRPr="00137A0F" w:rsidRDefault="00137A0F" w:rsidP="00137A0F">
      <w:pPr>
        <w:numPr>
          <w:ilvl w:val="1"/>
          <w:numId w:val="1"/>
        </w:numPr>
        <w:spacing w:after="0" w:line="240" w:lineRule="auto"/>
        <w:rPr>
          <w:rFonts w:ascii="Verdana" w:eastAsia="Calibri" w:hAnsi="Verdana" w:cs="Times New Roman"/>
          <w:sz w:val="24"/>
        </w:rPr>
      </w:pPr>
      <w:r w:rsidRPr="00137A0F">
        <w:rPr>
          <w:rFonts w:ascii="Verdana" w:eastAsia="Calibri" w:hAnsi="Verdana" w:cs="Times New Roman"/>
          <w:sz w:val="24"/>
        </w:rPr>
        <w:t>39_HUD-92337-ORCF - Regulatory Agreement - Master Tenant</w:t>
      </w:r>
    </w:p>
    <w:p w14:paraId="64052412" w14:textId="77777777" w:rsidR="00137A0F" w:rsidRPr="00137A0F" w:rsidRDefault="00137A0F" w:rsidP="00137A0F">
      <w:pPr>
        <w:numPr>
          <w:ilvl w:val="1"/>
          <w:numId w:val="1"/>
        </w:numPr>
        <w:spacing w:after="0" w:line="240" w:lineRule="auto"/>
        <w:rPr>
          <w:rFonts w:ascii="Verdana" w:eastAsia="Calibri" w:hAnsi="Verdana" w:cs="Times New Roman"/>
          <w:sz w:val="24"/>
        </w:rPr>
      </w:pPr>
      <w:r w:rsidRPr="00137A0F">
        <w:rPr>
          <w:rFonts w:ascii="Verdana" w:eastAsia="Calibri" w:hAnsi="Verdana" w:cs="Times New Roman"/>
          <w:sz w:val="24"/>
        </w:rPr>
        <w:t>39_</w:t>
      </w:r>
      <w:r w:rsidRPr="00137A0F">
        <w:rPr>
          <w:rFonts w:ascii="Verdana" w:eastAsia="Calibri" w:hAnsi="Verdana" w:cs="Times New Roman"/>
          <w:b/>
          <w:bCs/>
          <w:sz w:val="24"/>
        </w:rPr>
        <w:t>Redline</w:t>
      </w:r>
      <w:r w:rsidRPr="00137A0F">
        <w:rPr>
          <w:rFonts w:ascii="Verdana" w:eastAsia="Calibri" w:hAnsi="Verdana" w:cs="Times New Roman"/>
          <w:sz w:val="24"/>
        </w:rPr>
        <w:t xml:space="preserve"> HUD-92337-ORCF - Regulatory Agreement - Master Tenant   </w:t>
      </w:r>
    </w:p>
    <w:p w14:paraId="3445BBBA" w14:textId="77777777" w:rsidR="00137A0F" w:rsidRPr="00137A0F" w:rsidRDefault="00137A0F" w:rsidP="00137A0F">
      <w:pPr>
        <w:spacing w:after="0" w:line="240" w:lineRule="auto"/>
        <w:rPr>
          <w:rFonts w:ascii="Verdana" w:eastAsia="Calibri" w:hAnsi="Verdana" w:cs="Times New Roman"/>
          <w:sz w:val="24"/>
        </w:rPr>
      </w:pPr>
    </w:p>
    <w:p w14:paraId="723FABB4" w14:textId="77777777" w:rsidR="00137A0F" w:rsidRPr="00137A0F" w:rsidRDefault="00137A0F" w:rsidP="00137A0F">
      <w:pPr>
        <w:numPr>
          <w:ilvl w:val="1"/>
          <w:numId w:val="1"/>
        </w:numPr>
        <w:spacing w:after="0" w:line="240" w:lineRule="auto"/>
        <w:rPr>
          <w:rFonts w:ascii="Verdana" w:eastAsia="Calibri" w:hAnsi="Verdana" w:cs="Times New Roman"/>
          <w:sz w:val="24"/>
        </w:rPr>
      </w:pPr>
      <w:r w:rsidRPr="00137A0F">
        <w:rPr>
          <w:rFonts w:ascii="Verdana" w:eastAsia="Calibri" w:hAnsi="Verdana" w:cs="Times New Roman"/>
          <w:sz w:val="24"/>
        </w:rPr>
        <w:t xml:space="preserve">44_HUD-92323-ORCF - Operator Security Agreement </w:t>
      </w:r>
      <w:r w:rsidRPr="00137A0F">
        <w:rPr>
          <w:rFonts w:ascii="Verdana" w:eastAsia="Calibri" w:hAnsi="Verdana" w:cs="Times New Roman"/>
          <w:b/>
          <w:bCs/>
          <w:sz w:val="24"/>
        </w:rPr>
        <w:t>– Seattle Hospital</w:t>
      </w:r>
    </w:p>
    <w:p w14:paraId="0FAB1021" w14:textId="77777777" w:rsidR="00137A0F" w:rsidRPr="00137A0F" w:rsidRDefault="00137A0F" w:rsidP="00137A0F">
      <w:pPr>
        <w:numPr>
          <w:ilvl w:val="1"/>
          <w:numId w:val="1"/>
        </w:numPr>
        <w:spacing w:after="0" w:line="240" w:lineRule="auto"/>
        <w:rPr>
          <w:rFonts w:ascii="Verdana" w:eastAsia="Calibri" w:hAnsi="Verdana" w:cs="Times New Roman"/>
          <w:sz w:val="24"/>
        </w:rPr>
      </w:pPr>
      <w:r w:rsidRPr="00137A0F">
        <w:rPr>
          <w:rFonts w:ascii="Verdana" w:eastAsia="Calibri" w:hAnsi="Verdana" w:cs="Times New Roman"/>
          <w:sz w:val="24"/>
        </w:rPr>
        <w:t xml:space="preserve">44_HUD-92323-ORCF - Operator Security Agreement </w:t>
      </w:r>
      <w:r w:rsidRPr="00137A0F">
        <w:rPr>
          <w:rFonts w:ascii="Verdana" w:eastAsia="Calibri" w:hAnsi="Verdana" w:cs="Times New Roman"/>
          <w:b/>
          <w:bCs/>
          <w:sz w:val="24"/>
        </w:rPr>
        <w:t>– Caring Arms Management Agent</w:t>
      </w:r>
    </w:p>
    <w:p w14:paraId="30967FA8" w14:textId="77777777" w:rsidR="00137A0F" w:rsidRPr="00137A0F" w:rsidRDefault="00137A0F" w:rsidP="00137A0F">
      <w:pPr>
        <w:spacing w:after="0" w:line="240" w:lineRule="auto"/>
        <w:rPr>
          <w:rFonts w:ascii="Verdana" w:eastAsia="Calibri" w:hAnsi="Verdana" w:cs="Times New Roman"/>
          <w:sz w:val="24"/>
        </w:rPr>
      </w:pPr>
    </w:p>
    <w:p w14:paraId="18AC1651" w14:textId="77777777" w:rsidR="00137A0F" w:rsidRPr="00137A0F" w:rsidRDefault="00137A0F" w:rsidP="00137A0F">
      <w:pPr>
        <w:spacing w:after="0" w:line="240" w:lineRule="auto"/>
        <w:rPr>
          <w:rFonts w:ascii="Verdana" w:eastAsia="Calibri" w:hAnsi="Verdana" w:cs="Times New Roman"/>
          <w:sz w:val="24"/>
        </w:rPr>
      </w:pPr>
      <w:r w:rsidRPr="00137A0F">
        <w:rPr>
          <w:rFonts w:ascii="Verdana" w:eastAsia="Calibri" w:hAnsi="Verdana" w:cs="Times New Roman"/>
          <w:sz w:val="24"/>
        </w:rPr>
        <w:t xml:space="preserve">The Document Naming Convention is posted on the Underwriting Guidance page at </w:t>
      </w:r>
      <w:hyperlink r:id="rId8" w:history="1">
        <w:r w:rsidRPr="00137A0F">
          <w:rPr>
            <w:rFonts w:ascii="Verdana" w:eastAsia="Calibri" w:hAnsi="Verdana" w:cs="Times New Roman"/>
            <w:color w:val="0000FF"/>
            <w:sz w:val="24"/>
            <w:u w:val="single"/>
          </w:rPr>
          <w:t>ORCF Document Naming Convention for Checklist Exhibits</w:t>
        </w:r>
      </w:hyperlink>
      <w:r w:rsidRPr="00137A0F">
        <w:rPr>
          <w:rFonts w:ascii="Verdana" w:eastAsia="Calibri" w:hAnsi="Verdana" w:cs="Times New Roman"/>
          <w:sz w:val="24"/>
        </w:rPr>
        <w:t xml:space="preserve">. </w:t>
      </w:r>
    </w:p>
    <w:p w14:paraId="1CE0E371" w14:textId="77777777" w:rsidR="00137A0F" w:rsidRPr="00137A0F" w:rsidRDefault="00137A0F" w:rsidP="00137A0F">
      <w:pPr>
        <w:spacing w:after="0" w:line="240" w:lineRule="auto"/>
        <w:rPr>
          <w:rFonts w:ascii="Verdana" w:eastAsia="Calibri" w:hAnsi="Verdana" w:cs="Times New Roman"/>
          <w:sz w:val="24"/>
        </w:rPr>
      </w:pPr>
    </w:p>
    <w:p w14:paraId="7A821A7F" w14:textId="77777777" w:rsidR="00137A0F" w:rsidRPr="00137A0F" w:rsidRDefault="00137A0F" w:rsidP="00137A0F">
      <w:pPr>
        <w:spacing w:after="0" w:line="240" w:lineRule="auto"/>
        <w:rPr>
          <w:rFonts w:ascii="Verdana" w:eastAsia="Calibri" w:hAnsi="Verdana" w:cs="Times New Roman"/>
          <w:b/>
          <w:bCs/>
          <w:sz w:val="24"/>
          <w:u w:val="single"/>
        </w:rPr>
      </w:pPr>
      <w:r w:rsidRPr="00137A0F">
        <w:rPr>
          <w:rFonts w:ascii="Verdana" w:eastAsia="Calibri" w:hAnsi="Verdana" w:cs="Times New Roman"/>
          <w:b/>
          <w:bCs/>
          <w:sz w:val="24"/>
          <w:u w:val="single"/>
        </w:rPr>
        <w:t>Help Desk</w:t>
      </w:r>
    </w:p>
    <w:p w14:paraId="6C3F8008" w14:textId="1117FB9F" w:rsidR="00137A0F" w:rsidRPr="00137A0F" w:rsidRDefault="00137A0F" w:rsidP="00137A0F">
      <w:pPr>
        <w:spacing w:after="0" w:line="240" w:lineRule="auto"/>
        <w:rPr>
          <w:rFonts w:ascii="Verdana" w:eastAsia="Calibri" w:hAnsi="Verdana" w:cs="Times New Roman"/>
          <w:sz w:val="24"/>
        </w:rPr>
      </w:pPr>
      <w:r w:rsidRPr="00137A0F">
        <w:rPr>
          <w:rFonts w:ascii="Verdana" w:eastAsia="Calibri" w:hAnsi="Verdana" w:cs="Times New Roman"/>
          <w:sz w:val="24"/>
        </w:rPr>
        <w:lastRenderedPageBreak/>
        <w:t xml:space="preserve">As a reminder, if you encounter issues or problems with the Portal that require assistance from the Help Desk, please submit a </w:t>
      </w:r>
      <w:r w:rsidRPr="00137A0F">
        <w:rPr>
          <w:rFonts w:ascii="Verdana" w:eastAsia="Calibri" w:hAnsi="Verdana" w:cs="Times New Roman"/>
          <w:sz w:val="24"/>
          <w:u w:val="single"/>
        </w:rPr>
        <w:t>detailed</w:t>
      </w:r>
      <w:r w:rsidRPr="00137A0F">
        <w:rPr>
          <w:rFonts w:ascii="Verdana" w:eastAsia="Calibri" w:hAnsi="Verdana" w:cs="Times New Roman"/>
          <w:sz w:val="24"/>
        </w:rPr>
        <w:t xml:space="preserve"> request for help to </w:t>
      </w:r>
      <w:hyperlink r:id="rId9" w:history="1">
        <w:r w:rsidRPr="00137A0F">
          <w:rPr>
            <w:rFonts w:ascii="Verdana" w:eastAsia="Calibri" w:hAnsi="Verdana" w:cs="Times New Roman"/>
            <w:color w:val="0000FF"/>
            <w:sz w:val="24"/>
            <w:u w:val="single"/>
          </w:rPr>
          <w:t>hhcp@hud.gov</w:t>
        </w:r>
      </w:hyperlink>
      <w:r w:rsidRPr="00137A0F">
        <w:rPr>
          <w:rFonts w:ascii="Verdana" w:eastAsia="Calibri" w:hAnsi="Verdana" w:cs="Times New Roman"/>
          <w:sz w:val="24"/>
        </w:rPr>
        <w:t xml:space="preserve">.  If you have spoken with other AEs, Lenders, or WLMs who have also experienced the same issue that you have encountered, the Portal staff ask that you </w:t>
      </w:r>
      <w:r w:rsidRPr="00137A0F">
        <w:rPr>
          <w:rFonts w:ascii="Verdana" w:eastAsia="Calibri" w:hAnsi="Verdana" w:cs="Times New Roman"/>
          <w:b/>
          <w:bCs/>
          <w:sz w:val="24"/>
          <w:u w:val="single"/>
        </w:rPr>
        <w:t>please complete your own, separate Help Desk request</w:t>
      </w:r>
      <w:r w:rsidRPr="00137A0F">
        <w:rPr>
          <w:rFonts w:ascii="Verdana" w:eastAsia="Calibri" w:hAnsi="Verdana" w:cs="Times New Roman"/>
          <w:b/>
          <w:bCs/>
          <w:sz w:val="24"/>
        </w:rPr>
        <w:t xml:space="preserve">.  </w:t>
      </w:r>
      <w:r w:rsidRPr="00137A0F">
        <w:rPr>
          <w:rFonts w:ascii="Verdana" w:eastAsia="Calibri" w:hAnsi="Verdana" w:cs="Times New Roman"/>
          <w:sz w:val="24"/>
        </w:rPr>
        <w:t xml:space="preserve">Although the issue may have been reported by others and may be in the process of being addressed by the Portal staff, please submit your own individual request.  The reason for this is to aid the contractor and other Portal staff with a true gauge of </w:t>
      </w:r>
      <w:bookmarkStart w:id="4" w:name="_GoBack"/>
      <w:bookmarkEnd w:id="4"/>
      <w:r w:rsidRPr="00137A0F">
        <w:rPr>
          <w:rFonts w:ascii="Verdana" w:eastAsia="Calibri" w:hAnsi="Verdana" w:cs="Times New Roman"/>
          <w:sz w:val="24"/>
        </w:rPr>
        <w:t xml:space="preserve">just how widespread a </w:t>
      </w:r>
      <w:proofErr w:type="gramStart"/>
      <w:r w:rsidRPr="00137A0F">
        <w:rPr>
          <w:rFonts w:ascii="Verdana" w:eastAsia="Calibri" w:hAnsi="Verdana" w:cs="Times New Roman"/>
          <w:sz w:val="24"/>
        </w:rPr>
        <w:t>particular problem</w:t>
      </w:r>
      <w:proofErr w:type="gramEnd"/>
      <w:r w:rsidRPr="00137A0F">
        <w:rPr>
          <w:rFonts w:ascii="Verdana" w:eastAsia="Calibri" w:hAnsi="Verdana" w:cs="Times New Roman"/>
          <w:sz w:val="24"/>
        </w:rPr>
        <w:t xml:space="preserve"> might be and assist them with establishing priorities.</w:t>
      </w:r>
    </w:p>
    <w:p w14:paraId="5B1FA386" w14:textId="77777777" w:rsidR="00137A0F" w:rsidRPr="00137A0F" w:rsidRDefault="00137A0F" w:rsidP="00137A0F">
      <w:pPr>
        <w:spacing w:after="0" w:line="240" w:lineRule="auto"/>
        <w:rPr>
          <w:rFonts w:ascii="Verdana" w:eastAsia="Calibri" w:hAnsi="Verdana" w:cs="Times New Roman"/>
          <w:sz w:val="24"/>
        </w:rPr>
      </w:pPr>
    </w:p>
    <w:p w14:paraId="67D125D1" w14:textId="77777777" w:rsidR="00137A0F" w:rsidRPr="00137A0F" w:rsidRDefault="00137A0F" w:rsidP="00137A0F">
      <w:pPr>
        <w:spacing w:after="0" w:line="240" w:lineRule="auto"/>
        <w:rPr>
          <w:rFonts w:ascii="Verdana" w:eastAsia="Calibri" w:hAnsi="Verdana" w:cs="Times New Roman"/>
          <w:sz w:val="24"/>
        </w:rPr>
      </w:pPr>
      <w:r w:rsidRPr="00137A0F">
        <w:rPr>
          <w:rFonts w:ascii="Verdana" w:eastAsia="Calibri" w:hAnsi="Verdana" w:cs="Times New Roman"/>
          <w:sz w:val="24"/>
        </w:rPr>
        <w:t xml:space="preserve">You can access other Portal resources including trainings and FAQ’s at: </w:t>
      </w:r>
      <w:hyperlink r:id="rId10" w:history="1">
        <w:r w:rsidRPr="00137A0F">
          <w:rPr>
            <w:rFonts w:ascii="Verdana" w:eastAsia="Calibri" w:hAnsi="Verdana" w:cs="Times New Roman"/>
            <w:color w:val="0000FF"/>
            <w:sz w:val="24"/>
            <w:u w:val="single"/>
          </w:rPr>
          <w:t>How to Access the 232 Healthcare Portal</w:t>
        </w:r>
      </w:hyperlink>
      <w:r w:rsidRPr="00137A0F">
        <w:rPr>
          <w:rFonts w:ascii="Verdana" w:eastAsia="Calibri" w:hAnsi="Verdana" w:cs="Times New Roman"/>
          <w:sz w:val="24"/>
        </w:rPr>
        <w:t xml:space="preserve">. </w:t>
      </w:r>
    </w:p>
    <w:p w14:paraId="5DA4B078" w14:textId="77777777" w:rsidR="00137A0F" w:rsidRPr="00137A0F" w:rsidRDefault="00137A0F" w:rsidP="00137A0F">
      <w:pPr>
        <w:spacing w:after="0" w:line="240" w:lineRule="auto"/>
        <w:rPr>
          <w:rFonts w:ascii="Verdana" w:eastAsia="Calibri" w:hAnsi="Verdana" w:cs="Times New Roman"/>
          <w:sz w:val="24"/>
        </w:rPr>
      </w:pPr>
    </w:p>
    <w:p w14:paraId="1212DADE" w14:textId="77777777" w:rsidR="00137A0F" w:rsidRPr="00137A0F" w:rsidRDefault="00137A0F" w:rsidP="00137A0F">
      <w:pPr>
        <w:spacing w:after="0" w:line="240" w:lineRule="auto"/>
        <w:rPr>
          <w:rFonts w:ascii="Verdana" w:eastAsia="MS Mincho" w:hAnsi="Verdana" w:cs="Times New Roman"/>
          <w:i/>
          <w:sz w:val="24"/>
          <w:szCs w:val="24"/>
        </w:rPr>
      </w:pPr>
      <w:r w:rsidRPr="00137A0F">
        <w:rPr>
          <w:rFonts w:ascii="Verdana" w:eastAsia="MS Mincho" w:hAnsi="Verdana" w:cs="Times New Roman"/>
          <w:b/>
          <w:i/>
          <w:sz w:val="24"/>
          <w:szCs w:val="24"/>
        </w:rPr>
        <w:t>Keywords:</w:t>
      </w:r>
      <w:r w:rsidRPr="00137A0F">
        <w:rPr>
          <w:rFonts w:ascii="Verdana" w:eastAsia="MS Mincho" w:hAnsi="Verdana" w:cs="Times New Roman"/>
          <w:i/>
          <w:sz w:val="24"/>
          <w:szCs w:val="24"/>
        </w:rPr>
        <w:tab/>
        <w:t>232 Healthcare Portal</w:t>
      </w:r>
    </w:p>
    <w:p w14:paraId="78632001" w14:textId="77777777" w:rsidR="00137A0F" w:rsidRPr="00137A0F" w:rsidRDefault="00137A0F" w:rsidP="00137A0F">
      <w:pPr>
        <w:spacing w:after="0" w:line="240" w:lineRule="auto"/>
        <w:rPr>
          <w:rFonts w:ascii="Verdana" w:eastAsia="MS Mincho" w:hAnsi="Verdana" w:cs="Times New Roman"/>
          <w:b/>
          <w:sz w:val="24"/>
          <w:szCs w:val="24"/>
        </w:rPr>
      </w:pPr>
    </w:p>
    <w:p w14:paraId="0DCFD0C2" w14:textId="77777777" w:rsidR="00137A0F" w:rsidRPr="00137A0F" w:rsidRDefault="00137A0F" w:rsidP="00137A0F">
      <w:pPr>
        <w:spacing w:after="0" w:line="240" w:lineRule="auto"/>
        <w:rPr>
          <w:rFonts w:ascii="Verdana" w:eastAsia="Calibri" w:hAnsi="Verdana" w:cs="Times New Roman"/>
          <w:color w:val="0000FF"/>
          <w:sz w:val="24"/>
          <w:u w:val="single"/>
        </w:rPr>
      </w:pPr>
      <w:hyperlink w:anchor="_top" w:history="1">
        <w:r w:rsidRPr="00137A0F">
          <w:rPr>
            <w:rFonts w:ascii="Verdana" w:eastAsia="Calibri" w:hAnsi="Verdana" w:cs="Times New Roman"/>
            <w:color w:val="0000FF"/>
            <w:sz w:val="24"/>
            <w:u w:val="single"/>
          </w:rPr>
          <w:t>Back to top</w:t>
        </w:r>
      </w:hyperlink>
    </w:p>
    <w:p w14:paraId="788868D5" w14:textId="77777777" w:rsidR="00137A0F" w:rsidRPr="00137A0F" w:rsidRDefault="00137A0F" w:rsidP="00137A0F">
      <w:pPr>
        <w:spacing w:after="0" w:line="240" w:lineRule="auto"/>
        <w:rPr>
          <w:rFonts w:ascii="Verdana" w:eastAsia="Calibri" w:hAnsi="Verdana" w:cs="Times New Roman"/>
          <w:sz w:val="24"/>
        </w:rPr>
      </w:pPr>
    </w:p>
    <w:p w14:paraId="242AA2B9" w14:textId="77777777" w:rsidR="00137A0F" w:rsidRPr="00137A0F" w:rsidRDefault="00137A0F" w:rsidP="00137A0F">
      <w:pPr>
        <w:spacing w:after="0" w:line="240" w:lineRule="auto"/>
        <w:jc w:val="center"/>
        <w:rPr>
          <w:rFonts w:ascii="Verdana" w:eastAsia="Calibri" w:hAnsi="Verdana" w:cs="Times New Roman"/>
          <w:color w:val="000000"/>
        </w:rPr>
      </w:pPr>
      <w:r w:rsidRPr="00137A0F">
        <w:rPr>
          <w:rFonts w:ascii="Verdana" w:eastAsia="Calibri" w:hAnsi="Verdana" w:cs="Times New Roman"/>
          <w:b/>
          <w:noProof/>
          <w:color w:val="1F497D"/>
        </w:rPr>
        <w:drawing>
          <wp:inline distT="0" distB="0" distL="0" distR="0" wp14:anchorId="31ABC085" wp14:editId="250580AA">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12B16A0D" w14:textId="77777777" w:rsidR="00137A0F" w:rsidRPr="00137A0F" w:rsidRDefault="00137A0F" w:rsidP="00137A0F">
      <w:pPr>
        <w:spacing w:before="100" w:beforeAutospacing="1" w:after="100" w:afterAutospacing="1" w:line="240" w:lineRule="auto"/>
        <w:rPr>
          <w:rFonts w:ascii="Verdana" w:eastAsia="Calibri" w:hAnsi="Verdana" w:cs="Times New Roman"/>
          <w:sz w:val="24"/>
          <w:szCs w:val="24"/>
        </w:rPr>
      </w:pPr>
      <w:r w:rsidRPr="00137A0F">
        <w:rPr>
          <w:rFonts w:ascii="Verdana" w:eastAsia="Calibri" w:hAnsi="Verdana" w:cs="Times New Roman"/>
          <w:sz w:val="24"/>
          <w:szCs w:val="24"/>
        </w:rPr>
        <w:t xml:space="preserve">Past Lean 232 Updates are </w:t>
      </w:r>
      <w:hyperlink r:id="rId11" w:history="1">
        <w:r w:rsidRPr="00137A0F">
          <w:rPr>
            <w:rFonts w:ascii="Verdana" w:eastAsia="Calibri" w:hAnsi="Verdana" w:cs="Times New Roman"/>
            <w:color w:val="0000FF"/>
            <w:sz w:val="24"/>
            <w:szCs w:val="24"/>
            <w:u w:val="single"/>
          </w:rPr>
          <w:t>available online</w:t>
        </w:r>
      </w:hyperlink>
      <w:r w:rsidRPr="00137A0F">
        <w:rPr>
          <w:rFonts w:ascii="Verdana" w:eastAsia="Calibri" w:hAnsi="Verdana" w:cs="Times New Roman"/>
          <w:sz w:val="24"/>
          <w:szCs w:val="24"/>
        </w:rPr>
        <w:t>.</w:t>
      </w:r>
    </w:p>
    <w:p w14:paraId="3B3E3C34" w14:textId="77777777" w:rsidR="00137A0F" w:rsidRPr="00137A0F" w:rsidRDefault="00137A0F" w:rsidP="00137A0F">
      <w:pPr>
        <w:spacing w:before="100" w:beforeAutospacing="1" w:after="100" w:afterAutospacing="1" w:line="240" w:lineRule="auto"/>
        <w:rPr>
          <w:rFonts w:ascii="Verdana" w:eastAsia="Calibri" w:hAnsi="Verdana" w:cs="Times New Roman"/>
          <w:sz w:val="24"/>
          <w:szCs w:val="24"/>
        </w:rPr>
      </w:pPr>
      <w:r w:rsidRPr="00137A0F">
        <w:rPr>
          <w:rFonts w:ascii="Verdana" w:eastAsia="Calibri" w:hAnsi="Verdana" w:cs="Times New Roman"/>
          <w:sz w:val="24"/>
          <w:szCs w:val="24"/>
        </w:rPr>
        <w:t xml:space="preserve">Have questions about the Lean 232 Program? Please contact </w:t>
      </w:r>
      <w:hyperlink r:id="rId12" w:history="1">
        <w:r w:rsidRPr="00137A0F">
          <w:rPr>
            <w:rFonts w:ascii="Verdana" w:eastAsia="Calibri" w:hAnsi="Verdana" w:cs="Times New Roman"/>
            <w:color w:val="0000FF"/>
            <w:sz w:val="24"/>
            <w:szCs w:val="24"/>
            <w:u w:val="single"/>
          </w:rPr>
          <w:t>LeanThinking@hud.gov</w:t>
        </w:r>
      </w:hyperlink>
      <w:r w:rsidRPr="00137A0F">
        <w:rPr>
          <w:rFonts w:ascii="Verdana" w:eastAsia="Calibri" w:hAnsi="Verdana" w:cs="Times New Roman"/>
          <w:sz w:val="24"/>
          <w:szCs w:val="24"/>
        </w:rPr>
        <w:t>.</w:t>
      </w:r>
    </w:p>
    <w:p w14:paraId="5D987BAB" w14:textId="77777777" w:rsidR="00137A0F" w:rsidRPr="00137A0F" w:rsidRDefault="00137A0F" w:rsidP="00137A0F">
      <w:pPr>
        <w:spacing w:before="100" w:beforeAutospacing="1" w:after="100" w:afterAutospacing="1" w:line="240" w:lineRule="auto"/>
        <w:rPr>
          <w:rFonts w:ascii="Verdana" w:eastAsia="Calibri" w:hAnsi="Verdana" w:cs="Times New Roman"/>
          <w:sz w:val="24"/>
          <w:szCs w:val="24"/>
        </w:rPr>
      </w:pPr>
      <w:r w:rsidRPr="00137A0F">
        <w:rPr>
          <w:rFonts w:ascii="Verdana" w:eastAsia="Calibri" w:hAnsi="Verdana" w:cs="Times New Roman"/>
          <w:sz w:val="24"/>
          <w:szCs w:val="24"/>
        </w:rPr>
        <w:t xml:space="preserve">For more information on the Lean 232 Program, check out: </w:t>
      </w:r>
      <w:hyperlink r:id="rId13" w:history="1">
        <w:r w:rsidRPr="00137A0F">
          <w:rPr>
            <w:rFonts w:ascii="Verdana" w:eastAsia="Calibri" w:hAnsi="Verdana" w:cs="Times New Roman"/>
            <w:color w:val="0000FF"/>
            <w:sz w:val="24"/>
            <w:szCs w:val="24"/>
            <w:u w:val="single"/>
          </w:rPr>
          <w:t>http://www.hud.gov/healthcare</w:t>
        </w:r>
      </w:hyperlink>
      <w:r w:rsidRPr="00137A0F">
        <w:rPr>
          <w:rFonts w:ascii="Verdana" w:eastAsia="Calibri" w:hAnsi="Verdana" w:cs="Times New Roman"/>
          <w:sz w:val="24"/>
          <w:szCs w:val="24"/>
        </w:rPr>
        <w:t>.</w:t>
      </w:r>
    </w:p>
    <w:p w14:paraId="3DCD34B9" w14:textId="77777777" w:rsidR="00137A0F" w:rsidRPr="00137A0F" w:rsidRDefault="00137A0F" w:rsidP="00137A0F">
      <w:pPr>
        <w:spacing w:before="100" w:beforeAutospacing="1" w:after="100" w:afterAutospacing="1" w:line="240" w:lineRule="auto"/>
        <w:rPr>
          <w:rFonts w:ascii="Verdana" w:eastAsia="Calibri" w:hAnsi="Verdana" w:cs="Times New Roman"/>
          <w:sz w:val="24"/>
          <w:szCs w:val="24"/>
        </w:rPr>
      </w:pPr>
      <w:r w:rsidRPr="00137A0F">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4" w:history="1">
        <w:r w:rsidRPr="00137A0F">
          <w:rPr>
            <w:rFonts w:ascii="Verdana" w:eastAsia="Calibri" w:hAnsi="Verdana" w:cs="Times New Roman"/>
            <w:color w:val="0000FF"/>
            <w:sz w:val="24"/>
            <w:szCs w:val="24"/>
            <w:u w:val="single"/>
          </w:rPr>
          <w:t>Join here</w:t>
        </w:r>
      </w:hyperlink>
      <w:r w:rsidRPr="00137A0F">
        <w:rPr>
          <w:rFonts w:ascii="Verdana" w:eastAsia="Calibri" w:hAnsi="Verdana" w:cs="Times New Roman"/>
          <w:sz w:val="24"/>
          <w:szCs w:val="24"/>
        </w:rPr>
        <w:t>.</w:t>
      </w:r>
    </w:p>
    <w:p w14:paraId="046C82BD" w14:textId="77777777" w:rsidR="00137A0F" w:rsidRPr="00137A0F" w:rsidRDefault="00137A0F" w:rsidP="00137A0F">
      <w:pPr>
        <w:spacing w:before="100" w:beforeAutospacing="1" w:after="100" w:afterAutospacing="1" w:line="240" w:lineRule="auto"/>
        <w:rPr>
          <w:rFonts w:ascii="Verdana" w:eastAsia="Calibri" w:hAnsi="Verdana" w:cs="Times New Roman"/>
          <w:sz w:val="24"/>
          <w:szCs w:val="24"/>
        </w:rPr>
      </w:pPr>
      <w:r w:rsidRPr="00137A0F">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5" w:history="1">
        <w:r w:rsidRPr="00137A0F">
          <w:rPr>
            <w:rFonts w:ascii="Verdana" w:eastAsia="Calibri" w:hAnsi="Verdana" w:cs="Times New Roman"/>
            <w:color w:val="0000FF"/>
            <w:sz w:val="24"/>
            <w:szCs w:val="24"/>
            <w:u w:val="single"/>
          </w:rPr>
          <w:t>go here</w:t>
        </w:r>
      </w:hyperlink>
      <w:r w:rsidRPr="00137A0F">
        <w:rPr>
          <w:rFonts w:ascii="Verdana" w:eastAsia="Calibri" w:hAnsi="Verdana" w:cs="Times New Roman"/>
          <w:sz w:val="24"/>
          <w:szCs w:val="24"/>
        </w:rPr>
        <w:t>.</w:t>
      </w:r>
    </w:p>
    <w:p w14:paraId="674E8201" w14:textId="77777777" w:rsidR="00202254" w:rsidRDefault="00202254"/>
    <w:sectPr w:rsidR="00202254" w:rsidSect="00E217E8">
      <w:head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47089F37" w14:textId="77777777" w:rsidR="0089592C" w:rsidRDefault="007F03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D0D01B" w14:textId="4CA342E5" w:rsidR="008F66AB" w:rsidRDefault="007F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B58F9"/>
    <w:multiLevelType w:val="hybridMultilevel"/>
    <w:tmpl w:val="BDEC8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0F"/>
    <w:rsid w:val="00137A0F"/>
    <w:rsid w:val="00202254"/>
    <w:rsid w:val="007F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FB6F3"/>
  <w15:chartTrackingRefBased/>
  <w15:docId w15:val="{9FD0F907-E6E5-41ED-995E-0131ED88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A0F"/>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137A0F"/>
    <w:rPr>
      <w:rFonts w:ascii="Verdana" w:eastAsia="Calibri" w:hAnsi="Verdana" w:cs="Times New Roman"/>
      <w:sz w:val="24"/>
    </w:rPr>
  </w:style>
  <w:style w:type="character" w:styleId="Hyperlink">
    <w:name w:val="Hyperlink"/>
    <w:basedOn w:val="DefaultParagraphFont"/>
    <w:uiPriority w:val="99"/>
    <w:unhideWhenUsed/>
    <w:rsid w:val="00137A0F"/>
    <w:rPr>
      <w:color w:val="0563C1" w:themeColor="hyperlink"/>
      <w:u w:val="single"/>
    </w:rPr>
  </w:style>
  <w:style w:type="character" w:styleId="UnresolvedMention">
    <w:name w:val="Unresolved Mention"/>
    <w:basedOn w:val="DefaultParagraphFont"/>
    <w:uiPriority w:val="99"/>
    <w:semiHidden/>
    <w:unhideWhenUsed/>
    <w:rsid w:val="00137A0F"/>
    <w:rPr>
      <w:color w:val="605E5C"/>
      <w:shd w:val="clear" w:color="auto" w:fill="E1DFDD"/>
    </w:rPr>
  </w:style>
  <w:style w:type="character" w:styleId="FollowedHyperlink">
    <w:name w:val="FollowedHyperlink"/>
    <w:basedOn w:val="DefaultParagraphFont"/>
    <w:uiPriority w:val="99"/>
    <w:semiHidden/>
    <w:unhideWhenUsed/>
    <w:rsid w:val="007F0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files/Housing/documents/Portal-FileNaming-FirmApplication.xlsx" TargetMode="External"/><Relationship Id="rId13" Type="http://schemas.openxmlformats.org/officeDocument/2006/relationships/hyperlink" Target="http://www.hud.gov/healthca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gov/federal_housing_administration/healthcare_facilities/residential_care/final_232_documents" TargetMode="External"/><Relationship Id="rId12" Type="http://schemas.openxmlformats.org/officeDocument/2006/relationships/hyperlink" Target="mailto:LeanThinking@hud.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s://www.hud.gov/sites/dfiles/Housing/documents/JulyEmailBlast07052019.docx" TargetMode="External"/><Relationship Id="rId11" Type="http://schemas.openxmlformats.org/officeDocument/2006/relationships/hyperlink" Target="http://portal.hud.gov/hudportal/HUD?src=/federal_housing_administration/healthcare_facilities/residential_care/mail_blast_index" TargetMode="External"/><Relationship Id="rId5" Type="http://schemas.openxmlformats.org/officeDocument/2006/relationships/image" Target="media/image1.png"/><Relationship Id="rId15" Type="http://schemas.openxmlformats.org/officeDocument/2006/relationships/hyperlink" Target="http://portal.hud.gov/hudportal/HUD?src=/subscribe/signup&amp;listname=Lean%20232%20Updates&amp;list=LEAN-232-UPDATES-L" TargetMode="External"/><Relationship Id="rId10" Type="http://schemas.openxmlformats.org/officeDocument/2006/relationships/hyperlink" Target="https://www.hud.gov/federal_housing_administration/healthcare_facilities/residential_care/232_healthcare_portal" TargetMode="External"/><Relationship Id="rId4" Type="http://schemas.openxmlformats.org/officeDocument/2006/relationships/webSettings" Target="webSettings.xml"/><Relationship Id="rId9" Type="http://schemas.openxmlformats.org/officeDocument/2006/relationships/hyperlink" Target="mailto:hhcp@hud.gov" TargetMode="External"/><Relationship Id="rId14" Type="http://schemas.openxmlformats.org/officeDocument/2006/relationships/hyperlink" Target="http://portal.hud.gov/hudportal/HUD?src=/subscribe/signup&amp;listname=Lean%20232%20Updates&amp;list=LEAN-232-UPDATE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2</cp:revision>
  <dcterms:created xsi:type="dcterms:W3CDTF">2019-08-05T20:19:00Z</dcterms:created>
  <dcterms:modified xsi:type="dcterms:W3CDTF">2019-08-05T20:19:00Z</dcterms:modified>
</cp:coreProperties>
</file>