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79DE97D8" w:rsidR="008819F8" w:rsidRPr="00863472" w:rsidRDefault="000112A7" w:rsidP="00863472">
      <w:pPr>
        <w:pStyle w:val="NormalWeb"/>
        <w:jc w:val="center"/>
        <w:rPr>
          <w:rFonts w:ascii="Verdana" w:hAnsi="Verdana"/>
          <w:sz w:val="22"/>
          <w:szCs w:val="22"/>
        </w:rPr>
      </w:pPr>
      <w:bookmarkStart w:id="0" w:name="_Hlk33784864"/>
      <w:r>
        <w:rPr>
          <w:rFonts w:ascii="Arial" w:hAnsi="Arial" w:cs="Arial"/>
          <w:noProof/>
          <w:sz w:val="28"/>
          <w:szCs w:val="28"/>
        </w:rPr>
        <w:drawing>
          <wp:inline distT="0" distB="0" distL="0" distR="0" wp14:anchorId="39D6D3C5" wp14:editId="7851EC2E">
            <wp:extent cx="5943600" cy="952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2415"/>
                    </a:xfrm>
                    <a:prstGeom prst="rect">
                      <a:avLst/>
                    </a:prstGeom>
                    <a:noFill/>
                    <a:ln>
                      <a:noFill/>
                    </a:ln>
                  </pic:spPr>
                </pic:pic>
              </a:graphicData>
            </a:graphic>
          </wp:inline>
        </w:drawing>
      </w:r>
    </w:p>
    <w:p w14:paraId="6E0E603E" w14:textId="77777777" w:rsidR="008819F8" w:rsidRPr="00863472" w:rsidRDefault="008819F8" w:rsidP="00863472"/>
    <w:p w14:paraId="6E0E6040" w14:textId="0BC26CB4" w:rsidR="00743DDB" w:rsidRPr="001F5102" w:rsidRDefault="00106499" w:rsidP="00863472">
      <w:pPr>
        <w:pStyle w:val="NoSpacing"/>
        <w:rPr>
          <w:rFonts w:ascii="Arial" w:hAnsi="Arial" w:cs="Arial"/>
          <w:iCs/>
          <w:sz w:val="28"/>
          <w:szCs w:val="28"/>
        </w:rPr>
      </w:pPr>
      <w:r>
        <w:rPr>
          <w:rFonts w:ascii="Arial" w:hAnsi="Arial" w:cs="Arial"/>
          <w:iCs/>
          <w:sz w:val="28"/>
          <w:szCs w:val="28"/>
        </w:rPr>
        <w:t>April 30</w:t>
      </w:r>
      <w:r w:rsidR="008129A3" w:rsidRPr="001F5102">
        <w:rPr>
          <w:rFonts w:ascii="Arial" w:hAnsi="Arial" w:cs="Arial"/>
          <w:iCs/>
          <w:sz w:val="28"/>
          <w:szCs w:val="28"/>
        </w:rPr>
        <w:t>, 20</w:t>
      </w:r>
      <w:r w:rsidR="001F686F" w:rsidRPr="001F5102">
        <w:rPr>
          <w:rFonts w:ascii="Arial" w:hAnsi="Arial" w:cs="Arial"/>
          <w:iCs/>
          <w:sz w:val="28"/>
          <w:szCs w:val="28"/>
        </w:rPr>
        <w:t>20</w:t>
      </w:r>
    </w:p>
    <w:p w14:paraId="6E0E6041" w14:textId="47EB3F21" w:rsidR="00E55131" w:rsidRDefault="00E55131" w:rsidP="00863472">
      <w:pPr>
        <w:pStyle w:val="NoSpacing"/>
        <w:rPr>
          <w:rFonts w:ascii="Arial" w:hAnsi="Arial" w:cs="Arial"/>
          <w:bCs/>
          <w:iCs/>
          <w:sz w:val="28"/>
          <w:szCs w:val="28"/>
        </w:rPr>
      </w:pPr>
    </w:p>
    <w:p w14:paraId="3AC06F67" w14:textId="77777777" w:rsidR="00106499" w:rsidRPr="00B70FB5" w:rsidRDefault="00106499" w:rsidP="00106499">
      <w:pPr>
        <w:contextualSpacing/>
        <w:rPr>
          <w:rFonts w:ascii="Arial" w:hAnsi="Arial" w:cs="Arial"/>
          <w:color w:val="000066"/>
          <w:sz w:val="28"/>
          <w:szCs w:val="28"/>
        </w:rPr>
      </w:pPr>
      <w:r w:rsidRPr="00B70FB5">
        <w:rPr>
          <w:rFonts w:ascii="Arial" w:hAnsi="Arial" w:cs="Arial"/>
          <w:color w:val="000066"/>
          <w:sz w:val="28"/>
          <w:szCs w:val="28"/>
        </w:rPr>
        <w:t>In This Update</w:t>
      </w:r>
    </w:p>
    <w:p w14:paraId="26E1AD41" w14:textId="77777777" w:rsidR="00106499" w:rsidRPr="00B70FB5" w:rsidRDefault="00106499" w:rsidP="00863472">
      <w:pPr>
        <w:pStyle w:val="NoSpacing"/>
        <w:rPr>
          <w:rFonts w:ascii="Arial" w:hAnsi="Arial" w:cs="Arial"/>
          <w:bCs/>
          <w:iCs/>
          <w:color w:val="000066"/>
          <w:sz w:val="24"/>
          <w:szCs w:val="24"/>
        </w:rPr>
      </w:pPr>
    </w:p>
    <w:p w14:paraId="4C25662E" w14:textId="77777777" w:rsidR="008B74CB" w:rsidRPr="00B70FB5" w:rsidRDefault="00396DB3" w:rsidP="00307651">
      <w:pPr>
        <w:pStyle w:val="TOC1"/>
        <w:rPr>
          <w:rFonts w:asciiTheme="minorHAnsi" w:eastAsiaTheme="minorEastAsia" w:hAnsiTheme="minorHAnsi" w:cstheme="minorBidi"/>
          <w:sz w:val="22"/>
        </w:rPr>
      </w:pPr>
      <w:r w:rsidRPr="00B70FB5">
        <w:rPr>
          <w:i/>
        </w:rPr>
        <w:fldChar w:fldCharType="begin"/>
      </w:r>
      <w:r w:rsidRPr="00B70FB5">
        <w:rPr>
          <w:i/>
        </w:rPr>
        <w:instrText xml:space="preserve"> TOC \o "1-3" \n \h \z \u </w:instrText>
      </w:r>
      <w:r w:rsidRPr="00B70FB5">
        <w:rPr>
          <w:i/>
        </w:rPr>
        <w:fldChar w:fldCharType="separate"/>
      </w:r>
      <w:hyperlink w:anchor="_Toc39074164" w:history="1">
        <w:r w:rsidR="008B74CB" w:rsidRPr="00B70FB5">
          <w:rPr>
            <w:rStyle w:val="Hyperlink"/>
            <w:color w:val="000066"/>
          </w:rPr>
          <w:t>The Office of Residential Care Facilities (ORCF) and the COVID-19 Pandemic</w:t>
        </w:r>
      </w:hyperlink>
    </w:p>
    <w:p w14:paraId="51CDC8A7" w14:textId="77777777" w:rsidR="008B74CB" w:rsidRPr="00B70FB5" w:rsidRDefault="009E419D" w:rsidP="00307651">
      <w:pPr>
        <w:pStyle w:val="TOC1"/>
        <w:rPr>
          <w:rFonts w:asciiTheme="minorHAnsi" w:eastAsiaTheme="minorEastAsia" w:hAnsiTheme="minorHAnsi" w:cstheme="minorBidi"/>
          <w:sz w:val="22"/>
        </w:rPr>
      </w:pPr>
      <w:hyperlink w:anchor="_Toc39074165" w:history="1">
        <w:r w:rsidR="008B74CB" w:rsidRPr="00B70FB5">
          <w:rPr>
            <w:rStyle w:val="Hyperlink"/>
            <w:color w:val="000066"/>
          </w:rPr>
          <w:t>Revised Production Application Checklists</w:t>
        </w:r>
      </w:hyperlink>
    </w:p>
    <w:p w14:paraId="5E97959E" w14:textId="77777777" w:rsidR="008B74CB" w:rsidRPr="00B70FB5" w:rsidRDefault="009E419D" w:rsidP="00307651">
      <w:pPr>
        <w:pStyle w:val="TOC1"/>
        <w:rPr>
          <w:rFonts w:asciiTheme="minorHAnsi" w:eastAsiaTheme="minorEastAsia" w:hAnsiTheme="minorHAnsi" w:cstheme="minorBidi"/>
          <w:sz w:val="22"/>
        </w:rPr>
      </w:pPr>
      <w:hyperlink w:anchor="_Toc39074166" w:history="1">
        <w:r w:rsidR="008B74CB" w:rsidRPr="00B70FB5">
          <w:rPr>
            <w:rStyle w:val="Hyperlink"/>
            <w:color w:val="000066"/>
          </w:rPr>
          <w:t>Revised Loan Modification Checklist</w:t>
        </w:r>
      </w:hyperlink>
    </w:p>
    <w:p w14:paraId="7853BE43" w14:textId="77777777" w:rsidR="008B74CB" w:rsidRPr="00B70FB5" w:rsidRDefault="009E419D" w:rsidP="00307651">
      <w:pPr>
        <w:pStyle w:val="TOC1"/>
        <w:rPr>
          <w:rFonts w:asciiTheme="minorHAnsi" w:eastAsiaTheme="minorEastAsia" w:hAnsiTheme="minorHAnsi" w:cstheme="minorBidi"/>
          <w:sz w:val="22"/>
        </w:rPr>
      </w:pPr>
      <w:hyperlink w:anchor="_Toc39074167" w:history="1">
        <w:r w:rsidR="008B74CB" w:rsidRPr="00B70FB5">
          <w:rPr>
            <w:rStyle w:val="Hyperlink"/>
            <w:color w:val="000066"/>
          </w:rPr>
          <w:t>Request for Review of Pay.gov Submission Data</w:t>
        </w:r>
      </w:hyperlink>
    </w:p>
    <w:p w14:paraId="3FB717CF" w14:textId="77777777" w:rsidR="008B74CB" w:rsidRPr="00B70FB5" w:rsidRDefault="009E419D" w:rsidP="00307651">
      <w:pPr>
        <w:pStyle w:val="TOC1"/>
        <w:rPr>
          <w:rFonts w:asciiTheme="minorHAnsi" w:eastAsiaTheme="minorEastAsia" w:hAnsiTheme="minorHAnsi" w:cstheme="minorBidi"/>
          <w:sz w:val="22"/>
        </w:rPr>
      </w:pPr>
      <w:hyperlink w:anchor="_Toc39074168" w:history="1">
        <w:r w:rsidR="008B74CB" w:rsidRPr="00B70FB5">
          <w:rPr>
            <w:rStyle w:val="Hyperlink"/>
            <w:color w:val="000066"/>
          </w:rPr>
          <w:t>Consideration of Business Income Coverage Provisions of Property Insurance Policies in light of COVID-19</w:t>
        </w:r>
      </w:hyperlink>
    </w:p>
    <w:p w14:paraId="6E19499F" w14:textId="77777777" w:rsidR="008B74CB" w:rsidRPr="00B70FB5" w:rsidRDefault="009E419D" w:rsidP="00307651">
      <w:pPr>
        <w:pStyle w:val="TOC1"/>
        <w:rPr>
          <w:rFonts w:asciiTheme="minorHAnsi" w:eastAsiaTheme="minorEastAsia" w:hAnsiTheme="minorHAnsi" w:cstheme="minorBidi"/>
          <w:sz w:val="22"/>
        </w:rPr>
      </w:pPr>
      <w:hyperlink w:anchor="_Toc39074169" w:history="1">
        <w:r w:rsidR="008B74CB" w:rsidRPr="00B70FB5">
          <w:rPr>
            <w:rStyle w:val="Hyperlink"/>
            <w:color w:val="000066"/>
          </w:rPr>
          <w:t>ORCF Asset Management Reminder about Email Blasts</w:t>
        </w:r>
      </w:hyperlink>
    </w:p>
    <w:p w14:paraId="5B2A4867" w14:textId="77777777" w:rsidR="008B74CB" w:rsidRPr="00B70FB5" w:rsidRDefault="009E419D" w:rsidP="00307651">
      <w:pPr>
        <w:pStyle w:val="TOC1"/>
        <w:rPr>
          <w:rFonts w:asciiTheme="minorHAnsi" w:eastAsiaTheme="minorEastAsia" w:hAnsiTheme="minorHAnsi" w:cstheme="minorBidi"/>
          <w:sz w:val="22"/>
        </w:rPr>
      </w:pPr>
      <w:hyperlink w:anchor="_Toc39074170" w:history="1">
        <w:r w:rsidR="008B74CB" w:rsidRPr="00B70FB5">
          <w:rPr>
            <w:rStyle w:val="Hyperlink"/>
            <w:color w:val="000066"/>
          </w:rPr>
          <w:t>ORCF Asset Management Risk Monitoring Routine Launch</w:t>
        </w:r>
      </w:hyperlink>
    </w:p>
    <w:p w14:paraId="00288A23" w14:textId="77777777" w:rsidR="008B74CB" w:rsidRPr="00B70FB5" w:rsidRDefault="009E419D" w:rsidP="00307651">
      <w:pPr>
        <w:pStyle w:val="TOC1"/>
        <w:rPr>
          <w:rFonts w:asciiTheme="minorHAnsi" w:eastAsiaTheme="minorEastAsia" w:hAnsiTheme="minorHAnsi" w:cstheme="minorBidi"/>
          <w:sz w:val="22"/>
        </w:rPr>
      </w:pPr>
      <w:hyperlink w:anchor="_Toc39074171" w:history="1">
        <w:r w:rsidR="008B74CB" w:rsidRPr="00B70FB5">
          <w:rPr>
            <w:rStyle w:val="Hyperlink"/>
            <w:color w:val="000066"/>
          </w:rPr>
          <w:t>Reminding Section 232 Lenders/Servicers of Their Obligations</w:t>
        </w:r>
      </w:hyperlink>
    </w:p>
    <w:p w14:paraId="2E4817B7" w14:textId="77777777" w:rsidR="008B74CB" w:rsidRPr="00B70FB5" w:rsidRDefault="009E419D" w:rsidP="00307651">
      <w:pPr>
        <w:pStyle w:val="TOC1"/>
        <w:rPr>
          <w:rFonts w:asciiTheme="minorHAnsi" w:eastAsiaTheme="minorEastAsia" w:hAnsiTheme="minorHAnsi" w:cstheme="minorBidi"/>
          <w:sz w:val="22"/>
        </w:rPr>
      </w:pPr>
      <w:hyperlink w:anchor="_Toc39074172" w:history="1">
        <w:r w:rsidR="008B74CB" w:rsidRPr="00B70FB5">
          <w:rPr>
            <w:rStyle w:val="Hyperlink"/>
            <w:color w:val="000066"/>
          </w:rPr>
          <w:t>ORCF Asset Management Update on Operator Financial Submissions</w:t>
        </w:r>
      </w:hyperlink>
    </w:p>
    <w:p w14:paraId="1EC28766" w14:textId="77777777" w:rsidR="008B74CB" w:rsidRPr="00307651" w:rsidRDefault="009E419D" w:rsidP="00307651">
      <w:pPr>
        <w:pStyle w:val="TOC1"/>
        <w:rPr>
          <w:rFonts w:eastAsiaTheme="minorEastAsia"/>
          <w:sz w:val="22"/>
        </w:rPr>
      </w:pPr>
      <w:hyperlink w:anchor="_Toc39074173" w:history="1">
        <w:r w:rsidR="008B74CB" w:rsidRPr="00307651">
          <w:rPr>
            <w:rStyle w:val="Hyperlink"/>
            <w:color w:val="000066"/>
          </w:rPr>
          <w:t>Enhanced Resources for Notifying ORCF of Action Plans</w:t>
        </w:r>
      </w:hyperlink>
    </w:p>
    <w:p w14:paraId="6E0E6047" w14:textId="27D11398" w:rsidR="00743DDB" w:rsidRPr="00B70FB5" w:rsidRDefault="00396DB3" w:rsidP="00863472">
      <w:pPr>
        <w:rPr>
          <w:rFonts w:ascii="Arial" w:hAnsi="Arial" w:cs="Arial"/>
          <w:iCs/>
          <w:color w:val="000066"/>
        </w:rPr>
      </w:pPr>
      <w:r w:rsidRPr="00B70FB5">
        <w:rPr>
          <w:rFonts w:ascii="Arial" w:hAnsi="Arial" w:cs="Arial"/>
          <w:i/>
          <w:color w:val="000066"/>
        </w:rPr>
        <w:fldChar w:fldCharType="end"/>
      </w:r>
    </w:p>
    <w:p w14:paraId="5A625462" w14:textId="77777777" w:rsidR="000112A7" w:rsidRPr="00B70FB5" w:rsidRDefault="000112A7" w:rsidP="00863472">
      <w:pPr>
        <w:rPr>
          <w:rFonts w:ascii="Arial" w:hAnsi="Arial" w:cs="Arial"/>
          <w:iCs/>
          <w:color w:val="000066"/>
        </w:rPr>
      </w:pPr>
    </w:p>
    <w:p w14:paraId="5931F295" w14:textId="31BC7B51" w:rsidR="001D18AC" w:rsidRPr="00B70FB5" w:rsidRDefault="008B74CB" w:rsidP="00B70FB5">
      <w:pPr>
        <w:pStyle w:val="EmailBlast"/>
      </w:pPr>
      <w:bookmarkStart w:id="1" w:name="_Toc380585836"/>
      <w:bookmarkStart w:id="2" w:name="_Toc39074164"/>
      <w:bookmarkStart w:id="3" w:name="_Hlk37338817"/>
      <w:bookmarkEnd w:id="1"/>
      <w:r w:rsidRPr="00B70FB5">
        <w:t>The Office of Residential Care Facilities (</w:t>
      </w:r>
      <w:proofErr w:type="spellStart"/>
      <w:r w:rsidRPr="00B70FB5">
        <w:t>ORCF</w:t>
      </w:r>
      <w:proofErr w:type="spellEnd"/>
      <w:r w:rsidRPr="00B70FB5">
        <w:t xml:space="preserve">) and the </w:t>
      </w:r>
      <w:r w:rsidR="001D18AC" w:rsidRPr="00B70FB5">
        <w:t xml:space="preserve">COVID-19 </w:t>
      </w:r>
      <w:r w:rsidRPr="00B70FB5">
        <w:t>Pandemic</w:t>
      </w:r>
      <w:bookmarkEnd w:id="2"/>
    </w:p>
    <w:p w14:paraId="31CF2D03" w14:textId="4C528E2E" w:rsidR="001D18AC" w:rsidRPr="006A2C50" w:rsidRDefault="00A052BB" w:rsidP="00A052BB">
      <w:pPr>
        <w:rPr>
          <w:rFonts w:ascii="Arial" w:hAnsi="Arial" w:cs="Arial"/>
        </w:rPr>
      </w:pPr>
      <w:r w:rsidRPr="006A2C50">
        <w:rPr>
          <w:rFonts w:ascii="Arial" w:hAnsi="Arial" w:cs="Arial"/>
        </w:rPr>
        <w:t>T</w:t>
      </w:r>
      <w:r w:rsidR="001D18AC" w:rsidRPr="006A2C50">
        <w:rPr>
          <w:rFonts w:ascii="Arial" w:hAnsi="Arial" w:cs="Arial"/>
        </w:rPr>
        <w:t>he Office of Residential Care Facilities (</w:t>
      </w:r>
      <w:proofErr w:type="spellStart"/>
      <w:r w:rsidR="001D18AC" w:rsidRPr="006A2C50">
        <w:rPr>
          <w:rFonts w:ascii="Arial" w:hAnsi="Arial" w:cs="Arial"/>
        </w:rPr>
        <w:t>ORCF</w:t>
      </w:r>
      <w:proofErr w:type="spellEnd"/>
      <w:r w:rsidR="001D18AC" w:rsidRPr="006A2C50">
        <w:rPr>
          <w:rFonts w:ascii="Arial" w:hAnsi="Arial" w:cs="Arial"/>
        </w:rPr>
        <w:t xml:space="preserve">) has </w:t>
      </w:r>
      <w:r w:rsidRPr="006A2C50">
        <w:rPr>
          <w:rFonts w:ascii="Arial" w:hAnsi="Arial" w:cs="Arial"/>
        </w:rPr>
        <w:t xml:space="preserve">worked closely with our external stakeholders to address Section 232 program challenges brought on by the COVID-19 pandemic.  Over the past month, </w:t>
      </w:r>
      <w:proofErr w:type="spellStart"/>
      <w:r w:rsidRPr="006A2C50">
        <w:rPr>
          <w:rFonts w:ascii="Arial" w:hAnsi="Arial" w:cs="Arial"/>
        </w:rPr>
        <w:t>ORCF</w:t>
      </w:r>
      <w:proofErr w:type="spellEnd"/>
      <w:r w:rsidRPr="006A2C50">
        <w:rPr>
          <w:rFonts w:ascii="Arial" w:hAnsi="Arial" w:cs="Arial"/>
        </w:rPr>
        <w:t xml:space="preserve"> has addressed several policy and operational </w:t>
      </w:r>
      <w:r w:rsidR="008E2264" w:rsidRPr="006A2C50">
        <w:rPr>
          <w:rFonts w:ascii="Arial" w:hAnsi="Arial" w:cs="Arial"/>
        </w:rPr>
        <w:t xml:space="preserve">issues </w:t>
      </w:r>
      <w:r w:rsidRPr="006A2C50">
        <w:rPr>
          <w:rFonts w:ascii="Arial" w:hAnsi="Arial" w:cs="Arial"/>
        </w:rPr>
        <w:t xml:space="preserve">and </w:t>
      </w:r>
      <w:r w:rsidR="001D18AC" w:rsidRPr="006A2C50">
        <w:rPr>
          <w:rFonts w:ascii="Arial" w:hAnsi="Arial" w:cs="Arial"/>
        </w:rPr>
        <w:t>published the</w:t>
      </w:r>
      <w:r w:rsidRPr="006A2C50">
        <w:rPr>
          <w:rFonts w:ascii="Arial" w:hAnsi="Arial" w:cs="Arial"/>
        </w:rPr>
        <w:t>m in the</w:t>
      </w:r>
      <w:r w:rsidR="001D18AC" w:rsidRPr="006A2C50">
        <w:rPr>
          <w:rFonts w:ascii="Arial" w:hAnsi="Arial" w:cs="Arial"/>
        </w:rPr>
        <w:t xml:space="preserve"> </w:t>
      </w:r>
      <w:r w:rsidR="001D18AC" w:rsidRPr="006A2C50">
        <w:rPr>
          <w:rFonts w:ascii="Arial" w:hAnsi="Arial" w:cs="Arial"/>
          <w:i/>
          <w:iCs/>
        </w:rPr>
        <w:t>COVID-19 Questions and Answers (Q&amp;A) for External Stakeholders</w:t>
      </w:r>
      <w:r w:rsidR="001D18AC" w:rsidRPr="006A2C50">
        <w:rPr>
          <w:rFonts w:ascii="Arial" w:hAnsi="Arial" w:cs="Arial"/>
        </w:rPr>
        <w:t xml:space="preserve"> (</w:t>
      </w:r>
      <w:hyperlink r:id="rId12" w:history="1">
        <w:r w:rsidR="001D18AC" w:rsidRPr="006A2C50">
          <w:rPr>
            <w:rStyle w:val="Hyperlink"/>
            <w:rFonts w:ascii="Arial" w:hAnsi="Arial" w:cs="Arial"/>
          </w:rPr>
          <w:t>here</w:t>
        </w:r>
      </w:hyperlink>
      <w:r w:rsidR="001D18AC" w:rsidRPr="006A2C50">
        <w:rPr>
          <w:rFonts w:ascii="Arial" w:hAnsi="Arial" w:cs="Arial"/>
        </w:rPr>
        <w:t>)</w:t>
      </w:r>
      <w:r w:rsidRPr="006A2C50">
        <w:rPr>
          <w:rFonts w:ascii="Arial" w:hAnsi="Arial" w:cs="Arial"/>
        </w:rPr>
        <w:t xml:space="preserve">.  </w:t>
      </w:r>
      <w:proofErr w:type="spellStart"/>
      <w:r w:rsidRPr="006A2C50">
        <w:rPr>
          <w:rFonts w:ascii="Arial" w:hAnsi="Arial" w:cs="Arial"/>
        </w:rPr>
        <w:t>ORCF</w:t>
      </w:r>
      <w:proofErr w:type="spellEnd"/>
      <w:r w:rsidRPr="006A2C50">
        <w:rPr>
          <w:rFonts w:ascii="Arial" w:hAnsi="Arial" w:cs="Arial"/>
        </w:rPr>
        <w:t xml:space="preserve"> has also published Mortgagee Letter 2020-10</w:t>
      </w:r>
      <w:r w:rsidR="0066157B">
        <w:rPr>
          <w:rFonts w:ascii="Arial" w:hAnsi="Arial" w:cs="Arial"/>
        </w:rPr>
        <w:t xml:space="preserve"> </w:t>
      </w:r>
      <w:r w:rsidR="0066157B" w:rsidRPr="006A2C50">
        <w:rPr>
          <w:rFonts w:ascii="Arial" w:hAnsi="Arial" w:cs="Arial"/>
        </w:rPr>
        <w:t>(</w:t>
      </w:r>
      <w:hyperlink r:id="rId13" w:history="1">
        <w:r w:rsidR="0066157B" w:rsidRPr="006A2C50">
          <w:rPr>
            <w:rStyle w:val="Hyperlink"/>
            <w:rFonts w:ascii="Arial" w:hAnsi="Arial" w:cs="Arial"/>
          </w:rPr>
          <w:t>h</w:t>
        </w:r>
        <w:bookmarkStart w:id="4" w:name="_GoBack"/>
        <w:bookmarkEnd w:id="4"/>
        <w:r w:rsidR="0066157B" w:rsidRPr="006A2C50">
          <w:rPr>
            <w:rStyle w:val="Hyperlink"/>
            <w:rFonts w:ascii="Arial" w:hAnsi="Arial" w:cs="Arial"/>
          </w:rPr>
          <w:t>e</w:t>
        </w:r>
        <w:r w:rsidR="0066157B" w:rsidRPr="006A2C50">
          <w:rPr>
            <w:rStyle w:val="Hyperlink"/>
            <w:rFonts w:ascii="Arial" w:hAnsi="Arial" w:cs="Arial"/>
          </w:rPr>
          <w:t>re</w:t>
        </w:r>
      </w:hyperlink>
      <w:r w:rsidR="0066157B" w:rsidRPr="006A2C50">
        <w:rPr>
          <w:rFonts w:ascii="Arial" w:hAnsi="Arial" w:cs="Arial"/>
        </w:rPr>
        <w:t>)</w:t>
      </w:r>
      <w:r w:rsidRPr="006A2C50">
        <w:rPr>
          <w:rFonts w:ascii="Arial" w:hAnsi="Arial" w:cs="Arial"/>
        </w:rPr>
        <w:t xml:space="preserve"> regarding </w:t>
      </w:r>
      <w:r w:rsidR="008E2264" w:rsidRPr="006A2C50">
        <w:rPr>
          <w:rFonts w:ascii="Arial" w:hAnsi="Arial" w:cs="Arial"/>
        </w:rPr>
        <w:t>temporary</w:t>
      </w:r>
      <w:r w:rsidRPr="006A2C50">
        <w:rPr>
          <w:rFonts w:ascii="Arial" w:hAnsi="Arial" w:cs="Arial"/>
        </w:rPr>
        <w:t xml:space="preserve"> revisions to underwriting standard processes for third-party and lender site inspections.  We encourage you to </w:t>
      </w:r>
      <w:r w:rsidR="001D18AC" w:rsidRPr="006A2C50">
        <w:rPr>
          <w:rFonts w:ascii="Arial" w:hAnsi="Arial" w:cs="Arial"/>
        </w:rPr>
        <w:t xml:space="preserve">continue to check </w:t>
      </w:r>
      <w:r w:rsidR="008E2264" w:rsidRPr="006A2C50">
        <w:rPr>
          <w:rFonts w:ascii="Arial" w:hAnsi="Arial" w:cs="Arial"/>
        </w:rPr>
        <w:t xml:space="preserve">back to </w:t>
      </w:r>
      <w:r w:rsidR="001D18AC" w:rsidRPr="006A2C50">
        <w:rPr>
          <w:rFonts w:ascii="Arial" w:hAnsi="Arial" w:cs="Arial"/>
        </w:rPr>
        <w:t xml:space="preserve">our </w:t>
      </w:r>
      <w:r w:rsidR="008E2264" w:rsidRPr="006A2C50">
        <w:rPr>
          <w:rFonts w:ascii="Arial" w:hAnsi="Arial" w:cs="Arial"/>
        </w:rPr>
        <w:t xml:space="preserve">Section 232 Program </w:t>
      </w:r>
      <w:r w:rsidR="001D18AC" w:rsidRPr="006A2C50">
        <w:rPr>
          <w:rFonts w:ascii="Arial" w:hAnsi="Arial" w:cs="Arial"/>
        </w:rPr>
        <w:t xml:space="preserve">website </w:t>
      </w:r>
      <w:r w:rsidR="008E2264" w:rsidRPr="006A2C50">
        <w:rPr>
          <w:rFonts w:ascii="Arial" w:hAnsi="Arial" w:cs="Arial"/>
        </w:rPr>
        <w:t>(</w:t>
      </w:r>
      <w:hyperlink r:id="rId14" w:history="1">
        <w:r w:rsidR="008E2264" w:rsidRPr="006A2C50">
          <w:rPr>
            <w:rStyle w:val="Hyperlink"/>
            <w:rFonts w:ascii="Arial" w:hAnsi="Arial" w:cs="Arial"/>
          </w:rPr>
          <w:t>her</w:t>
        </w:r>
        <w:r w:rsidR="008E2264" w:rsidRPr="006A2C50">
          <w:rPr>
            <w:rStyle w:val="Hyperlink"/>
            <w:rFonts w:ascii="Arial" w:hAnsi="Arial" w:cs="Arial"/>
          </w:rPr>
          <w:t>e</w:t>
        </w:r>
      </w:hyperlink>
      <w:r w:rsidR="008E2264" w:rsidRPr="006A2C50">
        <w:rPr>
          <w:rFonts w:ascii="Arial" w:hAnsi="Arial" w:cs="Arial"/>
        </w:rPr>
        <w:t xml:space="preserve">) </w:t>
      </w:r>
      <w:r w:rsidR="001D18AC" w:rsidRPr="006A2C50">
        <w:rPr>
          <w:rFonts w:ascii="Arial" w:hAnsi="Arial" w:cs="Arial"/>
        </w:rPr>
        <w:t xml:space="preserve">for </w:t>
      </w:r>
      <w:r w:rsidR="008E2264" w:rsidRPr="006A2C50">
        <w:rPr>
          <w:rFonts w:ascii="Arial" w:hAnsi="Arial" w:cs="Arial"/>
        </w:rPr>
        <w:t xml:space="preserve">the latest </w:t>
      </w:r>
      <w:r w:rsidR="001D18AC" w:rsidRPr="006A2C50">
        <w:rPr>
          <w:rFonts w:ascii="Arial" w:hAnsi="Arial" w:cs="Arial"/>
        </w:rPr>
        <w:t xml:space="preserve">information. </w:t>
      </w:r>
    </w:p>
    <w:p w14:paraId="29A4676F" w14:textId="77777777" w:rsidR="001D18AC" w:rsidRPr="006A2C50" w:rsidRDefault="001D18AC" w:rsidP="001D18AC">
      <w:pPr>
        <w:rPr>
          <w:rFonts w:ascii="Arial" w:hAnsi="Arial" w:cs="Arial"/>
          <w:szCs w:val="24"/>
        </w:rPr>
      </w:pPr>
    </w:p>
    <w:p w14:paraId="2320DA94" w14:textId="54594C5B" w:rsidR="001D18AC" w:rsidRPr="006A2C50" w:rsidRDefault="001D18AC" w:rsidP="001D18AC">
      <w:pPr>
        <w:rPr>
          <w:rFonts w:ascii="Arial" w:hAnsi="Arial" w:cs="Arial"/>
          <w:i/>
          <w:iCs/>
          <w:szCs w:val="24"/>
        </w:rPr>
      </w:pPr>
      <w:r w:rsidRPr="006A2C50">
        <w:rPr>
          <w:rFonts w:ascii="Arial" w:hAnsi="Arial" w:cs="Arial"/>
          <w:b/>
          <w:bCs/>
          <w:i/>
          <w:iCs/>
          <w:szCs w:val="24"/>
        </w:rPr>
        <w:t>Keywords:</w:t>
      </w:r>
      <w:r w:rsidRPr="006A2C50">
        <w:rPr>
          <w:rFonts w:ascii="Arial" w:hAnsi="Arial" w:cs="Arial"/>
          <w:i/>
          <w:iCs/>
          <w:szCs w:val="24"/>
        </w:rPr>
        <w:t xml:space="preserve"> COVID-19</w:t>
      </w:r>
    </w:p>
    <w:p w14:paraId="3E6E1DA8" w14:textId="77777777" w:rsidR="001D18AC" w:rsidRPr="00CA415C" w:rsidRDefault="001D18AC" w:rsidP="001D18AC">
      <w:pPr>
        <w:rPr>
          <w:rFonts w:ascii="Arial" w:eastAsia="MS Mincho" w:hAnsi="Arial" w:cs="Arial"/>
          <w:bCs/>
          <w:szCs w:val="24"/>
        </w:rPr>
      </w:pPr>
    </w:p>
    <w:p w14:paraId="21749139" w14:textId="43396834" w:rsidR="001D18AC" w:rsidRDefault="009E419D" w:rsidP="001D18AC">
      <w:pPr>
        <w:rPr>
          <w:rFonts w:ascii="Arial" w:hAnsi="Arial" w:cs="Arial"/>
          <w:color w:val="365F91" w:themeColor="accent1" w:themeShade="BF"/>
          <w:szCs w:val="24"/>
          <w:u w:val="single"/>
        </w:rPr>
      </w:pPr>
      <w:hyperlink w:anchor="_top" w:history="1">
        <w:r w:rsidR="001D18AC" w:rsidRPr="001F5102">
          <w:rPr>
            <w:rFonts w:ascii="Arial" w:hAnsi="Arial" w:cs="Arial"/>
            <w:color w:val="365F91" w:themeColor="accent1" w:themeShade="BF"/>
            <w:szCs w:val="24"/>
            <w:u w:val="single"/>
          </w:rPr>
          <w:t>Back to top</w:t>
        </w:r>
      </w:hyperlink>
    </w:p>
    <w:p w14:paraId="0C5F77F9" w14:textId="77777777" w:rsidR="001D18AC" w:rsidRPr="001F5102" w:rsidRDefault="001D18AC" w:rsidP="001D18AC">
      <w:pPr>
        <w:rPr>
          <w:rFonts w:ascii="Arial" w:hAnsi="Arial" w:cs="Arial"/>
          <w:b/>
          <w:color w:val="365F91" w:themeColor="accent1" w:themeShade="BF"/>
          <w:szCs w:val="24"/>
        </w:rPr>
      </w:pPr>
    </w:p>
    <w:p w14:paraId="1E801504" w14:textId="43F9799E" w:rsidR="00CA415C" w:rsidRPr="00B70FB5" w:rsidRDefault="00CA415C" w:rsidP="00B70FB5">
      <w:pPr>
        <w:pStyle w:val="EmailBlast"/>
      </w:pPr>
      <w:bookmarkStart w:id="5" w:name="_Toc39074165"/>
      <w:r w:rsidRPr="00B70FB5">
        <w:t>Revised Production Application Checklists</w:t>
      </w:r>
      <w:bookmarkEnd w:id="5"/>
    </w:p>
    <w:p w14:paraId="32B2FD37" w14:textId="6F15499E" w:rsidR="00CA415C" w:rsidRPr="006A2C50" w:rsidRDefault="00CA415C" w:rsidP="00CA415C">
      <w:pPr>
        <w:rPr>
          <w:rFonts w:ascii="Arial" w:hAnsi="Arial" w:cs="Arial"/>
        </w:rPr>
      </w:pPr>
      <w:proofErr w:type="spellStart"/>
      <w:r w:rsidRPr="006A2C50">
        <w:rPr>
          <w:rFonts w:ascii="Arial" w:hAnsi="Arial" w:cs="Arial"/>
        </w:rPr>
        <w:lastRenderedPageBreak/>
        <w:t>ORCF</w:t>
      </w:r>
      <w:proofErr w:type="spellEnd"/>
      <w:r w:rsidRPr="006A2C50">
        <w:rPr>
          <w:rFonts w:ascii="Arial" w:hAnsi="Arial" w:cs="Arial"/>
        </w:rPr>
        <w:t xml:space="preserve"> has revised the Production Application Checklists to reflect the recently approved Paperwork Reduction Act (PRA) documents.  New checklists can be found (</w:t>
      </w:r>
      <w:hyperlink r:id="rId15" w:history="1">
        <w:r w:rsidRPr="006A2C50">
          <w:rPr>
            <w:rStyle w:val="Hyperlink"/>
            <w:rFonts w:ascii="Arial" w:hAnsi="Arial" w:cs="Arial"/>
          </w:rPr>
          <w:t>here</w:t>
        </w:r>
      </w:hyperlink>
      <w:r w:rsidRPr="006A2C50">
        <w:rPr>
          <w:rFonts w:ascii="Arial" w:hAnsi="Arial" w:cs="Arial"/>
        </w:rPr>
        <w:t>).  Lenders should use the new checklists for new application submissions.</w:t>
      </w:r>
    </w:p>
    <w:bookmarkEnd w:id="3"/>
    <w:p w14:paraId="4210FCA8" w14:textId="77777777" w:rsidR="00997C33" w:rsidRPr="006A2C50" w:rsidRDefault="00997C33" w:rsidP="00997C33">
      <w:pPr>
        <w:rPr>
          <w:rFonts w:ascii="Arial" w:hAnsi="Arial" w:cs="Arial"/>
          <w:szCs w:val="24"/>
        </w:rPr>
      </w:pPr>
    </w:p>
    <w:p w14:paraId="1F5B3B19" w14:textId="02F7DD55" w:rsidR="00997C33" w:rsidRPr="006A2C50" w:rsidRDefault="00997C33" w:rsidP="00997C33">
      <w:pPr>
        <w:rPr>
          <w:rFonts w:ascii="Arial" w:hAnsi="Arial" w:cs="Arial"/>
          <w:i/>
          <w:iCs/>
          <w:szCs w:val="24"/>
        </w:rPr>
      </w:pPr>
      <w:r w:rsidRPr="006A2C50">
        <w:rPr>
          <w:rFonts w:ascii="Arial" w:hAnsi="Arial" w:cs="Arial"/>
          <w:b/>
          <w:bCs/>
          <w:i/>
          <w:iCs/>
          <w:szCs w:val="24"/>
        </w:rPr>
        <w:t>Keywords:</w:t>
      </w:r>
      <w:r w:rsidRPr="006A2C50">
        <w:rPr>
          <w:rFonts w:ascii="Arial" w:hAnsi="Arial" w:cs="Arial"/>
          <w:i/>
          <w:iCs/>
          <w:szCs w:val="24"/>
        </w:rPr>
        <w:t xml:space="preserve"> </w:t>
      </w:r>
      <w:r w:rsidR="00CA415C" w:rsidRPr="006A2C50">
        <w:rPr>
          <w:rFonts w:ascii="Arial" w:hAnsi="Arial" w:cs="Arial"/>
          <w:i/>
          <w:iCs/>
          <w:szCs w:val="24"/>
        </w:rPr>
        <w:t>Checklists</w:t>
      </w:r>
    </w:p>
    <w:p w14:paraId="2ABBA02B" w14:textId="350AF615" w:rsidR="00CA415C" w:rsidRPr="00CA415C" w:rsidRDefault="00CA415C" w:rsidP="00512271">
      <w:pPr>
        <w:rPr>
          <w:rFonts w:ascii="Arial" w:eastAsia="MS Mincho" w:hAnsi="Arial" w:cs="Arial"/>
          <w:bCs/>
          <w:szCs w:val="24"/>
        </w:rPr>
      </w:pPr>
    </w:p>
    <w:p w14:paraId="4BDEDCFC" w14:textId="77777777" w:rsidR="00B7164F" w:rsidRPr="001F5102" w:rsidRDefault="009E419D"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EAFD37A" w14:textId="77777777" w:rsidR="00512271" w:rsidRPr="001F5102" w:rsidRDefault="00512271" w:rsidP="00512271">
      <w:pPr>
        <w:rPr>
          <w:rFonts w:ascii="Arial" w:hAnsi="Arial" w:cs="Arial"/>
        </w:rPr>
      </w:pPr>
    </w:p>
    <w:p w14:paraId="25AD4F7D" w14:textId="78E8B950" w:rsidR="00ED398E" w:rsidRPr="00B70FB5" w:rsidRDefault="00ED398E" w:rsidP="00B70FB5">
      <w:pPr>
        <w:pStyle w:val="EmailBlast"/>
        <w:rPr>
          <w:szCs w:val="28"/>
        </w:rPr>
      </w:pPr>
      <w:bookmarkStart w:id="6" w:name="_Toc39074166"/>
      <w:r w:rsidRPr="00B70FB5">
        <w:t>Revised Loan Modification Checklist</w:t>
      </w:r>
      <w:bookmarkEnd w:id="6"/>
    </w:p>
    <w:p w14:paraId="6A1C6DD9" w14:textId="67482CBC" w:rsidR="008E29C9" w:rsidRPr="006A2C50" w:rsidRDefault="00ED398E" w:rsidP="008E29C9">
      <w:pPr>
        <w:rPr>
          <w:rFonts w:ascii="Arial" w:hAnsi="Arial" w:cs="Arial"/>
        </w:rPr>
      </w:pPr>
      <w:proofErr w:type="spellStart"/>
      <w:r w:rsidRPr="006A2C50">
        <w:rPr>
          <w:rFonts w:ascii="Arial" w:hAnsi="Arial" w:cs="Arial"/>
        </w:rPr>
        <w:t>ORCF</w:t>
      </w:r>
      <w:proofErr w:type="spellEnd"/>
      <w:r w:rsidRPr="006A2C50">
        <w:rPr>
          <w:rFonts w:ascii="Arial" w:hAnsi="Arial" w:cs="Arial"/>
        </w:rPr>
        <w:t xml:space="preserve"> has revised the Loan Modification Checklist to reflect the recently approved Paperwork Reduction Act (PRA) documents.  The new checklist can be found (</w:t>
      </w:r>
      <w:hyperlink r:id="rId16" w:history="1">
        <w:r w:rsidRPr="006A2C50">
          <w:rPr>
            <w:rStyle w:val="Hyperlink"/>
            <w:rFonts w:ascii="Arial" w:hAnsi="Arial" w:cs="Arial"/>
          </w:rPr>
          <w:t>here</w:t>
        </w:r>
      </w:hyperlink>
      <w:r w:rsidRPr="006A2C50">
        <w:rPr>
          <w:rFonts w:ascii="Arial" w:hAnsi="Arial" w:cs="Arial"/>
        </w:rPr>
        <w:t>).  Borrowers should use the new checklist for new loan modification applications.</w:t>
      </w:r>
    </w:p>
    <w:p w14:paraId="5FAF04B5" w14:textId="77777777" w:rsidR="008E29C9" w:rsidRPr="006A2C50" w:rsidRDefault="008E29C9" w:rsidP="008E29C9">
      <w:pPr>
        <w:rPr>
          <w:rFonts w:ascii="Arial" w:hAnsi="Arial" w:cs="Arial"/>
          <w:sz w:val="22"/>
        </w:rPr>
      </w:pPr>
    </w:p>
    <w:p w14:paraId="58547CA7" w14:textId="24E47AFD" w:rsidR="008E29C9" w:rsidRPr="006A2C50" w:rsidRDefault="008E29C9" w:rsidP="008E29C9">
      <w:pPr>
        <w:rPr>
          <w:rFonts w:ascii="Arial" w:hAnsi="Arial" w:cs="Arial"/>
          <w:i/>
          <w:iCs/>
          <w:szCs w:val="24"/>
        </w:rPr>
      </w:pPr>
      <w:r w:rsidRPr="006A2C50">
        <w:rPr>
          <w:rFonts w:ascii="Arial" w:hAnsi="Arial" w:cs="Arial"/>
          <w:b/>
          <w:bCs/>
          <w:i/>
          <w:iCs/>
          <w:szCs w:val="24"/>
        </w:rPr>
        <w:t>Keywords:</w:t>
      </w:r>
      <w:r w:rsidRPr="006A2C50">
        <w:rPr>
          <w:rFonts w:ascii="Arial" w:hAnsi="Arial" w:cs="Arial"/>
          <w:i/>
          <w:iCs/>
          <w:szCs w:val="24"/>
        </w:rPr>
        <w:t xml:space="preserve"> </w:t>
      </w:r>
      <w:r w:rsidR="00ED398E" w:rsidRPr="006A2C50">
        <w:rPr>
          <w:rFonts w:ascii="Arial" w:hAnsi="Arial" w:cs="Arial"/>
          <w:i/>
          <w:iCs/>
          <w:szCs w:val="24"/>
        </w:rPr>
        <w:t>Checklists</w:t>
      </w:r>
    </w:p>
    <w:p w14:paraId="0E5EDC06" w14:textId="4BA8BAF9" w:rsidR="00ED398E" w:rsidRPr="005940D9" w:rsidRDefault="00ED398E" w:rsidP="001D230E">
      <w:pPr>
        <w:rPr>
          <w:rFonts w:ascii="Arial" w:eastAsia="MS Mincho" w:hAnsi="Arial" w:cs="Arial"/>
          <w:bCs/>
          <w:szCs w:val="24"/>
        </w:rPr>
      </w:pPr>
    </w:p>
    <w:p w14:paraId="77529218" w14:textId="77777777" w:rsidR="00B7164F" w:rsidRPr="001F5102" w:rsidRDefault="009E419D"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27FF7936" w14:textId="33892BE3" w:rsidR="001D230E" w:rsidRPr="001F5102" w:rsidRDefault="001D230E" w:rsidP="00512271">
      <w:pPr>
        <w:rPr>
          <w:rFonts w:ascii="Arial" w:hAnsi="Arial" w:cs="Arial"/>
        </w:rPr>
      </w:pPr>
    </w:p>
    <w:p w14:paraId="74F14E52" w14:textId="660F0AB0" w:rsidR="003B0F4C" w:rsidRPr="00E02F5C" w:rsidRDefault="003B0F4C" w:rsidP="00B70FB5">
      <w:pPr>
        <w:pStyle w:val="EmailBlast"/>
      </w:pPr>
      <w:bookmarkStart w:id="7" w:name="_Toc39074167"/>
      <w:r w:rsidRPr="00E02F5C">
        <w:t xml:space="preserve">Request for Review of Pay.gov </w:t>
      </w:r>
      <w:r w:rsidR="00E02F5C" w:rsidRPr="00E02F5C">
        <w:t>S</w:t>
      </w:r>
      <w:r w:rsidRPr="00E02F5C">
        <w:t>ubmission Data</w:t>
      </w:r>
      <w:bookmarkEnd w:id="7"/>
    </w:p>
    <w:p w14:paraId="6856A59C" w14:textId="77777777" w:rsidR="003B0F4C" w:rsidRPr="003B0F4C" w:rsidRDefault="003B0F4C" w:rsidP="003B0F4C">
      <w:pPr>
        <w:pStyle w:val="NormalWeb"/>
        <w:rPr>
          <w:rFonts w:ascii="Arial" w:hAnsi="Arial" w:cs="Arial"/>
          <w:color w:val="000000"/>
        </w:rPr>
      </w:pPr>
      <w:r w:rsidRPr="003B0F4C">
        <w:rPr>
          <w:rFonts w:ascii="Arial" w:hAnsi="Arial" w:cs="Arial"/>
          <w:color w:val="000000"/>
        </w:rPr>
        <w:t xml:space="preserve">HUD has been experiencing a high rate of errors in the information provided with the Pay.gov fee/receipt submissions.  For example, if the “Section of the Act” is entered as new construction when it is actually a 223(f) refinance, or if a skilled nursing facility is listed as an assisted living facility, it will create an error in the system that requires a back-end correction.  We are asking that careful attention </w:t>
      </w:r>
      <w:proofErr w:type="gramStart"/>
      <w:r w:rsidRPr="003B0F4C">
        <w:rPr>
          <w:rFonts w:ascii="Arial" w:hAnsi="Arial" w:cs="Arial"/>
          <w:color w:val="000000"/>
        </w:rPr>
        <w:t>be</w:t>
      </w:r>
      <w:proofErr w:type="gramEnd"/>
      <w:r w:rsidRPr="003B0F4C">
        <w:rPr>
          <w:rFonts w:ascii="Arial" w:hAnsi="Arial" w:cs="Arial"/>
          <w:color w:val="000000"/>
        </w:rPr>
        <w:t xml:space="preserve"> paid to each piece of data provided, including the following:</w:t>
      </w:r>
    </w:p>
    <w:p w14:paraId="5F1C3B65" w14:textId="77777777" w:rsidR="003B0F4C" w:rsidRPr="003B0F4C" w:rsidRDefault="003B0F4C" w:rsidP="003F773B">
      <w:pPr>
        <w:pStyle w:val="NormalWeb"/>
        <w:numPr>
          <w:ilvl w:val="0"/>
          <w:numId w:val="26"/>
        </w:numPr>
        <w:spacing w:before="120"/>
        <w:rPr>
          <w:rFonts w:ascii="Arial" w:hAnsi="Arial" w:cs="Arial"/>
          <w:color w:val="000000"/>
        </w:rPr>
      </w:pPr>
      <w:r w:rsidRPr="003B0F4C">
        <w:rPr>
          <w:rFonts w:ascii="Arial" w:hAnsi="Arial" w:cs="Arial"/>
          <w:color w:val="000000"/>
        </w:rPr>
        <w:t>FHA #</w:t>
      </w:r>
    </w:p>
    <w:p w14:paraId="591F76D8" w14:textId="77777777" w:rsidR="003B0F4C" w:rsidRPr="003B0F4C" w:rsidRDefault="003B0F4C" w:rsidP="003F773B">
      <w:pPr>
        <w:pStyle w:val="NormalWeb"/>
        <w:numPr>
          <w:ilvl w:val="0"/>
          <w:numId w:val="26"/>
        </w:numPr>
        <w:spacing w:before="120"/>
        <w:rPr>
          <w:rFonts w:ascii="Arial" w:hAnsi="Arial" w:cs="Arial"/>
          <w:color w:val="000000"/>
        </w:rPr>
      </w:pPr>
      <w:r w:rsidRPr="003B0F4C">
        <w:rPr>
          <w:rFonts w:ascii="Arial" w:hAnsi="Arial" w:cs="Arial"/>
          <w:color w:val="000000"/>
        </w:rPr>
        <w:t>Project Name</w:t>
      </w:r>
    </w:p>
    <w:p w14:paraId="271F1E8D" w14:textId="77777777" w:rsidR="003B0F4C" w:rsidRPr="003B0F4C" w:rsidRDefault="003B0F4C" w:rsidP="003F773B">
      <w:pPr>
        <w:pStyle w:val="NormalWeb"/>
        <w:numPr>
          <w:ilvl w:val="0"/>
          <w:numId w:val="26"/>
        </w:numPr>
        <w:spacing w:before="120"/>
        <w:rPr>
          <w:rFonts w:ascii="Arial" w:hAnsi="Arial" w:cs="Arial"/>
          <w:color w:val="000000"/>
        </w:rPr>
      </w:pPr>
      <w:r w:rsidRPr="003B0F4C">
        <w:rPr>
          <w:rFonts w:ascii="Arial" w:hAnsi="Arial" w:cs="Arial"/>
          <w:color w:val="000000"/>
        </w:rPr>
        <w:t>Correct selection of Program (e.g. paid to the Office of Healthcare Programs rather than Multifamily)</w:t>
      </w:r>
    </w:p>
    <w:p w14:paraId="6FE3D825" w14:textId="77777777" w:rsidR="003B0F4C" w:rsidRPr="003B0F4C" w:rsidRDefault="003B0F4C" w:rsidP="003F773B">
      <w:pPr>
        <w:pStyle w:val="NormalWeb"/>
        <w:numPr>
          <w:ilvl w:val="0"/>
          <w:numId w:val="26"/>
        </w:numPr>
        <w:spacing w:before="120"/>
        <w:rPr>
          <w:rFonts w:ascii="Arial" w:hAnsi="Arial" w:cs="Arial"/>
          <w:color w:val="000000"/>
        </w:rPr>
      </w:pPr>
      <w:r w:rsidRPr="003B0F4C">
        <w:rPr>
          <w:rFonts w:ascii="Arial" w:hAnsi="Arial" w:cs="Arial"/>
          <w:color w:val="000000"/>
        </w:rPr>
        <w:t xml:space="preserve">Correct fee type (e.g. application vs. inspection vs. MIP vs. </w:t>
      </w:r>
      <w:proofErr w:type="spellStart"/>
      <w:r w:rsidRPr="003B0F4C">
        <w:rPr>
          <w:rFonts w:ascii="Arial" w:hAnsi="Arial" w:cs="Arial"/>
          <w:color w:val="000000"/>
        </w:rPr>
        <w:t>TPA</w:t>
      </w:r>
      <w:proofErr w:type="spellEnd"/>
      <w:r w:rsidRPr="003B0F4C">
        <w:rPr>
          <w:rFonts w:ascii="Arial" w:hAnsi="Arial" w:cs="Arial"/>
          <w:color w:val="000000"/>
        </w:rPr>
        <w:t>, etc.)</w:t>
      </w:r>
    </w:p>
    <w:p w14:paraId="12E7E3E1" w14:textId="77777777" w:rsidR="003B0F4C" w:rsidRPr="003B0F4C" w:rsidRDefault="003B0F4C" w:rsidP="003F773B">
      <w:pPr>
        <w:pStyle w:val="NormalWeb"/>
        <w:numPr>
          <w:ilvl w:val="0"/>
          <w:numId w:val="26"/>
        </w:numPr>
        <w:spacing w:before="120"/>
        <w:rPr>
          <w:rFonts w:ascii="Arial" w:hAnsi="Arial" w:cs="Arial"/>
          <w:color w:val="000000"/>
        </w:rPr>
      </w:pPr>
      <w:r w:rsidRPr="003B0F4C">
        <w:rPr>
          <w:rFonts w:ascii="Arial" w:hAnsi="Arial" w:cs="Arial"/>
          <w:color w:val="000000"/>
        </w:rPr>
        <w:t xml:space="preserve">Correct program type (e.g. </w:t>
      </w:r>
      <w:proofErr w:type="spellStart"/>
      <w:r w:rsidRPr="003B0F4C">
        <w:rPr>
          <w:rFonts w:ascii="Arial" w:hAnsi="Arial" w:cs="Arial"/>
          <w:color w:val="000000"/>
        </w:rPr>
        <w:t>SNF</w:t>
      </w:r>
      <w:proofErr w:type="spellEnd"/>
      <w:r w:rsidRPr="003B0F4C">
        <w:rPr>
          <w:rFonts w:ascii="Arial" w:hAnsi="Arial" w:cs="Arial"/>
          <w:color w:val="000000"/>
        </w:rPr>
        <w:t xml:space="preserve"> vs. ALF vs. Board &amp; Care; 223(a)(7) vs. 223(f) vs. New Construction, etc.)</w:t>
      </w:r>
    </w:p>
    <w:p w14:paraId="2E71B51F" w14:textId="77777777" w:rsidR="003B0F4C" w:rsidRPr="001F5102" w:rsidRDefault="003B0F4C" w:rsidP="007D55E6">
      <w:pPr>
        <w:pStyle w:val="NormalWeb"/>
        <w:rPr>
          <w:rFonts w:ascii="Arial" w:hAnsi="Arial" w:cs="Arial"/>
          <w:color w:val="000000"/>
        </w:rPr>
      </w:pPr>
    </w:p>
    <w:p w14:paraId="56656F5F" w14:textId="1C47E10E" w:rsidR="008930F5" w:rsidRPr="001F5102" w:rsidRDefault="008930F5" w:rsidP="007D55E6">
      <w:pPr>
        <w:rPr>
          <w:rFonts w:ascii="Arial" w:eastAsia="MS Mincho" w:hAnsi="Arial" w:cs="Arial"/>
          <w:i/>
          <w:szCs w:val="24"/>
        </w:rPr>
      </w:pPr>
      <w:r w:rsidRPr="001F5102">
        <w:rPr>
          <w:rFonts w:ascii="Arial" w:eastAsia="MS Mincho" w:hAnsi="Arial" w:cs="Arial"/>
          <w:b/>
          <w:i/>
          <w:szCs w:val="24"/>
        </w:rPr>
        <w:t>Keywords:</w:t>
      </w:r>
      <w:r w:rsidRPr="001F5102">
        <w:rPr>
          <w:rFonts w:ascii="Arial" w:eastAsia="MS Mincho" w:hAnsi="Arial" w:cs="Arial"/>
          <w:i/>
          <w:szCs w:val="24"/>
        </w:rPr>
        <w:t xml:space="preserve"> </w:t>
      </w:r>
      <w:r w:rsidR="003B0F4C">
        <w:rPr>
          <w:rFonts w:ascii="Arial" w:eastAsia="MS Mincho" w:hAnsi="Arial" w:cs="Arial"/>
          <w:i/>
          <w:szCs w:val="24"/>
        </w:rPr>
        <w:t>Pay.gov</w:t>
      </w:r>
    </w:p>
    <w:p w14:paraId="43DC956F" w14:textId="77777777" w:rsidR="00D72DA8" w:rsidRPr="007B7207" w:rsidRDefault="00D72DA8" w:rsidP="007B7207">
      <w:pPr>
        <w:rPr>
          <w:rFonts w:ascii="Arial" w:eastAsia="MS Mincho" w:hAnsi="Arial" w:cs="Arial"/>
          <w:b/>
          <w:szCs w:val="24"/>
        </w:rPr>
      </w:pPr>
    </w:p>
    <w:p w14:paraId="15070C03" w14:textId="77777777" w:rsidR="00B7164F" w:rsidRPr="007B7207" w:rsidRDefault="009E419D" w:rsidP="007B7207">
      <w:pPr>
        <w:rPr>
          <w:rFonts w:ascii="Arial" w:hAnsi="Arial" w:cs="Arial"/>
          <w:b/>
          <w:color w:val="365F91" w:themeColor="accent1" w:themeShade="BF"/>
          <w:szCs w:val="24"/>
        </w:rPr>
      </w:pPr>
      <w:hyperlink w:anchor="_top" w:history="1">
        <w:r w:rsidR="00B7164F" w:rsidRPr="007B7207">
          <w:rPr>
            <w:rFonts w:ascii="Arial" w:hAnsi="Arial" w:cs="Arial"/>
            <w:color w:val="365F91" w:themeColor="accent1" w:themeShade="BF"/>
            <w:szCs w:val="24"/>
            <w:u w:val="single"/>
          </w:rPr>
          <w:t>Back to top</w:t>
        </w:r>
      </w:hyperlink>
    </w:p>
    <w:p w14:paraId="6CA79567" w14:textId="77777777" w:rsidR="0047642B" w:rsidRPr="007B7207" w:rsidRDefault="0047642B" w:rsidP="00B70FB5">
      <w:pPr>
        <w:pStyle w:val="EmailBlast"/>
        <w:rPr>
          <w:rStyle w:val="Hyperlink"/>
          <w:sz w:val="24"/>
        </w:rPr>
      </w:pPr>
    </w:p>
    <w:p w14:paraId="111CBC96" w14:textId="17DE92A0" w:rsidR="007B7207" w:rsidRPr="007B7207" w:rsidRDefault="007B7207" w:rsidP="00B70FB5">
      <w:pPr>
        <w:pStyle w:val="EmailBlast"/>
      </w:pPr>
      <w:bookmarkStart w:id="8" w:name="_Toc39074168"/>
      <w:bookmarkStart w:id="9" w:name="_Hlk31803217"/>
      <w:r w:rsidRPr="007B7207">
        <w:t>Consideration of Business Income Coverage Provisions of Property Insurance Policies in light of COVID-19</w:t>
      </w:r>
      <w:bookmarkEnd w:id="8"/>
    </w:p>
    <w:p w14:paraId="1AA6C966" w14:textId="22CDB1F1" w:rsidR="007B7207" w:rsidRPr="007B7207" w:rsidRDefault="007B7207" w:rsidP="007B7207">
      <w:pPr>
        <w:pStyle w:val="NormalWeb"/>
        <w:rPr>
          <w:rFonts w:ascii="Arial" w:hAnsi="Arial" w:cs="Arial"/>
          <w:color w:val="000000"/>
        </w:rPr>
      </w:pPr>
      <w:r w:rsidRPr="007B7207">
        <w:rPr>
          <w:rFonts w:ascii="Arial" w:hAnsi="Arial" w:cs="Arial"/>
          <w:color w:val="000000"/>
        </w:rPr>
        <w:t>Questions have arisen regarding whether business interruption insurance or related coverage may cover certain losses arising from the COVID-19 national emergency.  Relevant language among property insurance policies can vary significantly in this respect.  However, with respect to projects experiencing a COVID-</w:t>
      </w:r>
      <w:r w:rsidRPr="007B7207">
        <w:rPr>
          <w:rFonts w:ascii="Arial" w:hAnsi="Arial" w:cs="Arial"/>
          <w:color w:val="000000"/>
        </w:rPr>
        <w:lastRenderedPageBreak/>
        <w:t xml:space="preserve">19-related substantial reduction in </w:t>
      </w:r>
      <w:proofErr w:type="spellStart"/>
      <w:r w:rsidRPr="007B7207">
        <w:rPr>
          <w:rFonts w:ascii="Arial" w:hAnsi="Arial" w:cs="Arial"/>
          <w:color w:val="000000"/>
        </w:rPr>
        <w:t>NOI</w:t>
      </w:r>
      <w:proofErr w:type="spellEnd"/>
      <w:r w:rsidRPr="007B7207">
        <w:rPr>
          <w:rFonts w:ascii="Arial" w:hAnsi="Arial" w:cs="Arial"/>
          <w:color w:val="000000"/>
        </w:rPr>
        <w:t>, the lender servicer should carefully consider this matter and should engage the insured in investigating whether the particular applicable policy, in light of pertinent exclusions and/or endorsements, does provide relevant coverage.  If some coverage is potentially available, then pursuing the coverage, though a business decision, could be an important component of an action plan encompassed in HUD</w:t>
      </w:r>
      <w:r w:rsidRPr="007B7207">
        <w:rPr>
          <w:rFonts w:ascii="Arial" w:hAnsi="Arial" w:cs="Arial"/>
          <w:i/>
          <w:iCs/>
          <w:color w:val="000000"/>
        </w:rPr>
        <w:t>-</w:t>
      </w:r>
      <w:r w:rsidRPr="007B7207">
        <w:rPr>
          <w:rFonts w:ascii="Arial" w:hAnsi="Arial" w:cs="Arial"/>
          <w:color w:val="000000"/>
        </w:rPr>
        <w:t xml:space="preserve">93334-ORCF, Servicer’s Notification to HUD of Risks to Healthcare Project and Action Plan for Remedy, Section </w:t>
      </w:r>
      <w:r w:rsidRPr="00297FE0">
        <w:rPr>
          <w:rFonts w:ascii="Arial" w:hAnsi="Arial" w:cs="Arial"/>
          <w:color w:val="000000"/>
        </w:rPr>
        <w:t xml:space="preserve">232 </w:t>
      </w:r>
      <w:r w:rsidRPr="00297FE0">
        <w:rPr>
          <w:rFonts w:ascii="Arial" w:hAnsi="Arial" w:cs="Arial"/>
          <w:i/>
          <w:iCs/>
          <w:color w:val="000000"/>
        </w:rPr>
        <w:t>(</w:t>
      </w:r>
      <w:hyperlink r:id="rId17" w:history="1">
        <w:r w:rsidRPr="00297FE0">
          <w:rPr>
            <w:rStyle w:val="Hyperlink"/>
            <w:rFonts w:ascii="Arial" w:hAnsi="Arial" w:cs="Arial"/>
          </w:rPr>
          <w:t>here</w:t>
        </w:r>
      </w:hyperlink>
      <w:r w:rsidRPr="00297FE0">
        <w:rPr>
          <w:rFonts w:ascii="Arial" w:hAnsi="Arial" w:cs="Arial"/>
          <w:color w:val="000000"/>
        </w:rPr>
        <w:t>),</w:t>
      </w:r>
      <w:r w:rsidRPr="007B7207">
        <w:rPr>
          <w:rFonts w:ascii="Arial" w:hAnsi="Arial" w:cs="Arial"/>
          <w:color w:val="000000"/>
        </w:rPr>
        <w:t xml:space="preserve"> and/or HUD-Form 93335-ORCF, Operator’s Notification to HUD of Threats to Permits and Approvals (</w:t>
      </w:r>
      <w:hyperlink r:id="rId18" w:history="1">
        <w:r w:rsidRPr="007B7207">
          <w:rPr>
            <w:rStyle w:val="Hyperlink"/>
            <w:rFonts w:ascii="Arial" w:hAnsi="Arial" w:cs="Arial"/>
          </w:rPr>
          <w:t>here</w:t>
        </w:r>
      </w:hyperlink>
      <w:r w:rsidRPr="007B7207">
        <w:rPr>
          <w:rFonts w:ascii="Arial" w:hAnsi="Arial" w:cs="Arial"/>
          <w:color w:val="000000"/>
        </w:rPr>
        <w:t xml:space="preserve">).  Information regarding Section 232 property and liability insurance coverages is set forth in </w:t>
      </w:r>
      <w:proofErr w:type="spellStart"/>
      <w:r w:rsidRPr="007B7207">
        <w:rPr>
          <w:rFonts w:ascii="Arial" w:hAnsi="Arial" w:cs="Arial"/>
          <w:color w:val="000000"/>
        </w:rPr>
        <w:t>ORCF’s</w:t>
      </w:r>
      <w:proofErr w:type="spellEnd"/>
      <w:r w:rsidRPr="007B7207">
        <w:rPr>
          <w:rFonts w:ascii="Arial" w:hAnsi="Arial" w:cs="Arial"/>
          <w:color w:val="000000"/>
        </w:rPr>
        <w:t xml:space="preserve"> Handbook 4232.1, Section II, Chapter 14</w:t>
      </w:r>
      <w:r>
        <w:rPr>
          <w:rFonts w:ascii="Arial" w:hAnsi="Arial" w:cs="Arial"/>
          <w:color w:val="000000"/>
        </w:rPr>
        <w:t xml:space="preserve"> (</w:t>
      </w:r>
      <w:hyperlink r:id="rId19" w:history="1">
        <w:r w:rsidRPr="007B7207">
          <w:rPr>
            <w:rStyle w:val="Hyperlink"/>
            <w:rFonts w:ascii="Arial" w:hAnsi="Arial" w:cs="Arial"/>
          </w:rPr>
          <w:t>here</w:t>
        </w:r>
      </w:hyperlink>
      <w:r>
        <w:rPr>
          <w:rFonts w:ascii="Arial" w:hAnsi="Arial" w:cs="Arial"/>
          <w:color w:val="000000"/>
        </w:rPr>
        <w:t>)</w:t>
      </w:r>
      <w:r w:rsidRPr="007B7207">
        <w:rPr>
          <w:rFonts w:ascii="Arial" w:hAnsi="Arial" w:cs="Arial"/>
          <w:color w:val="000000"/>
        </w:rPr>
        <w:t>.</w:t>
      </w:r>
    </w:p>
    <w:p w14:paraId="62E39F6E" w14:textId="77777777" w:rsidR="007B7207" w:rsidRPr="001F5102" w:rsidRDefault="007B7207" w:rsidP="007B7207">
      <w:pPr>
        <w:pStyle w:val="NormalWeb"/>
        <w:rPr>
          <w:rFonts w:ascii="Arial" w:hAnsi="Arial" w:cs="Arial"/>
          <w:color w:val="000000"/>
        </w:rPr>
      </w:pPr>
    </w:p>
    <w:p w14:paraId="516822B1" w14:textId="24F014A9" w:rsidR="007B7207" w:rsidRPr="001F5102" w:rsidRDefault="007B7207" w:rsidP="007B7207">
      <w:pPr>
        <w:rPr>
          <w:rFonts w:ascii="Arial" w:eastAsia="MS Mincho" w:hAnsi="Arial" w:cs="Arial"/>
          <w:i/>
          <w:szCs w:val="24"/>
        </w:rPr>
      </w:pPr>
      <w:r w:rsidRPr="001F5102">
        <w:rPr>
          <w:rFonts w:ascii="Arial" w:eastAsia="MS Mincho" w:hAnsi="Arial" w:cs="Arial"/>
          <w:b/>
          <w:i/>
          <w:szCs w:val="24"/>
        </w:rPr>
        <w:t>Keywords:</w:t>
      </w:r>
      <w:r w:rsidRPr="001F5102">
        <w:rPr>
          <w:rFonts w:ascii="Arial" w:eastAsia="MS Mincho" w:hAnsi="Arial" w:cs="Arial"/>
          <w:i/>
          <w:szCs w:val="24"/>
        </w:rPr>
        <w:t xml:space="preserve"> </w:t>
      </w:r>
      <w:r>
        <w:rPr>
          <w:rFonts w:ascii="Arial" w:eastAsia="MS Mincho" w:hAnsi="Arial" w:cs="Arial"/>
          <w:i/>
          <w:szCs w:val="24"/>
        </w:rPr>
        <w:t>Insurance</w:t>
      </w:r>
    </w:p>
    <w:p w14:paraId="2307B113" w14:textId="77777777" w:rsidR="007B7207" w:rsidRPr="001F5102" w:rsidRDefault="007B7207" w:rsidP="007B7207">
      <w:pPr>
        <w:rPr>
          <w:rFonts w:ascii="Arial" w:eastAsia="MS Mincho" w:hAnsi="Arial" w:cs="Arial"/>
          <w:b/>
          <w:szCs w:val="24"/>
        </w:rPr>
      </w:pPr>
    </w:p>
    <w:p w14:paraId="7920F865" w14:textId="77777777" w:rsidR="007B7207" w:rsidRPr="001F5102" w:rsidRDefault="009E419D" w:rsidP="007B7207">
      <w:pPr>
        <w:rPr>
          <w:rFonts w:ascii="Arial" w:hAnsi="Arial" w:cs="Arial"/>
          <w:b/>
          <w:color w:val="365F91" w:themeColor="accent1" w:themeShade="BF"/>
          <w:szCs w:val="24"/>
        </w:rPr>
      </w:pPr>
      <w:hyperlink w:anchor="_top" w:history="1">
        <w:r w:rsidR="007B7207" w:rsidRPr="001F5102">
          <w:rPr>
            <w:rFonts w:ascii="Arial" w:hAnsi="Arial" w:cs="Arial"/>
            <w:color w:val="365F91" w:themeColor="accent1" w:themeShade="BF"/>
            <w:szCs w:val="24"/>
            <w:u w:val="single"/>
          </w:rPr>
          <w:t>Back to top</w:t>
        </w:r>
      </w:hyperlink>
    </w:p>
    <w:p w14:paraId="60CA355F" w14:textId="77777777" w:rsidR="007B7207" w:rsidRPr="007B7207" w:rsidRDefault="007B7207" w:rsidP="00B70FB5">
      <w:pPr>
        <w:pStyle w:val="EmailBlast"/>
      </w:pPr>
    </w:p>
    <w:p w14:paraId="1A3BFE38" w14:textId="37B7B2D2" w:rsidR="003B0F4C" w:rsidRPr="003B0F4C" w:rsidRDefault="003B0F4C" w:rsidP="00B70FB5">
      <w:pPr>
        <w:pStyle w:val="EmailBlast"/>
      </w:pPr>
      <w:bookmarkStart w:id="10" w:name="_Toc39074169"/>
      <w:proofErr w:type="spellStart"/>
      <w:r w:rsidRPr="003B0F4C">
        <w:t>ORCF</w:t>
      </w:r>
      <w:proofErr w:type="spellEnd"/>
      <w:r w:rsidRPr="003B0F4C">
        <w:t xml:space="preserve"> Asset Management Reminder about Email Blasts</w:t>
      </w:r>
      <w:bookmarkEnd w:id="10"/>
    </w:p>
    <w:p w14:paraId="7C414C08" w14:textId="77777777" w:rsidR="003B0F4C" w:rsidRPr="003B0F4C" w:rsidRDefault="003B0F4C" w:rsidP="003B0F4C">
      <w:pPr>
        <w:rPr>
          <w:rFonts w:ascii="Arial" w:hAnsi="Arial" w:cs="Arial"/>
        </w:rPr>
      </w:pPr>
      <w:r w:rsidRPr="003B0F4C">
        <w:rPr>
          <w:rFonts w:ascii="Arial" w:hAnsi="Arial" w:cs="Arial"/>
        </w:rPr>
        <w:t>This is a reminder to our external stakeholders that you can sign-up to receive future Lean/232 Email Blasts online (</w:t>
      </w:r>
      <w:hyperlink r:id="rId20" w:history="1">
        <w:r w:rsidRPr="003B0F4C">
          <w:rPr>
            <w:rStyle w:val="Hyperlink"/>
            <w:rFonts w:ascii="Arial" w:hAnsi="Arial" w:cs="Arial"/>
          </w:rPr>
          <w:t>here</w:t>
        </w:r>
      </w:hyperlink>
      <w:r w:rsidRPr="003B0F4C">
        <w:rPr>
          <w:rFonts w:ascii="Arial" w:hAnsi="Arial" w:cs="Arial"/>
        </w:rPr>
        <w:t xml:space="preserve">).  We encourage all 232 Lean Lenders to ensure their servicing and asset management staff sign up for these updates.  With the roll-out of the </w:t>
      </w:r>
      <w:proofErr w:type="spellStart"/>
      <w:r w:rsidRPr="003B0F4C">
        <w:rPr>
          <w:rFonts w:ascii="Arial" w:hAnsi="Arial" w:cs="Arial"/>
        </w:rPr>
        <w:t>ORCF</w:t>
      </w:r>
      <w:proofErr w:type="spellEnd"/>
      <w:r w:rsidRPr="003B0F4C">
        <w:rPr>
          <w:rFonts w:ascii="Arial" w:hAnsi="Arial" w:cs="Arial"/>
        </w:rPr>
        <w:t xml:space="preserve"> Asset Management Risk Monitoring Routine, we will be communicating with our servicing lender partners more frequently through this channel.</w:t>
      </w:r>
    </w:p>
    <w:p w14:paraId="700EC1D8" w14:textId="77777777" w:rsidR="003B0F4C" w:rsidRPr="003B0F4C" w:rsidRDefault="003B0F4C" w:rsidP="003B0F4C">
      <w:pPr>
        <w:rPr>
          <w:rFonts w:ascii="Arial" w:hAnsi="Arial" w:cs="Arial"/>
          <w:b/>
          <w:bCs/>
        </w:rPr>
      </w:pPr>
    </w:p>
    <w:p w14:paraId="012F6DE3" w14:textId="47D08A8F" w:rsidR="003B0F4C" w:rsidRPr="003B0F4C" w:rsidRDefault="003B0F4C" w:rsidP="003B0F4C">
      <w:pPr>
        <w:rPr>
          <w:rFonts w:ascii="Arial" w:hAnsi="Arial" w:cs="Arial"/>
          <w:i/>
          <w:iCs/>
        </w:rPr>
      </w:pPr>
      <w:r w:rsidRPr="003B0F4C">
        <w:rPr>
          <w:rFonts w:ascii="Arial" w:hAnsi="Arial" w:cs="Arial"/>
          <w:b/>
          <w:bCs/>
          <w:i/>
          <w:iCs/>
        </w:rPr>
        <w:t>Keywords</w:t>
      </w:r>
      <w:r w:rsidRPr="003B0F4C">
        <w:rPr>
          <w:rFonts w:ascii="Arial" w:hAnsi="Arial" w:cs="Arial"/>
          <w:i/>
          <w:iCs/>
        </w:rPr>
        <w:t>: Email Blasts</w:t>
      </w:r>
    </w:p>
    <w:p w14:paraId="71C23BE3" w14:textId="54AA496E" w:rsidR="008A7595" w:rsidRPr="001F5102" w:rsidRDefault="008A7595" w:rsidP="008A7595">
      <w:pPr>
        <w:rPr>
          <w:rFonts w:ascii="Arial" w:hAnsi="Arial" w:cs="Arial"/>
        </w:rPr>
      </w:pPr>
    </w:p>
    <w:bookmarkEnd w:id="9"/>
    <w:p w14:paraId="300E862B" w14:textId="77777777" w:rsidR="00B7164F" w:rsidRPr="001F5102" w:rsidRDefault="00B7164F" w:rsidP="00B7164F">
      <w:pPr>
        <w:rPr>
          <w:rFonts w:ascii="Arial" w:hAnsi="Arial" w:cs="Arial"/>
          <w:b/>
          <w:color w:val="365F91" w:themeColor="accent1" w:themeShade="BF"/>
          <w:szCs w:val="24"/>
        </w:rPr>
      </w:pPr>
      <w:r w:rsidRPr="001F5102">
        <w:rPr>
          <w:rFonts w:ascii="Arial" w:hAnsi="Arial" w:cs="Arial"/>
        </w:rPr>
        <w:fldChar w:fldCharType="begin"/>
      </w:r>
      <w:r w:rsidRPr="001F5102">
        <w:rPr>
          <w:rFonts w:ascii="Arial" w:hAnsi="Arial" w:cs="Arial"/>
        </w:rPr>
        <w:instrText xml:space="preserve"> HYPERLINK \l "_top" </w:instrText>
      </w:r>
      <w:r w:rsidRPr="001F5102">
        <w:rPr>
          <w:rFonts w:ascii="Arial" w:hAnsi="Arial" w:cs="Arial"/>
        </w:rPr>
        <w:fldChar w:fldCharType="separate"/>
      </w:r>
      <w:r w:rsidRPr="001F5102">
        <w:rPr>
          <w:rFonts w:ascii="Arial" w:hAnsi="Arial" w:cs="Arial"/>
          <w:color w:val="365F91" w:themeColor="accent1" w:themeShade="BF"/>
          <w:szCs w:val="24"/>
          <w:u w:val="single"/>
        </w:rPr>
        <w:t>Back to top</w:t>
      </w:r>
      <w:r w:rsidRPr="001F5102">
        <w:rPr>
          <w:rFonts w:ascii="Arial" w:hAnsi="Arial" w:cs="Arial"/>
          <w:color w:val="365F91" w:themeColor="accent1" w:themeShade="BF"/>
          <w:szCs w:val="24"/>
          <w:u w:val="single"/>
        </w:rPr>
        <w:fldChar w:fldCharType="end"/>
      </w:r>
    </w:p>
    <w:p w14:paraId="36F94FD9" w14:textId="77777777" w:rsidR="0047642B" w:rsidRPr="001F5102" w:rsidRDefault="0047642B" w:rsidP="00F76151">
      <w:pPr>
        <w:rPr>
          <w:rStyle w:val="Hyperlink"/>
          <w:rFonts w:ascii="Arial" w:hAnsi="Arial" w:cs="Arial"/>
        </w:rPr>
      </w:pPr>
    </w:p>
    <w:p w14:paraId="42371470" w14:textId="61D35A5F" w:rsidR="003B0F4C" w:rsidRPr="003B0F4C" w:rsidRDefault="003B0F4C" w:rsidP="00B70FB5">
      <w:pPr>
        <w:pStyle w:val="EmailBlast"/>
      </w:pPr>
      <w:bookmarkStart w:id="11" w:name="_Toc39074170"/>
      <w:bookmarkStart w:id="12" w:name="_Hlk31787691"/>
      <w:proofErr w:type="spellStart"/>
      <w:r w:rsidRPr="003B0F4C">
        <w:t>ORCF</w:t>
      </w:r>
      <w:proofErr w:type="spellEnd"/>
      <w:r w:rsidRPr="003B0F4C">
        <w:t xml:space="preserve"> Asset Management Risk Monitoring Routine Launch</w:t>
      </w:r>
      <w:bookmarkEnd w:id="11"/>
    </w:p>
    <w:p w14:paraId="6D7AE025" w14:textId="77777777" w:rsidR="003B0F4C" w:rsidRPr="003B0F4C" w:rsidRDefault="003B0F4C" w:rsidP="003B0F4C">
      <w:pPr>
        <w:rPr>
          <w:rFonts w:ascii="Arial" w:hAnsi="Arial" w:cs="Arial"/>
        </w:rPr>
      </w:pPr>
      <w:r w:rsidRPr="003B0F4C">
        <w:rPr>
          <w:rFonts w:ascii="Arial" w:hAnsi="Arial" w:cs="Arial"/>
        </w:rPr>
        <w:t xml:space="preserve">As referenced in the February 26, 2020 Email Blast, </w:t>
      </w:r>
      <w:proofErr w:type="spellStart"/>
      <w:r w:rsidRPr="003B0F4C">
        <w:rPr>
          <w:rFonts w:ascii="Arial" w:hAnsi="Arial" w:cs="Arial"/>
        </w:rPr>
        <w:t>ORCF</w:t>
      </w:r>
      <w:proofErr w:type="spellEnd"/>
      <w:r w:rsidRPr="003B0F4C">
        <w:rPr>
          <w:rFonts w:ascii="Arial" w:hAnsi="Arial" w:cs="Arial"/>
        </w:rPr>
        <w:t xml:space="preserve"> Asset Management is rolling out its new Risk Monitoring Routine.  In the coming weeks, </w:t>
      </w:r>
      <w:proofErr w:type="spellStart"/>
      <w:r w:rsidRPr="003B0F4C">
        <w:rPr>
          <w:rFonts w:ascii="Arial" w:hAnsi="Arial" w:cs="Arial"/>
        </w:rPr>
        <w:t>ORCF</w:t>
      </w:r>
      <w:proofErr w:type="spellEnd"/>
      <w:r w:rsidRPr="003B0F4C">
        <w:rPr>
          <w:rFonts w:ascii="Arial" w:hAnsi="Arial" w:cs="Arial"/>
        </w:rPr>
        <w:t xml:space="preserve"> will be sending a list of those projects with potential risk indicators in each servicing lender’s portfolio to contacts at each lender.  This communication will be sent from the shared mailbox, </w:t>
      </w:r>
      <w:hyperlink r:id="rId21" w:history="1">
        <w:r w:rsidRPr="003B0F4C">
          <w:rPr>
            <w:rStyle w:val="Hyperlink"/>
            <w:rFonts w:ascii="Arial" w:hAnsi="Arial" w:cs="Arial"/>
          </w:rPr>
          <w:t>232RiskMonitoring@hud.gov</w:t>
        </w:r>
      </w:hyperlink>
      <w:r w:rsidRPr="003B0F4C">
        <w:rPr>
          <w:rFonts w:ascii="Arial" w:hAnsi="Arial" w:cs="Arial"/>
        </w:rPr>
        <w:t xml:space="preserve">, and will include all assigned </w:t>
      </w:r>
      <w:proofErr w:type="spellStart"/>
      <w:r w:rsidRPr="003B0F4C">
        <w:rPr>
          <w:rFonts w:ascii="Arial" w:hAnsi="Arial" w:cs="Arial"/>
        </w:rPr>
        <w:t>ORCF</w:t>
      </w:r>
      <w:proofErr w:type="spellEnd"/>
      <w:r w:rsidRPr="003B0F4C">
        <w:rPr>
          <w:rFonts w:ascii="Arial" w:hAnsi="Arial" w:cs="Arial"/>
        </w:rPr>
        <w:t xml:space="preserve"> Account Executives (and supervising Workload Managers). </w:t>
      </w:r>
    </w:p>
    <w:p w14:paraId="1DF5D877" w14:textId="77777777" w:rsidR="003B0F4C" w:rsidRPr="003B0F4C" w:rsidRDefault="003B0F4C" w:rsidP="003B0F4C">
      <w:pPr>
        <w:rPr>
          <w:rFonts w:ascii="Arial" w:hAnsi="Arial" w:cs="Arial"/>
        </w:rPr>
      </w:pPr>
    </w:p>
    <w:p w14:paraId="7B7E0BCB" w14:textId="1F2A20C8" w:rsidR="003B0F4C" w:rsidRPr="003B0F4C" w:rsidRDefault="003B0F4C" w:rsidP="003B0F4C">
      <w:pPr>
        <w:rPr>
          <w:rFonts w:ascii="Arial" w:hAnsi="Arial" w:cs="Arial"/>
        </w:rPr>
      </w:pPr>
      <w:r w:rsidRPr="003B0F4C">
        <w:rPr>
          <w:rFonts w:ascii="Arial" w:hAnsi="Arial" w:cs="Arial"/>
        </w:rPr>
        <w:t xml:space="preserve">Servicing Lenders will be asked to provide a response to the assigned </w:t>
      </w:r>
      <w:proofErr w:type="spellStart"/>
      <w:r w:rsidRPr="003B0F4C">
        <w:rPr>
          <w:rFonts w:ascii="Arial" w:hAnsi="Arial" w:cs="Arial"/>
        </w:rPr>
        <w:t>ORCF</w:t>
      </w:r>
      <w:proofErr w:type="spellEnd"/>
      <w:r w:rsidRPr="003B0F4C">
        <w:rPr>
          <w:rFonts w:ascii="Arial" w:hAnsi="Arial" w:cs="Arial"/>
        </w:rPr>
        <w:t xml:space="preserve"> Account Executive within </w:t>
      </w:r>
      <w:r w:rsidRPr="003B0F4C">
        <w:rPr>
          <w:rFonts w:ascii="Arial" w:hAnsi="Arial" w:cs="Arial"/>
          <w:b/>
          <w:bCs/>
          <w:u w:val="single"/>
        </w:rPr>
        <w:t xml:space="preserve">10 </w:t>
      </w:r>
      <w:r w:rsidR="004729E4">
        <w:rPr>
          <w:rFonts w:ascii="Arial" w:hAnsi="Arial" w:cs="Arial"/>
          <w:b/>
          <w:bCs/>
          <w:u w:val="single"/>
        </w:rPr>
        <w:t>business</w:t>
      </w:r>
      <w:r w:rsidRPr="003B0F4C">
        <w:rPr>
          <w:rFonts w:ascii="Arial" w:hAnsi="Arial" w:cs="Arial"/>
          <w:b/>
          <w:bCs/>
          <w:u w:val="single"/>
        </w:rPr>
        <w:t xml:space="preserve"> days</w:t>
      </w:r>
      <w:r w:rsidRPr="003B0F4C">
        <w:rPr>
          <w:rFonts w:ascii="Arial" w:hAnsi="Arial" w:cs="Arial"/>
        </w:rPr>
        <w:t xml:space="preserve">, unless existing guidance prescribes a faster timeframe.  The lender’s response should either: 1) validate the risks cited with the submission of a complete Servicer’s Notification to HUD of Risks to Healthcare Project and Action Plan for Remedy (Form HUD-93334-ORCF), or 2) inform the AE that the risk is unsubstantiated, and provide justification and documentation explaining why the risk indicated is invalid.  </w:t>
      </w:r>
    </w:p>
    <w:p w14:paraId="2D975E49" w14:textId="77777777" w:rsidR="003B0F4C" w:rsidRPr="003B0F4C" w:rsidRDefault="003B0F4C" w:rsidP="003B0F4C">
      <w:pPr>
        <w:rPr>
          <w:rFonts w:ascii="Arial" w:hAnsi="Arial" w:cs="Arial"/>
        </w:rPr>
      </w:pPr>
    </w:p>
    <w:p w14:paraId="2308F3F5" w14:textId="78912C63" w:rsidR="003B0F4C" w:rsidRPr="003B0F4C" w:rsidRDefault="003B0F4C" w:rsidP="003B0F4C">
      <w:pPr>
        <w:rPr>
          <w:rFonts w:ascii="Arial" w:hAnsi="Arial" w:cs="Arial"/>
        </w:rPr>
      </w:pPr>
      <w:r w:rsidRPr="003B0F4C">
        <w:rPr>
          <w:rFonts w:ascii="Arial" w:hAnsi="Arial" w:cs="Arial"/>
        </w:rPr>
        <w:t xml:space="preserve">For those risks that are verified, Servicers/Lenders will be expected to work with their Borrowers and Operators to develop an Action Plan, which the Servicers/Lenders will provide to HUD with the Form HUD-93334-ORCF (as an addendum thereto should the </w:t>
      </w:r>
      <w:r w:rsidRPr="003B0F4C">
        <w:rPr>
          <w:rFonts w:ascii="Arial" w:hAnsi="Arial" w:cs="Arial"/>
        </w:rPr>
        <w:lastRenderedPageBreak/>
        <w:t xml:space="preserve">project participants need additional time).  Such addendums should be submitted no later than </w:t>
      </w:r>
      <w:r w:rsidRPr="003B0F4C">
        <w:rPr>
          <w:rFonts w:ascii="Arial" w:hAnsi="Arial" w:cs="Arial"/>
          <w:b/>
          <w:bCs/>
          <w:u w:val="single"/>
        </w:rPr>
        <w:t xml:space="preserve">30 </w:t>
      </w:r>
      <w:r w:rsidR="00EA6930">
        <w:rPr>
          <w:rFonts w:ascii="Arial" w:hAnsi="Arial" w:cs="Arial"/>
          <w:b/>
          <w:bCs/>
          <w:u w:val="single"/>
        </w:rPr>
        <w:t xml:space="preserve">business </w:t>
      </w:r>
      <w:r w:rsidRPr="003B0F4C">
        <w:rPr>
          <w:rFonts w:ascii="Arial" w:hAnsi="Arial" w:cs="Arial"/>
          <w:b/>
          <w:bCs/>
          <w:u w:val="single"/>
        </w:rPr>
        <w:t>days</w:t>
      </w:r>
      <w:r w:rsidRPr="003B0F4C">
        <w:rPr>
          <w:rFonts w:ascii="Arial" w:hAnsi="Arial" w:cs="Arial"/>
        </w:rPr>
        <w:t xml:space="preserve"> after the date of the Risk Monitoring Routine email.</w:t>
      </w:r>
    </w:p>
    <w:p w14:paraId="2983C4E3" w14:textId="77777777" w:rsidR="003B0F4C" w:rsidRPr="003B0F4C" w:rsidRDefault="003B0F4C" w:rsidP="003B0F4C">
      <w:pPr>
        <w:rPr>
          <w:rFonts w:ascii="Arial" w:hAnsi="Arial" w:cs="Arial"/>
        </w:rPr>
      </w:pPr>
    </w:p>
    <w:p w14:paraId="3F250BDC" w14:textId="77777777" w:rsidR="003B0F4C" w:rsidRPr="003B0F4C" w:rsidRDefault="003B0F4C" w:rsidP="003B0F4C">
      <w:pPr>
        <w:rPr>
          <w:rFonts w:ascii="Arial" w:hAnsi="Arial" w:cs="Arial"/>
          <w:i/>
          <w:iCs/>
        </w:rPr>
      </w:pPr>
      <w:r w:rsidRPr="003B0F4C">
        <w:rPr>
          <w:rFonts w:ascii="Arial" w:hAnsi="Arial" w:cs="Arial"/>
          <w:b/>
          <w:bCs/>
          <w:i/>
          <w:iCs/>
        </w:rPr>
        <w:t>Keywords:</w:t>
      </w:r>
      <w:r w:rsidRPr="003B0F4C">
        <w:rPr>
          <w:rFonts w:ascii="Arial" w:hAnsi="Arial" w:cs="Arial"/>
          <w:i/>
          <w:iCs/>
        </w:rPr>
        <w:t xml:space="preserve"> Asset Management, Risk Monitoring </w:t>
      </w:r>
    </w:p>
    <w:p w14:paraId="7E2134B8" w14:textId="77777777" w:rsidR="003B0F4C" w:rsidRDefault="003B0F4C" w:rsidP="003B0F4C">
      <w:pPr>
        <w:rPr>
          <w:rFonts w:ascii="Arial" w:hAnsi="Arial" w:cs="Arial"/>
        </w:rPr>
      </w:pPr>
    </w:p>
    <w:bookmarkEnd w:id="12"/>
    <w:p w14:paraId="4C95D4B7" w14:textId="77777777" w:rsidR="00B7164F" w:rsidRPr="001F5102" w:rsidRDefault="00B1742D" w:rsidP="00B7164F">
      <w:pPr>
        <w:rPr>
          <w:rFonts w:ascii="Arial" w:hAnsi="Arial" w:cs="Arial"/>
          <w:b/>
          <w:color w:val="365F91" w:themeColor="accent1" w:themeShade="BF"/>
          <w:szCs w:val="24"/>
        </w:rPr>
      </w:pPr>
      <w:r>
        <w:fldChar w:fldCharType="begin"/>
      </w:r>
      <w:r>
        <w:instrText xml:space="preserve"> HYPERLINK \l "_top" </w:instrText>
      </w:r>
      <w:r>
        <w:fldChar w:fldCharType="separate"/>
      </w:r>
      <w:r w:rsidR="00B7164F" w:rsidRPr="001F5102">
        <w:rPr>
          <w:rFonts w:ascii="Arial" w:hAnsi="Arial" w:cs="Arial"/>
          <w:color w:val="365F91" w:themeColor="accent1" w:themeShade="BF"/>
          <w:szCs w:val="24"/>
          <w:u w:val="single"/>
        </w:rPr>
        <w:t>Back to top</w:t>
      </w:r>
      <w:r>
        <w:rPr>
          <w:rFonts w:ascii="Arial" w:hAnsi="Arial" w:cs="Arial"/>
          <w:color w:val="365F91" w:themeColor="accent1" w:themeShade="BF"/>
          <w:szCs w:val="24"/>
          <w:u w:val="single"/>
        </w:rPr>
        <w:fldChar w:fldCharType="end"/>
      </w:r>
    </w:p>
    <w:p w14:paraId="013EB1C9" w14:textId="77777777" w:rsidR="003F773B" w:rsidRPr="001F5102" w:rsidRDefault="003F773B" w:rsidP="008930F5">
      <w:pPr>
        <w:rPr>
          <w:rFonts w:ascii="Arial" w:hAnsi="Arial" w:cs="Arial"/>
          <w:b/>
        </w:rPr>
      </w:pPr>
    </w:p>
    <w:p w14:paraId="4A5135E9" w14:textId="42CC301F" w:rsidR="003B0F4C" w:rsidRPr="003B0F4C" w:rsidRDefault="003B0F4C" w:rsidP="00B70FB5">
      <w:pPr>
        <w:pStyle w:val="EmailBlast"/>
      </w:pPr>
      <w:bookmarkStart w:id="13" w:name="_Toc39074171"/>
      <w:r w:rsidRPr="003B0F4C">
        <w:t>Reminding Section 232 Lenders/Servicers of Their Obligations</w:t>
      </w:r>
      <w:bookmarkEnd w:id="13"/>
    </w:p>
    <w:p w14:paraId="6DC55D13" w14:textId="77777777" w:rsidR="003B0F4C" w:rsidRPr="003B0F4C" w:rsidRDefault="003B0F4C" w:rsidP="003B0F4C">
      <w:pPr>
        <w:rPr>
          <w:rFonts w:ascii="Arial" w:hAnsi="Arial" w:cs="Arial"/>
        </w:rPr>
      </w:pPr>
      <w:r w:rsidRPr="003B0F4C">
        <w:rPr>
          <w:rFonts w:ascii="Arial" w:hAnsi="Arial" w:cs="Arial"/>
        </w:rPr>
        <w:t>The Office of Residential Care Facilities (</w:t>
      </w:r>
      <w:proofErr w:type="spellStart"/>
      <w:r w:rsidRPr="003B0F4C">
        <w:rPr>
          <w:rFonts w:ascii="Arial" w:hAnsi="Arial" w:cs="Arial"/>
        </w:rPr>
        <w:t>ORCF</w:t>
      </w:r>
      <w:proofErr w:type="spellEnd"/>
      <w:r w:rsidRPr="003B0F4C">
        <w:rPr>
          <w:rFonts w:ascii="Arial" w:hAnsi="Arial" w:cs="Arial"/>
        </w:rPr>
        <w:t xml:space="preserve">) is responsible for asset and risk management of all Section 232 insured projects.  Lenders/Servicers also provide routine reviews of these projects that include analyses of quarterly and annual financial performance and reporting when a project’s performance is at risk to the assigned </w:t>
      </w:r>
      <w:proofErr w:type="spellStart"/>
      <w:r w:rsidRPr="003B0F4C">
        <w:rPr>
          <w:rFonts w:ascii="Arial" w:hAnsi="Arial" w:cs="Arial"/>
        </w:rPr>
        <w:t>ORCF</w:t>
      </w:r>
      <w:proofErr w:type="spellEnd"/>
      <w:r w:rsidRPr="003B0F4C">
        <w:rPr>
          <w:rFonts w:ascii="Arial" w:hAnsi="Arial" w:cs="Arial"/>
        </w:rPr>
        <w:t xml:space="preserve"> Account Executive (AE).</w:t>
      </w:r>
    </w:p>
    <w:p w14:paraId="47909CB6" w14:textId="77777777" w:rsidR="003B0F4C" w:rsidRPr="003B0F4C" w:rsidRDefault="003B0F4C" w:rsidP="003B0F4C">
      <w:pPr>
        <w:rPr>
          <w:rFonts w:ascii="Arial" w:hAnsi="Arial" w:cs="Arial"/>
        </w:rPr>
      </w:pPr>
    </w:p>
    <w:p w14:paraId="11D8C0DF" w14:textId="61CF1057" w:rsidR="003B0F4C" w:rsidRPr="003B0F4C" w:rsidRDefault="003B0F4C" w:rsidP="003B0F4C">
      <w:pPr>
        <w:rPr>
          <w:rFonts w:ascii="Arial" w:hAnsi="Arial" w:cs="Arial"/>
        </w:rPr>
      </w:pPr>
      <w:r w:rsidRPr="003B0F4C">
        <w:rPr>
          <w:rFonts w:ascii="Arial" w:hAnsi="Arial" w:cs="Arial"/>
        </w:rPr>
        <w:t>All Operators are required by 24 CFR Section 232.1015 to provide prompt notification to HUD and the Lender/Servicer of circumstances placing the value of security at risk, as fully delineated in that CFR provision (</w:t>
      </w:r>
      <w:hyperlink r:id="rId22" w:anchor="title24_chapterII_part232_subpartF_section232.1015" w:history="1">
        <w:r w:rsidRPr="002F4E9B">
          <w:rPr>
            <w:rStyle w:val="Hyperlink"/>
            <w:rFonts w:ascii="Arial" w:hAnsi="Arial" w:cs="Arial"/>
          </w:rPr>
          <w:t>link</w:t>
        </w:r>
      </w:hyperlink>
      <w:r w:rsidRPr="003B0F4C">
        <w:rPr>
          <w:rFonts w:ascii="Arial" w:hAnsi="Arial" w:cs="Arial"/>
        </w:rPr>
        <w:t xml:space="preserve">).  Although that provision applies to Operators of any Section 232 facility, the requirement is further set forth in </w:t>
      </w:r>
      <w:r w:rsidR="00EA6930">
        <w:rPr>
          <w:rFonts w:ascii="Arial" w:hAnsi="Arial" w:cs="Arial"/>
        </w:rPr>
        <w:t>Paragraph</w:t>
      </w:r>
      <w:r w:rsidR="005940D9">
        <w:rPr>
          <w:rFonts w:ascii="Arial" w:hAnsi="Arial" w:cs="Arial"/>
        </w:rPr>
        <w:t> </w:t>
      </w:r>
      <w:r w:rsidR="00EA6930">
        <w:rPr>
          <w:rFonts w:ascii="Arial" w:hAnsi="Arial" w:cs="Arial"/>
        </w:rPr>
        <w:t>25</w:t>
      </w:r>
      <w:r w:rsidR="002C713E">
        <w:rPr>
          <w:rFonts w:ascii="Arial" w:hAnsi="Arial" w:cs="Arial"/>
        </w:rPr>
        <w:t>(d)</w:t>
      </w:r>
      <w:r w:rsidR="00EA6930">
        <w:rPr>
          <w:rFonts w:ascii="Arial" w:hAnsi="Arial" w:cs="Arial"/>
        </w:rPr>
        <w:t xml:space="preserve"> of </w:t>
      </w:r>
      <w:r w:rsidRPr="003B0F4C">
        <w:rPr>
          <w:rFonts w:ascii="Arial" w:hAnsi="Arial" w:cs="Arial"/>
        </w:rPr>
        <w:t>the Borrower Regulatory Agreement (92466-ORCF).</w:t>
      </w:r>
    </w:p>
    <w:p w14:paraId="436BDAD1" w14:textId="77777777" w:rsidR="003B0F4C" w:rsidRPr="003B0F4C" w:rsidRDefault="003B0F4C" w:rsidP="003B0F4C">
      <w:pPr>
        <w:rPr>
          <w:rFonts w:ascii="Arial" w:hAnsi="Arial" w:cs="Arial"/>
        </w:rPr>
      </w:pPr>
    </w:p>
    <w:p w14:paraId="1BB6596C" w14:textId="77777777" w:rsidR="003B0F4C" w:rsidRPr="003B0F4C" w:rsidRDefault="003B0F4C" w:rsidP="003B0F4C">
      <w:pPr>
        <w:rPr>
          <w:rFonts w:ascii="Arial" w:hAnsi="Arial" w:cs="Arial"/>
        </w:rPr>
      </w:pPr>
      <w:r w:rsidRPr="003B0F4C">
        <w:rPr>
          <w:rFonts w:ascii="Arial" w:hAnsi="Arial" w:cs="Arial"/>
        </w:rPr>
        <w:t>In addition to their routine reviews, Servicers/Lenders must also ensure that HUD has been made aware of any and all circumstances that place the value of security at risk.  The required form for this notification is the Servicer’s Notification to HUD of Risks to Healthcare Project and Action Plan for Remedy (Form HUD-93334-ORCF).</w:t>
      </w:r>
    </w:p>
    <w:p w14:paraId="3D914160" w14:textId="77777777" w:rsidR="003B0F4C" w:rsidRPr="003B0F4C" w:rsidRDefault="003B0F4C" w:rsidP="003B0F4C">
      <w:pPr>
        <w:rPr>
          <w:rFonts w:ascii="Arial" w:hAnsi="Arial" w:cs="Arial"/>
        </w:rPr>
      </w:pPr>
    </w:p>
    <w:p w14:paraId="0885E21C" w14:textId="77777777" w:rsidR="003B0F4C" w:rsidRPr="003B0F4C" w:rsidRDefault="003B0F4C" w:rsidP="003B0F4C">
      <w:pPr>
        <w:rPr>
          <w:rFonts w:ascii="Arial" w:hAnsi="Arial" w:cs="Arial"/>
          <w:i/>
          <w:iCs/>
        </w:rPr>
      </w:pPr>
      <w:r w:rsidRPr="003B0F4C">
        <w:rPr>
          <w:rFonts w:ascii="Arial" w:hAnsi="Arial" w:cs="Arial"/>
          <w:b/>
          <w:bCs/>
          <w:i/>
          <w:iCs/>
        </w:rPr>
        <w:t>Keywords:</w:t>
      </w:r>
      <w:r w:rsidRPr="003B0F4C">
        <w:rPr>
          <w:rFonts w:ascii="Arial" w:hAnsi="Arial" w:cs="Arial"/>
          <w:i/>
          <w:iCs/>
        </w:rPr>
        <w:t xml:space="preserve"> Asset Management, Servicing Lender Obligations </w:t>
      </w:r>
    </w:p>
    <w:p w14:paraId="772586E7" w14:textId="77777777" w:rsidR="00B00372" w:rsidRPr="001F5102" w:rsidRDefault="00B00372" w:rsidP="00B00372">
      <w:pPr>
        <w:rPr>
          <w:rFonts w:ascii="Arial" w:hAnsi="Arial" w:cs="Arial"/>
        </w:rPr>
      </w:pPr>
    </w:p>
    <w:p w14:paraId="6D6DBF98" w14:textId="77777777" w:rsidR="00B7164F" w:rsidRPr="001F5102" w:rsidRDefault="009E419D"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ABA2B28" w14:textId="77777777" w:rsidR="00B2122A" w:rsidRPr="001F5102" w:rsidRDefault="00B2122A" w:rsidP="008930F5">
      <w:pPr>
        <w:rPr>
          <w:rFonts w:ascii="Arial" w:hAnsi="Arial" w:cs="Arial"/>
          <w:b/>
        </w:rPr>
      </w:pPr>
    </w:p>
    <w:p w14:paraId="37488BA2" w14:textId="4F023A89" w:rsidR="003B0F4C" w:rsidRPr="003B0F4C" w:rsidRDefault="003B0F4C" w:rsidP="00B70FB5">
      <w:pPr>
        <w:pStyle w:val="EmailBlast"/>
      </w:pPr>
      <w:bookmarkStart w:id="14" w:name="_Toc39074172"/>
      <w:proofErr w:type="spellStart"/>
      <w:r w:rsidRPr="003B0F4C">
        <w:t>ORCF</w:t>
      </w:r>
      <w:proofErr w:type="spellEnd"/>
      <w:r w:rsidRPr="003B0F4C">
        <w:t xml:space="preserve"> Asset Management Update on Operator Financial Submissions</w:t>
      </w:r>
      <w:bookmarkEnd w:id="14"/>
    </w:p>
    <w:p w14:paraId="26C711AA" w14:textId="77777777" w:rsidR="003B0F4C" w:rsidRPr="003B0F4C" w:rsidRDefault="003B0F4C" w:rsidP="003B0F4C">
      <w:pPr>
        <w:rPr>
          <w:rFonts w:ascii="Arial" w:hAnsi="Arial" w:cs="Arial"/>
        </w:rPr>
      </w:pPr>
      <w:r w:rsidRPr="003B0F4C">
        <w:rPr>
          <w:rFonts w:ascii="Arial" w:hAnsi="Arial" w:cs="Arial"/>
        </w:rPr>
        <w:t xml:space="preserve">As </w:t>
      </w:r>
      <w:proofErr w:type="spellStart"/>
      <w:r w:rsidRPr="003B0F4C">
        <w:rPr>
          <w:rFonts w:ascii="Arial" w:hAnsi="Arial" w:cs="Arial"/>
        </w:rPr>
        <w:t>ORCF</w:t>
      </w:r>
      <w:proofErr w:type="spellEnd"/>
      <w:r w:rsidRPr="003B0F4C">
        <w:rPr>
          <w:rFonts w:ascii="Arial" w:hAnsi="Arial" w:cs="Arial"/>
        </w:rPr>
        <w:t xml:space="preserve"> Asset Management introduces its risk monitoring routine, it would like to take this opportunity to remind servicing lenders of their obligations in reporting quarterly operator financial data via the 232 Healthcare Portal.</w:t>
      </w:r>
    </w:p>
    <w:p w14:paraId="3DFD6420" w14:textId="77777777" w:rsidR="003B0F4C" w:rsidRPr="003B0F4C" w:rsidRDefault="003B0F4C" w:rsidP="003B0F4C">
      <w:pPr>
        <w:rPr>
          <w:rFonts w:ascii="Arial" w:hAnsi="Arial" w:cs="Arial"/>
        </w:rPr>
      </w:pPr>
    </w:p>
    <w:p w14:paraId="14F50103" w14:textId="406D81BF" w:rsidR="00D43431" w:rsidRDefault="003B0F4C" w:rsidP="003B0F4C">
      <w:pPr>
        <w:rPr>
          <w:rFonts w:ascii="Arial" w:hAnsi="Arial" w:cs="Arial"/>
        </w:rPr>
      </w:pPr>
      <w:proofErr w:type="spellStart"/>
      <w:r w:rsidRPr="003B0F4C">
        <w:rPr>
          <w:rFonts w:ascii="Arial" w:hAnsi="Arial" w:cs="Arial"/>
        </w:rPr>
        <w:t>ORCF</w:t>
      </w:r>
      <w:proofErr w:type="spellEnd"/>
      <w:r w:rsidRPr="003B0F4C">
        <w:rPr>
          <w:rFonts w:ascii="Arial" w:hAnsi="Arial" w:cs="Arial"/>
        </w:rPr>
        <w:t xml:space="preserve"> acknowledges the varied state of Operator-prepared quarterly financial statements</w:t>
      </w:r>
      <w:r w:rsidR="00D43431">
        <w:rPr>
          <w:rFonts w:ascii="Arial" w:hAnsi="Arial" w:cs="Arial"/>
        </w:rPr>
        <w:t xml:space="preserve">.  Here are some suggestions and best practices for </w:t>
      </w:r>
      <w:r w:rsidRPr="003B0F4C">
        <w:rPr>
          <w:rFonts w:ascii="Arial" w:hAnsi="Arial" w:cs="Arial"/>
        </w:rPr>
        <w:t xml:space="preserve">lenders to </w:t>
      </w:r>
      <w:r w:rsidR="00D43431">
        <w:rPr>
          <w:rFonts w:ascii="Arial" w:hAnsi="Arial" w:cs="Arial"/>
        </w:rPr>
        <w:t xml:space="preserve">consider when </w:t>
      </w:r>
      <w:proofErr w:type="gramStart"/>
      <w:r w:rsidR="00D43431">
        <w:rPr>
          <w:rFonts w:ascii="Arial" w:hAnsi="Arial" w:cs="Arial"/>
        </w:rPr>
        <w:t>making</w:t>
      </w:r>
      <w:r w:rsidRPr="003B0F4C">
        <w:rPr>
          <w:rFonts w:ascii="Arial" w:hAnsi="Arial" w:cs="Arial"/>
        </w:rPr>
        <w:t xml:space="preserve"> adjustments</w:t>
      </w:r>
      <w:proofErr w:type="gramEnd"/>
      <w:r w:rsidRPr="003B0F4C">
        <w:rPr>
          <w:rFonts w:ascii="Arial" w:hAnsi="Arial" w:cs="Arial"/>
        </w:rPr>
        <w:t xml:space="preserve"> for each property’s financial calculations prior to submitting through the 232 Healthcare Portal</w:t>
      </w:r>
      <w:r w:rsidR="009A6821">
        <w:rPr>
          <w:rFonts w:ascii="Arial" w:hAnsi="Arial" w:cs="Arial"/>
        </w:rPr>
        <w:t xml:space="preserve">, based on </w:t>
      </w:r>
      <w:proofErr w:type="spellStart"/>
      <w:r w:rsidR="009A6821">
        <w:rPr>
          <w:rFonts w:ascii="Arial" w:hAnsi="Arial" w:cs="Arial"/>
        </w:rPr>
        <w:t>ORCF</w:t>
      </w:r>
      <w:proofErr w:type="spellEnd"/>
      <w:r w:rsidR="009A6821">
        <w:rPr>
          <w:rFonts w:ascii="Arial" w:hAnsi="Arial" w:cs="Arial"/>
        </w:rPr>
        <w:t xml:space="preserve"> Asset Management’s review of lender portal submissions</w:t>
      </w:r>
      <w:r w:rsidR="00D43431">
        <w:rPr>
          <w:rFonts w:ascii="Arial" w:hAnsi="Arial" w:cs="Arial"/>
        </w:rPr>
        <w:t>:</w:t>
      </w:r>
    </w:p>
    <w:p w14:paraId="793A913D" w14:textId="77777777" w:rsidR="00D43431" w:rsidRDefault="00D43431" w:rsidP="003B0F4C">
      <w:pPr>
        <w:rPr>
          <w:rFonts w:ascii="Arial" w:hAnsi="Arial" w:cs="Arial"/>
        </w:rPr>
      </w:pPr>
    </w:p>
    <w:p w14:paraId="3CF6F066" w14:textId="26039F67" w:rsidR="003B0F4C" w:rsidRDefault="00D43431" w:rsidP="00B70FB5">
      <w:pPr>
        <w:pStyle w:val="ListParagraph"/>
        <w:numPr>
          <w:ilvl w:val="0"/>
          <w:numId w:val="29"/>
        </w:numPr>
        <w:spacing w:before="120" w:after="120"/>
        <w:rPr>
          <w:rFonts w:ascii="Arial" w:hAnsi="Arial" w:cs="Arial"/>
        </w:rPr>
      </w:pPr>
      <w:r w:rsidRPr="003B0F4C">
        <w:rPr>
          <w:rFonts w:ascii="Arial" w:hAnsi="Arial" w:cs="Arial"/>
          <w:b/>
          <w:bCs/>
        </w:rPr>
        <w:lastRenderedPageBreak/>
        <w:t xml:space="preserve">Actual vs. Normalized: </w:t>
      </w:r>
      <w:r>
        <w:rPr>
          <w:rFonts w:ascii="Arial" w:hAnsi="Arial" w:cs="Arial"/>
        </w:rPr>
        <w:t xml:space="preserve">To ensure accurate portal calculations, </w:t>
      </w:r>
      <w:r w:rsidRPr="003B0F4C">
        <w:rPr>
          <w:rFonts w:ascii="Arial" w:hAnsi="Arial" w:cs="Arial"/>
        </w:rPr>
        <w:t>Lenders should report actual figures for a given reporting period (3, 6, 9 or 12 months), rather than normalizing a given reporting period’s figures</w:t>
      </w:r>
    </w:p>
    <w:p w14:paraId="4EC9A712" w14:textId="67A9A6D5" w:rsidR="00D43431" w:rsidRDefault="000F3264" w:rsidP="00B70FB5">
      <w:pPr>
        <w:pStyle w:val="ListParagraph"/>
        <w:numPr>
          <w:ilvl w:val="0"/>
          <w:numId w:val="29"/>
        </w:numPr>
        <w:spacing w:before="120" w:after="120"/>
        <w:rPr>
          <w:rFonts w:ascii="Arial" w:hAnsi="Arial" w:cs="Arial"/>
        </w:rPr>
      </w:pPr>
      <w:r>
        <w:rPr>
          <w:rFonts w:ascii="Arial" w:hAnsi="Arial" w:cs="Arial"/>
          <w:b/>
          <w:bCs/>
        </w:rPr>
        <w:t>Identity-of-Interest Management Fees:</w:t>
      </w:r>
      <w:r>
        <w:rPr>
          <w:rFonts w:ascii="Arial" w:hAnsi="Arial" w:cs="Arial"/>
        </w:rPr>
        <w:t xml:space="preserve">  </w:t>
      </w:r>
      <w:r w:rsidR="00CB5B48">
        <w:rPr>
          <w:rFonts w:ascii="Arial" w:hAnsi="Arial" w:cs="Arial"/>
        </w:rPr>
        <w:t>M</w:t>
      </w:r>
      <w:r w:rsidR="009A6821" w:rsidRPr="003B0F4C">
        <w:rPr>
          <w:rFonts w:ascii="Arial" w:hAnsi="Arial" w:cs="Arial"/>
        </w:rPr>
        <w:t xml:space="preserve">anagement fees </w:t>
      </w:r>
      <w:r w:rsidR="00CB5B48">
        <w:rPr>
          <w:rFonts w:ascii="Arial" w:hAnsi="Arial" w:cs="Arial"/>
        </w:rPr>
        <w:t xml:space="preserve">are included in the Total </w:t>
      </w:r>
      <w:r>
        <w:rPr>
          <w:rFonts w:ascii="Arial" w:hAnsi="Arial" w:cs="Arial"/>
        </w:rPr>
        <w:t xml:space="preserve">Operating Expenses </w:t>
      </w:r>
      <w:r w:rsidR="00CB5B48">
        <w:rPr>
          <w:rFonts w:ascii="Arial" w:hAnsi="Arial" w:cs="Arial"/>
        </w:rPr>
        <w:t xml:space="preserve">calculation lenders </w:t>
      </w:r>
      <w:r w:rsidR="00866FFE">
        <w:rPr>
          <w:rFonts w:ascii="Arial" w:hAnsi="Arial" w:cs="Arial"/>
        </w:rPr>
        <w:t xml:space="preserve">submit to the 232 Healthcare Portal.  Handbook 4232.1 Section II, Chapter 8.7 A 5 notes that these fees “must be clearly designated in the management agreement, must be computed and paid in accordance with HUD Program Obligation, and must be approved by </w:t>
      </w:r>
      <w:proofErr w:type="spellStart"/>
      <w:r w:rsidR="00866FFE">
        <w:rPr>
          <w:rFonts w:ascii="Arial" w:hAnsi="Arial" w:cs="Arial"/>
        </w:rPr>
        <w:t>ORCF</w:t>
      </w:r>
      <w:proofErr w:type="spellEnd"/>
      <w:r w:rsidR="00866FFE">
        <w:rPr>
          <w:rFonts w:ascii="Arial" w:hAnsi="Arial" w:cs="Arial"/>
        </w:rPr>
        <w:t xml:space="preserve">.”  </w:t>
      </w:r>
      <w:r w:rsidR="00FA6612">
        <w:rPr>
          <w:rFonts w:ascii="Arial" w:hAnsi="Arial" w:cs="Arial"/>
        </w:rPr>
        <w:t>As such, we suggest that Identity-of-Interest Management Fees are included in the Total Operating Expenses to ensure an accurate picture of an operator’s cash flow is reflected in the 232 Healthcare Portal.</w:t>
      </w:r>
    </w:p>
    <w:p w14:paraId="49EE9821" w14:textId="701C12B7" w:rsidR="009A6821" w:rsidRPr="00EA6930" w:rsidRDefault="009A6821" w:rsidP="00B70FB5">
      <w:pPr>
        <w:pStyle w:val="ListParagraph"/>
        <w:numPr>
          <w:ilvl w:val="0"/>
          <w:numId w:val="29"/>
        </w:numPr>
        <w:spacing w:before="120" w:after="120"/>
        <w:rPr>
          <w:rFonts w:ascii="Arial" w:hAnsi="Arial" w:cs="Arial"/>
        </w:rPr>
      </w:pPr>
      <w:r w:rsidRPr="00EA6930">
        <w:rPr>
          <w:rFonts w:ascii="Arial" w:hAnsi="Arial" w:cs="Arial"/>
          <w:b/>
          <w:bCs/>
        </w:rPr>
        <w:t>Debt Service Coverage Ratios (DSCR)</w:t>
      </w:r>
      <w:r w:rsidR="000F3264">
        <w:rPr>
          <w:rFonts w:ascii="Arial" w:hAnsi="Arial" w:cs="Arial"/>
          <w:b/>
          <w:bCs/>
        </w:rPr>
        <w:t>:</w:t>
      </w:r>
      <w:r w:rsidRPr="009A6821">
        <w:rPr>
          <w:rFonts w:ascii="Arial" w:hAnsi="Arial" w:cs="Arial"/>
        </w:rPr>
        <w:t xml:space="preserve"> </w:t>
      </w:r>
      <w:r w:rsidR="000F3264">
        <w:rPr>
          <w:rFonts w:ascii="Arial" w:hAnsi="Arial" w:cs="Arial"/>
        </w:rPr>
        <w:t xml:space="preserve">DSCRs </w:t>
      </w:r>
      <w:r w:rsidRPr="009A6821">
        <w:rPr>
          <w:rFonts w:ascii="Arial" w:hAnsi="Arial" w:cs="Arial"/>
        </w:rPr>
        <w:t xml:space="preserve">calculated in the 232 Healthcare Portal are cumulative for a given fiscal year, meaning that the reported DSCR covers the number of months in the given reporting period (3, 6, 9 or 12 months).  Lenders should take note that </w:t>
      </w:r>
      <w:proofErr w:type="spellStart"/>
      <w:r w:rsidRPr="009A6821">
        <w:rPr>
          <w:rFonts w:ascii="Arial" w:hAnsi="Arial" w:cs="Arial"/>
        </w:rPr>
        <w:t>ORCF’s</w:t>
      </w:r>
      <w:proofErr w:type="spellEnd"/>
      <w:r w:rsidRPr="009A6821">
        <w:rPr>
          <w:rFonts w:ascii="Arial" w:hAnsi="Arial" w:cs="Arial"/>
        </w:rPr>
        <w:t xml:space="preserve"> internal DSCR calculations focus on the trailing 12 month (T12) average DSCR, regardless of the point in time it is calculated.   </w:t>
      </w:r>
    </w:p>
    <w:p w14:paraId="331E79F7" w14:textId="77777777" w:rsidR="009A6821" w:rsidRPr="00EA6930" w:rsidRDefault="009A6821" w:rsidP="009A6821">
      <w:pPr>
        <w:rPr>
          <w:rFonts w:ascii="Arial" w:hAnsi="Arial" w:cs="Arial"/>
        </w:rPr>
      </w:pPr>
    </w:p>
    <w:p w14:paraId="4A59FD5F" w14:textId="6A0F10B5" w:rsidR="00FA6612" w:rsidRPr="003B0F4C" w:rsidRDefault="00587864" w:rsidP="003B0F4C">
      <w:pPr>
        <w:rPr>
          <w:rFonts w:ascii="Arial" w:hAnsi="Arial" w:cs="Arial"/>
        </w:rPr>
      </w:pPr>
      <w:r>
        <w:rPr>
          <w:rFonts w:ascii="Arial" w:hAnsi="Arial" w:cs="Arial"/>
        </w:rPr>
        <w:t xml:space="preserve">The following bullets reiterate and clarify the information that can be found in the “Definitions and Data Format” tab of the “Batch File Upload Spreadsheet” found </w:t>
      </w:r>
      <w:r w:rsidR="007F3E36">
        <w:rPr>
          <w:rFonts w:ascii="Arial" w:hAnsi="Arial" w:cs="Arial"/>
        </w:rPr>
        <w:t xml:space="preserve">on </w:t>
      </w:r>
      <w:proofErr w:type="spellStart"/>
      <w:r w:rsidR="007F3E36">
        <w:rPr>
          <w:rFonts w:ascii="Arial" w:hAnsi="Arial" w:cs="Arial"/>
        </w:rPr>
        <w:t>ORCF’s</w:t>
      </w:r>
      <w:proofErr w:type="spellEnd"/>
      <w:r w:rsidR="007F3E36">
        <w:rPr>
          <w:rFonts w:ascii="Arial" w:hAnsi="Arial" w:cs="Arial"/>
        </w:rPr>
        <w:t xml:space="preserve"> 232 Healthcare Portal (</w:t>
      </w:r>
      <w:r>
        <w:rPr>
          <w:rFonts w:ascii="Arial" w:hAnsi="Arial" w:cs="Arial"/>
        </w:rPr>
        <w:t>here</w:t>
      </w:r>
      <w:r w:rsidR="007F3E36">
        <w:rPr>
          <w:rFonts w:ascii="Arial" w:hAnsi="Arial" w:cs="Arial"/>
        </w:rPr>
        <w:t>)</w:t>
      </w:r>
      <w:r w:rsidR="003B0F4C" w:rsidRPr="003B0F4C">
        <w:rPr>
          <w:rFonts w:ascii="Arial" w:hAnsi="Arial" w:cs="Arial"/>
        </w:rPr>
        <w:t>:</w:t>
      </w:r>
    </w:p>
    <w:p w14:paraId="1BE82A64" w14:textId="4230DD61" w:rsidR="003B0F4C" w:rsidRPr="003B0F4C" w:rsidRDefault="003B0F4C" w:rsidP="00EA6930">
      <w:pPr>
        <w:rPr>
          <w:rFonts w:ascii="Arial" w:hAnsi="Arial" w:cs="Arial"/>
        </w:rPr>
      </w:pPr>
    </w:p>
    <w:p w14:paraId="34AF0E34" w14:textId="77777777" w:rsidR="003B0F4C" w:rsidRPr="003B0F4C" w:rsidRDefault="003B0F4C" w:rsidP="003F773B">
      <w:pPr>
        <w:numPr>
          <w:ilvl w:val="0"/>
          <w:numId w:val="27"/>
        </w:numPr>
        <w:spacing w:after="120"/>
        <w:rPr>
          <w:rFonts w:ascii="Arial" w:hAnsi="Arial" w:cs="Arial"/>
        </w:rPr>
      </w:pPr>
      <w:r w:rsidRPr="003B0F4C">
        <w:rPr>
          <w:rFonts w:ascii="Arial" w:hAnsi="Arial" w:cs="Arial"/>
          <w:b/>
          <w:bCs/>
        </w:rPr>
        <w:t>Total Operating Revenues:</w:t>
      </w:r>
      <w:r w:rsidRPr="003B0F4C">
        <w:rPr>
          <w:rFonts w:ascii="Arial" w:hAnsi="Arial" w:cs="Arial"/>
        </w:rPr>
        <w:t xml:space="preserve">  This is the income derived from sources related to a facility’s everyday business operations and other income that is related to the services provided to the residents.  </w:t>
      </w:r>
    </w:p>
    <w:p w14:paraId="3AC0AC7E" w14:textId="77777777" w:rsidR="003B0F4C" w:rsidRPr="003B0F4C" w:rsidRDefault="003B0F4C" w:rsidP="003F773B">
      <w:pPr>
        <w:numPr>
          <w:ilvl w:val="1"/>
          <w:numId w:val="27"/>
        </w:numPr>
        <w:spacing w:after="120"/>
        <w:rPr>
          <w:rFonts w:ascii="Arial" w:hAnsi="Arial" w:cs="Arial"/>
        </w:rPr>
      </w:pPr>
      <w:r w:rsidRPr="003B0F4C">
        <w:rPr>
          <w:rFonts w:ascii="Arial" w:hAnsi="Arial" w:cs="Arial"/>
          <w:b/>
          <w:bCs/>
        </w:rPr>
        <w:t>What this includes:</w:t>
      </w:r>
      <w:r w:rsidRPr="003B0F4C">
        <w:rPr>
          <w:rFonts w:ascii="Arial" w:hAnsi="Arial" w:cs="Arial"/>
        </w:rPr>
        <w:t xml:space="preserve"> Common operating incomes sources include private pay, private insurance, Medicare, Medicaid, VA, etc.  Other income includes extra services provided to the residents (e.g. barbering/beautician servicers, extra meals, etc.)</w:t>
      </w:r>
    </w:p>
    <w:p w14:paraId="0CA6422E" w14:textId="77777777" w:rsidR="003B0F4C" w:rsidRPr="003B0F4C" w:rsidRDefault="003B0F4C" w:rsidP="003F773B">
      <w:pPr>
        <w:numPr>
          <w:ilvl w:val="1"/>
          <w:numId w:val="27"/>
        </w:numPr>
        <w:spacing w:after="120"/>
        <w:rPr>
          <w:rFonts w:ascii="Arial" w:hAnsi="Arial" w:cs="Arial"/>
        </w:rPr>
      </w:pPr>
      <w:r w:rsidRPr="003B0F4C">
        <w:rPr>
          <w:rFonts w:ascii="Arial" w:hAnsi="Arial" w:cs="Arial"/>
          <w:b/>
          <w:bCs/>
        </w:rPr>
        <w:t>What this excludes:</w:t>
      </w:r>
      <w:r w:rsidRPr="003B0F4C">
        <w:rPr>
          <w:rFonts w:ascii="Arial" w:hAnsi="Arial" w:cs="Arial"/>
        </w:rPr>
        <w:t xml:space="preserve">  Interest income, one-time gains, such as grants, revenue derived from selling assets, etc.</w:t>
      </w:r>
    </w:p>
    <w:p w14:paraId="6145A178" w14:textId="7A7CF145" w:rsidR="003B0F4C" w:rsidRPr="003B0F4C" w:rsidRDefault="003B0F4C" w:rsidP="003F773B">
      <w:pPr>
        <w:numPr>
          <w:ilvl w:val="0"/>
          <w:numId w:val="27"/>
        </w:numPr>
        <w:spacing w:after="120"/>
        <w:rPr>
          <w:rFonts w:ascii="Arial" w:hAnsi="Arial" w:cs="Arial"/>
        </w:rPr>
      </w:pPr>
      <w:r w:rsidRPr="003B0F4C">
        <w:rPr>
          <w:rFonts w:ascii="Arial" w:hAnsi="Arial" w:cs="Arial"/>
          <w:b/>
          <w:bCs/>
        </w:rPr>
        <w:t>Total Operating Expenses:</w:t>
      </w:r>
      <w:r w:rsidRPr="003B0F4C">
        <w:rPr>
          <w:rFonts w:ascii="Arial" w:hAnsi="Arial" w:cs="Arial"/>
        </w:rPr>
        <w:t xml:space="preserve">  </w:t>
      </w:r>
      <w:r w:rsidR="000632DE">
        <w:rPr>
          <w:rFonts w:ascii="Arial" w:hAnsi="Arial" w:cs="Arial"/>
        </w:rPr>
        <w:t>These are</w:t>
      </w:r>
      <w:r w:rsidRPr="003B0F4C">
        <w:rPr>
          <w:rFonts w:ascii="Arial" w:hAnsi="Arial" w:cs="Arial"/>
        </w:rPr>
        <w:t xml:space="preserve"> the expenditures that are incurred as a result of performing normal operations directly related to the facility.</w:t>
      </w:r>
    </w:p>
    <w:p w14:paraId="751E7FE6" w14:textId="276A4937" w:rsidR="003B0F4C" w:rsidRPr="003B0F4C" w:rsidRDefault="003B0F4C" w:rsidP="00EA6930">
      <w:pPr>
        <w:numPr>
          <w:ilvl w:val="1"/>
          <w:numId w:val="27"/>
        </w:numPr>
        <w:spacing w:after="120"/>
        <w:rPr>
          <w:rFonts w:ascii="Arial" w:hAnsi="Arial" w:cs="Arial"/>
        </w:rPr>
      </w:pPr>
      <w:r w:rsidRPr="003B0F4C">
        <w:rPr>
          <w:rFonts w:ascii="Arial" w:hAnsi="Arial" w:cs="Arial"/>
          <w:b/>
          <w:bCs/>
        </w:rPr>
        <w:t>What this includes:</w:t>
      </w:r>
      <w:r w:rsidRPr="003B0F4C">
        <w:rPr>
          <w:rFonts w:ascii="Arial" w:hAnsi="Arial" w:cs="Arial"/>
        </w:rPr>
        <w:t xml:space="preserve"> For residential healthcare facilities, cash operating expenses typically consist of: General &amp; Administrative, Payroll Taxes &amp; Benefits, Resident Care, Food Service, Activities, Housekeeping/Laundry, Plant Operations, Utilities, Marketing/Promotions and Insurance (property &amp; liability).  This also includes: Bad Debt Expense, Real Estate Taxes, Management Fees and the required Reserve for Replacement (R4R) deposit</w:t>
      </w:r>
    </w:p>
    <w:p w14:paraId="2E1D9729" w14:textId="77777777" w:rsidR="003B0F4C" w:rsidRPr="003B0F4C" w:rsidRDefault="003B0F4C" w:rsidP="003F773B">
      <w:pPr>
        <w:numPr>
          <w:ilvl w:val="1"/>
          <w:numId w:val="27"/>
        </w:numPr>
        <w:spacing w:before="120" w:after="120"/>
        <w:rPr>
          <w:rFonts w:ascii="Arial" w:hAnsi="Arial" w:cs="Arial"/>
        </w:rPr>
      </w:pPr>
      <w:r w:rsidRPr="003B0F4C">
        <w:rPr>
          <w:rFonts w:ascii="Arial" w:hAnsi="Arial" w:cs="Arial"/>
          <w:b/>
          <w:bCs/>
        </w:rPr>
        <w:t>What this excludes:</w:t>
      </w:r>
      <w:r w:rsidRPr="003B0F4C">
        <w:rPr>
          <w:rFonts w:ascii="Arial" w:hAnsi="Arial" w:cs="Arial"/>
        </w:rPr>
        <w:t xml:space="preserve"> Non-cash operating expenses, such as depreciation and amortization, rent or lease expenses and capital expenditures are </w:t>
      </w:r>
      <w:r w:rsidRPr="003B0F4C">
        <w:rPr>
          <w:rFonts w:ascii="Arial" w:hAnsi="Arial" w:cs="Arial"/>
          <w:b/>
          <w:bCs/>
        </w:rPr>
        <w:t>excluded</w:t>
      </w:r>
      <w:r w:rsidRPr="003B0F4C">
        <w:rPr>
          <w:rFonts w:ascii="Arial" w:hAnsi="Arial" w:cs="Arial"/>
        </w:rPr>
        <w:t xml:space="preserve"> from operating expenses.</w:t>
      </w:r>
    </w:p>
    <w:p w14:paraId="403CDC6E" w14:textId="7C4D61DB" w:rsidR="003B0F4C" w:rsidRPr="003B0F4C" w:rsidRDefault="003B0F4C" w:rsidP="003F773B">
      <w:pPr>
        <w:numPr>
          <w:ilvl w:val="0"/>
          <w:numId w:val="27"/>
        </w:numPr>
        <w:spacing w:before="120" w:after="120"/>
        <w:rPr>
          <w:rFonts w:ascii="Arial" w:hAnsi="Arial" w:cs="Arial"/>
        </w:rPr>
      </w:pPr>
      <w:r w:rsidRPr="003B0F4C">
        <w:rPr>
          <w:rFonts w:ascii="Arial" w:hAnsi="Arial" w:cs="Arial"/>
          <w:b/>
          <w:bCs/>
        </w:rPr>
        <w:lastRenderedPageBreak/>
        <w:t>FHA Insured Principal + Interest Payment:</w:t>
      </w:r>
      <w:r w:rsidRPr="003B0F4C">
        <w:rPr>
          <w:rFonts w:ascii="Arial" w:hAnsi="Arial" w:cs="Arial"/>
        </w:rPr>
        <w:t xml:space="preserve"> The total amount paid in a given financial reporting period should be reported cumulatively (e.g. for a</w:t>
      </w:r>
      <w:r w:rsidR="000632DE">
        <w:rPr>
          <w:rFonts w:ascii="Arial" w:hAnsi="Arial" w:cs="Arial"/>
        </w:rPr>
        <w:t>n</w:t>
      </w:r>
      <w:r w:rsidRPr="003B0F4C">
        <w:rPr>
          <w:rFonts w:ascii="Arial" w:hAnsi="Arial" w:cs="Arial"/>
        </w:rPr>
        <w:t xml:space="preserve"> operator with a 12/31 FY end date, the quarter ending 3/31 would include 3 months of payments, the quarter ending 6/30 would include 6 months of payments, and so on).</w:t>
      </w:r>
    </w:p>
    <w:p w14:paraId="79E14E4F" w14:textId="77777777" w:rsidR="003B0F4C" w:rsidRPr="003B0F4C" w:rsidRDefault="003B0F4C" w:rsidP="003F773B">
      <w:pPr>
        <w:numPr>
          <w:ilvl w:val="0"/>
          <w:numId w:val="27"/>
        </w:numPr>
        <w:spacing w:before="120" w:after="120"/>
        <w:rPr>
          <w:rFonts w:ascii="Arial" w:hAnsi="Arial" w:cs="Arial"/>
        </w:rPr>
      </w:pPr>
      <w:r w:rsidRPr="003B0F4C">
        <w:rPr>
          <w:rFonts w:ascii="Arial" w:hAnsi="Arial" w:cs="Arial"/>
          <w:b/>
          <w:bCs/>
        </w:rPr>
        <w:t>FHA Mortgage Insurance Premium (MIP):</w:t>
      </w:r>
      <w:r w:rsidRPr="003B0F4C">
        <w:rPr>
          <w:rFonts w:ascii="Arial" w:hAnsi="Arial" w:cs="Arial"/>
        </w:rPr>
        <w:t xml:space="preserve">  Although MIP is paid in advance for one year, the lender should report MIP cumulatively (e.g. ¼ of the annual payment should be reported for 3 months of reporting, ½ of the annual payment should be reported for 6 months of reporting, and so on).</w:t>
      </w:r>
    </w:p>
    <w:p w14:paraId="5386318C" w14:textId="77777777" w:rsidR="003B0F4C" w:rsidRPr="003B0F4C" w:rsidRDefault="003B0F4C" w:rsidP="003F773B">
      <w:pPr>
        <w:numPr>
          <w:ilvl w:val="0"/>
          <w:numId w:val="27"/>
        </w:numPr>
        <w:spacing w:before="120" w:after="120"/>
        <w:rPr>
          <w:rFonts w:ascii="Arial" w:hAnsi="Arial" w:cs="Arial"/>
        </w:rPr>
      </w:pPr>
      <w:r w:rsidRPr="003B0F4C">
        <w:rPr>
          <w:rFonts w:ascii="Arial" w:hAnsi="Arial" w:cs="Arial"/>
          <w:b/>
          <w:bCs/>
        </w:rPr>
        <w:t>Actual Number of Resident Days:</w:t>
      </w:r>
      <w:r w:rsidRPr="003B0F4C">
        <w:rPr>
          <w:rFonts w:ascii="Arial" w:hAnsi="Arial" w:cs="Arial"/>
        </w:rPr>
        <w:t xml:space="preserve"> 1 resident day = one day that one person resided in the facility and/or paid the daily rate for rent and services.  </w:t>
      </w:r>
    </w:p>
    <w:p w14:paraId="5E27A3A5" w14:textId="77777777" w:rsidR="003B0F4C" w:rsidRPr="003B0F4C" w:rsidRDefault="003B0F4C" w:rsidP="003B0F4C">
      <w:pPr>
        <w:rPr>
          <w:rFonts w:ascii="Arial" w:hAnsi="Arial" w:cs="Arial"/>
        </w:rPr>
      </w:pPr>
    </w:p>
    <w:p w14:paraId="2F5A573C" w14:textId="03460F24" w:rsidR="003B0F4C" w:rsidRPr="005940D9" w:rsidRDefault="005940D9" w:rsidP="003B0F4C">
      <w:pPr>
        <w:rPr>
          <w:rFonts w:ascii="Arial" w:hAnsi="Arial" w:cs="Arial"/>
          <w:i/>
        </w:rPr>
      </w:pPr>
      <w:r w:rsidRPr="001F5102">
        <w:rPr>
          <w:rFonts w:ascii="Arial" w:eastAsia="MS Mincho" w:hAnsi="Arial" w:cs="Arial"/>
          <w:b/>
          <w:i/>
        </w:rPr>
        <w:t>Keywords</w:t>
      </w:r>
      <w:r w:rsidRPr="005940D9">
        <w:rPr>
          <w:rFonts w:ascii="Arial" w:eastAsia="MS Mincho" w:hAnsi="Arial" w:cs="Arial"/>
          <w:b/>
          <w:i/>
        </w:rPr>
        <w:t>:</w:t>
      </w:r>
      <w:r w:rsidRPr="005940D9">
        <w:rPr>
          <w:rFonts w:ascii="Arial" w:eastAsia="MS Mincho" w:hAnsi="Arial" w:cs="Arial"/>
          <w:i/>
        </w:rPr>
        <w:t xml:space="preserve"> </w:t>
      </w:r>
      <w:r w:rsidR="003B0F4C" w:rsidRPr="005940D9">
        <w:rPr>
          <w:rFonts w:ascii="Arial" w:hAnsi="Arial" w:cs="Arial"/>
          <w:i/>
        </w:rPr>
        <w:t xml:space="preserve">Risk Notification, Operator Financial Reporting </w:t>
      </w:r>
    </w:p>
    <w:p w14:paraId="37D15C29" w14:textId="77777777" w:rsidR="003B0F4C" w:rsidRPr="003B0F4C" w:rsidRDefault="003B0F4C" w:rsidP="003B0F4C">
      <w:pPr>
        <w:rPr>
          <w:rFonts w:ascii="Arial" w:hAnsi="Arial" w:cs="Arial"/>
        </w:rPr>
      </w:pPr>
    </w:p>
    <w:p w14:paraId="682647E3" w14:textId="77777777" w:rsidR="00B7164F" w:rsidRPr="001F5102" w:rsidRDefault="009E419D"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492CECAF" w14:textId="063E371D" w:rsidR="00997C33" w:rsidRPr="001F5102" w:rsidRDefault="00997C33" w:rsidP="00997C33">
      <w:pPr>
        <w:rPr>
          <w:rFonts w:ascii="Arial" w:hAnsi="Arial" w:cs="Arial"/>
        </w:rPr>
      </w:pPr>
    </w:p>
    <w:p w14:paraId="61EEE26D" w14:textId="7455D75A" w:rsidR="003B0F4C" w:rsidRPr="003B0F4C" w:rsidRDefault="003B0F4C" w:rsidP="00B70FB5">
      <w:pPr>
        <w:pStyle w:val="EmailBlast"/>
      </w:pPr>
      <w:bookmarkStart w:id="15" w:name="_Toc39074173"/>
      <w:r w:rsidRPr="003B0F4C">
        <w:t xml:space="preserve">Enhanced Resources for Notifying </w:t>
      </w:r>
      <w:proofErr w:type="spellStart"/>
      <w:r w:rsidRPr="003B0F4C">
        <w:t>ORCF</w:t>
      </w:r>
      <w:proofErr w:type="spellEnd"/>
      <w:r w:rsidRPr="003B0F4C">
        <w:t xml:space="preserve"> of Action Plans</w:t>
      </w:r>
      <w:bookmarkEnd w:id="15"/>
    </w:p>
    <w:p w14:paraId="2AF28A27" w14:textId="3047BDCD" w:rsidR="003B0F4C" w:rsidRPr="003B0F4C" w:rsidRDefault="003B0F4C" w:rsidP="003B0F4C">
      <w:pPr>
        <w:rPr>
          <w:rFonts w:ascii="Arial" w:hAnsi="Arial" w:cs="Arial"/>
        </w:rPr>
      </w:pPr>
      <w:r w:rsidRPr="003B0F4C">
        <w:rPr>
          <w:rFonts w:ascii="Arial" w:hAnsi="Arial" w:cs="Arial"/>
        </w:rPr>
        <w:t xml:space="preserve">In the February 26, 2020 Email Blast, </w:t>
      </w:r>
      <w:proofErr w:type="spellStart"/>
      <w:r w:rsidRPr="003B0F4C">
        <w:rPr>
          <w:rFonts w:ascii="Arial" w:hAnsi="Arial" w:cs="Arial"/>
        </w:rPr>
        <w:t>ORCF</w:t>
      </w:r>
      <w:proofErr w:type="spellEnd"/>
      <w:r w:rsidRPr="003B0F4C">
        <w:rPr>
          <w:rFonts w:ascii="Arial" w:hAnsi="Arial" w:cs="Arial"/>
        </w:rPr>
        <w:t xml:space="preserve"> Asset Management provided some additional guidance to its stakeholders on the expected components of a corrective action plan for improving verified deficiencies.  These include: a root cause analysis and an action plan with measurable goals, a timeline for completion and a schedule for ensuring ongoing monitoring of an action plan, and a mechanism for revising a plan if the established</w:t>
      </w:r>
      <w:r w:rsidR="000632DE">
        <w:rPr>
          <w:rFonts w:ascii="Arial" w:hAnsi="Arial" w:cs="Arial"/>
        </w:rPr>
        <w:t xml:space="preserve"> plan</w:t>
      </w:r>
      <w:r w:rsidRPr="003B0F4C">
        <w:rPr>
          <w:rFonts w:ascii="Arial" w:hAnsi="Arial" w:cs="Arial"/>
        </w:rPr>
        <w:t xml:space="preserve"> is not proving effective.</w:t>
      </w:r>
    </w:p>
    <w:p w14:paraId="35AABBE2" w14:textId="77777777" w:rsidR="003B0F4C" w:rsidRPr="003B0F4C" w:rsidRDefault="003B0F4C" w:rsidP="003B0F4C">
      <w:pPr>
        <w:rPr>
          <w:rFonts w:ascii="Arial" w:hAnsi="Arial" w:cs="Arial"/>
        </w:rPr>
      </w:pPr>
    </w:p>
    <w:p w14:paraId="71F68C0A" w14:textId="77777777" w:rsidR="003B0F4C" w:rsidRPr="003B0F4C" w:rsidRDefault="003B0F4C" w:rsidP="003B0F4C">
      <w:pPr>
        <w:rPr>
          <w:rFonts w:ascii="Arial" w:hAnsi="Arial" w:cs="Arial"/>
        </w:rPr>
      </w:pPr>
      <w:r w:rsidRPr="003B0F4C">
        <w:rPr>
          <w:rFonts w:ascii="Arial" w:hAnsi="Arial" w:cs="Arial"/>
        </w:rPr>
        <w:t xml:space="preserve">In order to assist lenders and servicers in their efforts to work with borrowers and operators to establish effective corrective action plans, </w:t>
      </w:r>
      <w:proofErr w:type="spellStart"/>
      <w:r w:rsidRPr="003B0F4C">
        <w:rPr>
          <w:rFonts w:ascii="Arial" w:hAnsi="Arial" w:cs="Arial"/>
        </w:rPr>
        <w:t>ORCF</w:t>
      </w:r>
      <w:proofErr w:type="spellEnd"/>
      <w:r w:rsidRPr="003B0F4C">
        <w:rPr>
          <w:rFonts w:ascii="Arial" w:hAnsi="Arial" w:cs="Arial"/>
        </w:rPr>
        <w:t xml:space="preserve"> Asset Management collaborated with members of an </w:t>
      </w:r>
      <w:proofErr w:type="spellStart"/>
      <w:r w:rsidRPr="003B0F4C">
        <w:rPr>
          <w:rFonts w:ascii="Arial" w:hAnsi="Arial" w:cs="Arial"/>
        </w:rPr>
        <w:t>HMAC</w:t>
      </w:r>
      <w:proofErr w:type="spellEnd"/>
      <w:r w:rsidRPr="003B0F4C">
        <w:rPr>
          <w:rFonts w:ascii="Arial" w:hAnsi="Arial" w:cs="Arial"/>
        </w:rPr>
        <w:t xml:space="preserve"> Working Group and the MBA Servicers’ Subcommittee to develop some resources for Lenders.  </w:t>
      </w:r>
    </w:p>
    <w:p w14:paraId="1A674BA7" w14:textId="77777777" w:rsidR="003B0F4C" w:rsidRPr="003B0F4C" w:rsidRDefault="003B0F4C" w:rsidP="003B0F4C">
      <w:pPr>
        <w:rPr>
          <w:rFonts w:ascii="Arial" w:hAnsi="Arial" w:cs="Arial"/>
        </w:rPr>
      </w:pPr>
    </w:p>
    <w:p w14:paraId="07CE0E6D" w14:textId="56165003" w:rsidR="003B0F4C" w:rsidRPr="003B0F4C" w:rsidRDefault="003B0F4C" w:rsidP="003B0F4C">
      <w:pPr>
        <w:rPr>
          <w:rFonts w:ascii="Arial" w:hAnsi="Arial" w:cs="Arial"/>
        </w:rPr>
      </w:pPr>
      <w:r w:rsidRPr="003B0F4C">
        <w:rPr>
          <w:rFonts w:ascii="Arial" w:hAnsi="Arial" w:cs="Arial"/>
        </w:rPr>
        <w:t xml:space="preserve">Please find on </w:t>
      </w:r>
      <w:proofErr w:type="spellStart"/>
      <w:r w:rsidRPr="003B0F4C">
        <w:rPr>
          <w:rFonts w:ascii="Arial" w:hAnsi="Arial" w:cs="Arial"/>
        </w:rPr>
        <w:t>ORCF’s</w:t>
      </w:r>
      <w:proofErr w:type="spellEnd"/>
      <w:r w:rsidRPr="003B0F4C">
        <w:rPr>
          <w:rFonts w:ascii="Arial" w:hAnsi="Arial" w:cs="Arial"/>
        </w:rPr>
        <w:t xml:space="preserve"> Loan Servicing Guidance Home Page (</w:t>
      </w:r>
      <w:hyperlink r:id="rId23" w:history="1">
        <w:r w:rsidRPr="008174F4">
          <w:rPr>
            <w:rStyle w:val="Hyperlink"/>
            <w:rFonts w:ascii="Arial" w:hAnsi="Arial" w:cs="Arial"/>
          </w:rPr>
          <w:t>here</w:t>
        </w:r>
      </w:hyperlink>
      <w:r w:rsidRPr="003B0F4C">
        <w:rPr>
          <w:rFonts w:ascii="Arial" w:hAnsi="Arial" w:cs="Arial"/>
        </w:rPr>
        <w:t xml:space="preserve">), under “Documents for Notifying </w:t>
      </w:r>
      <w:proofErr w:type="spellStart"/>
      <w:r w:rsidRPr="003B0F4C">
        <w:rPr>
          <w:rFonts w:ascii="Arial" w:hAnsi="Arial" w:cs="Arial"/>
        </w:rPr>
        <w:t>ORCF</w:t>
      </w:r>
      <w:proofErr w:type="spellEnd"/>
      <w:r w:rsidRPr="003B0F4C">
        <w:rPr>
          <w:rFonts w:ascii="Arial" w:hAnsi="Arial" w:cs="Arial"/>
        </w:rPr>
        <w:t xml:space="preserve"> of Action Plans” the following </w:t>
      </w:r>
      <w:r w:rsidR="00232A28">
        <w:rPr>
          <w:rFonts w:ascii="Arial" w:hAnsi="Arial" w:cs="Arial"/>
        </w:rPr>
        <w:t>optional</w:t>
      </w:r>
      <w:r w:rsidRPr="003B0F4C">
        <w:rPr>
          <w:rFonts w:ascii="Arial" w:hAnsi="Arial" w:cs="Arial"/>
        </w:rPr>
        <w:t xml:space="preserve"> resources:</w:t>
      </w:r>
    </w:p>
    <w:p w14:paraId="070C2D63" w14:textId="77777777" w:rsidR="003B0F4C" w:rsidRPr="003B0F4C" w:rsidRDefault="003B0F4C" w:rsidP="003B0F4C">
      <w:pPr>
        <w:rPr>
          <w:rFonts w:ascii="Arial" w:hAnsi="Arial" w:cs="Arial"/>
        </w:rPr>
      </w:pPr>
    </w:p>
    <w:p w14:paraId="7935F4DF" w14:textId="3759618E" w:rsidR="003B0F4C" w:rsidRPr="00B70FB5" w:rsidRDefault="00297FE0" w:rsidP="00B70FB5">
      <w:pPr>
        <w:numPr>
          <w:ilvl w:val="0"/>
          <w:numId w:val="28"/>
        </w:numPr>
        <w:spacing w:before="120" w:after="120"/>
        <w:rPr>
          <w:rFonts w:ascii="Arial" w:hAnsi="Arial" w:cs="Arial"/>
        </w:rPr>
      </w:pPr>
      <w:r w:rsidRPr="00B70FB5">
        <w:rPr>
          <w:rFonts w:ascii="Arial" w:hAnsi="Arial" w:cs="Arial"/>
        </w:rPr>
        <w:t xml:space="preserve">Sample </w:t>
      </w:r>
      <w:proofErr w:type="spellStart"/>
      <w:r w:rsidRPr="00B70FB5">
        <w:rPr>
          <w:rFonts w:ascii="Arial" w:hAnsi="Arial" w:cs="Arial"/>
        </w:rPr>
        <w:t>ORCF</w:t>
      </w:r>
      <w:proofErr w:type="spellEnd"/>
      <w:r w:rsidRPr="00B70FB5">
        <w:rPr>
          <w:rFonts w:ascii="Arial" w:hAnsi="Arial" w:cs="Arial"/>
        </w:rPr>
        <w:t xml:space="preserve"> Root Cause &amp; Action Plan </w:t>
      </w:r>
      <w:r w:rsidR="003B0F4C" w:rsidRPr="00B70FB5">
        <w:rPr>
          <w:rFonts w:ascii="Arial" w:hAnsi="Arial" w:cs="Arial"/>
        </w:rPr>
        <w:t>(</w:t>
      </w:r>
      <w:hyperlink r:id="rId24" w:history="1">
        <w:r w:rsidRPr="00B70FB5">
          <w:rPr>
            <w:rStyle w:val="Hyperlink"/>
            <w:rFonts w:ascii="Arial" w:hAnsi="Arial" w:cs="Arial"/>
          </w:rPr>
          <w:t>here</w:t>
        </w:r>
      </w:hyperlink>
      <w:r w:rsidR="003B0F4C" w:rsidRPr="00B70FB5">
        <w:rPr>
          <w:rFonts w:ascii="Arial" w:hAnsi="Arial" w:cs="Arial"/>
        </w:rPr>
        <w:t>)</w:t>
      </w:r>
    </w:p>
    <w:p w14:paraId="25FFFAE9" w14:textId="34392BF1" w:rsidR="003B0F4C" w:rsidRPr="00B70FB5" w:rsidRDefault="00F75C83" w:rsidP="00B70FB5">
      <w:pPr>
        <w:numPr>
          <w:ilvl w:val="0"/>
          <w:numId w:val="28"/>
        </w:numPr>
        <w:spacing w:before="120" w:after="120"/>
        <w:rPr>
          <w:rFonts w:ascii="Arial" w:hAnsi="Arial" w:cs="Arial"/>
        </w:rPr>
      </w:pPr>
      <w:r w:rsidRPr="00B70FB5">
        <w:rPr>
          <w:rFonts w:ascii="Arial" w:hAnsi="Arial" w:cs="Arial"/>
        </w:rPr>
        <w:t xml:space="preserve">Sample </w:t>
      </w:r>
      <w:proofErr w:type="spellStart"/>
      <w:r w:rsidRPr="00B70FB5">
        <w:rPr>
          <w:rFonts w:ascii="Arial" w:hAnsi="Arial" w:cs="Arial"/>
        </w:rPr>
        <w:t>ORCF</w:t>
      </w:r>
      <w:proofErr w:type="spellEnd"/>
      <w:r w:rsidRPr="00B70FB5">
        <w:rPr>
          <w:rFonts w:ascii="Arial" w:hAnsi="Arial" w:cs="Arial"/>
        </w:rPr>
        <w:t xml:space="preserve"> Action Plan </w:t>
      </w:r>
      <w:r w:rsidR="003B0F4C" w:rsidRPr="00B70FB5">
        <w:rPr>
          <w:rFonts w:ascii="Arial" w:hAnsi="Arial" w:cs="Arial"/>
        </w:rPr>
        <w:t>(</w:t>
      </w:r>
      <w:hyperlink r:id="rId25" w:history="1">
        <w:r w:rsidR="00297FE0" w:rsidRPr="00B70FB5">
          <w:rPr>
            <w:rStyle w:val="Hyperlink"/>
            <w:rFonts w:ascii="Arial" w:hAnsi="Arial" w:cs="Arial"/>
          </w:rPr>
          <w:t>here</w:t>
        </w:r>
      </w:hyperlink>
      <w:r w:rsidR="003B0F4C" w:rsidRPr="00B70FB5">
        <w:rPr>
          <w:rFonts w:ascii="Arial" w:hAnsi="Arial" w:cs="Arial"/>
        </w:rPr>
        <w:t>)</w:t>
      </w:r>
    </w:p>
    <w:p w14:paraId="684985B3" w14:textId="77777777" w:rsidR="003B0F4C" w:rsidRPr="003B0F4C" w:rsidRDefault="003B0F4C" w:rsidP="003B0F4C">
      <w:pPr>
        <w:rPr>
          <w:rFonts w:ascii="Arial" w:hAnsi="Arial" w:cs="Arial"/>
        </w:rPr>
      </w:pPr>
    </w:p>
    <w:p w14:paraId="679B01B0" w14:textId="77777777" w:rsidR="003B0F4C" w:rsidRPr="003B0F4C" w:rsidRDefault="003B0F4C" w:rsidP="003B0F4C">
      <w:pPr>
        <w:rPr>
          <w:rFonts w:ascii="Arial" w:hAnsi="Arial" w:cs="Arial"/>
        </w:rPr>
      </w:pPr>
      <w:proofErr w:type="spellStart"/>
      <w:r w:rsidRPr="003B0F4C">
        <w:rPr>
          <w:rFonts w:ascii="Arial" w:hAnsi="Arial" w:cs="Arial"/>
        </w:rPr>
        <w:t>ORCF</w:t>
      </w:r>
      <w:proofErr w:type="spellEnd"/>
      <w:r w:rsidRPr="003B0F4C">
        <w:rPr>
          <w:rFonts w:ascii="Arial" w:hAnsi="Arial" w:cs="Arial"/>
        </w:rPr>
        <w:t xml:space="preserve"> commits to continuing to refine these sources, based on the feedback servicing lenders provide.</w:t>
      </w:r>
    </w:p>
    <w:p w14:paraId="409C98BA" w14:textId="77777777" w:rsidR="003B0F4C" w:rsidRPr="003B0F4C" w:rsidRDefault="003B0F4C" w:rsidP="003B0F4C">
      <w:pPr>
        <w:rPr>
          <w:rFonts w:ascii="Arial" w:hAnsi="Arial" w:cs="Arial"/>
        </w:rPr>
      </w:pPr>
    </w:p>
    <w:p w14:paraId="529BDE9A" w14:textId="77777777" w:rsidR="003B0F4C" w:rsidRPr="003B0F4C" w:rsidRDefault="003B0F4C" w:rsidP="003B0F4C">
      <w:pPr>
        <w:rPr>
          <w:rFonts w:ascii="Arial" w:hAnsi="Arial" w:cs="Arial"/>
          <w:i/>
          <w:iCs/>
        </w:rPr>
      </w:pPr>
      <w:r w:rsidRPr="003B0F4C">
        <w:rPr>
          <w:rFonts w:ascii="Arial" w:hAnsi="Arial" w:cs="Arial"/>
          <w:b/>
          <w:bCs/>
          <w:i/>
          <w:iCs/>
        </w:rPr>
        <w:t>Keywords:</w:t>
      </w:r>
      <w:r w:rsidRPr="003B0F4C">
        <w:rPr>
          <w:rFonts w:ascii="Arial" w:hAnsi="Arial" w:cs="Arial"/>
          <w:i/>
          <w:iCs/>
        </w:rPr>
        <w:t xml:space="preserve"> Risk Notification, Operator Financial Reporting </w:t>
      </w:r>
    </w:p>
    <w:p w14:paraId="5ECCCAC2" w14:textId="57CD41A7" w:rsidR="003B0F4C" w:rsidRPr="003B0F4C" w:rsidRDefault="003B0F4C" w:rsidP="003B0F4C">
      <w:pPr>
        <w:rPr>
          <w:rFonts w:ascii="Arial" w:hAnsi="Arial" w:cs="Arial"/>
        </w:rPr>
      </w:pPr>
    </w:p>
    <w:p w14:paraId="38668F80" w14:textId="77777777" w:rsidR="00B7164F" w:rsidRPr="001F5102" w:rsidRDefault="009E419D"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BD50F7B" w14:textId="1175F5E2" w:rsidR="0084300D" w:rsidRPr="001F5102" w:rsidRDefault="0084300D" w:rsidP="00997C33">
      <w:pPr>
        <w:rPr>
          <w:rFonts w:ascii="Arial" w:hAnsi="Arial" w:cs="Arial"/>
        </w:rPr>
      </w:pPr>
    </w:p>
    <w:p w14:paraId="110FEF21" w14:textId="77777777" w:rsidR="00E52379" w:rsidRPr="001F5102" w:rsidRDefault="00E52379"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lastRenderedPageBreak/>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740D11" w:rsidRDefault="00740D11" w:rsidP="00740D11">
      <w:pPr>
        <w:rPr>
          <w:rFonts w:ascii="Calibri" w:hAnsi="Calibri"/>
          <w:sz w:val="18"/>
          <w:szCs w:val="18"/>
        </w:rPr>
      </w:pPr>
      <w:r w:rsidRPr="00740D11">
        <w:rPr>
          <w:rFonts w:ascii="Calibri" w:hAnsi="Calibri"/>
          <w:sz w:val="18"/>
          <w:szCs w:val="18"/>
        </w:rPr>
        <w:t xml:space="preserve">Past Lean 232 Updates are </w:t>
      </w:r>
      <w:hyperlink r:id="rId27" w:history="1">
        <w:r w:rsidRPr="00740D11">
          <w:rPr>
            <w:rFonts w:ascii="Calibri" w:hAnsi="Calibri"/>
            <w:color w:val="0000FF"/>
            <w:sz w:val="18"/>
            <w:szCs w:val="18"/>
            <w:u w:val="single"/>
          </w:rPr>
          <w:t>available online</w:t>
        </w:r>
      </w:hyperlink>
      <w:r w:rsidRPr="00740D11">
        <w:rPr>
          <w:rFonts w:ascii="Calibri" w:hAnsi="Calibri"/>
          <w:sz w:val="18"/>
          <w:szCs w:val="18"/>
        </w:rPr>
        <w:t>.</w:t>
      </w:r>
    </w:p>
    <w:p w14:paraId="6ED6B71D" w14:textId="77777777" w:rsidR="00740D11" w:rsidRPr="00740D11" w:rsidRDefault="00740D11" w:rsidP="00740D11">
      <w:pPr>
        <w:rPr>
          <w:rFonts w:ascii="Calibri" w:hAnsi="Calibri"/>
          <w:sz w:val="18"/>
          <w:szCs w:val="18"/>
        </w:rPr>
      </w:pPr>
    </w:p>
    <w:p w14:paraId="3E3BD4F0"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questions about the Lean 232 Program? Please contact </w:t>
      </w:r>
      <w:hyperlink r:id="rId28" w:history="1">
        <w:r w:rsidRPr="00740D11">
          <w:rPr>
            <w:rFonts w:ascii="Calibri" w:hAnsi="Calibri"/>
            <w:color w:val="0000FF"/>
            <w:sz w:val="18"/>
            <w:szCs w:val="18"/>
            <w:u w:val="single"/>
          </w:rPr>
          <w:t>LeanThinking@hud.gov</w:t>
        </w:r>
      </w:hyperlink>
      <w:r w:rsidRPr="00740D11">
        <w:rPr>
          <w:rFonts w:ascii="Calibri" w:hAnsi="Calibri"/>
          <w:sz w:val="18"/>
          <w:szCs w:val="18"/>
        </w:rPr>
        <w:t>.</w:t>
      </w:r>
    </w:p>
    <w:p w14:paraId="1864C957" w14:textId="77777777" w:rsidR="00740D11" w:rsidRPr="00740D11" w:rsidRDefault="00740D11" w:rsidP="00740D11">
      <w:pPr>
        <w:rPr>
          <w:rFonts w:ascii="Calibri" w:hAnsi="Calibri"/>
          <w:sz w:val="18"/>
          <w:szCs w:val="18"/>
        </w:rPr>
      </w:pPr>
    </w:p>
    <w:p w14:paraId="6D8CD363" w14:textId="77777777" w:rsidR="00740D11" w:rsidRPr="00740D11" w:rsidRDefault="00740D11" w:rsidP="00740D11">
      <w:pPr>
        <w:rPr>
          <w:rFonts w:ascii="Calibri" w:hAnsi="Calibri"/>
          <w:sz w:val="18"/>
          <w:szCs w:val="18"/>
        </w:rPr>
      </w:pPr>
      <w:r w:rsidRPr="00740D11">
        <w:rPr>
          <w:rFonts w:ascii="Calibri" w:hAnsi="Calibri"/>
          <w:sz w:val="18"/>
          <w:szCs w:val="18"/>
        </w:rPr>
        <w:t xml:space="preserve">For more information on the Lean 232 Program, check out: </w:t>
      </w:r>
      <w:hyperlink r:id="rId29" w:history="1">
        <w:r w:rsidRPr="00740D11">
          <w:rPr>
            <w:rFonts w:ascii="Calibri" w:hAnsi="Calibri"/>
            <w:color w:val="0000FF"/>
            <w:sz w:val="18"/>
            <w:szCs w:val="18"/>
            <w:u w:val="single"/>
          </w:rPr>
          <w:t>http://www.hud.gov/healthcare</w:t>
        </w:r>
      </w:hyperlink>
      <w:r w:rsidRPr="00740D11">
        <w:rPr>
          <w:rFonts w:ascii="Calibri" w:hAnsi="Calibri"/>
          <w:sz w:val="18"/>
          <w:szCs w:val="18"/>
        </w:rPr>
        <w:t>.</w:t>
      </w:r>
    </w:p>
    <w:p w14:paraId="4E96736D" w14:textId="77777777" w:rsidR="00740D11" w:rsidRPr="00740D11" w:rsidRDefault="00740D11" w:rsidP="00740D11">
      <w:pPr>
        <w:rPr>
          <w:rFonts w:ascii="Calibri" w:hAnsi="Calibri"/>
          <w:sz w:val="18"/>
          <w:szCs w:val="18"/>
        </w:rPr>
      </w:pPr>
    </w:p>
    <w:p w14:paraId="7CD6FD2D"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your loan servicing colleagues joined our email list? The Email Blasts contain information relevant to them as well. You might suggest they </w:t>
      </w:r>
      <w:hyperlink r:id="rId30" w:history="1">
        <w:r w:rsidRPr="00740D11">
          <w:rPr>
            <w:rFonts w:ascii="Calibri" w:hAnsi="Calibri"/>
            <w:color w:val="0000FF"/>
            <w:sz w:val="18"/>
            <w:szCs w:val="18"/>
            <w:u w:val="single"/>
          </w:rPr>
          <w:t>Join here</w:t>
        </w:r>
      </w:hyperlink>
      <w:r w:rsidRPr="00740D11">
        <w:rPr>
          <w:rFonts w:ascii="Calibri" w:hAnsi="Calibri"/>
          <w:sz w:val="18"/>
          <w:szCs w:val="18"/>
        </w:rPr>
        <w:t>.</w:t>
      </w:r>
    </w:p>
    <w:p w14:paraId="5EBBACB8" w14:textId="77777777" w:rsidR="00740D11" w:rsidRPr="00740D11" w:rsidRDefault="00740D11" w:rsidP="00740D11">
      <w:pPr>
        <w:rPr>
          <w:rFonts w:ascii="Calibri" w:hAnsi="Calibri"/>
          <w:sz w:val="18"/>
          <w:szCs w:val="18"/>
        </w:rPr>
      </w:pPr>
    </w:p>
    <w:p w14:paraId="60DDF4F8" w14:textId="77777777" w:rsidR="00740D11" w:rsidRPr="00740D11" w:rsidRDefault="00740D11" w:rsidP="00740D11">
      <w:pPr>
        <w:rPr>
          <w:rFonts w:ascii="Calibri" w:hAnsi="Calibri"/>
          <w:sz w:val="18"/>
          <w:szCs w:val="18"/>
        </w:rPr>
      </w:pPr>
      <w:r w:rsidRPr="00740D11">
        <w:rPr>
          <w:rFonts w:ascii="Calibri" w:hAnsi="Calibri"/>
          <w:sz w:val="18"/>
          <w:szCs w:val="18"/>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31" w:history="1">
        <w:r w:rsidRPr="00740D11">
          <w:rPr>
            <w:rFonts w:ascii="Calibri" w:hAnsi="Calibri"/>
            <w:color w:val="0000FF"/>
            <w:sz w:val="18"/>
            <w:szCs w:val="18"/>
            <w:u w:val="single"/>
          </w:rPr>
          <w:t>go here</w:t>
        </w:r>
      </w:hyperlink>
      <w:r w:rsidRPr="00740D11">
        <w:rPr>
          <w:rFonts w:ascii="Calibri" w:hAnsi="Calibri"/>
          <w:sz w:val="18"/>
          <w:szCs w:val="18"/>
        </w:rPr>
        <w:t>.</w:t>
      </w:r>
    </w:p>
    <w:p w14:paraId="3E0BBE09" w14:textId="77777777" w:rsidR="00740D11" w:rsidRPr="00740D11" w:rsidRDefault="00740D11" w:rsidP="00740D11">
      <w:pPr>
        <w:rPr>
          <w:rFonts w:ascii="Calibri" w:hAnsi="Calibri"/>
          <w:sz w:val="18"/>
          <w:szCs w:val="18"/>
        </w:rPr>
      </w:pPr>
    </w:p>
    <w:p w14:paraId="63864758" w14:textId="77777777" w:rsidR="00740D11" w:rsidRPr="00740D11" w:rsidRDefault="00740D11" w:rsidP="00740D11">
      <w:pPr>
        <w:rPr>
          <w:rFonts w:ascii="Times New Roman" w:eastAsia="Times New Roman" w:hAnsi="Times New Roman"/>
          <w:szCs w:val="24"/>
        </w:rPr>
      </w:pPr>
      <w:r w:rsidRPr="00740D11">
        <w:rPr>
          <w:rFonts w:ascii="Calibri" w:eastAsia="Times New Roman" w:hAnsi="Calibri"/>
          <w:i/>
          <w:iCs/>
          <w:color w:val="000000"/>
          <w:kern w:val="24"/>
          <w:sz w:val="18"/>
          <w:szCs w:val="18"/>
        </w:rPr>
        <w:t xml:space="preserve">Lean 232 </w:t>
      </w:r>
      <w:r w:rsidRPr="00740D11">
        <w:rPr>
          <w:rFonts w:ascii="Calibri" w:eastAsia="Times New Roman" w:hAnsi="Calibri"/>
          <w:color w:val="000000"/>
          <w:kern w:val="24"/>
          <w:sz w:val="18"/>
          <w:szCs w:val="18"/>
        </w:rPr>
        <w:t>is a publication of the Federal Housing Administration (FHA) Office of Healthcare Programs, U.S. Department of Housing and Urban Development, 451 7</w:t>
      </w:r>
      <w:proofErr w:type="spellStart"/>
      <w:r w:rsidRPr="00740D11">
        <w:rPr>
          <w:rFonts w:ascii="Calibri" w:eastAsia="Times New Roman" w:hAnsi="Calibri"/>
          <w:color w:val="000000"/>
          <w:kern w:val="24"/>
          <w:position w:val="5"/>
          <w:sz w:val="18"/>
          <w:szCs w:val="18"/>
          <w:vertAlign w:val="superscript"/>
        </w:rPr>
        <w:t>th</w:t>
      </w:r>
      <w:proofErr w:type="spellEnd"/>
      <w:r w:rsidRPr="00740D11">
        <w:rPr>
          <w:rFonts w:ascii="Calibri" w:eastAsia="Times New Roman" w:hAnsi="Calibri"/>
          <w:color w:val="000000"/>
          <w:kern w:val="24"/>
          <w:sz w:val="18"/>
          <w:szCs w:val="18"/>
        </w:rPr>
        <w:t xml:space="preserve"> Street, SE, Washington, DC 20410.</w:t>
      </w:r>
    </w:p>
    <w:p w14:paraId="316BE046" w14:textId="77777777" w:rsidR="00740D11" w:rsidRPr="00740D11" w:rsidRDefault="00740D11" w:rsidP="00740D11">
      <w:pPr>
        <w:rPr>
          <w:rFonts w:ascii="Calibri" w:eastAsia="Times New Roman" w:hAnsi="Calibri"/>
          <w:color w:val="000000"/>
          <w:kern w:val="24"/>
          <w:sz w:val="18"/>
          <w:szCs w:val="18"/>
        </w:rPr>
      </w:pPr>
    </w:p>
    <w:p w14:paraId="1287A716" w14:textId="77777777" w:rsidR="00740D11" w:rsidRPr="00740D11" w:rsidRDefault="00740D11" w:rsidP="00740D11">
      <w:pPr>
        <w:rPr>
          <w:rFonts w:ascii="Calibri" w:eastAsia="Times New Roman" w:hAnsi="Calibri"/>
          <w:color w:val="000000"/>
          <w:kern w:val="24"/>
          <w:sz w:val="18"/>
          <w:szCs w:val="18"/>
        </w:rPr>
      </w:pPr>
      <w:r w:rsidRPr="00740D11">
        <w:rPr>
          <w:rFonts w:ascii="Calibri" w:eastAsia="Times New Roman" w:hAnsi="Calibri"/>
          <w:color w:val="000000"/>
          <w:kern w:val="24"/>
          <w:sz w:val="18"/>
          <w:szCs w:val="18"/>
        </w:rPr>
        <w:t xml:space="preserve">Connect with FHA on </w:t>
      </w:r>
      <w:hyperlink r:id="rId32" w:history="1">
        <w:r w:rsidRPr="00740D11">
          <w:rPr>
            <w:rFonts w:ascii="Calibri" w:eastAsia="Times New Roman" w:hAnsi="Calibri"/>
            <w:color w:val="0000FF"/>
            <w:kern w:val="24"/>
            <w:sz w:val="18"/>
            <w:szCs w:val="18"/>
            <w:u w:val="single"/>
          </w:rPr>
          <w:t>Social Media</w:t>
        </w:r>
      </w:hyperlink>
      <w:r w:rsidRPr="00740D11">
        <w:rPr>
          <w:rFonts w:ascii="Calibri" w:eastAsia="Times New Roman" w:hAnsi="Calibri"/>
          <w:color w:val="000000"/>
          <w:kern w:val="24"/>
          <w:sz w:val="18"/>
          <w:szCs w:val="18"/>
        </w:rPr>
        <w:t xml:space="preserve"> </w:t>
      </w:r>
      <w:r w:rsidRPr="00740D11">
        <w:rPr>
          <w:rFonts w:ascii="Calibri" w:eastAsia="Times New Roman" w:hAnsi="Calibri"/>
          <w:noProof/>
          <w:color w:val="000000"/>
          <w:kern w:val="24"/>
          <w:sz w:val="18"/>
          <w:szCs w:val="18"/>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33"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740D11">
        <w:rPr>
          <w:rFonts w:ascii="Calibri" w:eastAsia="Times New Roman" w:hAnsi="Calibri"/>
          <w:noProof/>
          <w:color w:val="000000"/>
          <w:kern w:val="24"/>
          <w:sz w:val="18"/>
          <w:szCs w:val="18"/>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34">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AE3FD" w14:textId="77777777" w:rsidR="009E419D" w:rsidRDefault="009E419D" w:rsidP="00E724F7">
      <w:r>
        <w:separator/>
      </w:r>
    </w:p>
  </w:endnote>
  <w:endnote w:type="continuationSeparator" w:id="0">
    <w:p w14:paraId="48F88F80" w14:textId="77777777" w:rsidR="009E419D" w:rsidRDefault="009E419D"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2E20B" w14:textId="77777777" w:rsidR="009E419D" w:rsidRDefault="009E419D" w:rsidP="00E724F7">
      <w:r>
        <w:separator/>
      </w:r>
    </w:p>
  </w:footnote>
  <w:footnote w:type="continuationSeparator" w:id="0">
    <w:p w14:paraId="45BF9696" w14:textId="77777777" w:rsidR="009E419D" w:rsidRDefault="009E419D"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68A058AF"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4"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005EA"/>
    <w:multiLevelType w:val="hybridMultilevel"/>
    <w:tmpl w:val="D44CE0C2"/>
    <w:lvl w:ilvl="0" w:tplc="0AACB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15:restartNumberingAfterBreak="0">
    <w:nsid w:val="2C3104FA"/>
    <w:multiLevelType w:val="hybridMultilevel"/>
    <w:tmpl w:val="46B61A96"/>
    <w:lvl w:ilvl="0" w:tplc="86E20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0336E"/>
    <w:multiLevelType w:val="hybridMultilevel"/>
    <w:tmpl w:val="70EEE9CE"/>
    <w:lvl w:ilvl="0" w:tplc="0118760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421013"/>
    <w:multiLevelType w:val="hybridMultilevel"/>
    <w:tmpl w:val="C282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96869"/>
    <w:multiLevelType w:val="hybridMultilevel"/>
    <w:tmpl w:val="9022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119D0"/>
    <w:multiLevelType w:val="hybridMultilevel"/>
    <w:tmpl w:val="0018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24C79"/>
    <w:multiLevelType w:val="hybridMultilevel"/>
    <w:tmpl w:val="E6C6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1"/>
  </w:num>
  <w:num w:numId="1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4"/>
  </w:num>
  <w:num w:numId="15">
    <w:abstractNumId w:val="27"/>
  </w:num>
  <w:num w:numId="16">
    <w:abstractNumId w:val="1"/>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5"/>
  </w:num>
  <w:num w:numId="23">
    <w:abstractNumId w:val="18"/>
  </w:num>
  <w:num w:numId="24">
    <w:abstractNumId w:val="2"/>
  </w:num>
  <w:num w:numId="25">
    <w:abstractNumId w:val="12"/>
  </w:num>
  <w:num w:numId="26">
    <w:abstractNumId w:val="19"/>
  </w:num>
  <w:num w:numId="27">
    <w:abstractNumId w:val="24"/>
  </w:num>
  <w:num w:numId="28">
    <w:abstractNumId w:val="22"/>
  </w:num>
  <w:num w:numId="29">
    <w:abstractNumId w:val="15"/>
  </w:num>
  <w:num w:numId="30">
    <w:abstractNumId w:val="7"/>
  </w:num>
  <w:num w:numId="31">
    <w:abstractNumId w:val="10"/>
  </w:num>
  <w:num w:numId="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3CC2"/>
    <w:rsid w:val="0002519C"/>
    <w:rsid w:val="00026721"/>
    <w:rsid w:val="00027DF5"/>
    <w:rsid w:val="00031481"/>
    <w:rsid w:val="00036CEF"/>
    <w:rsid w:val="0003786A"/>
    <w:rsid w:val="00041F02"/>
    <w:rsid w:val="00042F9C"/>
    <w:rsid w:val="000431CA"/>
    <w:rsid w:val="000452B8"/>
    <w:rsid w:val="000530A7"/>
    <w:rsid w:val="000553FE"/>
    <w:rsid w:val="000579E7"/>
    <w:rsid w:val="000632DE"/>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590E"/>
    <w:rsid w:val="000D662C"/>
    <w:rsid w:val="000D7B99"/>
    <w:rsid w:val="000E1C49"/>
    <w:rsid w:val="000E2D9F"/>
    <w:rsid w:val="000E3EFF"/>
    <w:rsid w:val="000E4B11"/>
    <w:rsid w:val="000E5E74"/>
    <w:rsid w:val="000F3264"/>
    <w:rsid w:val="000F55F6"/>
    <w:rsid w:val="000F593D"/>
    <w:rsid w:val="000F6E87"/>
    <w:rsid w:val="000F7D2E"/>
    <w:rsid w:val="001007E7"/>
    <w:rsid w:val="001010D0"/>
    <w:rsid w:val="00102E21"/>
    <w:rsid w:val="00102EA3"/>
    <w:rsid w:val="00103273"/>
    <w:rsid w:val="00106499"/>
    <w:rsid w:val="0011313C"/>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50AE"/>
    <w:rsid w:val="001A5994"/>
    <w:rsid w:val="001A64CB"/>
    <w:rsid w:val="001B1502"/>
    <w:rsid w:val="001B4E70"/>
    <w:rsid w:val="001B5074"/>
    <w:rsid w:val="001B72D4"/>
    <w:rsid w:val="001C0547"/>
    <w:rsid w:val="001C3886"/>
    <w:rsid w:val="001D18AC"/>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2A28"/>
    <w:rsid w:val="00233DA8"/>
    <w:rsid w:val="00234B3A"/>
    <w:rsid w:val="00241BAB"/>
    <w:rsid w:val="00245A9D"/>
    <w:rsid w:val="00250450"/>
    <w:rsid w:val="00252904"/>
    <w:rsid w:val="002533F5"/>
    <w:rsid w:val="00254E17"/>
    <w:rsid w:val="00266332"/>
    <w:rsid w:val="0027170F"/>
    <w:rsid w:val="00275348"/>
    <w:rsid w:val="00276FA2"/>
    <w:rsid w:val="002811AB"/>
    <w:rsid w:val="00283571"/>
    <w:rsid w:val="00291BF9"/>
    <w:rsid w:val="00297FE0"/>
    <w:rsid w:val="002A43CF"/>
    <w:rsid w:val="002C1693"/>
    <w:rsid w:val="002C1CC2"/>
    <w:rsid w:val="002C713E"/>
    <w:rsid w:val="002E36C5"/>
    <w:rsid w:val="002F0016"/>
    <w:rsid w:val="002F4E9B"/>
    <w:rsid w:val="0030081A"/>
    <w:rsid w:val="003016E1"/>
    <w:rsid w:val="00302486"/>
    <w:rsid w:val="00303BBC"/>
    <w:rsid w:val="00305369"/>
    <w:rsid w:val="00307651"/>
    <w:rsid w:val="00313008"/>
    <w:rsid w:val="00323263"/>
    <w:rsid w:val="003375F7"/>
    <w:rsid w:val="00342F09"/>
    <w:rsid w:val="0034362D"/>
    <w:rsid w:val="00345602"/>
    <w:rsid w:val="003514F7"/>
    <w:rsid w:val="00352F9A"/>
    <w:rsid w:val="00361A15"/>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0F4C"/>
    <w:rsid w:val="003B3640"/>
    <w:rsid w:val="003B609D"/>
    <w:rsid w:val="003C256D"/>
    <w:rsid w:val="003C28A2"/>
    <w:rsid w:val="003C74DF"/>
    <w:rsid w:val="003C796D"/>
    <w:rsid w:val="003D288C"/>
    <w:rsid w:val="003D50FE"/>
    <w:rsid w:val="003D5C49"/>
    <w:rsid w:val="003D6F20"/>
    <w:rsid w:val="003D759C"/>
    <w:rsid w:val="003F42BE"/>
    <w:rsid w:val="003F5A47"/>
    <w:rsid w:val="003F773B"/>
    <w:rsid w:val="004014E6"/>
    <w:rsid w:val="00403500"/>
    <w:rsid w:val="004044EC"/>
    <w:rsid w:val="00412595"/>
    <w:rsid w:val="004153A7"/>
    <w:rsid w:val="004165AD"/>
    <w:rsid w:val="00420C01"/>
    <w:rsid w:val="0042314C"/>
    <w:rsid w:val="00423F99"/>
    <w:rsid w:val="00427390"/>
    <w:rsid w:val="00432174"/>
    <w:rsid w:val="0043705A"/>
    <w:rsid w:val="00447EA6"/>
    <w:rsid w:val="00451A3D"/>
    <w:rsid w:val="00455415"/>
    <w:rsid w:val="00463B25"/>
    <w:rsid w:val="00465878"/>
    <w:rsid w:val="0046634C"/>
    <w:rsid w:val="004678DD"/>
    <w:rsid w:val="004729E4"/>
    <w:rsid w:val="00475909"/>
    <w:rsid w:val="0047642B"/>
    <w:rsid w:val="00486B21"/>
    <w:rsid w:val="00494DE5"/>
    <w:rsid w:val="004A0486"/>
    <w:rsid w:val="004A0E10"/>
    <w:rsid w:val="004A5D11"/>
    <w:rsid w:val="004B1439"/>
    <w:rsid w:val="004B1446"/>
    <w:rsid w:val="004B182F"/>
    <w:rsid w:val="004B1C9D"/>
    <w:rsid w:val="004B316D"/>
    <w:rsid w:val="004D260C"/>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87864"/>
    <w:rsid w:val="005909C1"/>
    <w:rsid w:val="00593E55"/>
    <w:rsid w:val="005940D9"/>
    <w:rsid w:val="005A0D50"/>
    <w:rsid w:val="005A208E"/>
    <w:rsid w:val="005A5C2E"/>
    <w:rsid w:val="005B39A1"/>
    <w:rsid w:val="005C0D72"/>
    <w:rsid w:val="005C3423"/>
    <w:rsid w:val="005D223B"/>
    <w:rsid w:val="005D370A"/>
    <w:rsid w:val="005D39DB"/>
    <w:rsid w:val="005D5C09"/>
    <w:rsid w:val="005D6571"/>
    <w:rsid w:val="005E29A7"/>
    <w:rsid w:val="005E67FE"/>
    <w:rsid w:val="005F02F2"/>
    <w:rsid w:val="005F074F"/>
    <w:rsid w:val="005F08B9"/>
    <w:rsid w:val="005F213F"/>
    <w:rsid w:val="005F2CCA"/>
    <w:rsid w:val="005F30B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479F7"/>
    <w:rsid w:val="006519F3"/>
    <w:rsid w:val="00653868"/>
    <w:rsid w:val="00653934"/>
    <w:rsid w:val="0065509A"/>
    <w:rsid w:val="00655831"/>
    <w:rsid w:val="006559A6"/>
    <w:rsid w:val="006601D1"/>
    <w:rsid w:val="00660780"/>
    <w:rsid w:val="0066157B"/>
    <w:rsid w:val="00665BBC"/>
    <w:rsid w:val="006668CD"/>
    <w:rsid w:val="00666DB8"/>
    <w:rsid w:val="00670C8F"/>
    <w:rsid w:val="00676689"/>
    <w:rsid w:val="00681FAC"/>
    <w:rsid w:val="006909A3"/>
    <w:rsid w:val="00696BE5"/>
    <w:rsid w:val="00696CFA"/>
    <w:rsid w:val="0069739B"/>
    <w:rsid w:val="006A2C50"/>
    <w:rsid w:val="006A2DCD"/>
    <w:rsid w:val="006A4F7E"/>
    <w:rsid w:val="006A5A1E"/>
    <w:rsid w:val="006B0D96"/>
    <w:rsid w:val="006B5DA3"/>
    <w:rsid w:val="006C3AD6"/>
    <w:rsid w:val="006C7F7B"/>
    <w:rsid w:val="006D0A86"/>
    <w:rsid w:val="006D7D46"/>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3EA8"/>
    <w:rsid w:val="0073355B"/>
    <w:rsid w:val="00735D4D"/>
    <w:rsid w:val="00740D11"/>
    <w:rsid w:val="00743451"/>
    <w:rsid w:val="00743DDB"/>
    <w:rsid w:val="00750ECD"/>
    <w:rsid w:val="00751AF4"/>
    <w:rsid w:val="0075254C"/>
    <w:rsid w:val="007571B6"/>
    <w:rsid w:val="007629CB"/>
    <w:rsid w:val="007633CA"/>
    <w:rsid w:val="007670CF"/>
    <w:rsid w:val="00771538"/>
    <w:rsid w:val="007852DE"/>
    <w:rsid w:val="007865C2"/>
    <w:rsid w:val="0078774A"/>
    <w:rsid w:val="0079016E"/>
    <w:rsid w:val="00794AD2"/>
    <w:rsid w:val="007966D3"/>
    <w:rsid w:val="007971B8"/>
    <w:rsid w:val="007A6AF1"/>
    <w:rsid w:val="007A7AD2"/>
    <w:rsid w:val="007B1CB9"/>
    <w:rsid w:val="007B5246"/>
    <w:rsid w:val="007B680A"/>
    <w:rsid w:val="007B7207"/>
    <w:rsid w:val="007C570C"/>
    <w:rsid w:val="007C78C0"/>
    <w:rsid w:val="007D0FA3"/>
    <w:rsid w:val="007D1CB6"/>
    <w:rsid w:val="007D22CD"/>
    <w:rsid w:val="007D55E6"/>
    <w:rsid w:val="007E02EB"/>
    <w:rsid w:val="007E2602"/>
    <w:rsid w:val="007E348B"/>
    <w:rsid w:val="007E4EA9"/>
    <w:rsid w:val="007F3E36"/>
    <w:rsid w:val="007F584C"/>
    <w:rsid w:val="008020BB"/>
    <w:rsid w:val="008036DA"/>
    <w:rsid w:val="00803C36"/>
    <w:rsid w:val="00804085"/>
    <w:rsid w:val="00804AF0"/>
    <w:rsid w:val="008052FE"/>
    <w:rsid w:val="008060EC"/>
    <w:rsid w:val="00806994"/>
    <w:rsid w:val="00807374"/>
    <w:rsid w:val="008129A3"/>
    <w:rsid w:val="008144D7"/>
    <w:rsid w:val="008174F4"/>
    <w:rsid w:val="00820B0D"/>
    <w:rsid w:val="00823286"/>
    <w:rsid w:val="0082548B"/>
    <w:rsid w:val="008345F6"/>
    <w:rsid w:val="00834693"/>
    <w:rsid w:val="0084300D"/>
    <w:rsid w:val="00850C00"/>
    <w:rsid w:val="008516E7"/>
    <w:rsid w:val="00856481"/>
    <w:rsid w:val="00862CE3"/>
    <w:rsid w:val="00863472"/>
    <w:rsid w:val="008636A0"/>
    <w:rsid w:val="00865B51"/>
    <w:rsid w:val="00866350"/>
    <w:rsid w:val="00866C75"/>
    <w:rsid w:val="00866FFE"/>
    <w:rsid w:val="008675F8"/>
    <w:rsid w:val="00877BC5"/>
    <w:rsid w:val="00880A93"/>
    <w:rsid w:val="008819F8"/>
    <w:rsid w:val="0088414C"/>
    <w:rsid w:val="0088466C"/>
    <w:rsid w:val="00886FA2"/>
    <w:rsid w:val="008930F5"/>
    <w:rsid w:val="0089592C"/>
    <w:rsid w:val="008A1765"/>
    <w:rsid w:val="008A7284"/>
    <w:rsid w:val="008A7595"/>
    <w:rsid w:val="008A7F37"/>
    <w:rsid w:val="008B56DD"/>
    <w:rsid w:val="008B71F2"/>
    <w:rsid w:val="008B74CB"/>
    <w:rsid w:val="008B77D4"/>
    <w:rsid w:val="008C018C"/>
    <w:rsid w:val="008C28EE"/>
    <w:rsid w:val="008C2DB4"/>
    <w:rsid w:val="008C3ED8"/>
    <w:rsid w:val="008C5805"/>
    <w:rsid w:val="008C78BE"/>
    <w:rsid w:val="008C79AD"/>
    <w:rsid w:val="008D6545"/>
    <w:rsid w:val="008D7B74"/>
    <w:rsid w:val="008E2264"/>
    <w:rsid w:val="008E29C9"/>
    <w:rsid w:val="008E6F7E"/>
    <w:rsid w:val="008E7CC5"/>
    <w:rsid w:val="008F2D90"/>
    <w:rsid w:val="008F66AB"/>
    <w:rsid w:val="0090051D"/>
    <w:rsid w:val="00907060"/>
    <w:rsid w:val="00910E23"/>
    <w:rsid w:val="009117CA"/>
    <w:rsid w:val="00912D45"/>
    <w:rsid w:val="00921EAA"/>
    <w:rsid w:val="00930959"/>
    <w:rsid w:val="00932987"/>
    <w:rsid w:val="00934100"/>
    <w:rsid w:val="0093564D"/>
    <w:rsid w:val="00935890"/>
    <w:rsid w:val="00951E70"/>
    <w:rsid w:val="00961669"/>
    <w:rsid w:val="00963204"/>
    <w:rsid w:val="00967EEB"/>
    <w:rsid w:val="00973B47"/>
    <w:rsid w:val="0097518E"/>
    <w:rsid w:val="00981AE8"/>
    <w:rsid w:val="00981E04"/>
    <w:rsid w:val="009825CE"/>
    <w:rsid w:val="00990150"/>
    <w:rsid w:val="009924BF"/>
    <w:rsid w:val="00995A44"/>
    <w:rsid w:val="009979FA"/>
    <w:rsid w:val="00997C33"/>
    <w:rsid w:val="009A6821"/>
    <w:rsid w:val="009A6D83"/>
    <w:rsid w:val="009B3394"/>
    <w:rsid w:val="009C10DF"/>
    <w:rsid w:val="009C3410"/>
    <w:rsid w:val="009C458D"/>
    <w:rsid w:val="009C5760"/>
    <w:rsid w:val="009D0FB7"/>
    <w:rsid w:val="009D1AD1"/>
    <w:rsid w:val="009D6D5F"/>
    <w:rsid w:val="009E419D"/>
    <w:rsid w:val="009E7AD6"/>
    <w:rsid w:val="009F4D59"/>
    <w:rsid w:val="00A01E02"/>
    <w:rsid w:val="00A052BB"/>
    <w:rsid w:val="00A10FC0"/>
    <w:rsid w:val="00A22AD1"/>
    <w:rsid w:val="00A25626"/>
    <w:rsid w:val="00A25B2E"/>
    <w:rsid w:val="00A30FDD"/>
    <w:rsid w:val="00A332DE"/>
    <w:rsid w:val="00A33C6C"/>
    <w:rsid w:val="00A36B64"/>
    <w:rsid w:val="00A37D94"/>
    <w:rsid w:val="00A461EB"/>
    <w:rsid w:val="00A537F4"/>
    <w:rsid w:val="00A56EDC"/>
    <w:rsid w:val="00A57288"/>
    <w:rsid w:val="00A66B15"/>
    <w:rsid w:val="00A76D42"/>
    <w:rsid w:val="00A77F96"/>
    <w:rsid w:val="00AA0603"/>
    <w:rsid w:val="00AA2770"/>
    <w:rsid w:val="00AA2E09"/>
    <w:rsid w:val="00AA5A1B"/>
    <w:rsid w:val="00AA705E"/>
    <w:rsid w:val="00AC2FE1"/>
    <w:rsid w:val="00AD43A5"/>
    <w:rsid w:val="00AD6B44"/>
    <w:rsid w:val="00AE26DB"/>
    <w:rsid w:val="00AE2C86"/>
    <w:rsid w:val="00AE43AF"/>
    <w:rsid w:val="00AE43FC"/>
    <w:rsid w:val="00AE491D"/>
    <w:rsid w:val="00AF12FC"/>
    <w:rsid w:val="00AF20E1"/>
    <w:rsid w:val="00AF2F30"/>
    <w:rsid w:val="00B00372"/>
    <w:rsid w:val="00B0162E"/>
    <w:rsid w:val="00B017F1"/>
    <w:rsid w:val="00B10DB6"/>
    <w:rsid w:val="00B1158C"/>
    <w:rsid w:val="00B1742D"/>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0FB5"/>
    <w:rsid w:val="00B713C0"/>
    <w:rsid w:val="00B7164F"/>
    <w:rsid w:val="00B75A8D"/>
    <w:rsid w:val="00B82D2D"/>
    <w:rsid w:val="00B85220"/>
    <w:rsid w:val="00B95455"/>
    <w:rsid w:val="00B962A5"/>
    <w:rsid w:val="00BA0435"/>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37636"/>
    <w:rsid w:val="00C40881"/>
    <w:rsid w:val="00C51267"/>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415C"/>
    <w:rsid w:val="00CA546A"/>
    <w:rsid w:val="00CB59F4"/>
    <w:rsid w:val="00CB5B48"/>
    <w:rsid w:val="00CC1634"/>
    <w:rsid w:val="00CC1B05"/>
    <w:rsid w:val="00CC4B57"/>
    <w:rsid w:val="00CC6B53"/>
    <w:rsid w:val="00CD3061"/>
    <w:rsid w:val="00CD5E1F"/>
    <w:rsid w:val="00CD6874"/>
    <w:rsid w:val="00CE5846"/>
    <w:rsid w:val="00CE75ED"/>
    <w:rsid w:val="00CF04B2"/>
    <w:rsid w:val="00CF070D"/>
    <w:rsid w:val="00CF2541"/>
    <w:rsid w:val="00CF3CA7"/>
    <w:rsid w:val="00D027F2"/>
    <w:rsid w:val="00D0463E"/>
    <w:rsid w:val="00D15458"/>
    <w:rsid w:val="00D15893"/>
    <w:rsid w:val="00D16B29"/>
    <w:rsid w:val="00D16BAE"/>
    <w:rsid w:val="00D22E0C"/>
    <w:rsid w:val="00D36FAA"/>
    <w:rsid w:val="00D37106"/>
    <w:rsid w:val="00D37F4F"/>
    <w:rsid w:val="00D411ED"/>
    <w:rsid w:val="00D413C4"/>
    <w:rsid w:val="00D42FFF"/>
    <w:rsid w:val="00D43431"/>
    <w:rsid w:val="00D5116C"/>
    <w:rsid w:val="00D52A61"/>
    <w:rsid w:val="00D55967"/>
    <w:rsid w:val="00D55EAA"/>
    <w:rsid w:val="00D57F37"/>
    <w:rsid w:val="00D61A9F"/>
    <w:rsid w:val="00D62356"/>
    <w:rsid w:val="00D71BD4"/>
    <w:rsid w:val="00D72348"/>
    <w:rsid w:val="00D72DA8"/>
    <w:rsid w:val="00D72FBA"/>
    <w:rsid w:val="00D77F9E"/>
    <w:rsid w:val="00D822D0"/>
    <w:rsid w:val="00D84FD4"/>
    <w:rsid w:val="00D914EA"/>
    <w:rsid w:val="00D94614"/>
    <w:rsid w:val="00DA0410"/>
    <w:rsid w:val="00DA1056"/>
    <w:rsid w:val="00DA2126"/>
    <w:rsid w:val="00DA2230"/>
    <w:rsid w:val="00DA31D4"/>
    <w:rsid w:val="00DA5A5A"/>
    <w:rsid w:val="00DA72F3"/>
    <w:rsid w:val="00DC0A86"/>
    <w:rsid w:val="00DC0C97"/>
    <w:rsid w:val="00DC6BD6"/>
    <w:rsid w:val="00DD138A"/>
    <w:rsid w:val="00DD42D7"/>
    <w:rsid w:val="00DD6A76"/>
    <w:rsid w:val="00DE5952"/>
    <w:rsid w:val="00DF0114"/>
    <w:rsid w:val="00DF0DFA"/>
    <w:rsid w:val="00DF13D9"/>
    <w:rsid w:val="00DF1937"/>
    <w:rsid w:val="00DF25BF"/>
    <w:rsid w:val="00DF6AC9"/>
    <w:rsid w:val="00DF7B47"/>
    <w:rsid w:val="00E02F5C"/>
    <w:rsid w:val="00E03189"/>
    <w:rsid w:val="00E101B9"/>
    <w:rsid w:val="00E115E8"/>
    <w:rsid w:val="00E20026"/>
    <w:rsid w:val="00E217E8"/>
    <w:rsid w:val="00E23EAD"/>
    <w:rsid w:val="00E24238"/>
    <w:rsid w:val="00E26A71"/>
    <w:rsid w:val="00E33DB6"/>
    <w:rsid w:val="00E40451"/>
    <w:rsid w:val="00E426DA"/>
    <w:rsid w:val="00E43543"/>
    <w:rsid w:val="00E52379"/>
    <w:rsid w:val="00E55131"/>
    <w:rsid w:val="00E56473"/>
    <w:rsid w:val="00E66073"/>
    <w:rsid w:val="00E70DA9"/>
    <w:rsid w:val="00E724F7"/>
    <w:rsid w:val="00E7390B"/>
    <w:rsid w:val="00E75A3F"/>
    <w:rsid w:val="00E77B9C"/>
    <w:rsid w:val="00E8206B"/>
    <w:rsid w:val="00E91ED5"/>
    <w:rsid w:val="00E933A0"/>
    <w:rsid w:val="00E95B28"/>
    <w:rsid w:val="00EA6930"/>
    <w:rsid w:val="00EA7708"/>
    <w:rsid w:val="00EB6A53"/>
    <w:rsid w:val="00EB6B2A"/>
    <w:rsid w:val="00EC2BF5"/>
    <w:rsid w:val="00EC3328"/>
    <w:rsid w:val="00EC3F20"/>
    <w:rsid w:val="00EC66B3"/>
    <w:rsid w:val="00EC7192"/>
    <w:rsid w:val="00ED398E"/>
    <w:rsid w:val="00ED73B3"/>
    <w:rsid w:val="00EE1ADD"/>
    <w:rsid w:val="00EE2194"/>
    <w:rsid w:val="00EE21CC"/>
    <w:rsid w:val="00EE5159"/>
    <w:rsid w:val="00EE6E3B"/>
    <w:rsid w:val="00EF0134"/>
    <w:rsid w:val="00F01A93"/>
    <w:rsid w:val="00F01E9B"/>
    <w:rsid w:val="00F03E9E"/>
    <w:rsid w:val="00F14266"/>
    <w:rsid w:val="00F1564F"/>
    <w:rsid w:val="00F21965"/>
    <w:rsid w:val="00F21C16"/>
    <w:rsid w:val="00F25F13"/>
    <w:rsid w:val="00F30127"/>
    <w:rsid w:val="00F35A3D"/>
    <w:rsid w:val="00F36788"/>
    <w:rsid w:val="00F43BCF"/>
    <w:rsid w:val="00F603BF"/>
    <w:rsid w:val="00F64758"/>
    <w:rsid w:val="00F649F0"/>
    <w:rsid w:val="00F65977"/>
    <w:rsid w:val="00F66FF8"/>
    <w:rsid w:val="00F72754"/>
    <w:rsid w:val="00F72BF6"/>
    <w:rsid w:val="00F733E7"/>
    <w:rsid w:val="00F75C83"/>
    <w:rsid w:val="00F76151"/>
    <w:rsid w:val="00F83D4D"/>
    <w:rsid w:val="00F8687D"/>
    <w:rsid w:val="00FA014D"/>
    <w:rsid w:val="00FA59C6"/>
    <w:rsid w:val="00FA6612"/>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307651"/>
    <w:pPr>
      <w:numPr>
        <w:numId w:val="32"/>
      </w:numPr>
      <w:tabs>
        <w:tab w:val="right" w:leader="dot" w:pos="9350"/>
      </w:tabs>
      <w:spacing w:before="120" w:after="120"/>
    </w:pPr>
    <w:rPr>
      <w:rFonts w:ascii="Arial" w:hAnsi="Arial" w:cs="Arial"/>
      <w:noProof/>
      <w:color w:val="000066"/>
    </w:r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B70FB5"/>
    <w:rPr>
      <w:rFonts w:ascii="Arial" w:hAnsi="Arial" w:cs="Arial"/>
      <w:b w:val="0"/>
      <w:bCs w:val="0"/>
      <w:color w:val="000066"/>
      <w:szCs w:val="24"/>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60451753">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29137730">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77367533">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OCHCO/documents/2020-10hsngml.pdf" TargetMode="External"/><Relationship Id="rId18" Type="http://schemas.openxmlformats.org/officeDocument/2006/relationships/hyperlink" Target="https://www.hud.gov/sites/dfiles/OCHCO/documents/93335_orcf.docx"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mailto:232RiskMonitoring@hud.gov"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hud.gov/sites/dfiles/Housing/documents/OHP%20Corona%20QA%20FINAL.pdf" TargetMode="External"/><Relationship Id="rId17" Type="http://schemas.openxmlformats.org/officeDocument/2006/relationships/hyperlink" Target="https://www.hud.gov/sites/dfiles/OCHCO/documents/93334_orcf.docx" TargetMode="External"/><Relationship Id="rId25" Type="http://schemas.openxmlformats.org/officeDocument/2006/relationships/hyperlink" Target="https://www.hud.gov/sites/dfiles/Housing/documents/Action_Plan_Tool.docx"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hud.gov/federal_housing_administration/healthcare_facilities/residential_care/loan_servicing" TargetMode="External"/><Relationship Id="rId20" Type="http://schemas.openxmlformats.org/officeDocument/2006/relationships/hyperlink" Target="https://www.hud.gov/subscribe/signup?listname=Lean%20232%20Updates&amp;list=LEAN-232-UPDATES-L" TargetMode="External"/><Relationship Id="rId29" Type="http://schemas.openxmlformats.org/officeDocument/2006/relationships/hyperlink" Target="http://www.hud.gov/health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ud.gov/sites/dfiles/Housing/documents/Root_Cause_Tool.docx" TargetMode="External"/><Relationship Id="rId32" Type="http://schemas.openxmlformats.org/officeDocument/2006/relationships/hyperlink" Target="https://portal.hud.gov/hudportal/HUD?src=/program_offices/public_affairs/socialmedi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d.gov/federal_housing_administration/healthcare_facilities/residential_care/underwriting" TargetMode="External"/><Relationship Id="rId23" Type="http://schemas.openxmlformats.org/officeDocument/2006/relationships/hyperlink" Target="https://www.hud.gov/federal_housing_administration/healthcare_facilities/residential_care/loan_servicing" TargetMode="External"/><Relationship Id="rId28" Type="http://schemas.openxmlformats.org/officeDocument/2006/relationships/hyperlink" Target="mailto:LeanThinking@hud.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ud.gov/federal_housing_administration/healthcare_facilities/residential_care/loan_servicing" TargetMode="External"/><Relationship Id="rId31" Type="http://schemas.openxmlformats.org/officeDocument/2006/relationships/hyperlink" Target="http://portal.hud.gov/hudportal/HUD?src=/subscribe/signup&amp;listname=Lean%20232%20Updates&amp;list=LEAN-232-UPDATES-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federal_housing_administration/healthcare_facilities/residential_care" TargetMode="External"/><Relationship Id="rId22" Type="http://schemas.openxmlformats.org/officeDocument/2006/relationships/hyperlink" Target="https://www.govregs.com/regulations/expand/title24_chapterII_part232_subpartF_section232.1015" TargetMode="External"/><Relationship Id="rId27" Type="http://schemas.openxmlformats.org/officeDocument/2006/relationships/hyperlink" Target="http://portal.hud.gov/hudportal/HUD?src=/federal_housing_administration/healthcare_facilities/residential_care/mail_blast_index" TargetMode="External"/><Relationship Id="rId30" Type="http://schemas.openxmlformats.org/officeDocument/2006/relationships/hyperlink" Target="http://portal.hud.gov/hudportal/HUD?src=/subscribe/signup&amp;listname=Lean%20232%20Updates&amp;list=LEAN-232-UPDATES-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4" ma:contentTypeDescription="Create a new document." ma:contentTypeScope="" ma:versionID="663012ef7a7af6e284469a831ffabe85">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15fc99bfda1b4983dedfe35deb9149b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95A7-C750-4802-B9D6-26942C3A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2416737A-3E99-4766-8ABA-89DFF056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16233</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5</cp:revision>
  <cp:lastPrinted>2020-04-29T21:06:00Z</cp:lastPrinted>
  <dcterms:created xsi:type="dcterms:W3CDTF">2020-04-30T14:36:00Z</dcterms:created>
  <dcterms:modified xsi:type="dcterms:W3CDTF">2020-04-30T15:15:00Z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