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863472" w:rsidRDefault="006516EB" w:rsidP="00863472">
      <w:pPr>
        <w:pStyle w:val="NormalWeb"/>
        <w:jc w:val="center"/>
        <w:rPr>
          <w:rFonts w:ascii="Verdana" w:hAnsi="Verdana"/>
          <w:sz w:val="22"/>
          <w:szCs w:val="22"/>
        </w:rPr>
      </w:pPr>
      <w:bookmarkStart w:id="0" w:name="_Hlk33784864"/>
      <w:r>
        <w:rPr>
          <w:rFonts w:ascii="Verdana" w:hAnsi="Verdana"/>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545000" w:rsidRDefault="008819F8" w:rsidP="00863472"/>
    <w:p w14:paraId="6E0E6040" w14:textId="01C34172" w:rsidR="00743DDB" w:rsidRPr="00545000" w:rsidRDefault="00E26CFC" w:rsidP="00863472">
      <w:pPr>
        <w:pStyle w:val="NoSpacing"/>
        <w:rPr>
          <w:rFonts w:ascii="Arial" w:hAnsi="Arial" w:cs="Arial"/>
          <w:iCs/>
          <w:sz w:val="28"/>
          <w:szCs w:val="28"/>
        </w:rPr>
      </w:pPr>
      <w:r>
        <w:rPr>
          <w:rFonts w:ascii="Arial" w:hAnsi="Arial" w:cs="Arial"/>
          <w:iCs/>
          <w:sz w:val="28"/>
          <w:szCs w:val="28"/>
        </w:rPr>
        <w:t>April 28</w:t>
      </w:r>
      <w:r w:rsidR="00545000">
        <w:rPr>
          <w:rFonts w:ascii="Arial" w:hAnsi="Arial" w:cs="Arial"/>
          <w:iCs/>
          <w:sz w:val="28"/>
          <w:szCs w:val="28"/>
        </w:rPr>
        <w:t>,</w:t>
      </w:r>
      <w:r w:rsidR="008129A3" w:rsidRPr="00545000">
        <w:rPr>
          <w:rFonts w:ascii="Arial" w:hAnsi="Arial" w:cs="Arial"/>
          <w:iCs/>
          <w:sz w:val="28"/>
          <w:szCs w:val="28"/>
        </w:rPr>
        <w:t xml:space="preserve"> 20</w:t>
      </w:r>
      <w:r w:rsidR="001F686F" w:rsidRPr="00545000">
        <w:rPr>
          <w:rFonts w:ascii="Arial" w:hAnsi="Arial" w:cs="Arial"/>
          <w:iCs/>
          <w:sz w:val="28"/>
          <w:szCs w:val="28"/>
        </w:rPr>
        <w:t>2</w:t>
      </w:r>
      <w:r w:rsidR="006516EB" w:rsidRPr="00545000">
        <w:rPr>
          <w:rFonts w:ascii="Arial" w:hAnsi="Arial" w:cs="Arial"/>
          <w:iCs/>
          <w:sz w:val="28"/>
          <w:szCs w:val="28"/>
        </w:rPr>
        <w:t>1</w:t>
      </w:r>
    </w:p>
    <w:p w14:paraId="6E0E6041" w14:textId="1779D21E" w:rsidR="00E55131" w:rsidRPr="0098476E" w:rsidRDefault="00E55131" w:rsidP="00863472">
      <w:pPr>
        <w:pStyle w:val="NoSpacing"/>
        <w:rPr>
          <w:rFonts w:ascii="Arial" w:hAnsi="Arial" w:cs="Arial"/>
          <w:b/>
          <w:i/>
          <w:sz w:val="24"/>
          <w:szCs w:val="24"/>
          <w:u w:val="single"/>
        </w:rPr>
      </w:pPr>
    </w:p>
    <w:p w14:paraId="0B8A3423" w14:textId="77777777" w:rsidR="0098476E" w:rsidRPr="0098476E" w:rsidRDefault="0098476E" w:rsidP="0098476E">
      <w:pPr>
        <w:pStyle w:val="NoSpacing"/>
        <w:rPr>
          <w:rFonts w:ascii="Arial" w:hAnsi="Arial" w:cs="Arial"/>
          <w:iCs/>
          <w:color w:val="000066"/>
          <w:sz w:val="24"/>
          <w:szCs w:val="24"/>
        </w:rPr>
      </w:pPr>
      <w:r w:rsidRPr="0098476E">
        <w:rPr>
          <w:rFonts w:ascii="Arial" w:hAnsi="Arial" w:cs="Arial"/>
          <w:iCs/>
          <w:color w:val="000066"/>
          <w:sz w:val="24"/>
          <w:szCs w:val="24"/>
        </w:rPr>
        <w:t>In This Update</w:t>
      </w:r>
    </w:p>
    <w:p w14:paraId="377E8391" w14:textId="77777777" w:rsidR="0098476E" w:rsidRPr="00E26CFC" w:rsidRDefault="0098476E" w:rsidP="00863472">
      <w:pPr>
        <w:pStyle w:val="NoSpacing"/>
        <w:rPr>
          <w:rFonts w:ascii="Arial" w:hAnsi="Arial" w:cs="Arial"/>
          <w:b/>
          <w:i/>
          <w:color w:val="1F497D" w:themeColor="text2"/>
          <w:sz w:val="24"/>
          <w:szCs w:val="24"/>
          <w:u w:val="single"/>
        </w:rPr>
      </w:pPr>
    </w:p>
    <w:p w14:paraId="54CF243C" w14:textId="054F8EEB" w:rsidR="00335633" w:rsidRPr="00C64A82" w:rsidRDefault="00396DB3" w:rsidP="00E26CFC">
      <w:pPr>
        <w:pStyle w:val="TOC1"/>
        <w:rPr>
          <w:rFonts w:ascii="Arial" w:eastAsiaTheme="minorEastAsia" w:hAnsi="Arial" w:cs="Arial"/>
          <w:noProof/>
          <w:color w:val="000066"/>
          <w:sz w:val="22"/>
        </w:rPr>
      </w:pPr>
      <w:r w:rsidRPr="00E26CFC">
        <w:rPr>
          <w:i/>
          <w:color w:val="1F497D" w:themeColor="text2"/>
        </w:rPr>
        <w:fldChar w:fldCharType="begin"/>
      </w:r>
      <w:r w:rsidRPr="00E26CFC">
        <w:rPr>
          <w:i/>
          <w:color w:val="1F497D" w:themeColor="text2"/>
        </w:rPr>
        <w:instrText xml:space="preserve"> TOC \o "1-3" \n \h \z \u </w:instrText>
      </w:r>
      <w:r w:rsidRPr="00E26CFC">
        <w:rPr>
          <w:i/>
          <w:color w:val="1F497D" w:themeColor="text2"/>
        </w:rPr>
        <w:fldChar w:fldCharType="separate"/>
      </w:r>
      <w:hyperlink w:anchor="_Toc69827033" w:history="1">
        <w:r w:rsidR="00335633" w:rsidRPr="00C64A82">
          <w:rPr>
            <w:rStyle w:val="Hyperlink"/>
            <w:rFonts w:ascii="Arial" w:hAnsi="Arial" w:cs="Arial"/>
            <w:noProof/>
            <w:color w:val="000066"/>
          </w:rPr>
          <w:t>Save the Date – Virtual Asset Management Webinar Focusing on Regulatory Obligations and Risk Monitoring</w:t>
        </w:r>
      </w:hyperlink>
    </w:p>
    <w:p w14:paraId="29ADE45F" w14:textId="73D41D06" w:rsidR="00335633" w:rsidRPr="00C64A82" w:rsidRDefault="001302D2" w:rsidP="00E26CFC">
      <w:pPr>
        <w:pStyle w:val="TOC1"/>
        <w:rPr>
          <w:rFonts w:ascii="Arial" w:eastAsiaTheme="minorEastAsia" w:hAnsi="Arial" w:cs="Arial"/>
          <w:noProof/>
          <w:color w:val="000066"/>
          <w:sz w:val="22"/>
        </w:rPr>
      </w:pPr>
      <w:hyperlink w:anchor="_Toc69827034" w:history="1">
        <w:r w:rsidR="00335633" w:rsidRPr="00C64A82">
          <w:rPr>
            <w:rStyle w:val="Hyperlink"/>
            <w:rFonts w:ascii="Arial" w:hAnsi="Arial" w:cs="Arial"/>
            <w:noProof/>
            <w:color w:val="000066"/>
          </w:rPr>
          <w:t>Operating Loss Loan Section 232/223(d) – COVID – Applications Due by August 30, 2021</w:t>
        </w:r>
      </w:hyperlink>
    </w:p>
    <w:p w14:paraId="0F1ECA6F" w14:textId="2C3FFFEF" w:rsidR="00335633" w:rsidRPr="00C64A82" w:rsidRDefault="001302D2" w:rsidP="00E26CFC">
      <w:pPr>
        <w:pStyle w:val="TOC1"/>
        <w:rPr>
          <w:rFonts w:ascii="Arial" w:eastAsiaTheme="minorEastAsia" w:hAnsi="Arial" w:cs="Arial"/>
          <w:noProof/>
          <w:color w:val="000066"/>
          <w:sz w:val="22"/>
        </w:rPr>
      </w:pPr>
      <w:hyperlink w:anchor="_Toc69827035" w:history="1">
        <w:r w:rsidR="00335633" w:rsidRPr="00C64A82">
          <w:rPr>
            <w:rStyle w:val="Hyperlink"/>
            <w:rFonts w:ascii="Arial" w:hAnsi="Arial" w:cs="Arial"/>
            <w:noProof/>
            <w:color w:val="000066"/>
          </w:rPr>
          <w:t>Naming Documents in the Portal That Do Not Have a Standard File Name</w:t>
        </w:r>
      </w:hyperlink>
    </w:p>
    <w:p w14:paraId="2B48C776" w14:textId="7310EA3F" w:rsidR="00335633" w:rsidRPr="00C64A82" w:rsidRDefault="001302D2" w:rsidP="00E26CFC">
      <w:pPr>
        <w:pStyle w:val="TOC1"/>
        <w:rPr>
          <w:rFonts w:ascii="Arial" w:eastAsiaTheme="minorEastAsia" w:hAnsi="Arial" w:cs="Arial"/>
          <w:noProof/>
          <w:color w:val="000066"/>
          <w:sz w:val="22"/>
        </w:rPr>
      </w:pPr>
      <w:hyperlink w:anchor="_Toc69827036" w:history="1">
        <w:r w:rsidR="00335633" w:rsidRPr="00C64A82">
          <w:rPr>
            <w:rStyle w:val="Hyperlink"/>
            <w:rFonts w:ascii="Arial" w:hAnsi="Arial" w:cs="Arial"/>
            <w:noProof/>
            <w:color w:val="000066"/>
          </w:rPr>
          <w:t>REMINDER - Portfolio Names and Numbers</w:t>
        </w:r>
      </w:hyperlink>
    </w:p>
    <w:p w14:paraId="2218CA1E" w14:textId="310176CC" w:rsidR="00335633" w:rsidRPr="00C64A82" w:rsidRDefault="001302D2" w:rsidP="00E26CFC">
      <w:pPr>
        <w:pStyle w:val="TOC1"/>
        <w:rPr>
          <w:rFonts w:ascii="Arial" w:eastAsiaTheme="minorEastAsia" w:hAnsi="Arial" w:cs="Arial"/>
          <w:noProof/>
          <w:color w:val="000066"/>
          <w:sz w:val="22"/>
        </w:rPr>
      </w:pPr>
      <w:hyperlink w:anchor="_Toc69827037" w:history="1">
        <w:r w:rsidR="00335633" w:rsidRPr="00C64A82">
          <w:rPr>
            <w:rStyle w:val="Hyperlink"/>
            <w:rFonts w:ascii="Arial" w:hAnsi="Arial" w:cs="Arial"/>
            <w:noProof/>
            <w:color w:val="000066"/>
          </w:rPr>
          <w:t>Flood Insurance Determinations and Life-of-Loan Monitoring Requirement</w:t>
        </w:r>
      </w:hyperlink>
    </w:p>
    <w:p w14:paraId="2C0EA8FB" w14:textId="02C3D079" w:rsidR="00335633" w:rsidRPr="00C64A82" w:rsidRDefault="001302D2" w:rsidP="00E26CFC">
      <w:pPr>
        <w:pStyle w:val="TOC1"/>
        <w:rPr>
          <w:rFonts w:ascii="Arial" w:eastAsiaTheme="minorEastAsia" w:hAnsi="Arial" w:cs="Arial"/>
          <w:noProof/>
          <w:color w:val="000066"/>
          <w:sz w:val="22"/>
        </w:rPr>
      </w:pPr>
      <w:hyperlink w:anchor="_Toc69827038" w:history="1">
        <w:r w:rsidR="00335633" w:rsidRPr="00C64A82">
          <w:rPr>
            <w:rStyle w:val="Hyperlink"/>
            <w:rFonts w:ascii="Arial" w:hAnsi="Arial" w:cs="Arial"/>
            <w:noProof/>
            <w:color w:val="000066"/>
          </w:rPr>
          <w:t>Addressing Risks Identified in the Lender Risk Surveillance Dashboard (RSD)</w:t>
        </w:r>
      </w:hyperlink>
    </w:p>
    <w:p w14:paraId="497574FB" w14:textId="748AED04" w:rsidR="00335633" w:rsidRPr="00C64A82" w:rsidRDefault="001302D2" w:rsidP="00E26CFC">
      <w:pPr>
        <w:pStyle w:val="TOC1"/>
        <w:rPr>
          <w:rFonts w:ascii="Arial" w:eastAsiaTheme="minorEastAsia" w:hAnsi="Arial" w:cs="Arial"/>
          <w:noProof/>
          <w:color w:val="000066"/>
          <w:sz w:val="22"/>
        </w:rPr>
      </w:pPr>
      <w:hyperlink w:anchor="_Toc69827039" w:history="1">
        <w:r w:rsidR="00335633" w:rsidRPr="00C64A82">
          <w:rPr>
            <w:rStyle w:val="Hyperlink"/>
            <w:rFonts w:ascii="Arial" w:hAnsi="Arial" w:cs="Arial"/>
            <w:noProof/>
            <w:color w:val="000066"/>
          </w:rPr>
          <w:t>The Lender’s Third-Party Project Capital Needs Assessment (PCNA).</w:t>
        </w:r>
      </w:hyperlink>
    </w:p>
    <w:p w14:paraId="3A15AC2F" w14:textId="5486FAA4" w:rsidR="00335633" w:rsidRPr="00C64A82" w:rsidRDefault="001302D2" w:rsidP="00E26CFC">
      <w:pPr>
        <w:pStyle w:val="TOC1"/>
        <w:rPr>
          <w:rFonts w:ascii="Arial" w:eastAsiaTheme="minorEastAsia" w:hAnsi="Arial" w:cs="Arial"/>
          <w:noProof/>
          <w:color w:val="000066"/>
          <w:sz w:val="22"/>
        </w:rPr>
      </w:pPr>
      <w:hyperlink w:anchor="_Toc69827040" w:history="1">
        <w:r w:rsidR="00335633" w:rsidRPr="00C64A82">
          <w:rPr>
            <w:rStyle w:val="Hyperlink"/>
            <w:rFonts w:ascii="Arial" w:hAnsi="Arial" w:cs="Arial"/>
            <w:noProof/>
            <w:color w:val="000066"/>
          </w:rPr>
          <w:t>Master Lease Release and Termination Process</w:t>
        </w:r>
      </w:hyperlink>
    </w:p>
    <w:p w14:paraId="6C7B493C" w14:textId="14832E9A" w:rsidR="00335633" w:rsidRPr="00C64A82" w:rsidRDefault="001302D2" w:rsidP="00E26CFC">
      <w:pPr>
        <w:pStyle w:val="TOC1"/>
        <w:rPr>
          <w:rFonts w:ascii="Arial" w:eastAsiaTheme="minorEastAsia" w:hAnsi="Arial" w:cs="Arial"/>
          <w:noProof/>
          <w:color w:val="000066"/>
          <w:sz w:val="22"/>
        </w:rPr>
      </w:pPr>
      <w:hyperlink w:anchor="_Toc69827041" w:history="1">
        <w:r w:rsidR="00335633" w:rsidRPr="00C64A82">
          <w:rPr>
            <w:rStyle w:val="Hyperlink"/>
            <w:rFonts w:ascii="Arial" w:hAnsi="Arial" w:cs="Arial"/>
            <w:noProof/>
            <w:color w:val="000066"/>
          </w:rPr>
          <w:t>REMINDER - Lender Responsibility for Professional Liability Insurance (PLI) Insurance Review</w:t>
        </w:r>
      </w:hyperlink>
    </w:p>
    <w:p w14:paraId="50B56B8C" w14:textId="0C92CA4C" w:rsidR="00335633" w:rsidRPr="00C64A82" w:rsidRDefault="001302D2" w:rsidP="00E26CFC">
      <w:pPr>
        <w:pStyle w:val="TOC1"/>
        <w:rPr>
          <w:rFonts w:ascii="Arial" w:eastAsiaTheme="minorEastAsia" w:hAnsi="Arial" w:cs="Arial"/>
          <w:noProof/>
          <w:color w:val="000066"/>
          <w:sz w:val="22"/>
        </w:rPr>
      </w:pPr>
      <w:hyperlink w:anchor="_Toc69827042" w:history="1">
        <w:r w:rsidR="00335633" w:rsidRPr="00C64A82">
          <w:rPr>
            <w:rStyle w:val="Hyperlink"/>
            <w:rFonts w:ascii="Arial" w:hAnsi="Arial" w:cs="Arial"/>
            <w:noProof/>
            <w:color w:val="000066"/>
          </w:rPr>
          <w:t>Reminders Concerning Substantive Action Plans</w:t>
        </w:r>
      </w:hyperlink>
    </w:p>
    <w:p w14:paraId="6E0E6047" w14:textId="5AEBB14D" w:rsidR="00743DDB" w:rsidRDefault="00396DB3" w:rsidP="00D8363D">
      <w:pPr>
        <w:tabs>
          <w:tab w:val="left" w:pos="3075"/>
          <w:tab w:val="center" w:pos="4680"/>
        </w:tabs>
        <w:spacing w:before="120" w:after="120"/>
        <w:rPr>
          <w:rFonts w:ascii="Arial" w:hAnsi="Arial" w:cs="Arial"/>
          <w:i/>
        </w:rPr>
      </w:pPr>
      <w:r w:rsidRPr="00E26CFC">
        <w:rPr>
          <w:rFonts w:ascii="Arial" w:hAnsi="Arial" w:cs="Arial"/>
          <w:i/>
          <w:color w:val="1F497D" w:themeColor="text2"/>
        </w:rPr>
        <w:fldChar w:fldCharType="end"/>
      </w:r>
      <w:r w:rsidR="00D8363D">
        <w:rPr>
          <w:rFonts w:ascii="Arial" w:hAnsi="Arial" w:cs="Arial"/>
          <w:i/>
          <w:color w:val="000066"/>
        </w:rPr>
        <w:tab/>
      </w:r>
      <w:r w:rsidR="00D8363D">
        <w:rPr>
          <w:rFonts w:ascii="Arial" w:hAnsi="Arial" w:cs="Arial"/>
          <w:i/>
          <w:color w:val="000066"/>
        </w:rPr>
        <w:tab/>
      </w:r>
    </w:p>
    <w:p w14:paraId="71D2B896" w14:textId="57C013A6" w:rsidR="00A53B23" w:rsidRDefault="00A53B23" w:rsidP="00A53B23">
      <w:pPr>
        <w:pStyle w:val="EmailBlast"/>
      </w:pPr>
      <w:bookmarkStart w:id="1" w:name="_Toc69827033"/>
      <w:r w:rsidRPr="00A53B23">
        <w:t>Save the Date – Virtual Asset Management Webinar</w:t>
      </w:r>
      <w:r w:rsidR="000D575F">
        <w:t xml:space="preserve"> </w:t>
      </w:r>
      <w:r w:rsidR="000D575F" w:rsidRPr="000D575F">
        <w:t>Focus</w:t>
      </w:r>
      <w:r w:rsidR="000D575F">
        <w:t xml:space="preserve">ing </w:t>
      </w:r>
      <w:r w:rsidR="000D575F" w:rsidRPr="000D575F">
        <w:t>on Regulatory Obligations and Risk Monitoring</w:t>
      </w:r>
      <w:bookmarkEnd w:id="1"/>
    </w:p>
    <w:p w14:paraId="69122C92" w14:textId="7744FC30" w:rsidR="00A53B23" w:rsidRPr="003B40F5" w:rsidRDefault="00A53B23" w:rsidP="00A53B23">
      <w:pPr>
        <w:rPr>
          <w:rFonts w:ascii="Arial" w:hAnsi="Arial" w:cs="Arial"/>
          <w:szCs w:val="24"/>
        </w:rPr>
      </w:pPr>
      <w:r w:rsidRPr="003B40F5">
        <w:rPr>
          <w:rFonts w:ascii="Arial" w:hAnsi="Arial" w:cs="Arial"/>
          <w:szCs w:val="24"/>
        </w:rPr>
        <w:t xml:space="preserve">HUD’s Office of Residential Care Facilities (ORCF) is pleased to announce </w:t>
      </w:r>
      <w:r w:rsidR="000D575F" w:rsidRPr="003B40F5">
        <w:rPr>
          <w:rFonts w:ascii="Arial" w:hAnsi="Arial" w:cs="Arial"/>
          <w:szCs w:val="24"/>
        </w:rPr>
        <w:t>an u</w:t>
      </w:r>
      <w:r w:rsidRPr="003B40F5">
        <w:rPr>
          <w:rFonts w:ascii="Arial" w:hAnsi="Arial" w:cs="Arial"/>
          <w:szCs w:val="24"/>
        </w:rPr>
        <w:t>pcoming Virtual Asset Management Webinar</w:t>
      </w:r>
      <w:r w:rsidR="00CF5CF0" w:rsidRPr="003B40F5">
        <w:rPr>
          <w:rFonts w:ascii="Arial" w:hAnsi="Arial" w:cs="Arial"/>
          <w:szCs w:val="24"/>
        </w:rPr>
        <w:t>, detailed below,</w:t>
      </w:r>
      <w:r w:rsidRPr="003B40F5">
        <w:rPr>
          <w:rFonts w:ascii="Arial" w:hAnsi="Arial" w:cs="Arial"/>
          <w:szCs w:val="24"/>
        </w:rPr>
        <w:t xml:space="preserve"> that </w:t>
      </w:r>
      <w:r w:rsidR="000D575F" w:rsidRPr="003B40F5">
        <w:rPr>
          <w:rFonts w:ascii="Arial" w:hAnsi="Arial" w:cs="Arial"/>
          <w:szCs w:val="24"/>
        </w:rPr>
        <w:t>is</w:t>
      </w:r>
      <w:r w:rsidRPr="003B40F5">
        <w:rPr>
          <w:rFonts w:ascii="Arial" w:hAnsi="Arial" w:cs="Arial"/>
          <w:szCs w:val="24"/>
        </w:rPr>
        <w:t xml:space="preserve"> being hosted by the Healthcare Mortgagee Advisory Council (</w:t>
      </w:r>
      <w:proofErr w:type="spellStart"/>
      <w:r w:rsidRPr="003B40F5">
        <w:rPr>
          <w:rFonts w:ascii="Arial" w:hAnsi="Arial" w:cs="Arial"/>
          <w:szCs w:val="24"/>
        </w:rPr>
        <w:t>HMAC</w:t>
      </w:r>
      <w:proofErr w:type="spellEnd"/>
      <w:r w:rsidRPr="003B40F5">
        <w:rPr>
          <w:rFonts w:ascii="Arial" w:hAnsi="Arial" w:cs="Arial"/>
          <w:szCs w:val="24"/>
        </w:rPr>
        <w:t xml:space="preserve">) via </w:t>
      </w:r>
      <w:proofErr w:type="spellStart"/>
      <w:r w:rsidRPr="003B40F5">
        <w:rPr>
          <w:rFonts w:ascii="Arial" w:hAnsi="Arial" w:cs="Arial"/>
          <w:szCs w:val="24"/>
        </w:rPr>
        <w:t>GoToWebinar</w:t>
      </w:r>
      <w:proofErr w:type="spellEnd"/>
      <w:r w:rsidRPr="003B40F5">
        <w:rPr>
          <w:rFonts w:ascii="Arial" w:hAnsi="Arial" w:cs="Arial"/>
          <w:szCs w:val="24"/>
        </w:rPr>
        <w:t>. Th</w:t>
      </w:r>
      <w:r w:rsidR="000D575F" w:rsidRPr="003B40F5">
        <w:rPr>
          <w:rFonts w:ascii="Arial" w:hAnsi="Arial" w:cs="Arial"/>
          <w:szCs w:val="24"/>
        </w:rPr>
        <w:t>is</w:t>
      </w:r>
      <w:r w:rsidRPr="003B40F5">
        <w:rPr>
          <w:rFonts w:ascii="Arial" w:hAnsi="Arial" w:cs="Arial"/>
          <w:szCs w:val="24"/>
        </w:rPr>
        <w:t xml:space="preserve"> webinar </w:t>
      </w:r>
      <w:r w:rsidR="000D575F" w:rsidRPr="003B40F5">
        <w:rPr>
          <w:rFonts w:ascii="Arial" w:hAnsi="Arial" w:cs="Arial"/>
          <w:szCs w:val="24"/>
        </w:rPr>
        <w:t>is</w:t>
      </w:r>
      <w:r w:rsidRPr="003B40F5">
        <w:rPr>
          <w:rFonts w:ascii="Arial" w:hAnsi="Arial" w:cs="Arial"/>
          <w:szCs w:val="24"/>
        </w:rPr>
        <w:t xml:space="preserve"> open to all Lenders, Borrowers, and Operators of HUD-insured (Section 232) healthcare facilities.  </w:t>
      </w:r>
    </w:p>
    <w:p w14:paraId="7944BD3E" w14:textId="77777777" w:rsidR="00A53B23" w:rsidRPr="003B40F5" w:rsidRDefault="00A53B23" w:rsidP="00A53B23">
      <w:pPr>
        <w:rPr>
          <w:rFonts w:ascii="Arial" w:hAnsi="Arial" w:cs="Arial"/>
          <w:szCs w:val="24"/>
        </w:rPr>
      </w:pPr>
      <w:r w:rsidRPr="003B40F5">
        <w:rPr>
          <w:rFonts w:ascii="Arial" w:hAnsi="Arial" w:cs="Arial"/>
          <w:szCs w:val="24"/>
        </w:rPr>
        <w:t> </w:t>
      </w:r>
    </w:p>
    <w:p w14:paraId="4331171A" w14:textId="5D4AA63E" w:rsidR="00A53B23" w:rsidRPr="003B40F5" w:rsidRDefault="00A53B23" w:rsidP="00A53B23">
      <w:pPr>
        <w:rPr>
          <w:rFonts w:ascii="Arial" w:hAnsi="Arial" w:cs="Arial"/>
          <w:szCs w:val="24"/>
        </w:rPr>
      </w:pPr>
      <w:r w:rsidRPr="003B40F5">
        <w:rPr>
          <w:rFonts w:ascii="Arial" w:hAnsi="Arial" w:cs="Arial"/>
          <w:b/>
          <w:bCs/>
          <w:szCs w:val="24"/>
          <w:u w:val="single"/>
        </w:rPr>
        <w:t>Focus on Regulatory Obligations and Risk Monitoring.</w:t>
      </w:r>
      <w:r w:rsidRPr="003B40F5">
        <w:rPr>
          <w:rFonts w:ascii="Arial" w:hAnsi="Arial" w:cs="Arial"/>
          <w:b/>
          <w:bCs/>
          <w:szCs w:val="24"/>
        </w:rPr>
        <w:t>  </w:t>
      </w:r>
      <w:r w:rsidRPr="003B40F5">
        <w:rPr>
          <w:rFonts w:ascii="Arial" w:hAnsi="Arial" w:cs="Arial"/>
          <w:szCs w:val="24"/>
        </w:rPr>
        <w:t xml:space="preserve">Date:  Wednesday, May 5, 2021, 2:00-3:00 p.m., EST.  This session will focus on the important working relationship between the Borrower, Lender, and HUD, and will emphasize the roles and responsibilities of each. Register </w:t>
      </w:r>
      <w:r w:rsidRPr="003B40F5">
        <w:rPr>
          <w:rFonts w:ascii="Arial" w:hAnsi="Arial" w:cs="Arial"/>
          <w:color w:val="1F3864"/>
          <w:szCs w:val="24"/>
        </w:rPr>
        <w:t>(</w:t>
      </w:r>
      <w:hyperlink r:id="rId12" w:tgtFrame="_blank" w:history="1">
        <w:r w:rsidRPr="003B40F5">
          <w:rPr>
            <w:rFonts w:ascii="Arial" w:hAnsi="Arial" w:cs="Arial"/>
            <w:color w:val="0000FF"/>
            <w:szCs w:val="24"/>
            <w:u w:val="single"/>
          </w:rPr>
          <w:t>here</w:t>
        </w:r>
      </w:hyperlink>
      <w:r w:rsidRPr="003B40F5">
        <w:rPr>
          <w:rFonts w:ascii="Arial" w:hAnsi="Arial" w:cs="Arial"/>
          <w:color w:val="1F3864"/>
          <w:szCs w:val="24"/>
        </w:rPr>
        <w:t>) </w:t>
      </w:r>
      <w:r w:rsidRPr="003B40F5">
        <w:rPr>
          <w:rFonts w:ascii="Arial" w:hAnsi="Arial" w:cs="Arial"/>
          <w:szCs w:val="24"/>
        </w:rPr>
        <w:t xml:space="preserve">for </w:t>
      </w:r>
      <w:r w:rsidR="000D575F" w:rsidRPr="003B40F5">
        <w:rPr>
          <w:rFonts w:ascii="Arial" w:hAnsi="Arial" w:cs="Arial"/>
          <w:szCs w:val="24"/>
        </w:rPr>
        <w:t>this session</w:t>
      </w:r>
      <w:r w:rsidRPr="003B40F5">
        <w:rPr>
          <w:rFonts w:ascii="Arial" w:hAnsi="Arial" w:cs="Arial"/>
          <w:szCs w:val="24"/>
        </w:rPr>
        <w:t xml:space="preserve">.  </w:t>
      </w:r>
    </w:p>
    <w:p w14:paraId="4D500FA5" w14:textId="77777777" w:rsidR="00A53B23" w:rsidRPr="003B40F5" w:rsidRDefault="00A53B23" w:rsidP="00A53B23">
      <w:pPr>
        <w:rPr>
          <w:rFonts w:ascii="Arial" w:hAnsi="Arial" w:cs="Arial"/>
          <w:szCs w:val="24"/>
        </w:rPr>
      </w:pPr>
      <w:r w:rsidRPr="003B40F5">
        <w:rPr>
          <w:rFonts w:ascii="Arial" w:hAnsi="Arial" w:cs="Arial"/>
          <w:szCs w:val="24"/>
        </w:rPr>
        <w:t> </w:t>
      </w:r>
    </w:p>
    <w:p w14:paraId="1375068F" w14:textId="77777777" w:rsidR="00A53B23" w:rsidRPr="003B40F5" w:rsidRDefault="00A53B23" w:rsidP="00A53B23">
      <w:pPr>
        <w:rPr>
          <w:rFonts w:ascii="Arial" w:hAnsi="Arial" w:cs="Arial"/>
          <w:szCs w:val="24"/>
        </w:rPr>
      </w:pPr>
      <w:r w:rsidRPr="003B40F5">
        <w:rPr>
          <w:rFonts w:ascii="Arial" w:hAnsi="Arial" w:cs="Arial"/>
          <w:szCs w:val="24"/>
        </w:rPr>
        <w:lastRenderedPageBreak/>
        <w:t xml:space="preserve">If you have questions you would like to submit for consideration, you may send them to </w:t>
      </w:r>
      <w:hyperlink r:id="rId13" w:history="1">
        <w:r w:rsidRPr="003B40F5">
          <w:rPr>
            <w:rFonts w:ascii="Arial" w:hAnsi="Arial" w:cs="Arial"/>
            <w:color w:val="0000FF"/>
            <w:szCs w:val="24"/>
            <w:u w:val="single"/>
          </w:rPr>
          <w:t>LeanThinking@hud.gov</w:t>
        </w:r>
      </w:hyperlink>
      <w:r w:rsidRPr="003B40F5">
        <w:rPr>
          <w:rFonts w:ascii="Arial" w:hAnsi="Arial" w:cs="Arial"/>
          <w:color w:val="002060"/>
          <w:szCs w:val="24"/>
        </w:rPr>
        <w:t xml:space="preserve">. </w:t>
      </w:r>
      <w:r w:rsidRPr="003B40F5">
        <w:rPr>
          <w:rFonts w:ascii="Arial" w:hAnsi="Arial" w:cs="Arial"/>
          <w:szCs w:val="24"/>
        </w:rPr>
        <w:t>HMAC lenders may also send their questions through their designated contacts.</w:t>
      </w:r>
    </w:p>
    <w:p w14:paraId="41B5FA9B" w14:textId="77777777" w:rsidR="00A53B23" w:rsidRPr="003B40F5" w:rsidRDefault="00A53B23" w:rsidP="00A53B23">
      <w:pPr>
        <w:rPr>
          <w:rFonts w:ascii="Arial" w:hAnsi="Arial" w:cs="Arial"/>
          <w:b/>
          <w:bCs/>
          <w:i/>
          <w:iCs/>
        </w:rPr>
      </w:pPr>
    </w:p>
    <w:p w14:paraId="2B0BADC1" w14:textId="121AAA1D" w:rsidR="00A53B23" w:rsidRPr="003B40F5" w:rsidRDefault="00A53B23" w:rsidP="00A53B23">
      <w:pPr>
        <w:rPr>
          <w:rFonts w:ascii="Arial" w:hAnsi="Arial" w:cs="Arial"/>
          <w:i/>
          <w:iCs/>
        </w:rPr>
      </w:pPr>
      <w:r w:rsidRPr="003B40F5">
        <w:rPr>
          <w:rFonts w:ascii="Arial" w:hAnsi="Arial" w:cs="Arial"/>
          <w:b/>
          <w:bCs/>
          <w:i/>
          <w:iCs/>
        </w:rPr>
        <w:t>Keywords:</w:t>
      </w:r>
      <w:r w:rsidRPr="003B40F5">
        <w:rPr>
          <w:rFonts w:ascii="Arial" w:hAnsi="Arial" w:cs="Arial"/>
          <w:i/>
          <w:iCs/>
        </w:rPr>
        <w:tab/>
      </w:r>
      <w:r w:rsidRPr="003B40F5">
        <w:rPr>
          <w:rFonts w:ascii="Arial" w:eastAsiaTheme="minorHAnsi" w:hAnsi="Arial" w:cs="Arial"/>
          <w:i/>
          <w:iCs/>
          <w:szCs w:val="24"/>
        </w:rPr>
        <w:t>Asset Management, Webinar</w:t>
      </w:r>
    </w:p>
    <w:p w14:paraId="50E81D73" w14:textId="77777777" w:rsidR="00A53B23" w:rsidRDefault="00A53B23" w:rsidP="00116B08">
      <w:pPr>
        <w:pStyle w:val="EmailBlast"/>
      </w:pPr>
    </w:p>
    <w:p w14:paraId="568D26CA" w14:textId="354FC93E" w:rsidR="00116B08" w:rsidRPr="003E4D05" w:rsidRDefault="00116B08" w:rsidP="00116B08">
      <w:pPr>
        <w:pStyle w:val="EmailBlast"/>
      </w:pPr>
      <w:bookmarkStart w:id="2" w:name="_Toc69827034"/>
      <w:r>
        <w:t xml:space="preserve">Operating Loss Loan Section 232/223(d) – COVID </w:t>
      </w:r>
      <w:r w:rsidR="009C3816">
        <w:t>– Applications Due by August 30, 2021</w:t>
      </w:r>
      <w:bookmarkEnd w:id="2"/>
    </w:p>
    <w:p w14:paraId="572D96DF" w14:textId="77777777" w:rsidR="005224D8" w:rsidRPr="003B40F5" w:rsidRDefault="00116B08" w:rsidP="00116B08">
      <w:pPr>
        <w:rPr>
          <w:rFonts w:ascii="Arial" w:eastAsiaTheme="minorHAnsi" w:hAnsi="Arial" w:cs="Arial"/>
          <w:szCs w:val="24"/>
        </w:rPr>
      </w:pPr>
      <w:r w:rsidRPr="003B40F5">
        <w:rPr>
          <w:rFonts w:ascii="Arial" w:eastAsiaTheme="minorHAnsi" w:hAnsi="Arial" w:cs="Arial"/>
          <w:szCs w:val="24"/>
        </w:rPr>
        <w:t>On January 15, 2021, ORCF published Mortgagee Letter 2021-01 (</w:t>
      </w:r>
      <w:hyperlink r:id="rId14" w:history="1">
        <w:r w:rsidRPr="003B40F5">
          <w:rPr>
            <w:rStyle w:val="Hyperlink"/>
            <w:rFonts w:ascii="Arial" w:eastAsiaTheme="minorHAnsi" w:hAnsi="Arial" w:cs="Arial"/>
            <w:szCs w:val="24"/>
          </w:rPr>
          <w:t>here</w:t>
        </w:r>
      </w:hyperlink>
      <w:r w:rsidRPr="003B40F5">
        <w:rPr>
          <w:rFonts w:ascii="Arial" w:eastAsiaTheme="minorHAnsi" w:hAnsi="Arial" w:cs="Arial"/>
          <w:szCs w:val="24"/>
        </w:rPr>
        <w:t xml:space="preserve">) which implemented temporary statutory authority to insure operating loss loans under Section 223(d) of the National Housing Act to mitigate healthcare facilities’ COVID-related temporary revenue reductions. </w:t>
      </w:r>
    </w:p>
    <w:p w14:paraId="6032191F" w14:textId="77777777" w:rsidR="005224D8" w:rsidRPr="003B40F5" w:rsidRDefault="005224D8" w:rsidP="00116B08">
      <w:pPr>
        <w:rPr>
          <w:rFonts w:ascii="Arial" w:eastAsiaTheme="minorHAnsi" w:hAnsi="Arial" w:cs="Arial"/>
          <w:szCs w:val="24"/>
        </w:rPr>
      </w:pPr>
    </w:p>
    <w:p w14:paraId="37A70406" w14:textId="7827341B" w:rsidR="005224D8" w:rsidRPr="003B40F5" w:rsidRDefault="005224D8" w:rsidP="00116B08">
      <w:pPr>
        <w:rPr>
          <w:rFonts w:ascii="Arial" w:eastAsiaTheme="minorHAnsi" w:hAnsi="Arial" w:cs="Arial"/>
          <w:szCs w:val="24"/>
        </w:rPr>
      </w:pPr>
      <w:r w:rsidRPr="003B40F5">
        <w:rPr>
          <w:rFonts w:ascii="Arial" w:eastAsiaTheme="minorHAnsi" w:hAnsi="Arial" w:cs="Arial"/>
          <w:szCs w:val="24"/>
        </w:rPr>
        <w:t xml:space="preserve">As the Mortgagee Letter notes, </w:t>
      </w:r>
      <w:r w:rsidRPr="003B40F5">
        <w:rPr>
          <w:rFonts w:ascii="Arial" w:eastAsiaTheme="minorHAnsi" w:hAnsi="Arial" w:cs="Arial"/>
          <w:b/>
          <w:bCs/>
          <w:szCs w:val="24"/>
        </w:rPr>
        <w:t>HUD’s temporary statutory authority under this program ends on September 30, 2021</w:t>
      </w:r>
      <w:r w:rsidRPr="003B40F5">
        <w:rPr>
          <w:rFonts w:ascii="Arial" w:eastAsiaTheme="minorHAnsi" w:hAnsi="Arial" w:cs="Arial"/>
          <w:szCs w:val="24"/>
        </w:rPr>
        <w:t>; HUD can issue no firm commitments for this program after that date.  Also,</w:t>
      </w:r>
      <w:r w:rsidRPr="003B40F5">
        <w:rPr>
          <w:rFonts w:ascii="Arial" w:eastAsiaTheme="minorHAnsi" w:hAnsi="Arial" w:cs="Arial"/>
          <w:b/>
          <w:bCs/>
          <w:szCs w:val="24"/>
        </w:rPr>
        <w:t xml:space="preserve"> HUD must receive any </w:t>
      </w:r>
      <w:r w:rsidR="009C3816" w:rsidRPr="003B40F5">
        <w:rPr>
          <w:rFonts w:ascii="Arial" w:eastAsiaTheme="minorHAnsi" w:hAnsi="Arial" w:cs="Arial"/>
          <w:b/>
          <w:bCs/>
          <w:szCs w:val="24"/>
        </w:rPr>
        <w:t>applications by Monday, August 30, 2021</w:t>
      </w:r>
      <w:r w:rsidR="009C3816" w:rsidRPr="003B40F5">
        <w:rPr>
          <w:rFonts w:ascii="Arial" w:eastAsiaTheme="minorHAnsi" w:hAnsi="Arial" w:cs="Arial"/>
          <w:szCs w:val="24"/>
        </w:rPr>
        <w:t>.</w:t>
      </w:r>
      <w:r w:rsidRPr="003B40F5">
        <w:rPr>
          <w:rFonts w:ascii="Arial" w:eastAsiaTheme="minorHAnsi" w:hAnsi="Arial" w:cs="Arial"/>
          <w:szCs w:val="24"/>
        </w:rPr>
        <w:t xml:space="preserve">  Given the statutory time constraints for HUD action, HUD </w:t>
      </w:r>
      <w:r w:rsidR="00F6650D" w:rsidRPr="003B40F5">
        <w:rPr>
          <w:rFonts w:ascii="Arial" w:eastAsiaTheme="minorHAnsi" w:hAnsi="Arial" w:cs="Arial"/>
          <w:szCs w:val="24"/>
        </w:rPr>
        <w:t xml:space="preserve">cannot </w:t>
      </w:r>
      <w:r w:rsidRPr="003B40F5">
        <w:rPr>
          <w:rFonts w:ascii="Arial" w:eastAsiaTheme="minorHAnsi" w:hAnsi="Arial" w:cs="Arial"/>
          <w:szCs w:val="24"/>
        </w:rPr>
        <w:t xml:space="preserve">waive the submission deadline.  </w:t>
      </w:r>
    </w:p>
    <w:p w14:paraId="71FF1F63" w14:textId="77777777" w:rsidR="005224D8" w:rsidRPr="003B40F5" w:rsidRDefault="005224D8" w:rsidP="00116B08">
      <w:pPr>
        <w:rPr>
          <w:rFonts w:ascii="Arial" w:eastAsiaTheme="minorHAnsi" w:hAnsi="Arial" w:cs="Arial"/>
          <w:szCs w:val="24"/>
        </w:rPr>
      </w:pPr>
    </w:p>
    <w:p w14:paraId="31D0E6DA" w14:textId="2EDA159A" w:rsidR="009C3816" w:rsidRPr="003B40F5" w:rsidRDefault="00CF5CF0" w:rsidP="00116B08">
      <w:pPr>
        <w:rPr>
          <w:rFonts w:ascii="Arial" w:eastAsiaTheme="minorHAnsi" w:hAnsi="Arial" w:cs="Arial"/>
          <w:szCs w:val="24"/>
        </w:rPr>
      </w:pPr>
      <w:r w:rsidRPr="003B40F5">
        <w:rPr>
          <w:rFonts w:ascii="Arial" w:eastAsiaTheme="minorHAnsi" w:hAnsi="Arial" w:cs="Arial"/>
          <w:szCs w:val="24"/>
        </w:rPr>
        <w:t>If you are in the process of submitting a</w:t>
      </w:r>
      <w:r w:rsidR="0069363B" w:rsidRPr="003B40F5">
        <w:rPr>
          <w:rFonts w:ascii="Arial" w:eastAsiaTheme="minorHAnsi" w:hAnsi="Arial" w:cs="Arial"/>
          <w:szCs w:val="24"/>
        </w:rPr>
        <w:t xml:space="preserve"> 223(d) COVID</w:t>
      </w:r>
      <w:r w:rsidRPr="003B40F5">
        <w:rPr>
          <w:rFonts w:ascii="Arial" w:eastAsiaTheme="minorHAnsi" w:hAnsi="Arial" w:cs="Arial"/>
          <w:szCs w:val="24"/>
        </w:rPr>
        <w:t xml:space="preserve"> application, or if you intend to submit a</w:t>
      </w:r>
      <w:r w:rsidR="0069363B" w:rsidRPr="003B40F5">
        <w:rPr>
          <w:rFonts w:ascii="Arial" w:eastAsiaTheme="minorHAnsi" w:hAnsi="Arial" w:cs="Arial"/>
          <w:szCs w:val="24"/>
        </w:rPr>
        <w:t>n</w:t>
      </w:r>
      <w:r w:rsidRPr="003B40F5">
        <w:rPr>
          <w:rFonts w:ascii="Arial" w:eastAsiaTheme="minorHAnsi" w:hAnsi="Arial" w:cs="Arial"/>
          <w:szCs w:val="24"/>
        </w:rPr>
        <w:t xml:space="preserve"> application in the coming months, please let us know by </w:t>
      </w:r>
      <w:r w:rsidR="0069363B" w:rsidRPr="003B40F5">
        <w:rPr>
          <w:rFonts w:ascii="Arial" w:eastAsiaTheme="minorHAnsi" w:hAnsi="Arial" w:cs="Arial"/>
          <w:szCs w:val="24"/>
        </w:rPr>
        <w:t xml:space="preserve">sending an email to </w:t>
      </w:r>
      <w:hyperlink r:id="rId15" w:history="1">
        <w:r w:rsidR="0069363B" w:rsidRPr="003B40F5">
          <w:rPr>
            <w:rStyle w:val="Hyperlink"/>
            <w:rFonts w:ascii="Arial" w:eastAsiaTheme="minorHAnsi" w:hAnsi="Arial" w:cs="Arial"/>
            <w:szCs w:val="24"/>
          </w:rPr>
          <w:t>LeanThinking@hud.gov</w:t>
        </w:r>
      </w:hyperlink>
      <w:r w:rsidR="0069363B" w:rsidRPr="003B40F5">
        <w:rPr>
          <w:rFonts w:ascii="Arial" w:eastAsiaTheme="minorHAnsi" w:hAnsi="Arial" w:cs="Arial"/>
          <w:szCs w:val="24"/>
        </w:rPr>
        <w:t xml:space="preserve">. </w:t>
      </w:r>
    </w:p>
    <w:p w14:paraId="5F768CD0" w14:textId="77777777" w:rsidR="0069363B" w:rsidRPr="003B40F5" w:rsidRDefault="0069363B" w:rsidP="00116B08">
      <w:pPr>
        <w:rPr>
          <w:rFonts w:ascii="Arial" w:eastAsiaTheme="minorHAnsi" w:hAnsi="Arial" w:cs="Arial"/>
          <w:szCs w:val="24"/>
        </w:rPr>
      </w:pPr>
    </w:p>
    <w:p w14:paraId="134054AC" w14:textId="77777777" w:rsidR="00116B08" w:rsidRPr="003B40F5" w:rsidRDefault="00116B08" w:rsidP="00116B08">
      <w:pPr>
        <w:rPr>
          <w:rFonts w:ascii="Arial" w:hAnsi="Arial" w:cs="Arial"/>
          <w:i/>
          <w:iCs/>
        </w:rPr>
      </w:pPr>
      <w:bookmarkStart w:id="3" w:name="_Hlk69206680"/>
      <w:r w:rsidRPr="003B40F5">
        <w:rPr>
          <w:rFonts w:ascii="Arial" w:hAnsi="Arial" w:cs="Arial"/>
          <w:b/>
          <w:bCs/>
          <w:i/>
          <w:iCs/>
        </w:rPr>
        <w:t>Keywords:</w:t>
      </w:r>
      <w:r w:rsidRPr="003B40F5">
        <w:rPr>
          <w:rFonts w:ascii="Arial" w:hAnsi="Arial" w:cs="Arial"/>
          <w:i/>
          <w:iCs/>
        </w:rPr>
        <w:tab/>
      </w:r>
      <w:r w:rsidRPr="003B40F5">
        <w:rPr>
          <w:rFonts w:ascii="Arial" w:eastAsiaTheme="minorHAnsi" w:hAnsi="Arial" w:cs="Arial"/>
          <w:i/>
          <w:iCs/>
          <w:szCs w:val="24"/>
        </w:rPr>
        <w:t>COVID-19, 223(d)</w:t>
      </w:r>
    </w:p>
    <w:p w14:paraId="25FD13FE" w14:textId="34917B91" w:rsidR="00116B08" w:rsidRDefault="00116B08" w:rsidP="00116B08">
      <w:pPr>
        <w:rPr>
          <w:rFonts w:ascii="Arial" w:eastAsia="MS Mincho" w:hAnsi="Arial" w:cs="Arial"/>
          <w:b/>
          <w:szCs w:val="24"/>
        </w:rPr>
      </w:pPr>
    </w:p>
    <w:bookmarkEnd w:id="3"/>
    <w:p w14:paraId="34076A70" w14:textId="5E5E2CE0" w:rsidR="00F9728A" w:rsidRDefault="0074441F" w:rsidP="00116B08">
      <w:pPr>
        <w:rPr>
          <w:rFonts w:ascii="Arial" w:hAnsi="Arial" w:cs="Arial"/>
          <w:color w:val="365F91" w:themeColor="accent1" w:themeShade="BF"/>
          <w:szCs w:val="24"/>
          <w:u w:val="single"/>
        </w:rPr>
      </w:pPr>
      <w:r>
        <w:fldChar w:fldCharType="begin"/>
      </w:r>
      <w:r>
        <w:instrText xml:space="preserve"> HYPERLINK \l "_top" </w:instrText>
      </w:r>
      <w:r>
        <w:fldChar w:fldCharType="separate"/>
      </w:r>
      <w:r w:rsidR="00116B08" w:rsidRPr="001F5102">
        <w:rPr>
          <w:rFonts w:ascii="Arial" w:hAnsi="Arial" w:cs="Arial"/>
          <w:color w:val="365F91" w:themeColor="accent1" w:themeShade="BF"/>
          <w:szCs w:val="24"/>
          <w:u w:val="single"/>
        </w:rPr>
        <w:t>Back to top</w:t>
      </w:r>
      <w:r>
        <w:rPr>
          <w:rFonts w:ascii="Arial" w:hAnsi="Arial" w:cs="Arial"/>
          <w:color w:val="365F91" w:themeColor="accent1" w:themeShade="BF"/>
          <w:szCs w:val="24"/>
          <w:u w:val="single"/>
        </w:rPr>
        <w:fldChar w:fldCharType="end"/>
      </w:r>
    </w:p>
    <w:p w14:paraId="5DEC7D17" w14:textId="77777777" w:rsidR="00116B08" w:rsidRDefault="00116B08" w:rsidP="00116B08">
      <w:pPr>
        <w:rPr>
          <w:rFonts w:ascii="Arial" w:hAnsi="Arial" w:cs="Arial"/>
          <w:iCs/>
        </w:rPr>
      </w:pPr>
    </w:p>
    <w:p w14:paraId="69D6161A" w14:textId="3C7F5B21" w:rsidR="00116B08" w:rsidRPr="001A4170" w:rsidRDefault="00116B08" w:rsidP="00116B08">
      <w:pPr>
        <w:pStyle w:val="EmailBlast"/>
      </w:pPr>
      <w:bookmarkStart w:id="4" w:name="_Toc69827035"/>
      <w:r w:rsidRPr="001A4170">
        <w:t xml:space="preserve">Naming </w:t>
      </w:r>
      <w:r w:rsidR="00A216B5">
        <w:t>D</w:t>
      </w:r>
      <w:r w:rsidRPr="001A4170">
        <w:t xml:space="preserve">ocuments in the </w:t>
      </w:r>
      <w:r w:rsidR="00A216B5">
        <w:t>P</w:t>
      </w:r>
      <w:r w:rsidRPr="001A4170">
        <w:t xml:space="preserve">ortal </w:t>
      </w:r>
      <w:r w:rsidR="00A216B5">
        <w:t>T</w:t>
      </w:r>
      <w:r w:rsidRPr="001A4170">
        <w:t xml:space="preserve">hat </w:t>
      </w:r>
      <w:r w:rsidR="00A216B5">
        <w:t>D</w:t>
      </w:r>
      <w:r w:rsidRPr="001A4170">
        <w:t xml:space="preserve">o </w:t>
      </w:r>
      <w:r w:rsidR="00A216B5">
        <w:t>N</w:t>
      </w:r>
      <w:r w:rsidRPr="001A4170">
        <w:t xml:space="preserve">ot </w:t>
      </w:r>
      <w:r w:rsidR="00A216B5">
        <w:t>H</w:t>
      </w:r>
      <w:r w:rsidRPr="001A4170">
        <w:t xml:space="preserve">ave a </w:t>
      </w:r>
      <w:r w:rsidR="00A216B5">
        <w:t>S</w:t>
      </w:r>
      <w:r w:rsidRPr="001A4170">
        <w:t xml:space="preserve">tandard </w:t>
      </w:r>
      <w:r w:rsidR="00A216B5">
        <w:t>F</w:t>
      </w:r>
      <w:r w:rsidRPr="001A4170">
        <w:t xml:space="preserve">ile </w:t>
      </w:r>
      <w:r w:rsidR="00A216B5">
        <w:t>N</w:t>
      </w:r>
      <w:r w:rsidRPr="001A4170">
        <w:t>ame</w:t>
      </w:r>
      <w:bookmarkEnd w:id="4"/>
    </w:p>
    <w:p w14:paraId="551AC7D9" w14:textId="21E69509" w:rsidR="00116B08" w:rsidRPr="00CB384B" w:rsidRDefault="00116B08" w:rsidP="00116B08">
      <w:pPr>
        <w:rPr>
          <w:rFonts w:ascii="Arial" w:hAnsi="Arial" w:cs="Arial"/>
          <w:color w:val="000000"/>
        </w:rPr>
      </w:pPr>
      <w:r w:rsidRPr="00CB384B">
        <w:rPr>
          <w:rFonts w:ascii="Arial" w:hAnsi="Arial" w:cs="Arial"/>
          <w:color w:val="000000"/>
        </w:rPr>
        <w:t xml:space="preserve">Documents uploaded to the </w:t>
      </w:r>
      <w:r w:rsidR="0069363B" w:rsidRPr="00CB384B">
        <w:rPr>
          <w:rFonts w:ascii="Arial" w:hAnsi="Arial" w:cs="Arial"/>
          <w:color w:val="000000"/>
        </w:rPr>
        <w:t xml:space="preserve">232 </w:t>
      </w:r>
      <w:r w:rsidR="00CF5CF0" w:rsidRPr="00CB384B">
        <w:rPr>
          <w:rFonts w:ascii="Arial" w:hAnsi="Arial" w:cs="Arial"/>
          <w:color w:val="000000"/>
        </w:rPr>
        <w:t xml:space="preserve">Healthcare </w:t>
      </w:r>
      <w:r w:rsidRPr="00CB384B">
        <w:rPr>
          <w:rFonts w:ascii="Arial" w:hAnsi="Arial" w:cs="Arial"/>
          <w:color w:val="000000"/>
        </w:rPr>
        <w:t xml:space="preserve">Portal should be named according to the Application Checklist. If the document is not a checklist item and it is an "Other" item, </w:t>
      </w:r>
      <w:r w:rsidR="00CF5CF0" w:rsidRPr="00CB384B">
        <w:rPr>
          <w:rFonts w:ascii="Arial" w:hAnsi="Arial" w:cs="Arial"/>
          <w:color w:val="000000"/>
        </w:rPr>
        <w:t xml:space="preserve">please </w:t>
      </w:r>
      <w:r w:rsidRPr="00CB384B">
        <w:rPr>
          <w:rFonts w:ascii="Arial" w:hAnsi="Arial" w:cs="Arial"/>
          <w:color w:val="000000"/>
        </w:rPr>
        <w:t xml:space="preserve">include an identifier in the name of the document such as "financial information". Please note that an underscore (_) must be used after "Other" and before the identifier, </w:t>
      </w:r>
      <w:r w:rsidR="009C3816" w:rsidRPr="00CB384B">
        <w:rPr>
          <w:rFonts w:ascii="Arial" w:hAnsi="Arial" w:cs="Arial"/>
          <w:color w:val="000000"/>
        </w:rPr>
        <w:t>e.g.</w:t>
      </w:r>
      <w:r w:rsidRPr="00CB384B">
        <w:rPr>
          <w:rFonts w:ascii="Arial" w:hAnsi="Arial" w:cs="Arial"/>
          <w:color w:val="000000"/>
        </w:rPr>
        <w:t xml:space="preserve"> “</w:t>
      </w:r>
      <w:bookmarkStart w:id="5" w:name="_Hlk68692296"/>
      <w:proofErr w:type="spellStart"/>
      <w:r w:rsidRPr="00CB384B">
        <w:rPr>
          <w:rFonts w:ascii="Arial" w:hAnsi="Arial" w:cs="Arial"/>
          <w:color w:val="000000"/>
        </w:rPr>
        <w:t>Other_financial</w:t>
      </w:r>
      <w:proofErr w:type="spellEnd"/>
      <w:r w:rsidRPr="00CB384B">
        <w:rPr>
          <w:rFonts w:ascii="Arial" w:hAnsi="Arial" w:cs="Arial"/>
          <w:color w:val="000000"/>
        </w:rPr>
        <w:t xml:space="preserve"> </w:t>
      </w:r>
      <w:bookmarkEnd w:id="5"/>
      <w:r w:rsidRPr="00CB384B">
        <w:rPr>
          <w:rFonts w:ascii="Arial" w:hAnsi="Arial" w:cs="Arial"/>
          <w:color w:val="000000"/>
        </w:rPr>
        <w:t>information”.</w:t>
      </w:r>
    </w:p>
    <w:p w14:paraId="7F71B8F4" w14:textId="5CD73691" w:rsidR="00116B08" w:rsidRPr="00CB384B" w:rsidRDefault="00116B08" w:rsidP="00116B08">
      <w:pPr>
        <w:rPr>
          <w:rFonts w:ascii="Arial" w:hAnsi="Arial" w:cs="Arial"/>
          <w:color w:val="000000"/>
        </w:rPr>
      </w:pPr>
    </w:p>
    <w:p w14:paraId="526D02D8" w14:textId="4E3F82A2" w:rsidR="003C11BA" w:rsidRPr="00CB384B" w:rsidRDefault="00CF5CF0" w:rsidP="00116B08">
      <w:pPr>
        <w:rPr>
          <w:rFonts w:ascii="Arial" w:hAnsi="Arial" w:cs="Arial"/>
          <w:color w:val="000000"/>
        </w:rPr>
      </w:pPr>
      <w:r w:rsidRPr="00CB384B">
        <w:rPr>
          <w:rFonts w:ascii="Arial" w:hAnsi="Arial" w:cs="Arial"/>
          <w:color w:val="000000"/>
        </w:rPr>
        <w:t>Submitting documents with precise file names will reduce review times.</w:t>
      </w:r>
    </w:p>
    <w:p w14:paraId="758361F5" w14:textId="77777777" w:rsidR="0069363B" w:rsidRPr="00CB384B" w:rsidRDefault="0069363B" w:rsidP="00116B08">
      <w:pPr>
        <w:rPr>
          <w:rFonts w:ascii="Arial" w:hAnsi="Arial" w:cs="Arial"/>
          <w:color w:val="000000"/>
        </w:rPr>
      </w:pPr>
    </w:p>
    <w:p w14:paraId="48D162C6" w14:textId="47064F12" w:rsidR="00116B08" w:rsidRPr="00CB384B" w:rsidRDefault="00116B08" w:rsidP="00116B08">
      <w:pPr>
        <w:rPr>
          <w:rFonts w:ascii="Arial" w:hAnsi="Arial" w:cs="Arial"/>
          <w:color w:val="000000"/>
        </w:rPr>
      </w:pPr>
      <w:r w:rsidRPr="00CB384B">
        <w:rPr>
          <w:rFonts w:ascii="Arial" w:hAnsi="Arial" w:cs="Arial"/>
          <w:color w:val="000000"/>
        </w:rPr>
        <w:t xml:space="preserve">For more information, please see the 232 Healthcare Portal Training website </w:t>
      </w:r>
      <w:hyperlink r:id="rId16" w:history="1">
        <w:r w:rsidR="00CB384B">
          <w:rPr>
            <w:rStyle w:val="Hyperlink"/>
            <w:rFonts w:ascii="Arial" w:hAnsi="Arial" w:cs="Arial"/>
          </w:rPr>
          <w:t>(</w:t>
        </w:r>
        <w:r w:rsidRPr="00CB384B">
          <w:rPr>
            <w:rStyle w:val="Hyperlink"/>
            <w:rFonts w:ascii="Arial" w:hAnsi="Arial" w:cs="Arial"/>
          </w:rPr>
          <w:t>here</w:t>
        </w:r>
      </w:hyperlink>
      <w:r w:rsidR="00CB384B">
        <w:rPr>
          <w:rStyle w:val="Hyperlink"/>
          <w:rFonts w:ascii="Arial" w:hAnsi="Arial" w:cs="Arial"/>
        </w:rPr>
        <w:t>)</w:t>
      </w:r>
      <w:r w:rsidRPr="00CB384B">
        <w:rPr>
          <w:rFonts w:ascii="Arial" w:hAnsi="Arial" w:cs="Arial"/>
          <w:color w:val="000000"/>
        </w:rPr>
        <w:t>.</w:t>
      </w:r>
    </w:p>
    <w:p w14:paraId="23C722C5" w14:textId="77777777" w:rsidR="00116B08" w:rsidRPr="00CB384B" w:rsidRDefault="00116B08" w:rsidP="00116B08">
      <w:pPr>
        <w:rPr>
          <w:rFonts w:ascii="Arial" w:hAnsi="Arial" w:cs="Arial"/>
        </w:rPr>
      </w:pPr>
    </w:p>
    <w:p w14:paraId="298D9511" w14:textId="2D3AE76B" w:rsidR="00116B08" w:rsidRPr="00CB384B" w:rsidRDefault="00116B08" w:rsidP="00116B08">
      <w:pPr>
        <w:rPr>
          <w:rFonts w:ascii="Arial" w:hAnsi="Arial" w:cs="Arial"/>
          <w:i/>
          <w:iCs/>
        </w:rPr>
      </w:pPr>
      <w:r w:rsidRPr="00CB384B">
        <w:rPr>
          <w:rFonts w:ascii="Arial" w:hAnsi="Arial" w:cs="Arial"/>
          <w:b/>
          <w:bCs/>
          <w:i/>
          <w:iCs/>
        </w:rPr>
        <w:t>Keywords:</w:t>
      </w:r>
      <w:r w:rsidRPr="00CB384B">
        <w:rPr>
          <w:rFonts w:ascii="Arial" w:hAnsi="Arial" w:cs="Arial"/>
        </w:rPr>
        <w:t xml:space="preserve"> </w:t>
      </w:r>
      <w:r w:rsidRPr="00CB384B">
        <w:rPr>
          <w:rFonts w:ascii="Arial" w:hAnsi="Arial" w:cs="Arial"/>
          <w:i/>
          <w:iCs/>
        </w:rPr>
        <w:t xml:space="preserve">Application Processing, </w:t>
      </w:r>
      <w:r w:rsidR="006E0D19">
        <w:rPr>
          <w:rFonts w:ascii="Arial" w:hAnsi="Arial" w:cs="Arial"/>
          <w:i/>
          <w:iCs/>
        </w:rPr>
        <w:t xml:space="preserve">232 Healthcare </w:t>
      </w:r>
      <w:r w:rsidRPr="00CB384B">
        <w:rPr>
          <w:rFonts w:ascii="Arial" w:hAnsi="Arial" w:cs="Arial"/>
          <w:i/>
          <w:iCs/>
        </w:rPr>
        <w:t>Portal</w:t>
      </w:r>
    </w:p>
    <w:p w14:paraId="2BD1CAC3" w14:textId="6069E474" w:rsidR="00116B08" w:rsidRDefault="00116B08" w:rsidP="00863472">
      <w:pPr>
        <w:rPr>
          <w:rFonts w:ascii="Arial" w:hAnsi="Arial" w:cs="Arial"/>
          <w:iCs/>
        </w:rPr>
      </w:pPr>
    </w:p>
    <w:p w14:paraId="4ADFC005" w14:textId="77777777" w:rsidR="003B40F5" w:rsidRDefault="003B40F5" w:rsidP="003B40F5">
      <w:pPr>
        <w:rPr>
          <w:rFonts w:ascii="Arial" w:hAnsi="Arial" w:cs="Arial"/>
          <w:color w:val="365F91" w:themeColor="accent1" w:themeShade="BF"/>
          <w:szCs w:val="24"/>
          <w:u w:val="single"/>
        </w:rPr>
      </w:pPr>
      <w:hyperlink w:anchor="_top" w:history="1">
        <w:r w:rsidRPr="001F5102">
          <w:rPr>
            <w:rFonts w:ascii="Arial" w:hAnsi="Arial" w:cs="Arial"/>
            <w:color w:val="365F91" w:themeColor="accent1" w:themeShade="BF"/>
            <w:szCs w:val="24"/>
            <w:u w:val="single"/>
          </w:rPr>
          <w:t>Back to top</w:t>
        </w:r>
      </w:hyperlink>
    </w:p>
    <w:p w14:paraId="596E148D" w14:textId="77777777" w:rsidR="003B40F5" w:rsidRDefault="003B40F5" w:rsidP="00863472">
      <w:pPr>
        <w:rPr>
          <w:rFonts w:ascii="Arial" w:hAnsi="Arial" w:cs="Arial"/>
          <w:iCs/>
        </w:rPr>
      </w:pPr>
    </w:p>
    <w:p w14:paraId="114E762D" w14:textId="33007EBE" w:rsidR="00116B08" w:rsidRDefault="00A216B5" w:rsidP="00D8363D">
      <w:pPr>
        <w:pStyle w:val="EmailBlast"/>
      </w:pPr>
      <w:bookmarkStart w:id="6" w:name="_Toc49255198"/>
      <w:bookmarkStart w:id="7" w:name="_Toc69827036"/>
      <w:r>
        <w:t>REMINDER</w:t>
      </w:r>
      <w:r w:rsidR="00116B08">
        <w:t xml:space="preserve"> - Portfolio Names and Numbers</w:t>
      </w:r>
      <w:bookmarkEnd w:id="6"/>
      <w:bookmarkEnd w:id="7"/>
      <w:r w:rsidR="00116B08">
        <w:t xml:space="preserve"> </w:t>
      </w:r>
    </w:p>
    <w:p w14:paraId="0A1864BB" w14:textId="77777777" w:rsidR="00116B08" w:rsidRPr="00116B08" w:rsidRDefault="00116B08" w:rsidP="00116B08">
      <w:pPr>
        <w:rPr>
          <w:rFonts w:ascii="Arial" w:hAnsi="Arial" w:cs="Arial"/>
          <w:color w:val="000000" w:themeColor="text1"/>
          <w:szCs w:val="24"/>
        </w:rPr>
      </w:pPr>
      <w:r w:rsidRPr="00116B08">
        <w:rPr>
          <w:rFonts w:ascii="Arial" w:hAnsi="Arial" w:cs="Arial"/>
          <w:color w:val="000000" w:themeColor="text1"/>
          <w:szCs w:val="24"/>
        </w:rPr>
        <w:lastRenderedPageBreak/>
        <w:t>As previously outlined in the August 26, 2020 Email Blast, if a project is part of a portfolio, it requires a portfolio name. Lenders provide the portfolio name when an FHA Number Request is submitted.</w:t>
      </w:r>
    </w:p>
    <w:p w14:paraId="64DD1F3E" w14:textId="77777777" w:rsidR="00116B08" w:rsidRPr="00116B08" w:rsidRDefault="00116B08" w:rsidP="00116B08">
      <w:pPr>
        <w:rPr>
          <w:rFonts w:ascii="Calibri" w:hAnsi="Calibri" w:cs="Calibri"/>
          <w:color w:val="000000" w:themeColor="text1"/>
          <w:sz w:val="22"/>
        </w:rPr>
      </w:pPr>
    </w:p>
    <w:p w14:paraId="1204680A" w14:textId="3C623F5D" w:rsidR="00116B08" w:rsidRPr="00116B08" w:rsidRDefault="00116B08" w:rsidP="00116B08">
      <w:pPr>
        <w:rPr>
          <w:rFonts w:ascii="Arial" w:hAnsi="Arial" w:cs="Arial"/>
          <w:color w:val="000000" w:themeColor="text1"/>
          <w:szCs w:val="24"/>
        </w:rPr>
      </w:pPr>
      <w:r w:rsidRPr="00116B08">
        <w:rPr>
          <w:rFonts w:ascii="Arial" w:hAnsi="Arial" w:cs="Arial"/>
          <w:color w:val="000000" w:themeColor="text1"/>
          <w:szCs w:val="24"/>
        </w:rPr>
        <w:t>Portfolio names are added to the name of the project for workload tracking in HUD systems so that the individual projects in the portfolio may be tracked together.  Identifying a portfolio name allows for more efficient processing of Production applications</w:t>
      </w:r>
      <w:r w:rsidR="00942343">
        <w:rPr>
          <w:rFonts w:ascii="Arial" w:hAnsi="Arial" w:cs="Arial"/>
          <w:color w:val="000000" w:themeColor="text1"/>
          <w:szCs w:val="24"/>
        </w:rPr>
        <w:t>,</w:t>
      </w:r>
      <w:r w:rsidRPr="00116B08">
        <w:rPr>
          <w:rFonts w:ascii="Arial" w:hAnsi="Arial" w:cs="Arial"/>
          <w:color w:val="000000" w:themeColor="text1"/>
          <w:szCs w:val="24"/>
        </w:rPr>
        <w:t xml:space="preserve"> as portfolio groups can be readily identified and assigned to the same reviewer.  In addition, a portfolio name assists Asset Management in their overall risk management of the ORCF portfolio by indicating the relationship of individual projects and more effectively assigning the projects to the same Account Executive for oversight.</w:t>
      </w:r>
    </w:p>
    <w:p w14:paraId="4E180B4B" w14:textId="77777777" w:rsidR="00116B08" w:rsidRPr="00116B08" w:rsidRDefault="00116B08" w:rsidP="00116B08">
      <w:pPr>
        <w:rPr>
          <w:rFonts w:ascii="Arial" w:hAnsi="Arial" w:cs="Arial"/>
          <w:color w:val="000000" w:themeColor="text1"/>
          <w:szCs w:val="24"/>
        </w:rPr>
      </w:pPr>
    </w:p>
    <w:p w14:paraId="0B7616EA" w14:textId="48C17174" w:rsidR="00116B08" w:rsidRPr="00116B08" w:rsidRDefault="00116B08" w:rsidP="00116B08">
      <w:pPr>
        <w:rPr>
          <w:rFonts w:ascii="Arial" w:hAnsi="Arial" w:cs="Arial"/>
          <w:color w:val="000000" w:themeColor="text1"/>
          <w:szCs w:val="24"/>
        </w:rPr>
      </w:pPr>
      <w:r w:rsidRPr="00116B08">
        <w:rPr>
          <w:rFonts w:ascii="Arial" w:hAnsi="Arial" w:cs="Arial"/>
          <w:color w:val="000000" w:themeColor="text1"/>
          <w:szCs w:val="24"/>
        </w:rPr>
        <w:t>A project is considered part of a portfolio where there are two or more borrower entities that are under common ownership and/or common control (H</w:t>
      </w:r>
      <w:r w:rsidR="00E26CFC">
        <w:rPr>
          <w:rFonts w:ascii="Arial" w:hAnsi="Arial" w:cs="Arial"/>
          <w:color w:val="000000" w:themeColor="text1"/>
          <w:szCs w:val="24"/>
        </w:rPr>
        <w:t>andbook</w:t>
      </w:r>
      <w:r w:rsidRPr="00116B08">
        <w:rPr>
          <w:rFonts w:ascii="Arial" w:hAnsi="Arial" w:cs="Arial"/>
          <w:color w:val="000000" w:themeColor="text1"/>
          <w:szCs w:val="24"/>
        </w:rPr>
        <w:t xml:space="preserve"> 4232.</w:t>
      </w:r>
      <w:r w:rsidR="00CB384B">
        <w:rPr>
          <w:rFonts w:ascii="Arial" w:hAnsi="Arial" w:cs="Arial"/>
          <w:color w:val="000000" w:themeColor="text1"/>
          <w:szCs w:val="24"/>
        </w:rPr>
        <w:t>1</w:t>
      </w:r>
      <w:r w:rsidRPr="00116B08">
        <w:rPr>
          <w:rFonts w:ascii="Arial" w:hAnsi="Arial" w:cs="Arial"/>
          <w:color w:val="000000" w:themeColor="text1"/>
          <w:szCs w:val="24"/>
        </w:rPr>
        <w:t>, Section</w:t>
      </w:r>
      <w:r w:rsidR="00FF67F4">
        <w:rPr>
          <w:rFonts w:ascii="Arial" w:hAnsi="Arial" w:cs="Arial"/>
          <w:color w:val="000000" w:themeColor="text1"/>
          <w:szCs w:val="24"/>
        </w:rPr>
        <w:t> </w:t>
      </w:r>
      <w:r w:rsidRPr="00116B08">
        <w:rPr>
          <w:rFonts w:ascii="Arial" w:hAnsi="Arial" w:cs="Arial"/>
          <w:color w:val="000000" w:themeColor="text1"/>
          <w:szCs w:val="24"/>
        </w:rPr>
        <w:t>II, Ch</w:t>
      </w:r>
      <w:r w:rsidR="00E26CFC">
        <w:rPr>
          <w:rFonts w:ascii="Arial" w:hAnsi="Arial" w:cs="Arial"/>
          <w:color w:val="000000" w:themeColor="text1"/>
          <w:szCs w:val="24"/>
        </w:rPr>
        <w:t xml:space="preserve">apter </w:t>
      </w:r>
      <w:r w:rsidRPr="00116B08">
        <w:rPr>
          <w:rFonts w:ascii="Arial" w:hAnsi="Arial" w:cs="Arial"/>
          <w:color w:val="000000" w:themeColor="text1"/>
          <w:szCs w:val="24"/>
        </w:rPr>
        <w:t>17.2)</w:t>
      </w:r>
      <w:r w:rsidR="009028F1">
        <w:rPr>
          <w:rFonts w:ascii="Arial" w:hAnsi="Arial" w:cs="Arial"/>
          <w:color w:val="000000" w:themeColor="text1"/>
          <w:szCs w:val="24"/>
        </w:rPr>
        <w:t>.</w:t>
      </w:r>
      <w:r w:rsidRPr="00116B08">
        <w:rPr>
          <w:rFonts w:ascii="Arial" w:hAnsi="Arial" w:cs="Arial"/>
          <w:color w:val="000000" w:themeColor="text1"/>
          <w:szCs w:val="24"/>
        </w:rPr>
        <w:t>  Even if a single application is submitted at a time, if it meets the definition of a portfolio outlined in the Handbook, a portfolio name should be referenced in the FHA Number Request.</w:t>
      </w:r>
    </w:p>
    <w:p w14:paraId="4C59BA3E" w14:textId="77777777" w:rsidR="00116B08" w:rsidRPr="00116B08" w:rsidRDefault="00116B08" w:rsidP="00116B08">
      <w:pPr>
        <w:rPr>
          <w:rFonts w:ascii="Calibri" w:hAnsi="Calibri" w:cs="Calibri"/>
          <w:color w:val="000000" w:themeColor="text1"/>
          <w:sz w:val="22"/>
        </w:rPr>
      </w:pPr>
    </w:p>
    <w:p w14:paraId="294AAEF2" w14:textId="1E91BBBE" w:rsidR="00116B08" w:rsidRDefault="00116B08" w:rsidP="00116B08">
      <w:pPr>
        <w:rPr>
          <w:rFonts w:ascii="Arial" w:hAnsi="Arial" w:cs="Arial"/>
          <w:color w:val="000000" w:themeColor="text1"/>
          <w:szCs w:val="24"/>
        </w:rPr>
      </w:pPr>
      <w:r w:rsidRPr="00116B08">
        <w:rPr>
          <w:rFonts w:ascii="Arial" w:hAnsi="Arial" w:cs="Arial"/>
          <w:color w:val="000000" w:themeColor="text1"/>
          <w:szCs w:val="24"/>
        </w:rPr>
        <w:t>If a project is part of an existing portfolio and the Lender does not know the portfolio name and/or portfolio number, this information can be requested through the FHA Number Request. Lenders should note the request and any related information in the comments box, or by submitting an email inquiry to Lean</w:t>
      </w:r>
      <w:r w:rsidR="00C67AC3">
        <w:rPr>
          <w:rFonts w:ascii="Arial" w:hAnsi="Arial" w:cs="Arial"/>
          <w:color w:val="000000" w:themeColor="text1"/>
          <w:szCs w:val="24"/>
        </w:rPr>
        <w:t xml:space="preserve"> </w:t>
      </w:r>
      <w:r w:rsidRPr="00116B08">
        <w:rPr>
          <w:rFonts w:ascii="Arial" w:hAnsi="Arial" w:cs="Arial"/>
          <w:color w:val="000000" w:themeColor="text1"/>
          <w:szCs w:val="24"/>
        </w:rPr>
        <w:t>Thinking.</w:t>
      </w:r>
    </w:p>
    <w:p w14:paraId="31264C43" w14:textId="77777777" w:rsidR="00116B08" w:rsidRDefault="00116B08" w:rsidP="00116B08">
      <w:pPr>
        <w:rPr>
          <w:rFonts w:ascii="Arial" w:hAnsi="Arial" w:cs="Arial"/>
          <w:color w:val="000000" w:themeColor="text1"/>
          <w:szCs w:val="24"/>
        </w:rPr>
      </w:pPr>
    </w:p>
    <w:p w14:paraId="254871B8" w14:textId="47CCD1E8" w:rsidR="00116B08" w:rsidRPr="00116B08" w:rsidRDefault="00116B08" w:rsidP="00116B08">
      <w:pPr>
        <w:rPr>
          <w:rFonts w:ascii="Arial" w:hAnsi="Arial" w:cs="Arial"/>
          <w:i/>
          <w:iCs/>
          <w:color w:val="000000" w:themeColor="text1"/>
          <w:szCs w:val="24"/>
        </w:rPr>
      </w:pPr>
      <w:r w:rsidRPr="00116B08">
        <w:rPr>
          <w:rFonts w:ascii="Arial" w:hAnsi="Arial" w:cs="Arial"/>
          <w:b/>
          <w:bCs/>
          <w:i/>
          <w:iCs/>
          <w:color w:val="000000" w:themeColor="text1"/>
          <w:szCs w:val="24"/>
        </w:rPr>
        <w:t>Keywords:</w:t>
      </w:r>
      <w:r w:rsidRPr="00116B08">
        <w:rPr>
          <w:rFonts w:ascii="Arial" w:hAnsi="Arial" w:cs="Arial"/>
          <w:i/>
          <w:iCs/>
          <w:color w:val="000000" w:themeColor="text1"/>
          <w:szCs w:val="24"/>
        </w:rPr>
        <w:t xml:space="preserve"> Portfolio</w:t>
      </w:r>
      <w:r w:rsidR="006E0D19">
        <w:rPr>
          <w:rFonts w:ascii="Arial" w:hAnsi="Arial" w:cs="Arial"/>
          <w:i/>
          <w:iCs/>
          <w:color w:val="000000" w:themeColor="text1"/>
          <w:szCs w:val="24"/>
        </w:rPr>
        <w:t>s</w:t>
      </w:r>
    </w:p>
    <w:p w14:paraId="673F6F57" w14:textId="77777777" w:rsidR="00116B08" w:rsidRDefault="00116B08" w:rsidP="00116B08">
      <w:pPr>
        <w:rPr>
          <w:rFonts w:ascii="Arial" w:hAnsi="Arial" w:cs="Arial"/>
          <w:color w:val="000000" w:themeColor="text1"/>
          <w:szCs w:val="24"/>
        </w:rPr>
      </w:pPr>
    </w:p>
    <w:p w14:paraId="2995180A" w14:textId="77777777" w:rsidR="00116B08" w:rsidRDefault="001302D2" w:rsidP="00116B08">
      <w:pPr>
        <w:rPr>
          <w:rFonts w:ascii="Arial" w:hAnsi="Arial" w:cs="Arial"/>
          <w:color w:val="365F91" w:themeColor="accent1" w:themeShade="BF"/>
          <w:szCs w:val="24"/>
          <w:u w:val="single"/>
        </w:rPr>
      </w:pPr>
      <w:hyperlink w:anchor="_top" w:history="1">
        <w:r w:rsidR="00116B08" w:rsidRPr="001F5102">
          <w:rPr>
            <w:rFonts w:ascii="Arial" w:hAnsi="Arial" w:cs="Arial"/>
            <w:color w:val="365F91" w:themeColor="accent1" w:themeShade="BF"/>
            <w:szCs w:val="24"/>
            <w:u w:val="single"/>
          </w:rPr>
          <w:t>Back to top</w:t>
        </w:r>
      </w:hyperlink>
    </w:p>
    <w:p w14:paraId="522BFC15" w14:textId="7D35E859" w:rsidR="007131DC" w:rsidRDefault="007131DC" w:rsidP="00116B08">
      <w:pPr>
        <w:rPr>
          <w:rFonts w:ascii="Arial" w:hAnsi="Arial" w:cs="Arial"/>
          <w:iCs/>
        </w:rPr>
      </w:pPr>
    </w:p>
    <w:p w14:paraId="2D4E0EEE" w14:textId="77777777" w:rsidR="00116B08" w:rsidRPr="001A4170" w:rsidRDefault="00116B08" w:rsidP="00116B08">
      <w:pPr>
        <w:pStyle w:val="EmailBlast"/>
      </w:pPr>
      <w:bookmarkStart w:id="8" w:name="_Toc69827037"/>
      <w:r w:rsidRPr="001A4170">
        <w:t>Flood Insurance Determinations and Life-of-Loan Monitoring Requirement</w:t>
      </w:r>
      <w:bookmarkEnd w:id="8"/>
    </w:p>
    <w:p w14:paraId="269F8506" w14:textId="07AF8003" w:rsidR="00116B08" w:rsidRPr="003B40F5" w:rsidRDefault="00116B08" w:rsidP="00116B08">
      <w:pPr>
        <w:rPr>
          <w:rFonts w:ascii="Arial" w:hAnsi="Arial" w:cs="Arial"/>
        </w:rPr>
      </w:pPr>
      <w:r w:rsidRPr="003B40F5">
        <w:rPr>
          <w:rFonts w:ascii="Arial" w:hAnsi="Arial" w:cs="Arial"/>
        </w:rPr>
        <w:t xml:space="preserve">Lenders are reminded that a Flood Insurance Determination is required for every Mortgage Loan in the Section 232 Program.  The Lender must determine whether any of the </w:t>
      </w:r>
      <w:r w:rsidR="0069363B" w:rsidRPr="003B40F5">
        <w:rPr>
          <w:rFonts w:ascii="Arial" w:hAnsi="Arial" w:cs="Arial"/>
        </w:rPr>
        <w:t>P</w:t>
      </w:r>
      <w:r w:rsidRPr="003B40F5">
        <w:rPr>
          <w:rFonts w:ascii="Arial" w:hAnsi="Arial" w:cs="Arial"/>
        </w:rPr>
        <w:t>roperty improvements are located in a Special Flood Hazard Area (SFHA) and must document each determination on a Standard Flood Hazard Determination Form (SFHDF) issued by FEMA (FEMA Form 086-0-32).  The Lender must obtain flood-zone determinations from a qualified third-party flood-zone determination firm.</w:t>
      </w:r>
    </w:p>
    <w:p w14:paraId="50BEF25F" w14:textId="77777777" w:rsidR="00116B08" w:rsidRPr="003B40F5" w:rsidRDefault="00116B08" w:rsidP="00116B08">
      <w:pPr>
        <w:rPr>
          <w:rFonts w:ascii="Arial" w:hAnsi="Arial" w:cs="Arial"/>
        </w:rPr>
      </w:pPr>
    </w:p>
    <w:p w14:paraId="48651362" w14:textId="72CEA1EB" w:rsidR="00116B08" w:rsidRPr="003B40F5" w:rsidRDefault="00116B08" w:rsidP="00116B08">
      <w:pPr>
        <w:rPr>
          <w:rFonts w:ascii="Arial" w:hAnsi="Arial" w:cs="Arial"/>
        </w:rPr>
      </w:pPr>
      <w:r w:rsidRPr="003B40F5">
        <w:rPr>
          <w:rFonts w:ascii="Arial" w:hAnsi="Arial" w:cs="Arial"/>
        </w:rPr>
        <w:t xml:space="preserve">In addition to the initial flood-zone determination, which is used for underwriting, Lenders must also obtain from their flood-zone determination firm “life-of-loan” monitoring and coverage, which means that the monitoring company will notify the Lender if and when flood insurance is required for a monitored </w:t>
      </w:r>
      <w:r w:rsidR="0069363B" w:rsidRPr="003B40F5">
        <w:rPr>
          <w:rFonts w:ascii="Arial" w:hAnsi="Arial" w:cs="Arial"/>
        </w:rPr>
        <w:t>P</w:t>
      </w:r>
      <w:r w:rsidRPr="003B40F5">
        <w:rPr>
          <w:rFonts w:ascii="Arial" w:hAnsi="Arial" w:cs="Arial"/>
        </w:rPr>
        <w:t xml:space="preserve">roperty.  This is required for every Mortgage Loan in the Section 232 Program, regardless of the initial determination, because conditions and the status of a zone may change over time.  The Lender must ensure that the monitoring company it selects agrees to continue monitoring for all of the covered Properties in the event that the Lender sells or otherwise transfers its servicing rights to another Mortgage Loan servicer.  Typically, the monitoring company will indicate “life of loan” coverage on the SFHDF form.  </w:t>
      </w:r>
    </w:p>
    <w:p w14:paraId="68A56D84" w14:textId="77777777" w:rsidR="00116B08" w:rsidRPr="003B40F5" w:rsidRDefault="00116B08" w:rsidP="00116B08">
      <w:pPr>
        <w:rPr>
          <w:rFonts w:ascii="Arial" w:hAnsi="Arial" w:cs="Arial"/>
        </w:rPr>
      </w:pPr>
    </w:p>
    <w:p w14:paraId="2D6755C5" w14:textId="223DDA33" w:rsidR="00116B08" w:rsidRPr="003B40F5" w:rsidRDefault="00116B08" w:rsidP="00116B08">
      <w:pPr>
        <w:rPr>
          <w:rFonts w:ascii="Arial" w:hAnsi="Arial" w:cs="Arial"/>
        </w:rPr>
      </w:pPr>
      <w:r w:rsidRPr="003B40F5">
        <w:rPr>
          <w:rFonts w:ascii="Arial" w:hAnsi="Arial" w:cs="Arial"/>
        </w:rPr>
        <w:t xml:space="preserve">The continuation of this “life-of-loan” monitoring and coverage also becomes a loan servicing requirement which continues during the entire life of the mortgage and survives a change in Loan Servicer. </w:t>
      </w:r>
      <w:r w:rsidR="00FF67F4" w:rsidRPr="003B40F5">
        <w:rPr>
          <w:rFonts w:ascii="Arial" w:hAnsi="Arial" w:cs="Arial"/>
        </w:rPr>
        <w:t xml:space="preserve"> </w:t>
      </w:r>
      <w:r w:rsidRPr="003B40F5">
        <w:rPr>
          <w:rFonts w:ascii="Arial" w:hAnsi="Arial" w:cs="Arial"/>
        </w:rPr>
        <w:t xml:space="preserve">Should the flood-zone status change during the life of the Mortgage, Lenders are required to evaluate the flood insurance requirement as a result of the change and enforce the requirements for flood insurance, if applicable, due to the new information.  </w:t>
      </w:r>
    </w:p>
    <w:p w14:paraId="705220DC" w14:textId="77777777" w:rsidR="00116B08" w:rsidRPr="003B40F5" w:rsidRDefault="00116B08" w:rsidP="00116B08">
      <w:pPr>
        <w:rPr>
          <w:rFonts w:ascii="Arial" w:hAnsi="Arial" w:cs="Arial"/>
        </w:rPr>
      </w:pPr>
    </w:p>
    <w:p w14:paraId="19C37DE7" w14:textId="4A803469" w:rsidR="00116B08" w:rsidRPr="003B40F5" w:rsidRDefault="00116B08" w:rsidP="00116B08">
      <w:pPr>
        <w:rPr>
          <w:rFonts w:ascii="Arial" w:hAnsi="Arial" w:cs="Arial"/>
        </w:rPr>
      </w:pPr>
      <w:r w:rsidRPr="003B40F5">
        <w:rPr>
          <w:rFonts w:ascii="Arial" w:hAnsi="Arial" w:cs="Arial"/>
        </w:rPr>
        <w:t>These requirements are covered under the Lender’s Certification for Insurance Coverage</w:t>
      </w:r>
      <w:r w:rsidR="00CB384B" w:rsidRPr="003B40F5">
        <w:rPr>
          <w:rFonts w:ascii="Arial" w:hAnsi="Arial" w:cs="Arial"/>
        </w:rPr>
        <w:t xml:space="preserve"> (Form HUD-92435-ORCF) (</w:t>
      </w:r>
      <w:hyperlink r:id="rId17" w:history="1">
        <w:r w:rsidR="00CB384B" w:rsidRPr="003B40F5">
          <w:rPr>
            <w:rStyle w:val="Hyperlink"/>
            <w:rFonts w:ascii="Arial" w:hAnsi="Arial" w:cs="Arial"/>
          </w:rPr>
          <w:t>here</w:t>
        </w:r>
      </w:hyperlink>
      <w:r w:rsidR="00CB384B" w:rsidRPr="003B40F5">
        <w:rPr>
          <w:rFonts w:ascii="Arial" w:hAnsi="Arial" w:cs="Arial"/>
        </w:rPr>
        <w:t>)</w:t>
      </w:r>
      <w:r w:rsidRPr="003B40F5">
        <w:rPr>
          <w:rFonts w:ascii="Arial" w:hAnsi="Arial" w:cs="Arial"/>
          <w:color w:val="0000FF"/>
        </w:rPr>
        <w:t>.</w:t>
      </w:r>
      <w:r w:rsidRPr="003B40F5">
        <w:rPr>
          <w:rFonts w:ascii="Arial" w:hAnsi="Arial" w:cs="Arial"/>
        </w:rPr>
        <w:t xml:space="preserve">  For more information, see </w:t>
      </w:r>
      <w:hyperlink r:id="rId18" w:history="1">
        <w:r w:rsidRPr="003B40F5">
          <w:rPr>
            <w:rStyle w:val="Hyperlink"/>
            <w:rFonts w:ascii="Arial" w:hAnsi="Arial" w:cs="Arial"/>
            <w:color w:val="auto"/>
            <w:u w:val="none"/>
          </w:rPr>
          <w:t>ORCF’s Handbook 4232.1</w:t>
        </w:r>
      </w:hyperlink>
      <w:r w:rsidRPr="003B40F5">
        <w:rPr>
          <w:rFonts w:ascii="Arial" w:hAnsi="Arial" w:cs="Arial"/>
        </w:rPr>
        <w:t>, Section II, Chapter 14.7.H</w:t>
      </w:r>
      <w:r w:rsidR="00CB384B" w:rsidRPr="003B40F5">
        <w:rPr>
          <w:rFonts w:ascii="Arial" w:hAnsi="Arial" w:cs="Arial"/>
        </w:rPr>
        <w:t xml:space="preserve"> (</w:t>
      </w:r>
      <w:hyperlink r:id="rId19" w:history="1">
        <w:r w:rsidR="00CB384B" w:rsidRPr="003B40F5">
          <w:rPr>
            <w:rStyle w:val="Hyperlink"/>
            <w:rFonts w:ascii="Arial" w:hAnsi="Arial" w:cs="Arial"/>
          </w:rPr>
          <w:t>here</w:t>
        </w:r>
      </w:hyperlink>
      <w:r w:rsidR="00CB384B" w:rsidRPr="003B40F5">
        <w:rPr>
          <w:rFonts w:ascii="Arial" w:hAnsi="Arial" w:cs="Arial"/>
        </w:rPr>
        <w:t>)</w:t>
      </w:r>
      <w:r w:rsidRPr="003B40F5">
        <w:rPr>
          <w:rFonts w:ascii="Arial" w:hAnsi="Arial" w:cs="Arial"/>
        </w:rPr>
        <w:t>.</w:t>
      </w:r>
    </w:p>
    <w:p w14:paraId="7BC1C2A2" w14:textId="77777777" w:rsidR="00116B08" w:rsidRPr="006849E7" w:rsidRDefault="00116B08" w:rsidP="00116B08">
      <w:pPr>
        <w:rPr>
          <w:rFonts w:ascii="Arial" w:hAnsi="Arial" w:cs="Arial"/>
        </w:rPr>
      </w:pPr>
    </w:p>
    <w:p w14:paraId="5354B823" w14:textId="77777777" w:rsidR="00116B08" w:rsidRPr="006849E7" w:rsidRDefault="00116B08" w:rsidP="00116B08">
      <w:pPr>
        <w:rPr>
          <w:rFonts w:ascii="Arial" w:hAnsi="Arial" w:cs="Arial"/>
          <w:i/>
          <w:iCs/>
        </w:rPr>
      </w:pPr>
      <w:r w:rsidRPr="006849E7">
        <w:rPr>
          <w:rFonts w:ascii="Arial" w:hAnsi="Arial" w:cs="Arial"/>
          <w:b/>
          <w:bCs/>
          <w:i/>
          <w:iCs/>
        </w:rPr>
        <w:t>Keywords:</w:t>
      </w:r>
      <w:r w:rsidRPr="006849E7">
        <w:rPr>
          <w:rFonts w:ascii="Arial" w:hAnsi="Arial" w:cs="Arial"/>
        </w:rPr>
        <w:t xml:space="preserve"> </w:t>
      </w:r>
      <w:r w:rsidRPr="006849E7">
        <w:rPr>
          <w:rFonts w:ascii="Arial" w:hAnsi="Arial" w:cs="Arial"/>
          <w:i/>
          <w:iCs/>
        </w:rPr>
        <w:t>Floodplain, Insurance, Environmental</w:t>
      </w:r>
    </w:p>
    <w:p w14:paraId="6BB8A8E4" w14:textId="77777777" w:rsidR="00116B08" w:rsidRPr="00951C81" w:rsidRDefault="00116B08" w:rsidP="00116B08">
      <w:pPr>
        <w:pStyle w:val="ListParagraph"/>
        <w:ind w:left="0"/>
        <w:rPr>
          <w:rFonts w:ascii="Arial" w:hAnsi="Arial" w:cs="Arial"/>
          <w:i/>
          <w:iCs/>
          <w:color w:val="000000"/>
        </w:rPr>
      </w:pPr>
    </w:p>
    <w:p w14:paraId="26342FF6" w14:textId="77777777" w:rsidR="00116B08" w:rsidRPr="001F5102" w:rsidRDefault="001302D2" w:rsidP="00116B08">
      <w:pPr>
        <w:rPr>
          <w:rFonts w:ascii="Arial" w:hAnsi="Arial" w:cs="Arial"/>
          <w:b/>
          <w:color w:val="365F91" w:themeColor="accent1" w:themeShade="BF"/>
          <w:szCs w:val="24"/>
        </w:rPr>
      </w:pPr>
      <w:hyperlink w:anchor="_top" w:history="1">
        <w:r w:rsidR="00116B08" w:rsidRPr="001F5102">
          <w:rPr>
            <w:rFonts w:ascii="Arial" w:hAnsi="Arial" w:cs="Arial"/>
            <w:color w:val="365F91" w:themeColor="accent1" w:themeShade="BF"/>
            <w:szCs w:val="24"/>
            <w:u w:val="single"/>
          </w:rPr>
          <w:t>Back to top</w:t>
        </w:r>
      </w:hyperlink>
    </w:p>
    <w:p w14:paraId="1206288D" w14:textId="77777777" w:rsidR="00116B08" w:rsidRPr="001F5102" w:rsidRDefault="00116B08" w:rsidP="00863472">
      <w:pPr>
        <w:rPr>
          <w:rFonts w:ascii="Arial" w:hAnsi="Arial" w:cs="Arial"/>
          <w:iCs/>
        </w:rPr>
      </w:pPr>
    </w:p>
    <w:p w14:paraId="0C816998" w14:textId="1EB4DF32" w:rsidR="00A810AB" w:rsidRPr="00A810AB" w:rsidRDefault="00A810AB" w:rsidP="001A4170">
      <w:pPr>
        <w:pStyle w:val="EmailBlast"/>
      </w:pPr>
      <w:bookmarkStart w:id="9" w:name="_Toc69827038"/>
      <w:bookmarkStart w:id="10" w:name="_Toc39074173"/>
      <w:r w:rsidRPr="00A810AB">
        <w:t xml:space="preserve">Addressing Risks </w:t>
      </w:r>
      <w:r w:rsidR="00A216B5">
        <w:t>I</w:t>
      </w:r>
      <w:r w:rsidRPr="00A810AB">
        <w:t xml:space="preserve">dentified in the </w:t>
      </w:r>
      <w:r w:rsidR="00A216B5">
        <w:t>L</w:t>
      </w:r>
      <w:r w:rsidRPr="00A810AB">
        <w:t xml:space="preserve">ender </w:t>
      </w:r>
      <w:r w:rsidR="00A216B5">
        <w:t>R</w:t>
      </w:r>
      <w:r w:rsidRPr="00A810AB">
        <w:t xml:space="preserve">isk </w:t>
      </w:r>
      <w:r w:rsidR="00A216B5">
        <w:t>S</w:t>
      </w:r>
      <w:r w:rsidRPr="00A810AB">
        <w:t xml:space="preserve">urveillance </w:t>
      </w:r>
      <w:r w:rsidR="00A216B5">
        <w:t>D</w:t>
      </w:r>
      <w:r w:rsidRPr="00A810AB">
        <w:t>ashboard (RSD)</w:t>
      </w:r>
      <w:bookmarkEnd w:id="9"/>
    </w:p>
    <w:bookmarkEnd w:id="10"/>
    <w:p w14:paraId="5BBCB14D" w14:textId="17BD5926" w:rsidR="00A810AB" w:rsidRPr="00A810AB" w:rsidRDefault="00A810AB" w:rsidP="00A810AB">
      <w:pPr>
        <w:rPr>
          <w:rFonts w:ascii="Arial" w:hAnsi="Arial" w:cs="Arial"/>
        </w:rPr>
      </w:pPr>
      <w:r w:rsidRPr="00A810AB">
        <w:rPr>
          <w:rFonts w:ascii="Arial" w:hAnsi="Arial" w:cs="Arial"/>
        </w:rPr>
        <w:t xml:space="preserve">Since launching ORCF’s new Risk Monitoring Routine in September 2020, one recuring issue has been how to deal with risks that have been “resolved” once missing quarters of Operator financials have been submitted.  ORCF stresses the need for ensuring project participants </w:t>
      </w:r>
      <w:r w:rsidR="005736BF">
        <w:rPr>
          <w:rFonts w:ascii="Arial" w:hAnsi="Arial" w:cs="Arial"/>
        </w:rPr>
        <w:t>to honor</w:t>
      </w:r>
      <w:r w:rsidR="0069363B">
        <w:rPr>
          <w:rFonts w:ascii="Arial" w:hAnsi="Arial" w:cs="Arial"/>
        </w:rPr>
        <w:t xml:space="preserve"> </w:t>
      </w:r>
      <w:r w:rsidRPr="00A810AB">
        <w:rPr>
          <w:rFonts w:ascii="Arial" w:hAnsi="Arial" w:cs="Arial"/>
        </w:rPr>
        <w:t>the</w:t>
      </w:r>
      <w:r w:rsidR="001F7B60">
        <w:rPr>
          <w:rFonts w:ascii="Arial" w:hAnsi="Arial" w:cs="Arial"/>
        </w:rPr>
        <w:t>ir regulatory agreement</w:t>
      </w:r>
      <w:r w:rsidRPr="00A810AB">
        <w:rPr>
          <w:rFonts w:ascii="Arial" w:hAnsi="Arial" w:cs="Arial"/>
        </w:rPr>
        <w:t xml:space="preserve"> obligations</w:t>
      </w:r>
      <w:r w:rsidR="001F7B60">
        <w:rPr>
          <w:rFonts w:ascii="Arial" w:hAnsi="Arial" w:cs="Arial"/>
        </w:rPr>
        <w:t>.</w:t>
      </w:r>
    </w:p>
    <w:p w14:paraId="70EAC2F1" w14:textId="77777777" w:rsidR="00A810AB" w:rsidRPr="00A810AB" w:rsidRDefault="00A810AB" w:rsidP="00A810AB">
      <w:pPr>
        <w:rPr>
          <w:rFonts w:ascii="Arial" w:hAnsi="Arial" w:cs="Arial"/>
        </w:rPr>
      </w:pPr>
    </w:p>
    <w:p w14:paraId="79458DEF" w14:textId="67EBDCA3" w:rsidR="00A810AB" w:rsidRPr="00A810AB" w:rsidRDefault="00A810AB" w:rsidP="00A810AB">
      <w:pPr>
        <w:rPr>
          <w:rFonts w:ascii="Arial" w:hAnsi="Arial" w:cs="Arial"/>
        </w:rPr>
      </w:pPr>
      <w:r w:rsidRPr="00A810AB">
        <w:rPr>
          <w:rFonts w:ascii="Arial" w:hAnsi="Arial" w:cs="Arial"/>
        </w:rPr>
        <w:t xml:space="preserve">To streamline the process for addressing risk, </w:t>
      </w:r>
      <w:proofErr w:type="spellStart"/>
      <w:r w:rsidRPr="00A810AB">
        <w:rPr>
          <w:rFonts w:ascii="Arial" w:hAnsi="Arial" w:cs="Arial"/>
        </w:rPr>
        <w:t>ORCF</w:t>
      </w:r>
      <w:proofErr w:type="spellEnd"/>
      <w:r w:rsidRPr="00A810AB">
        <w:rPr>
          <w:rFonts w:ascii="Arial" w:hAnsi="Arial" w:cs="Arial"/>
        </w:rPr>
        <w:t xml:space="preserve"> Asset Management </w:t>
      </w:r>
      <w:r w:rsidR="0069363B">
        <w:rPr>
          <w:rFonts w:ascii="Arial" w:hAnsi="Arial" w:cs="Arial"/>
        </w:rPr>
        <w:t>expects the</w:t>
      </w:r>
      <w:r w:rsidRPr="00A810AB">
        <w:rPr>
          <w:rFonts w:ascii="Arial" w:hAnsi="Arial" w:cs="Arial"/>
        </w:rPr>
        <w:t xml:space="preserve"> Lender to take </w:t>
      </w:r>
      <w:r w:rsidRPr="00A810AB">
        <w:rPr>
          <w:rFonts w:ascii="Arial" w:hAnsi="Arial" w:cs="Arial"/>
          <w:b/>
          <w:bCs/>
          <w:u w:val="single"/>
        </w:rPr>
        <w:t>one</w:t>
      </w:r>
      <w:r w:rsidRPr="00A810AB">
        <w:rPr>
          <w:rFonts w:ascii="Arial" w:hAnsi="Arial" w:cs="Arial"/>
        </w:rPr>
        <w:t xml:space="preserve"> of </w:t>
      </w:r>
      <w:r w:rsidRPr="00A810AB">
        <w:rPr>
          <w:rFonts w:ascii="Arial" w:hAnsi="Arial" w:cs="Arial"/>
          <w:b/>
          <w:bCs/>
          <w:u w:val="single"/>
        </w:rPr>
        <w:t>three</w:t>
      </w:r>
      <w:r w:rsidRPr="00A810AB">
        <w:rPr>
          <w:rFonts w:ascii="Arial" w:hAnsi="Arial" w:cs="Arial"/>
        </w:rPr>
        <w:t xml:space="preserve"> of the following actions for every risk noted on the Lender RSD:</w:t>
      </w:r>
    </w:p>
    <w:p w14:paraId="7C6309B9" w14:textId="77777777" w:rsidR="00A810AB" w:rsidRPr="00A810AB" w:rsidRDefault="00A810AB" w:rsidP="00A810AB">
      <w:pPr>
        <w:rPr>
          <w:rFonts w:ascii="Arial" w:hAnsi="Arial" w:cs="Arial"/>
        </w:rPr>
      </w:pPr>
    </w:p>
    <w:p w14:paraId="7E7900CE" w14:textId="77777777" w:rsidR="00A810AB" w:rsidRPr="00A810AB" w:rsidRDefault="00A810AB" w:rsidP="00A810AB">
      <w:pPr>
        <w:numPr>
          <w:ilvl w:val="0"/>
          <w:numId w:val="34"/>
        </w:numPr>
        <w:contextualSpacing/>
        <w:rPr>
          <w:rFonts w:ascii="Arial" w:hAnsi="Arial" w:cs="Arial"/>
        </w:rPr>
      </w:pPr>
      <w:r w:rsidRPr="00A810AB">
        <w:rPr>
          <w:rFonts w:ascii="Arial" w:hAnsi="Arial" w:cs="Arial"/>
          <w:b/>
          <w:bCs/>
        </w:rPr>
        <w:t xml:space="preserve">Erroneous risk:  </w:t>
      </w:r>
      <w:r w:rsidRPr="00A810AB">
        <w:rPr>
          <w:rFonts w:ascii="Arial" w:hAnsi="Arial" w:cs="Arial"/>
        </w:rPr>
        <w:t>There may be instances where the Lender RSD identifies erroneous risk.  For example, a backlog in uploading financials led to late submission of financials, which was due to the Lender’s inaction rather than an operational risk.  Another instance might be that the Lender RSD data identifies the incorrect CMS Star rating.  In these instances, Lenders should respond with an email to the Account Executive explaining that the RSD risk is an error (providing evidence of error when warranted) and confirm there is no risk.</w:t>
      </w:r>
    </w:p>
    <w:p w14:paraId="0320CFC2" w14:textId="77777777" w:rsidR="00A810AB" w:rsidRPr="00A810AB" w:rsidRDefault="00A810AB" w:rsidP="00A810AB">
      <w:pPr>
        <w:ind w:left="495"/>
        <w:rPr>
          <w:rFonts w:ascii="Arial" w:hAnsi="Arial" w:cs="Arial"/>
        </w:rPr>
      </w:pPr>
    </w:p>
    <w:p w14:paraId="1CCEEEC4" w14:textId="77777777" w:rsidR="00A810AB" w:rsidRPr="00A810AB" w:rsidRDefault="00A810AB" w:rsidP="00A810AB">
      <w:pPr>
        <w:numPr>
          <w:ilvl w:val="0"/>
          <w:numId w:val="34"/>
        </w:numPr>
        <w:contextualSpacing/>
        <w:rPr>
          <w:rFonts w:ascii="Arial" w:hAnsi="Arial" w:cs="Arial"/>
        </w:rPr>
      </w:pPr>
      <w:r w:rsidRPr="00A810AB">
        <w:rPr>
          <w:rFonts w:ascii="Arial" w:hAnsi="Arial" w:cs="Arial"/>
          <w:b/>
          <w:bCs/>
        </w:rPr>
        <w:t>Valid risk that has been mitigated:</w:t>
      </w:r>
      <w:r w:rsidRPr="00A810AB">
        <w:rPr>
          <w:rFonts w:ascii="Arial" w:hAnsi="Arial" w:cs="Arial"/>
        </w:rPr>
        <w:t xml:space="preserve">  The Lender RSD may identify risks that have already been mitigated.  For example, a project with a CMS 1-Star Rating has recently been upgraded to a 2-Star Rating, or missing financials that were late due to Operator non-compliance have now been submitted.  In these instances, ORCF will require the completion of Form HUD-93334-ORCF to document that the risk was present.  However, assuming that no other risks are present, an Action Plan would </w:t>
      </w:r>
      <w:r w:rsidRPr="00A810AB">
        <w:rPr>
          <w:rFonts w:ascii="Arial" w:hAnsi="Arial" w:cs="Arial"/>
          <w:u w:val="single"/>
        </w:rPr>
        <w:t>not</w:t>
      </w:r>
      <w:r w:rsidRPr="00A810AB">
        <w:rPr>
          <w:rFonts w:ascii="Arial" w:hAnsi="Arial" w:cs="Arial"/>
        </w:rPr>
        <w:t xml:space="preserve"> be required since the risk has been mitigated.  The Lender will submit the HUD-93334-ORCF through the Portal.</w:t>
      </w:r>
    </w:p>
    <w:p w14:paraId="49AA8BE7" w14:textId="77777777" w:rsidR="00A810AB" w:rsidRPr="00A810AB" w:rsidRDefault="00A810AB" w:rsidP="00A810AB">
      <w:pPr>
        <w:ind w:left="720"/>
        <w:contextualSpacing/>
        <w:rPr>
          <w:rFonts w:ascii="Arial" w:hAnsi="Arial" w:cs="Arial"/>
        </w:rPr>
      </w:pPr>
    </w:p>
    <w:p w14:paraId="2EC5FE53" w14:textId="3E1D31ED" w:rsidR="00A810AB" w:rsidRPr="00A810AB" w:rsidRDefault="00A810AB" w:rsidP="00A810AB">
      <w:pPr>
        <w:numPr>
          <w:ilvl w:val="0"/>
          <w:numId w:val="34"/>
        </w:numPr>
        <w:contextualSpacing/>
        <w:rPr>
          <w:rFonts w:ascii="Arial" w:hAnsi="Arial" w:cs="Arial"/>
        </w:rPr>
      </w:pPr>
      <w:r w:rsidRPr="00A810AB">
        <w:rPr>
          <w:rFonts w:ascii="Arial" w:hAnsi="Arial" w:cs="Arial"/>
          <w:b/>
          <w:bCs/>
        </w:rPr>
        <w:t>Valid risk that remains:</w:t>
      </w:r>
      <w:r w:rsidRPr="00A810AB">
        <w:rPr>
          <w:rFonts w:ascii="Arial" w:hAnsi="Arial" w:cs="Arial"/>
        </w:rPr>
        <w:t xml:space="preserve">  When the Lender verifies the RSD risk remains, appropriate action is required and both a HUD-93334 or 93335-ORCF and </w:t>
      </w:r>
      <w:r w:rsidR="00942343">
        <w:rPr>
          <w:rFonts w:ascii="Arial" w:hAnsi="Arial" w:cs="Arial"/>
        </w:rPr>
        <w:t xml:space="preserve">an </w:t>
      </w:r>
      <w:r w:rsidRPr="00A810AB">
        <w:rPr>
          <w:rFonts w:ascii="Arial" w:hAnsi="Arial" w:cs="Arial"/>
        </w:rPr>
        <w:lastRenderedPageBreak/>
        <w:t xml:space="preserve">Action Plan are required.  For example, if the project exhibits two or more consecutive quarters of DSCR below 1.0, an overall CMS 1-Star Rating or multiple missing quarters of operator financials and the Operator remains unresponsive, then the Lender should submit the 93334 to document the risk(s) and an Action Plan developed by the Borrower or Operator outlining steps needed to mitigate the risk. </w:t>
      </w:r>
    </w:p>
    <w:p w14:paraId="7CBA9515" w14:textId="77777777" w:rsidR="00A810AB" w:rsidRPr="00A810AB" w:rsidRDefault="00A810AB" w:rsidP="00A810AB">
      <w:pPr>
        <w:ind w:left="720"/>
        <w:contextualSpacing/>
        <w:rPr>
          <w:rFonts w:ascii="Arial" w:hAnsi="Arial" w:cs="Arial"/>
        </w:rPr>
      </w:pPr>
    </w:p>
    <w:p w14:paraId="1CF64C27" w14:textId="77777777" w:rsidR="00A810AB" w:rsidRPr="00A810AB" w:rsidRDefault="00A810AB" w:rsidP="00A810AB">
      <w:pPr>
        <w:rPr>
          <w:rFonts w:ascii="Arial" w:hAnsi="Arial" w:cs="Arial"/>
          <w:i/>
          <w:iCs/>
          <w:szCs w:val="24"/>
        </w:rPr>
      </w:pPr>
      <w:r w:rsidRPr="00A810AB">
        <w:rPr>
          <w:rFonts w:ascii="Arial" w:hAnsi="Arial" w:cs="Arial"/>
          <w:b/>
          <w:bCs/>
          <w:i/>
          <w:iCs/>
          <w:szCs w:val="24"/>
        </w:rPr>
        <w:t>Keywords:</w:t>
      </w:r>
      <w:r w:rsidRPr="00A810AB">
        <w:rPr>
          <w:rFonts w:ascii="Arial" w:hAnsi="Arial" w:cs="Arial"/>
          <w:i/>
          <w:iCs/>
          <w:szCs w:val="24"/>
        </w:rPr>
        <w:t xml:space="preserve"> Risk Notification, Action Plans, Risk Surveillance Dashboard</w:t>
      </w:r>
    </w:p>
    <w:p w14:paraId="1017345E" w14:textId="77777777" w:rsidR="00A810AB" w:rsidRDefault="00A810AB" w:rsidP="00F9728A">
      <w:pPr>
        <w:rPr>
          <w:rFonts w:ascii="Arial" w:eastAsia="MS Mincho" w:hAnsi="Arial" w:cs="Arial"/>
          <w:b/>
          <w:szCs w:val="24"/>
        </w:rPr>
      </w:pPr>
    </w:p>
    <w:p w14:paraId="4D24F4B0" w14:textId="77777777" w:rsidR="00F9728A" w:rsidRPr="001F5102" w:rsidRDefault="001302D2" w:rsidP="00F9728A">
      <w:pPr>
        <w:rPr>
          <w:rFonts w:ascii="Arial" w:hAnsi="Arial" w:cs="Arial"/>
          <w:b/>
          <w:color w:val="365F91" w:themeColor="accent1" w:themeShade="BF"/>
          <w:szCs w:val="24"/>
        </w:rPr>
      </w:pPr>
      <w:hyperlink w:anchor="_top" w:history="1">
        <w:r w:rsidR="00F9728A" w:rsidRPr="001F5102">
          <w:rPr>
            <w:rFonts w:ascii="Arial" w:hAnsi="Arial" w:cs="Arial"/>
            <w:color w:val="365F91" w:themeColor="accent1" w:themeShade="BF"/>
            <w:szCs w:val="24"/>
            <w:u w:val="single"/>
          </w:rPr>
          <w:t>Back to top</w:t>
        </w:r>
      </w:hyperlink>
    </w:p>
    <w:p w14:paraId="5A625462" w14:textId="1154FE08" w:rsidR="000112A7" w:rsidRDefault="000112A7" w:rsidP="00863472">
      <w:pPr>
        <w:rPr>
          <w:rFonts w:ascii="Arial" w:hAnsi="Arial" w:cs="Arial"/>
          <w:iCs/>
        </w:rPr>
      </w:pPr>
    </w:p>
    <w:p w14:paraId="74821723" w14:textId="206873CE" w:rsidR="005E7D86" w:rsidRPr="005E7D86" w:rsidRDefault="005E7D86" w:rsidP="001A4170">
      <w:pPr>
        <w:pStyle w:val="EmailBlast"/>
      </w:pPr>
      <w:bookmarkStart w:id="11" w:name="_Toc380585836"/>
      <w:bookmarkStart w:id="12" w:name="_Toc69827039"/>
      <w:bookmarkEnd w:id="11"/>
      <w:r w:rsidRPr="005E7D86">
        <w:t>The Lender’s Third-Party Project Capital Needs Assessment (PCNA)</w:t>
      </w:r>
      <w:bookmarkEnd w:id="12"/>
    </w:p>
    <w:p w14:paraId="50804805" w14:textId="4FA0D03F" w:rsidR="005E7D86" w:rsidRPr="005E7D86" w:rsidRDefault="005E7D86" w:rsidP="005E7D86">
      <w:pPr>
        <w:rPr>
          <w:rFonts w:ascii="Arial" w:hAnsi="Arial" w:cs="Arial"/>
        </w:rPr>
      </w:pPr>
      <w:r w:rsidRPr="005E7D86">
        <w:rPr>
          <w:rFonts w:ascii="Arial" w:hAnsi="Arial" w:cs="Arial"/>
        </w:rPr>
        <w:t xml:space="preserve">A PCNA report identifies and estimates the cost of critical and noncritical repairs and replacement needs over time of various building systems. The PCNA’s Reserve for Replacement </w:t>
      </w:r>
      <w:r w:rsidR="001F7B60">
        <w:rPr>
          <w:rFonts w:ascii="Arial" w:hAnsi="Arial" w:cs="Arial"/>
        </w:rPr>
        <w:t>(R</w:t>
      </w:r>
      <w:r w:rsidR="00505D9C">
        <w:rPr>
          <w:rFonts w:ascii="Arial" w:hAnsi="Arial" w:cs="Arial"/>
        </w:rPr>
        <w:t>4</w:t>
      </w:r>
      <w:r w:rsidR="001F7B60">
        <w:rPr>
          <w:rFonts w:ascii="Arial" w:hAnsi="Arial" w:cs="Arial"/>
        </w:rPr>
        <w:t xml:space="preserve">R) </w:t>
      </w:r>
      <w:r w:rsidRPr="005E7D86">
        <w:rPr>
          <w:rFonts w:ascii="Arial" w:hAnsi="Arial" w:cs="Arial"/>
        </w:rPr>
        <w:t xml:space="preserve">schedule is an essential component of the PCNA that establishes positive capital reserves to cover major building components in years 1 through </w:t>
      </w:r>
      <w:r w:rsidR="001F7B60" w:rsidRPr="005E7D86">
        <w:rPr>
          <w:rFonts w:ascii="Arial" w:hAnsi="Arial" w:cs="Arial"/>
        </w:rPr>
        <w:t>15 and</w:t>
      </w:r>
      <w:r w:rsidRPr="005E7D86">
        <w:rPr>
          <w:rFonts w:ascii="Arial" w:hAnsi="Arial" w:cs="Arial"/>
        </w:rPr>
        <w:t xml:space="preserve"> is used to estimate the initial and annual RFR deposits.  ORCF Asset Management has noticed an increasing number of requests for modification and/or suspension of the R</w:t>
      </w:r>
      <w:r w:rsidR="00505D9C">
        <w:rPr>
          <w:rFonts w:ascii="Arial" w:hAnsi="Arial" w:cs="Arial"/>
        </w:rPr>
        <w:t>4</w:t>
      </w:r>
      <w:r w:rsidRPr="005E7D86">
        <w:rPr>
          <w:rFonts w:ascii="Arial" w:hAnsi="Arial" w:cs="Arial"/>
        </w:rPr>
        <w:t xml:space="preserve">R Account deposit, as well as requests for modification to the non-critical repair list, sometimes shortly after loan closing.  Additionally, in recent PCNAs, accessibility compliance questions have arisen on currently insured projects (including those considering refinance), questions that </w:t>
      </w:r>
      <w:r w:rsidR="0069363B">
        <w:rPr>
          <w:rFonts w:ascii="Arial" w:hAnsi="Arial" w:cs="Arial"/>
        </w:rPr>
        <w:t>were not</w:t>
      </w:r>
      <w:r w:rsidRPr="005E7D86">
        <w:rPr>
          <w:rFonts w:ascii="Arial" w:hAnsi="Arial" w:cs="Arial"/>
        </w:rPr>
        <w:t xml:space="preserve"> addressed by a prior PCNA. Failure to correctly identify repairs and the replacement needs in a PCNA can cause later financial hardship.  As such, Lenders are reminded of their responsibility to ensure compliance with ORCFs PCNA Statement of Work (SOW)</w:t>
      </w:r>
      <w:r w:rsidR="00942343">
        <w:rPr>
          <w:rFonts w:ascii="Arial" w:hAnsi="Arial" w:cs="Arial"/>
        </w:rPr>
        <w:t xml:space="preserve"> </w:t>
      </w:r>
      <w:r w:rsidR="00942343" w:rsidRPr="00C864EE">
        <w:rPr>
          <w:rFonts w:ascii="Arial" w:hAnsi="Arial" w:cs="Arial"/>
        </w:rPr>
        <w:t>(</w:t>
      </w:r>
      <w:r w:rsidR="00942343" w:rsidRPr="0069363B">
        <w:rPr>
          <w:rFonts w:ascii="Arial" w:hAnsi="Arial" w:cs="Arial"/>
        </w:rPr>
        <w:t>Please see Handbook 4232.1, Section</w:t>
      </w:r>
      <w:r w:rsidR="00CB384B">
        <w:rPr>
          <w:rFonts w:ascii="Arial" w:hAnsi="Arial" w:cs="Arial"/>
        </w:rPr>
        <w:t> </w:t>
      </w:r>
      <w:r w:rsidR="00942343" w:rsidRPr="0069363B">
        <w:rPr>
          <w:rFonts w:ascii="Arial" w:hAnsi="Arial" w:cs="Arial"/>
        </w:rPr>
        <w:t>II, Chapter 2.10)</w:t>
      </w:r>
      <w:r w:rsidRPr="0069363B">
        <w:rPr>
          <w:rFonts w:ascii="Arial" w:hAnsi="Arial" w:cs="Arial"/>
        </w:rPr>
        <w:t>.</w:t>
      </w:r>
    </w:p>
    <w:p w14:paraId="6457C0AE" w14:textId="77777777" w:rsidR="005E7D86" w:rsidRPr="005E7D86" w:rsidRDefault="005E7D86" w:rsidP="005E7D86">
      <w:pPr>
        <w:rPr>
          <w:rFonts w:ascii="Arial" w:hAnsi="Arial" w:cs="Arial"/>
        </w:rPr>
      </w:pPr>
    </w:p>
    <w:p w14:paraId="451CD896" w14:textId="3A3B96F3" w:rsidR="004B62C4" w:rsidRPr="00E0419E" w:rsidRDefault="005E7D86" w:rsidP="005E7D86">
      <w:pPr>
        <w:rPr>
          <w:rFonts w:ascii="Arial" w:hAnsi="Arial" w:cs="Arial"/>
          <w:i/>
          <w:iCs/>
        </w:rPr>
      </w:pPr>
      <w:r w:rsidRPr="00E0419E">
        <w:rPr>
          <w:rFonts w:ascii="Arial" w:hAnsi="Arial" w:cs="Arial"/>
          <w:b/>
          <w:bCs/>
          <w:i/>
          <w:iCs/>
        </w:rPr>
        <w:t>Keywords:</w:t>
      </w:r>
      <w:r w:rsidRPr="00E0419E">
        <w:rPr>
          <w:rFonts w:ascii="Arial" w:hAnsi="Arial" w:cs="Arial"/>
          <w:i/>
          <w:iCs/>
        </w:rPr>
        <w:t xml:space="preserve"> </w:t>
      </w:r>
      <w:proofErr w:type="spellStart"/>
      <w:r w:rsidRPr="00E0419E">
        <w:rPr>
          <w:rFonts w:ascii="Arial" w:hAnsi="Arial" w:cs="Arial"/>
          <w:i/>
          <w:iCs/>
        </w:rPr>
        <w:t>PCNA</w:t>
      </w:r>
      <w:proofErr w:type="spellEnd"/>
      <w:r w:rsidR="006E0D19">
        <w:rPr>
          <w:rFonts w:ascii="Arial" w:hAnsi="Arial" w:cs="Arial"/>
          <w:i/>
          <w:iCs/>
        </w:rPr>
        <w:t xml:space="preserve"> SOW</w:t>
      </w:r>
      <w:r w:rsidRPr="00E0419E">
        <w:rPr>
          <w:rFonts w:ascii="Arial" w:hAnsi="Arial" w:cs="Arial"/>
          <w:i/>
          <w:iCs/>
        </w:rPr>
        <w:t>, Statement of Work (SOW), Reserve for Replacement, Non-Critical Repairs</w:t>
      </w:r>
    </w:p>
    <w:p w14:paraId="61047DC5" w14:textId="033566FA" w:rsidR="0084300D" w:rsidRDefault="0084300D" w:rsidP="0084300D">
      <w:pPr>
        <w:rPr>
          <w:rFonts w:ascii="Arial" w:hAnsi="Arial" w:cs="Arial"/>
          <w:b/>
          <w:i/>
        </w:rPr>
      </w:pPr>
    </w:p>
    <w:p w14:paraId="38668F80" w14:textId="77777777" w:rsidR="00B7164F" w:rsidRPr="001F5102" w:rsidRDefault="001302D2"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1BD50F7B" w14:textId="5B1154E4" w:rsidR="0084300D" w:rsidRDefault="0084300D" w:rsidP="00997C33">
      <w:pPr>
        <w:rPr>
          <w:rFonts w:ascii="Arial" w:hAnsi="Arial" w:cs="Arial"/>
        </w:rPr>
      </w:pPr>
    </w:p>
    <w:p w14:paraId="6DE1F4BF" w14:textId="77777777" w:rsidR="00A216B5" w:rsidRPr="007131DC" w:rsidRDefault="00A216B5" w:rsidP="00A216B5">
      <w:pPr>
        <w:pStyle w:val="EmailBlast"/>
      </w:pPr>
      <w:bookmarkStart w:id="13" w:name="_Toc69827040"/>
      <w:r w:rsidRPr="007131DC">
        <w:t>M</w:t>
      </w:r>
      <w:r>
        <w:t>aster Lease</w:t>
      </w:r>
      <w:r w:rsidRPr="007131DC">
        <w:t xml:space="preserve"> R</w:t>
      </w:r>
      <w:r>
        <w:t>elease and Termination Process</w:t>
      </w:r>
      <w:bookmarkEnd w:id="13"/>
    </w:p>
    <w:p w14:paraId="10773BE0" w14:textId="20138B9F" w:rsidR="00A216B5" w:rsidRPr="003B40F5" w:rsidRDefault="00A216B5" w:rsidP="00A216B5">
      <w:pPr>
        <w:rPr>
          <w:rFonts w:ascii="Arial" w:hAnsi="Arial" w:cs="Arial"/>
        </w:rPr>
      </w:pPr>
      <w:r w:rsidRPr="003B40F5">
        <w:rPr>
          <w:rFonts w:ascii="Arial" w:hAnsi="Arial" w:cs="Arial"/>
        </w:rPr>
        <w:t>ORCF has posted an updated Prepayment and Requests for Insurance Termination Checklist (</w:t>
      </w:r>
      <w:hyperlink r:id="rId20" w:history="1">
        <w:r w:rsidRPr="003B40F5">
          <w:rPr>
            <w:rStyle w:val="Hyperlink"/>
            <w:rFonts w:ascii="Arial" w:hAnsi="Arial" w:cs="Arial"/>
          </w:rPr>
          <w:t>here</w:t>
        </w:r>
      </w:hyperlink>
      <w:r w:rsidRPr="003B40F5">
        <w:rPr>
          <w:rFonts w:ascii="Arial" w:hAnsi="Arial" w:cs="Arial"/>
        </w:rPr>
        <w:t>) and a new Master Lease Termination Checklist (</w:t>
      </w:r>
      <w:hyperlink r:id="rId21" w:history="1">
        <w:r w:rsidRPr="003B40F5">
          <w:rPr>
            <w:rStyle w:val="Hyperlink"/>
            <w:rFonts w:ascii="Arial" w:hAnsi="Arial" w:cs="Arial"/>
          </w:rPr>
          <w:t>here</w:t>
        </w:r>
      </w:hyperlink>
      <w:r w:rsidRPr="003B40F5">
        <w:rPr>
          <w:rFonts w:ascii="Arial" w:hAnsi="Arial" w:cs="Arial"/>
        </w:rPr>
        <w:t xml:space="preserve">).  The request to release a project from a Master Lease generally occurs in conjunction with a prepayment request.  The revised Prepayment and Requests for Insurance Termination Checklist now has two sections: Section I covers the documents associated with the prepayment and Section II covers the documents relating to a request to release a project from a master lease, due to prepayment.  Section II presumes that some of the projects subject to the Master Lease will remain FHA insured. If all projects on the Master Lease are </w:t>
      </w:r>
      <w:r w:rsidR="00335633" w:rsidRPr="003B40F5">
        <w:rPr>
          <w:rFonts w:ascii="Arial" w:hAnsi="Arial" w:cs="Arial"/>
        </w:rPr>
        <w:t xml:space="preserve">being </w:t>
      </w:r>
      <w:r w:rsidR="00942343" w:rsidRPr="003B40F5">
        <w:rPr>
          <w:rFonts w:ascii="Arial" w:hAnsi="Arial" w:cs="Arial"/>
        </w:rPr>
        <w:t>prepaid</w:t>
      </w:r>
      <w:r w:rsidRPr="003B40F5">
        <w:rPr>
          <w:rFonts w:ascii="Arial" w:hAnsi="Arial" w:cs="Arial"/>
        </w:rPr>
        <w:t>, the new Master Lease Termination Checklist need</w:t>
      </w:r>
      <w:r w:rsidR="00942343" w:rsidRPr="003B40F5">
        <w:rPr>
          <w:rFonts w:ascii="Arial" w:hAnsi="Arial" w:cs="Arial"/>
        </w:rPr>
        <w:t>s</w:t>
      </w:r>
      <w:r w:rsidRPr="003B40F5">
        <w:rPr>
          <w:rFonts w:ascii="Arial" w:hAnsi="Arial" w:cs="Arial"/>
        </w:rPr>
        <w:t xml:space="preserve"> to be submitted in lieu of the documents noted in Section II.  Both ORCF Asset Management and </w:t>
      </w:r>
      <w:r w:rsidR="005736BF" w:rsidRPr="003B40F5">
        <w:rPr>
          <w:rFonts w:ascii="Arial" w:hAnsi="Arial" w:cs="Arial"/>
        </w:rPr>
        <w:t>HUD’s Office of General Counsel</w:t>
      </w:r>
      <w:r w:rsidR="0069363B" w:rsidRPr="003B40F5">
        <w:rPr>
          <w:rFonts w:ascii="Arial" w:hAnsi="Arial" w:cs="Arial"/>
        </w:rPr>
        <w:t xml:space="preserve"> </w:t>
      </w:r>
      <w:r w:rsidR="00942343" w:rsidRPr="003B40F5">
        <w:rPr>
          <w:rFonts w:ascii="Arial" w:hAnsi="Arial" w:cs="Arial"/>
        </w:rPr>
        <w:t xml:space="preserve">field </w:t>
      </w:r>
      <w:proofErr w:type="spellStart"/>
      <w:r w:rsidR="00942343" w:rsidRPr="003B40F5">
        <w:rPr>
          <w:rFonts w:ascii="Arial" w:hAnsi="Arial" w:cs="Arial"/>
        </w:rPr>
        <w:t>counsel</w:t>
      </w:r>
      <w:proofErr w:type="spellEnd"/>
      <w:r w:rsidR="00942343" w:rsidRPr="003B40F5">
        <w:rPr>
          <w:rFonts w:ascii="Arial" w:hAnsi="Arial" w:cs="Arial"/>
        </w:rPr>
        <w:t xml:space="preserve"> </w:t>
      </w:r>
      <w:r w:rsidRPr="003B40F5">
        <w:rPr>
          <w:rFonts w:ascii="Arial" w:hAnsi="Arial" w:cs="Arial"/>
        </w:rPr>
        <w:t xml:space="preserve">will review all requests </w:t>
      </w:r>
      <w:r w:rsidRPr="003B40F5">
        <w:rPr>
          <w:rFonts w:ascii="Arial" w:hAnsi="Arial" w:cs="Arial"/>
        </w:rPr>
        <w:lastRenderedPageBreak/>
        <w:t xml:space="preserve">to release/terminate projects associated with a Master Lease.  All requests should be submitted using the 232 Portal.  </w:t>
      </w:r>
    </w:p>
    <w:p w14:paraId="4940B6D9" w14:textId="77777777" w:rsidR="00A216B5" w:rsidRPr="003B40F5" w:rsidRDefault="00A216B5" w:rsidP="00A216B5">
      <w:pPr>
        <w:rPr>
          <w:rFonts w:ascii="Arial" w:hAnsi="Arial" w:cs="Arial"/>
          <w:b/>
          <w:bCs/>
          <w:i/>
          <w:iCs/>
        </w:rPr>
      </w:pPr>
    </w:p>
    <w:p w14:paraId="52B37EB1" w14:textId="77777777" w:rsidR="00A216B5" w:rsidRPr="003B40F5" w:rsidRDefault="00A216B5" w:rsidP="00A216B5">
      <w:pPr>
        <w:rPr>
          <w:rFonts w:ascii="Arial" w:hAnsi="Arial" w:cs="Arial"/>
          <w:i/>
          <w:iCs/>
        </w:rPr>
      </w:pPr>
      <w:r w:rsidRPr="003B40F5">
        <w:rPr>
          <w:rFonts w:ascii="Arial" w:hAnsi="Arial" w:cs="Arial"/>
          <w:b/>
          <w:bCs/>
          <w:i/>
          <w:iCs/>
        </w:rPr>
        <w:t>Keywords:</w:t>
      </w:r>
      <w:r w:rsidRPr="003B40F5">
        <w:rPr>
          <w:rFonts w:ascii="Arial" w:hAnsi="Arial" w:cs="Arial"/>
          <w:i/>
          <w:iCs/>
        </w:rPr>
        <w:t xml:space="preserve"> Master Lease Release</w:t>
      </w:r>
    </w:p>
    <w:p w14:paraId="57E5806F" w14:textId="77777777" w:rsidR="00A216B5" w:rsidRPr="001F5102" w:rsidRDefault="00A216B5" w:rsidP="00A216B5">
      <w:pPr>
        <w:rPr>
          <w:rFonts w:ascii="Arial" w:eastAsia="MS Mincho" w:hAnsi="Arial" w:cs="Arial"/>
          <w:b/>
          <w:szCs w:val="24"/>
        </w:rPr>
      </w:pPr>
    </w:p>
    <w:p w14:paraId="1A7D0216" w14:textId="77777777" w:rsidR="00A216B5" w:rsidRPr="001F5102" w:rsidRDefault="001302D2" w:rsidP="00A216B5">
      <w:pPr>
        <w:rPr>
          <w:rFonts w:ascii="Arial" w:hAnsi="Arial" w:cs="Arial"/>
          <w:b/>
          <w:color w:val="365F91" w:themeColor="accent1" w:themeShade="BF"/>
          <w:szCs w:val="24"/>
        </w:rPr>
      </w:pPr>
      <w:hyperlink w:anchor="_top" w:history="1">
        <w:r w:rsidR="00A216B5" w:rsidRPr="001F5102">
          <w:rPr>
            <w:rFonts w:ascii="Arial" w:hAnsi="Arial" w:cs="Arial"/>
            <w:color w:val="365F91" w:themeColor="accent1" w:themeShade="BF"/>
            <w:szCs w:val="24"/>
            <w:u w:val="single"/>
          </w:rPr>
          <w:t>Back to top</w:t>
        </w:r>
      </w:hyperlink>
    </w:p>
    <w:p w14:paraId="42F28B97" w14:textId="77777777" w:rsidR="00A216B5" w:rsidRDefault="00A216B5" w:rsidP="00997C33">
      <w:pPr>
        <w:rPr>
          <w:rFonts w:ascii="Arial" w:hAnsi="Arial" w:cs="Arial"/>
        </w:rPr>
      </w:pPr>
    </w:p>
    <w:p w14:paraId="5678AE63" w14:textId="45F5CA04" w:rsidR="00A216B5" w:rsidRPr="00A810AB" w:rsidRDefault="00A216B5" w:rsidP="00A216B5">
      <w:pPr>
        <w:pStyle w:val="EmailBlast"/>
      </w:pPr>
      <w:bookmarkStart w:id="14" w:name="_Toc69827041"/>
      <w:r w:rsidRPr="000E2B3C">
        <w:t>REMINDER</w:t>
      </w:r>
      <w:r>
        <w:t xml:space="preserve"> -</w:t>
      </w:r>
      <w:r w:rsidRPr="000E2B3C">
        <w:t xml:space="preserve"> Lender Responsibili</w:t>
      </w:r>
      <w:r>
        <w:t>ty</w:t>
      </w:r>
      <w:r w:rsidRPr="000E2B3C">
        <w:t xml:space="preserve"> </w:t>
      </w:r>
      <w:r>
        <w:t xml:space="preserve">for </w:t>
      </w:r>
      <w:r w:rsidRPr="00545000">
        <w:t>Professional Liability Insurance (PLI)</w:t>
      </w:r>
      <w:r w:rsidRPr="000E2B3C">
        <w:t xml:space="preserve"> Insurance</w:t>
      </w:r>
      <w:r>
        <w:t xml:space="preserve"> Review</w:t>
      </w:r>
      <w:bookmarkEnd w:id="14"/>
    </w:p>
    <w:p w14:paraId="6EC700ED" w14:textId="7088D68D" w:rsidR="00A216B5" w:rsidRDefault="00A216B5" w:rsidP="00A216B5">
      <w:pPr>
        <w:rPr>
          <w:rFonts w:ascii="Arial" w:hAnsi="Arial" w:cs="Arial"/>
        </w:rPr>
      </w:pPr>
      <w:r w:rsidRPr="000E2B3C">
        <w:rPr>
          <w:rFonts w:ascii="Arial" w:hAnsi="Arial" w:cs="Arial"/>
        </w:rPr>
        <w:t xml:space="preserve">ORCF would like to remind Lenders about the importance of annual reviews of </w:t>
      </w:r>
      <w:bookmarkStart w:id="15" w:name="_Hlk68760146"/>
      <w:r w:rsidRPr="000E2B3C">
        <w:rPr>
          <w:rFonts w:ascii="Arial" w:hAnsi="Arial" w:cs="Arial"/>
        </w:rPr>
        <w:t xml:space="preserve">Professional Liability Insurance (PLI) </w:t>
      </w:r>
      <w:bookmarkEnd w:id="15"/>
      <w:r w:rsidRPr="000E2B3C">
        <w:rPr>
          <w:rFonts w:ascii="Arial" w:hAnsi="Arial" w:cs="Arial"/>
        </w:rPr>
        <w:t>coverage for the</w:t>
      </w:r>
      <w:r>
        <w:rPr>
          <w:rFonts w:ascii="Arial" w:hAnsi="Arial" w:cs="Arial"/>
        </w:rPr>
        <w:t>ir</w:t>
      </w:r>
      <w:r w:rsidRPr="000E2B3C">
        <w:rPr>
          <w:rFonts w:ascii="Arial" w:hAnsi="Arial" w:cs="Arial"/>
        </w:rPr>
        <w:t xml:space="preserve"> properties.  </w:t>
      </w:r>
      <w:r>
        <w:rPr>
          <w:rFonts w:ascii="Arial" w:hAnsi="Arial" w:cs="Arial"/>
        </w:rPr>
        <w:t>O</w:t>
      </w:r>
      <w:r w:rsidRPr="000E2B3C">
        <w:rPr>
          <w:rFonts w:ascii="Arial" w:hAnsi="Arial" w:cs="Arial"/>
        </w:rPr>
        <w:t xml:space="preserve">n an </w:t>
      </w:r>
      <w:r w:rsidRPr="000E2B3C">
        <w:rPr>
          <w:rFonts w:ascii="Arial" w:hAnsi="Arial" w:cs="Arial"/>
          <w:b/>
          <w:bCs/>
        </w:rPr>
        <w:t>annual basis</w:t>
      </w:r>
      <w:r w:rsidRPr="000E2B3C">
        <w:rPr>
          <w:rFonts w:ascii="Arial" w:hAnsi="Arial" w:cs="Arial"/>
        </w:rPr>
        <w:t>, the Mortgagee/Servicer must verify each Project has the required PLI coverage, as approved during the Project’s underwriting</w:t>
      </w:r>
      <w:r>
        <w:rPr>
          <w:rFonts w:ascii="Arial" w:hAnsi="Arial" w:cs="Arial"/>
        </w:rPr>
        <w:t xml:space="preserve"> (see </w:t>
      </w:r>
      <w:r w:rsidRPr="003858CE">
        <w:rPr>
          <w:rFonts w:ascii="Arial" w:hAnsi="Arial" w:cs="Arial"/>
          <w:i/>
          <w:iCs/>
        </w:rPr>
        <w:t>Handbook 4232.1</w:t>
      </w:r>
      <w:r w:rsidR="00E26CFC">
        <w:rPr>
          <w:rFonts w:ascii="Arial" w:hAnsi="Arial" w:cs="Arial"/>
          <w:i/>
          <w:iCs/>
        </w:rPr>
        <w:t>,</w:t>
      </w:r>
      <w:r w:rsidRPr="003858CE">
        <w:rPr>
          <w:rFonts w:ascii="Arial" w:hAnsi="Arial" w:cs="Arial"/>
          <w:i/>
          <w:iCs/>
        </w:rPr>
        <w:t xml:space="preserve"> Section III, Chapter 3.10.7</w:t>
      </w:r>
      <w:r w:rsidR="003B40F5">
        <w:rPr>
          <w:rFonts w:ascii="Arial" w:hAnsi="Arial" w:cs="Arial"/>
          <w:i/>
          <w:iCs/>
        </w:rPr>
        <w:t>,</w:t>
      </w:r>
      <w:r w:rsidRPr="003858CE">
        <w:rPr>
          <w:rFonts w:ascii="Arial" w:hAnsi="Arial" w:cs="Arial"/>
          <w:i/>
          <w:iCs/>
        </w:rPr>
        <w:t xml:space="preserve"> Professional Liability Insurance</w:t>
      </w:r>
      <w:r>
        <w:rPr>
          <w:rFonts w:ascii="Arial" w:hAnsi="Arial" w:cs="Arial"/>
        </w:rPr>
        <w:t>)</w:t>
      </w:r>
      <w:r w:rsidRPr="000E2B3C">
        <w:rPr>
          <w:rFonts w:ascii="Arial" w:hAnsi="Arial" w:cs="Arial"/>
        </w:rPr>
        <w:t xml:space="preserve">.  The review must be consistent with the underwriting review standards </w:t>
      </w:r>
      <w:r>
        <w:rPr>
          <w:rFonts w:ascii="Arial" w:hAnsi="Arial" w:cs="Arial"/>
        </w:rPr>
        <w:t xml:space="preserve">set forth </w:t>
      </w:r>
      <w:r w:rsidRPr="000E2B3C">
        <w:rPr>
          <w:rFonts w:ascii="Arial" w:hAnsi="Arial" w:cs="Arial"/>
        </w:rPr>
        <w:t>in the Handbook</w:t>
      </w:r>
      <w:r w:rsidR="00E26CFC">
        <w:rPr>
          <w:rFonts w:ascii="Arial" w:hAnsi="Arial" w:cs="Arial"/>
        </w:rPr>
        <w:t xml:space="preserve"> 4232.1</w:t>
      </w:r>
      <w:r w:rsidRPr="000E2B3C">
        <w:rPr>
          <w:rFonts w:ascii="Arial" w:hAnsi="Arial" w:cs="Arial"/>
        </w:rPr>
        <w:t>, Section II, Appendix 14.1.VII.D.</w:t>
      </w:r>
    </w:p>
    <w:p w14:paraId="637B72B1" w14:textId="77777777" w:rsidR="00A216B5" w:rsidRPr="000E2B3C" w:rsidRDefault="00A216B5" w:rsidP="00A216B5">
      <w:pPr>
        <w:rPr>
          <w:rFonts w:ascii="Arial" w:hAnsi="Arial" w:cs="Arial"/>
        </w:rPr>
      </w:pPr>
    </w:p>
    <w:p w14:paraId="11EBCE0A" w14:textId="77777777" w:rsidR="00A216B5" w:rsidRDefault="00A216B5" w:rsidP="00A216B5">
      <w:pPr>
        <w:rPr>
          <w:rFonts w:ascii="Arial" w:hAnsi="Arial" w:cs="Arial"/>
        </w:rPr>
      </w:pPr>
      <w:r w:rsidRPr="000E2B3C">
        <w:rPr>
          <w:rFonts w:ascii="Arial" w:hAnsi="Arial" w:cs="Arial"/>
        </w:rPr>
        <w:t>ORCF has recently processed several PLI waiver requests for retroactive approval for an insurance policy already in place</w:t>
      </w:r>
      <w:r>
        <w:rPr>
          <w:rFonts w:ascii="Arial" w:hAnsi="Arial" w:cs="Arial"/>
        </w:rPr>
        <w:t>.  Th</w:t>
      </w:r>
      <w:r w:rsidRPr="000E2B3C">
        <w:rPr>
          <w:rFonts w:ascii="Arial" w:hAnsi="Arial" w:cs="Arial"/>
        </w:rPr>
        <w:t>is can be problematic as ORCF waiver approvals are not guaranteed and may cause the Owner</w:t>
      </w:r>
      <w:r>
        <w:rPr>
          <w:rFonts w:ascii="Arial" w:hAnsi="Arial" w:cs="Arial"/>
        </w:rPr>
        <w:t xml:space="preserve"> and/or Operator</w:t>
      </w:r>
      <w:r w:rsidRPr="000E2B3C">
        <w:rPr>
          <w:rFonts w:ascii="Arial" w:hAnsi="Arial" w:cs="Arial"/>
        </w:rPr>
        <w:t xml:space="preserve"> to be in non-compliance.</w:t>
      </w:r>
    </w:p>
    <w:p w14:paraId="1E4C1207" w14:textId="77777777" w:rsidR="00A216B5" w:rsidRPr="000E2B3C" w:rsidRDefault="00A216B5" w:rsidP="00A216B5">
      <w:pPr>
        <w:rPr>
          <w:rFonts w:ascii="Arial" w:hAnsi="Arial" w:cs="Arial"/>
        </w:rPr>
      </w:pPr>
    </w:p>
    <w:p w14:paraId="675C5974" w14:textId="77777777" w:rsidR="00A216B5" w:rsidRDefault="00A216B5" w:rsidP="00A216B5">
      <w:pPr>
        <w:rPr>
          <w:rFonts w:ascii="Arial" w:hAnsi="Arial" w:cs="Arial"/>
        </w:rPr>
      </w:pPr>
      <w:r w:rsidRPr="000E2B3C">
        <w:rPr>
          <w:rFonts w:ascii="Arial" w:hAnsi="Arial" w:cs="Arial"/>
        </w:rPr>
        <w:t>Lenders need to be aware of current policy expiration dates to conduct timely annual reviews and ensure HUD</w:t>
      </w:r>
      <w:r>
        <w:rPr>
          <w:rFonts w:ascii="Arial" w:hAnsi="Arial" w:cs="Arial"/>
        </w:rPr>
        <w:t>-</w:t>
      </w:r>
      <w:r w:rsidRPr="000E2B3C">
        <w:rPr>
          <w:rFonts w:ascii="Arial" w:hAnsi="Arial" w:cs="Arial"/>
        </w:rPr>
        <w:t xml:space="preserve">compliant insurance coverage </w:t>
      </w:r>
      <w:r w:rsidRPr="000E2B3C">
        <w:rPr>
          <w:rFonts w:ascii="Arial" w:hAnsi="Arial" w:cs="Arial"/>
          <w:b/>
          <w:bCs/>
        </w:rPr>
        <w:t>at the time of renewal</w:t>
      </w:r>
      <w:r w:rsidRPr="000E2B3C">
        <w:rPr>
          <w:rFonts w:ascii="Arial" w:hAnsi="Arial" w:cs="Arial"/>
        </w:rPr>
        <w:t>.  Any waiver request to change minimum coverage requirements should be addressed prior to the expiration of the current policy to allow ORCF sufficient time for review.</w:t>
      </w:r>
    </w:p>
    <w:p w14:paraId="5CE098D8" w14:textId="77777777" w:rsidR="00A216B5" w:rsidRPr="000E2B3C" w:rsidRDefault="00A216B5" w:rsidP="00A216B5">
      <w:pPr>
        <w:rPr>
          <w:rFonts w:ascii="Arial" w:hAnsi="Arial" w:cs="Arial"/>
        </w:rPr>
      </w:pPr>
    </w:p>
    <w:p w14:paraId="2F549147" w14:textId="77777777" w:rsidR="00A216B5" w:rsidRPr="000E2B3C" w:rsidRDefault="00A216B5" w:rsidP="00A216B5">
      <w:pPr>
        <w:rPr>
          <w:rFonts w:ascii="Arial" w:hAnsi="Arial" w:cs="Arial"/>
        </w:rPr>
      </w:pPr>
      <w:r w:rsidRPr="000E2B3C">
        <w:rPr>
          <w:rFonts w:ascii="Arial" w:hAnsi="Arial" w:cs="Arial"/>
        </w:rPr>
        <w:t>Lenders are reminded that non</w:t>
      </w:r>
      <w:r>
        <w:rPr>
          <w:rFonts w:ascii="Arial" w:hAnsi="Arial" w:cs="Arial"/>
        </w:rPr>
        <w:t>-</w:t>
      </w:r>
      <w:r w:rsidRPr="000E2B3C">
        <w:rPr>
          <w:rFonts w:ascii="Arial" w:hAnsi="Arial" w:cs="Arial"/>
        </w:rPr>
        <w:t xml:space="preserve">compliant insurance is a risk factor and will require a </w:t>
      </w:r>
      <w:r>
        <w:rPr>
          <w:rFonts w:ascii="Arial" w:hAnsi="Arial" w:cs="Arial"/>
        </w:rPr>
        <w:t xml:space="preserve">Form </w:t>
      </w:r>
      <w:r w:rsidRPr="000E2B3C">
        <w:rPr>
          <w:rFonts w:ascii="Arial" w:hAnsi="Arial" w:cs="Arial"/>
        </w:rPr>
        <w:t>HUD-93334</w:t>
      </w:r>
      <w:r>
        <w:rPr>
          <w:rFonts w:ascii="Arial" w:hAnsi="Arial" w:cs="Arial"/>
        </w:rPr>
        <w:t>-ORCF</w:t>
      </w:r>
      <w:r w:rsidRPr="000E2B3C">
        <w:rPr>
          <w:rFonts w:ascii="Arial" w:hAnsi="Arial" w:cs="Arial"/>
        </w:rPr>
        <w:t xml:space="preserve"> notification.</w:t>
      </w:r>
    </w:p>
    <w:p w14:paraId="5A561F77" w14:textId="77777777" w:rsidR="00A216B5" w:rsidRDefault="00A216B5" w:rsidP="00A216B5">
      <w:pPr>
        <w:rPr>
          <w:rFonts w:ascii="Arial" w:hAnsi="Arial" w:cs="Arial"/>
          <w:i/>
          <w:iCs/>
          <w:szCs w:val="24"/>
        </w:rPr>
      </w:pPr>
    </w:p>
    <w:p w14:paraId="35020DCB" w14:textId="1D33CFAD" w:rsidR="00A216B5" w:rsidRDefault="00A216B5" w:rsidP="00A216B5">
      <w:pPr>
        <w:rPr>
          <w:rFonts w:ascii="Arial" w:hAnsi="Arial" w:cs="Arial"/>
          <w:i/>
          <w:iCs/>
          <w:szCs w:val="24"/>
        </w:rPr>
      </w:pPr>
      <w:r w:rsidRPr="00A810AB">
        <w:rPr>
          <w:rFonts w:ascii="Arial" w:hAnsi="Arial" w:cs="Arial"/>
          <w:b/>
          <w:bCs/>
          <w:i/>
          <w:iCs/>
          <w:szCs w:val="24"/>
        </w:rPr>
        <w:t>Keywords:</w:t>
      </w:r>
      <w:r w:rsidRPr="000E2B3C">
        <w:rPr>
          <w:rFonts w:ascii="Arial" w:hAnsi="Arial" w:cs="Arial"/>
          <w:i/>
          <w:iCs/>
          <w:szCs w:val="24"/>
        </w:rPr>
        <w:t xml:space="preserve">  </w:t>
      </w:r>
      <w:r w:rsidR="006E0D19" w:rsidRPr="006E0D19">
        <w:rPr>
          <w:rFonts w:ascii="Arial" w:hAnsi="Arial" w:cs="Arial"/>
          <w:i/>
          <w:iCs/>
          <w:szCs w:val="24"/>
        </w:rPr>
        <w:t>Professional Liability Insurance, Waivers</w:t>
      </w:r>
    </w:p>
    <w:p w14:paraId="2AD7FE5D" w14:textId="77777777" w:rsidR="00A216B5" w:rsidRDefault="00A216B5" w:rsidP="00A216B5">
      <w:pPr>
        <w:rPr>
          <w:rFonts w:ascii="Arial" w:hAnsi="Arial" w:cs="Arial"/>
          <w:i/>
          <w:iCs/>
          <w:szCs w:val="24"/>
        </w:rPr>
      </w:pPr>
    </w:p>
    <w:p w14:paraId="3F0773EC" w14:textId="77777777" w:rsidR="00A216B5" w:rsidRPr="001F5102" w:rsidRDefault="001302D2" w:rsidP="00A216B5">
      <w:pPr>
        <w:rPr>
          <w:rFonts w:ascii="Arial" w:hAnsi="Arial" w:cs="Arial"/>
          <w:b/>
          <w:color w:val="365F91" w:themeColor="accent1" w:themeShade="BF"/>
          <w:szCs w:val="24"/>
        </w:rPr>
      </w:pPr>
      <w:hyperlink w:anchor="_top" w:history="1">
        <w:r w:rsidR="00A216B5" w:rsidRPr="001F5102">
          <w:rPr>
            <w:rFonts w:ascii="Arial" w:hAnsi="Arial" w:cs="Arial"/>
            <w:color w:val="365F91" w:themeColor="accent1" w:themeShade="BF"/>
            <w:szCs w:val="24"/>
            <w:u w:val="single"/>
          </w:rPr>
          <w:t>Back to top</w:t>
        </w:r>
      </w:hyperlink>
    </w:p>
    <w:p w14:paraId="6EF0755C" w14:textId="77777777" w:rsidR="00A216B5" w:rsidRPr="001F5102" w:rsidRDefault="00A216B5" w:rsidP="00997C33">
      <w:pPr>
        <w:rPr>
          <w:rFonts w:ascii="Arial" w:hAnsi="Arial" w:cs="Arial"/>
        </w:rPr>
      </w:pPr>
    </w:p>
    <w:p w14:paraId="3F873DA1" w14:textId="4F1FD351" w:rsidR="00A810AB" w:rsidRPr="00A810AB" w:rsidRDefault="00A216B5" w:rsidP="001A4170">
      <w:pPr>
        <w:pStyle w:val="EmailBlast"/>
      </w:pPr>
      <w:bookmarkStart w:id="16" w:name="_Toc69827042"/>
      <w:bookmarkStart w:id="17" w:name="_Hlk69911556"/>
      <w:r>
        <w:t>R</w:t>
      </w:r>
      <w:r w:rsidR="00A810AB">
        <w:t xml:space="preserve">eminders </w:t>
      </w:r>
      <w:r>
        <w:t>C</w:t>
      </w:r>
      <w:r w:rsidR="00A810AB">
        <w:t xml:space="preserve">oncerning </w:t>
      </w:r>
      <w:r w:rsidR="00A810AB" w:rsidRPr="00FF1EAF">
        <w:t>Substantive Action Plans</w:t>
      </w:r>
      <w:bookmarkEnd w:id="16"/>
    </w:p>
    <w:p w14:paraId="3AFA49C5" w14:textId="473770B8" w:rsidR="00A810AB" w:rsidRPr="00166577" w:rsidRDefault="00A810AB" w:rsidP="00A810AB">
      <w:pPr>
        <w:rPr>
          <w:rFonts w:ascii="Arial" w:hAnsi="Arial" w:cs="Arial"/>
        </w:rPr>
      </w:pPr>
      <w:r w:rsidRPr="003B0F4C">
        <w:rPr>
          <w:rFonts w:ascii="Arial" w:hAnsi="Arial" w:cs="Arial"/>
        </w:rPr>
        <w:t>In the February 26, 2020 Email Blast</w:t>
      </w:r>
      <w:r>
        <w:rPr>
          <w:rFonts w:ascii="Arial" w:hAnsi="Arial" w:cs="Arial"/>
        </w:rPr>
        <w:t xml:space="preserve"> (</w:t>
      </w:r>
      <w:hyperlink r:id="rId22" w:history="1">
        <w:r w:rsidRPr="00815BFB">
          <w:rPr>
            <w:rStyle w:val="Hyperlink"/>
            <w:rFonts w:ascii="Arial" w:hAnsi="Arial" w:cs="Arial"/>
          </w:rPr>
          <w:t>here</w:t>
        </w:r>
      </w:hyperlink>
      <w:r>
        <w:rPr>
          <w:rFonts w:ascii="Arial" w:hAnsi="Arial" w:cs="Arial"/>
        </w:rPr>
        <w:t>)</w:t>
      </w:r>
      <w:r w:rsidRPr="003B0F4C">
        <w:rPr>
          <w:rFonts w:ascii="Arial" w:hAnsi="Arial" w:cs="Arial"/>
        </w:rPr>
        <w:t xml:space="preserve">, ORCF Asset Management provided guidance on the expected components of a corrective action plan for improving verified deficiencies.  These include: a root cause analysis and an action plan with measurable goals, </w:t>
      </w:r>
      <w:r>
        <w:rPr>
          <w:rFonts w:ascii="Arial" w:hAnsi="Arial" w:cs="Arial"/>
        </w:rPr>
        <w:t xml:space="preserve">specific risk mitigation steps, </w:t>
      </w:r>
      <w:r w:rsidRPr="003B0F4C">
        <w:rPr>
          <w:rFonts w:ascii="Arial" w:hAnsi="Arial" w:cs="Arial"/>
        </w:rPr>
        <w:t>a timeline for completion and a schedule for ensuring ongoing monitoring of an action plan, and a mechanism for revising a plan if the established</w:t>
      </w:r>
      <w:r>
        <w:rPr>
          <w:rFonts w:ascii="Arial" w:hAnsi="Arial" w:cs="Arial"/>
        </w:rPr>
        <w:t xml:space="preserve"> plan</w:t>
      </w:r>
      <w:r w:rsidRPr="003B0F4C">
        <w:rPr>
          <w:rFonts w:ascii="Arial" w:hAnsi="Arial" w:cs="Arial"/>
        </w:rPr>
        <w:t xml:space="preserve"> is not proving effective.</w:t>
      </w:r>
      <w:r>
        <w:rPr>
          <w:rFonts w:ascii="Arial" w:hAnsi="Arial" w:cs="Arial"/>
        </w:rPr>
        <w:t xml:space="preserve">  </w:t>
      </w:r>
      <w:r w:rsidR="001F7B60">
        <w:rPr>
          <w:rFonts w:ascii="Arial" w:hAnsi="Arial" w:cs="Arial"/>
        </w:rPr>
        <w:t>As the Risk Monitoring Routine evolves, we have observed that some Action Plan</w:t>
      </w:r>
      <w:r w:rsidR="00083BF7">
        <w:rPr>
          <w:rFonts w:ascii="Arial" w:hAnsi="Arial" w:cs="Arial"/>
        </w:rPr>
        <w:t>s</w:t>
      </w:r>
      <w:r w:rsidR="001F7B60">
        <w:rPr>
          <w:rFonts w:ascii="Arial" w:hAnsi="Arial" w:cs="Arial"/>
        </w:rPr>
        <w:t xml:space="preserve"> are insufficient.  </w:t>
      </w:r>
      <w:r w:rsidRPr="00166577">
        <w:rPr>
          <w:rFonts w:ascii="Arial" w:hAnsi="Arial" w:cs="Arial"/>
        </w:rPr>
        <w:t xml:space="preserve">Many submitted plans do not include specific risk mitigation steps that, if taken and if proven effective, </w:t>
      </w:r>
      <w:r w:rsidR="00083BF7">
        <w:rPr>
          <w:rFonts w:ascii="Arial" w:hAnsi="Arial" w:cs="Arial"/>
        </w:rPr>
        <w:t xml:space="preserve">would </w:t>
      </w:r>
      <w:r w:rsidRPr="00166577">
        <w:rPr>
          <w:rFonts w:ascii="Arial" w:hAnsi="Arial" w:cs="Arial"/>
        </w:rPr>
        <w:t xml:space="preserve">mitigate the identified Action Plan risk. </w:t>
      </w:r>
      <w:r>
        <w:rPr>
          <w:rFonts w:ascii="Arial" w:hAnsi="Arial" w:cs="Arial"/>
        </w:rPr>
        <w:t xml:space="preserve"> </w:t>
      </w:r>
      <w:r w:rsidRPr="00166577">
        <w:rPr>
          <w:rFonts w:ascii="Arial" w:hAnsi="Arial" w:cs="Arial"/>
        </w:rPr>
        <w:t>ORCF expects that servicing Lende</w:t>
      </w:r>
      <w:r>
        <w:rPr>
          <w:rFonts w:ascii="Arial" w:hAnsi="Arial" w:cs="Arial"/>
        </w:rPr>
        <w:t xml:space="preserve">rs will work with their </w:t>
      </w:r>
      <w:r>
        <w:rPr>
          <w:rFonts w:ascii="Arial" w:hAnsi="Arial" w:cs="Arial"/>
        </w:rPr>
        <w:lastRenderedPageBreak/>
        <w:t>clients to ensure that</w:t>
      </w:r>
      <w:r w:rsidRPr="00166577">
        <w:rPr>
          <w:rFonts w:ascii="Arial" w:hAnsi="Arial" w:cs="Arial"/>
        </w:rPr>
        <w:t xml:space="preserve"> each identified risk mitigation step in the </w:t>
      </w:r>
      <w:r>
        <w:rPr>
          <w:rFonts w:ascii="Arial" w:hAnsi="Arial" w:cs="Arial"/>
        </w:rPr>
        <w:t>A</w:t>
      </w:r>
      <w:r w:rsidRPr="00166577">
        <w:rPr>
          <w:rFonts w:ascii="Arial" w:hAnsi="Arial" w:cs="Arial"/>
        </w:rPr>
        <w:t xml:space="preserve">ction </w:t>
      </w:r>
      <w:r>
        <w:rPr>
          <w:rFonts w:ascii="Arial" w:hAnsi="Arial" w:cs="Arial"/>
        </w:rPr>
        <w:t>P</w:t>
      </w:r>
      <w:r w:rsidRPr="00166577">
        <w:rPr>
          <w:rFonts w:ascii="Arial" w:hAnsi="Arial" w:cs="Arial"/>
        </w:rPr>
        <w:t>lan is a specific step taken to mitigate risk.  For example:</w:t>
      </w:r>
    </w:p>
    <w:p w14:paraId="2EECED8C" w14:textId="77777777" w:rsidR="00A810AB" w:rsidRPr="00A01B62" w:rsidRDefault="00A810AB" w:rsidP="00A810AB">
      <w:pPr>
        <w:rPr>
          <w:rFonts w:ascii="Arial" w:hAnsi="Arial" w:cs="Arial"/>
        </w:rPr>
      </w:pPr>
    </w:p>
    <w:p w14:paraId="5261EBAD" w14:textId="77777777" w:rsidR="00A810AB" w:rsidRDefault="00A810AB" w:rsidP="00A810AB">
      <w:pPr>
        <w:numPr>
          <w:ilvl w:val="0"/>
          <w:numId w:val="17"/>
        </w:numPr>
        <w:spacing w:after="120"/>
        <w:rPr>
          <w:rFonts w:ascii="Arial" w:hAnsi="Arial" w:cs="Arial"/>
          <w:szCs w:val="24"/>
        </w:rPr>
      </w:pPr>
      <w:r>
        <w:rPr>
          <w:rFonts w:ascii="Arial" w:hAnsi="Arial" w:cs="Arial"/>
          <w:szCs w:val="24"/>
        </w:rPr>
        <w:t>Rather than stating “I</w:t>
      </w:r>
      <w:r w:rsidRPr="00DF51A2">
        <w:rPr>
          <w:rFonts w:ascii="Arial" w:hAnsi="Arial" w:cs="Arial"/>
          <w:szCs w:val="24"/>
        </w:rPr>
        <w:t>ncrease census by 10%</w:t>
      </w:r>
      <w:r>
        <w:rPr>
          <w:rFonts w:ascii="Arial" w:hAnsi="Arial" w:cs="Arial"/>
          <w:szCs w:val="24"/>
        </w:rPr>
        <w:t>” as a risk mitigation step, ORCF would expect to see specific steps that would be implemented with the anticipated goal of increasing census</w:t>
      </w:r>
      <w:r w:rsidRPr="00DF51A2">
        <w:rPr>
          <w:rFonts w:ascii="Arial" w:hAnsi="Arial" w:cs="Arial"/>
          <w:szCs w:val="24"/>
        </w:rPr>
        <w:t>.</w:t>
      </w:r>
      <w:r>
        <w:rPr>
          <w:rFonts w:ascii="Arial" w:hAnsi="Arial" w:cs="Arial"/>
          <w:szCs w:val="24"/>
        </w:rPr>
        <w:t xml:space="preserve">  For example, the risk mitigation steps might include enhancing marketing efforts through upgrading a web site, improving search engine results, or hiring an additional marketing staff member.</w:t>
      </w:r>
    </w:p>
    <w:p w14:paraId="119B2132" w14:textId="28E007BD" w:rsidR="00A810AB" w:rsidRDefault="00A810AB" w:rsidP="00A810AB">
      <w:pPr>
        <w:numPr>
          <w:ilvl w:val="0"/>
          <w:numId w:val="17"/>
        </w:numPr>
        <w:spacing w:after="120"/>
        <w:rPr>
          <w:rFonts w:ascii="Arial" w:hAnsi="Arial" w:cs="Arial"/>
          <w:szCs w:val="24"/>
        </w:rPr>
      </w:pPr>
      <w:r>
        <w:rPr>
          <w:rFonts w:ascii="Arial" w:hAnsi="Arial" w:cs="Arial"/>
          <w:szCs w:val="24"/>
        </w:rPr>
        <w:t>Rather than stating “Increase DSCR to 1.2” as a risk mitigation step, ORCF would expect to see specific steps such as enhanc</w:t>
      </w:r>
      <w:r w:rsidR="00942343">
        <w:rPr>
          <w:rFonts w:ascii="Arial" w:hAnsi="Arial" w:cs="Arial"/>
          <w:szCs w:val="24"/>
        </w:rPr>
        <w:t>ing</w:t>
      </w:r>
      <w:r>
        <w:rPr>
          <w:rFonts w:ascii="Arial" w:hAnsi="Arial" w:cs="Arial"/>
          <w:szCs w:val="24"/>
        </w:rPr>
        <w:t xml:space="preserve"> hiring efforts to reduce reliance on agency staffing services or hir</w:t>
      </w:r>
      <w:r w:rsidR="00942343">
        <w:rPr>
          <w:rFonts w:ascii="Arial" w:hAnsi="Arial" w:cs="Arial"/>
          <w:szCs w:val="24"/>
        </w:rPr>
        <w:t>ing</w:t>
      </w:r>
      <w:r>
        <w:rPr>
          <w:rFonts w:ascii="Arial" w:hAnsi="Arial" w:cs="Arial"/>
          <w:szCs w:val="24"/>
        </w:rPr>
        <w:t xml:space="preserve"> more nurses in preparation </w:t>
      </w:r>
      <w:r w:rsidR="00942343">
        <w:rPr>
          <w:rFonts w:ascii="Arial" w:hAnsi="Arial" w:cs="Arial"/>
          <w:szCs w:val="24"/>
        </w:rPr>
        <w:t>of</w:t>
      </w:r>
      <w:r>
        <w:rPr>
          <w:rFonts w:ascii="Arial" w:hAnsi="Arial" w:cs="Arial"/>
          <w:szCs w:val="24"/>
        </w:rPr>
        <w:t xml:space="preserve"> expand</w:t>
      </w:r>
      <w:r w:rsidR="00942343">
        <w:rPr>
          <w:rFonts w:ascii="Arial" w:hAnsi="Arial" w:cs="Arial"/>
          <w:szCs w:val="24"/>
        </w:rPr>
        <w:t>ing</w:t>
      </w:r>
      <w:r>
        <w:rPr>
          <w:rFonts w:ascii="Arial" w:hAnsi="Arial" w:cs="Arial"/>
          <w:szCs w:val="24"/>
        </w:rPr>
        <w:t xml:space="preserve"> Medicare referral sources to improve payor mix. </w:t>
      </w:r>
    </w:p>
    <w:p w14:paraId="07552A5F" w14:textId="30778E17" w:rsidR="00A810AB" w:rsidRPr="00BC7EEC" w:rsidRDefault="00A810AB" w:rsidP="00A810AB">
      <w:pPr>
        <w:numPr>
          <w:ilvl w:val="0"/>
          <w:numId w:val="17"/>
        </w:numPr>
        <w:spacing w:after="240"/>
        <w:rPr>
          <w:rFonts w:ascii="Arial" w:hAnsi="Arial" w:cs="Arial"/>
          <w:szCs w:val="24"/>
        </w:rPr>
      </w:pPr>
      <w:r w:rsidRPr="00BC7EEC">
        <w:rPr>
          <w:rFonts w:ascii="Arial" w:hAnsi="Arial" w:cs="Arial"/>
          <w:szCs w:val="24"/>
        </w:rPr>
        <w:t>Rather than stating “Increase overall CMS Star Rating to 3 Stars”</w:t>
      </w:r>
      <w:r>
        <w:rPr>
          <w:rFonts w:ascii="Arial" w:hAnsi="Arial" w:cs="Arial"/>
          <w:szCs w:val="24"/>
        </w:rPr>
        <w:t xml:space="preserve"> as a risk mitigation step,</w:t>
      </w:r>
      <w:r w:rsidRPr="00BC7EEC">
        <w:rPr>
          <w:rFonts w:ascii="Arial" w:hAnsi="Arial" w:cs="Arial"/>
          <w:szCs w:val="24"/>
        </w:rPr>
        <w:t xml:space="preserve"> ORCF would expect </w:t>
      </w:r>
      <w:r>
        <w:rPr>
          <w:rFonts w:ascii="Arial" w:hAnsi="Arial" w:cs="Arial"/>
          <w:szCs w:val="24"/>
        </w:rPr>
        <w:t xml:space="preserve">to see </w:t>
      </w:r>
      <w:r w:rsidRPr="00BC7EEC">
        <w:rPr>
          <w:rFonts w:ascii="Arial" w:hAnsi="Arial" w:cs="Arial"/>
          <w:szCs w:val="24"/>
        </w:rPr>
        <w:t xml:space="preserve">specific steps such as </w:t>
      </w:r>
      <w:r w:rsidR="00E26CFC">
        <w:rPr>
          <w:rFonts w:ascii="Arial" w:hAnsi="Arial" w:cs="Arial"/>
          <w:szCs w:val="24"/>
        </w:rPr>
        <w:t>p</w:t>
      </w:r>
      <w:r w:rsidRPr="00BC7EEC">
        <w:rPr>
          <w:rFonts w:ascii="Arial" w:hAnsi="Arial" w:cs="Arial"/>
          <w:szCs w:val="24"/>
        </w:rPr>
        <w:t>olicies on infection control, enhanc</w:t>
      </w:r>
      <w:r w:rsidR="00942343">
        <w:rPr>
          <w:rFonts w:ascii="Arial" w:hAnsi="Arial" w:cs="Arial"/>
          <w:szCs w:val="24"/>
        </w:rPr>
        <w:t>ing</w:t>
      </w:r>
      <w:r w:rsidRPr="00BC7EEC">
        <w:rPr>
          <w:rFonts w:ascii="Arial" w:hAnsi="Arial" w:cs="Arial"/>
          <w:szCs w:val="24"/>
        </w:rPr>
        <w:t xml:space="preserve"> employee training or conduct</w:t>
      </w:r>
      <w:r w:rsidR="00942343">
        <w:rPr>
          <w:rFonts w:ascii="Arial" w:hAnsi="Arial" w:cs="Arial"/>
          <w:szCs w:val="24"/>
        </w:rPr>
        <w:t>ing</w:t>
      </w:r>
      <w:r w:rsidRPr="00BC7EEC">
        <w:rPr>
          <w:rFonts w:ascii="Arial" w:hAnsi="Arial" w:cs="Arial"/>
          <w:szCs w:val="24"/>
        </w:rPr>
        <w:t xml:space="preserve"> monthly, unannounced test inspections. </w:t>
      </w:r>
    </w:p>
    <w:p w14:paraId="6947429F" w14:textId="7856E0E4" w:rsidR="00A810AB" w:rsidRPr="003B0F4C" w:rsidRDefault="00A810AB" w:rsidP="00A810AB">
      <w:pPr>
        <w:rPr>
          <w:rFonts w:ascii="Arial" w:hAnsi="Arial" w:cs="Arial"/>
        </w:rPr>
      </w:pPr>
      <w:r>
        <w:rPr>
          <w:rFonts w:ascii="Arial" w:hAnsi="Arial" w:cs="Arial"/>
        </w:rPr>
        <w:t xml:space="preserve">ORCF has taken the additional step of revising the </w:t>
      </w:r>
      <w:proofErr w:type="spellStart"/>
      <w:r w:rsidR="0069363B">
        <w:rPr>
          <w:rFonts w:ascii="Arial" w:hAnsi="Arial" w:cs="Arial"/>
        </w:rPr>
        <w:t>ORCF</w:t>
      </w:r>
      <w:proofErr w:type="spellEnd"/>
      <w:r w:rsidR="0069363B">
        <w:rPr>
          <w:rFonts w:ascii="Arial" w:hAnsi="Arial" w:cs="Arial"/>
        </w:rPr>
        <w:t xml:space="preserve"> </w:t>
      </w:r>
      <w:r>
        <w:rPr>
          <w:rFonts w:ascii="Arial" w:hAnsi="Arial" w:cs="Arial"/>
        </w:rPr>
        <w:t xml:space="preserve">Action Plan Tool </w:t>
      </w:r>
      <w:r w:rsidR="0069363B">
        <w:rPr>
          <w:rFonts w:ascii="Arial" w:hAnsi="Arial" w:cs="Arial"/>
        </w:rPr>
        <w:t xml:space="preserve">– SAMPLE </w:t>
      </w:r>
      <w:r w:rsidRPr="00B70FB5">
        <w:rPr>
          <w:rFonts w:ascii="Arial" w:hAnsi="Arial" w:cs="Arial"/>
        </w:rPr>
        <w:t>(</w:t>
      </w:r>
      <w:hyperlink r:id="rId23" w:history="1">
        <w:r w:rsidRPr="00B70FB5">
          <w:rPr>
            <w:rStyle w:val="Hyperlink"/>
            <w:rFonts w:ascii="Arial" w:hAnsi="Arial" w:cs="Arial"/>
          </w:rPr>
          <w:t>here</w:t>
        </w:r>
      </w:hyperlink>
      <w:r w:rsidRPr="00B70FB5">
        <w:rPr>
          <w:rFonts w:ascii="Arial" w:hAnsi="Arial" w:cs="Arial"/>
        </w:rPr>
        <w:t>)</w:t>
      </w:r>
      <w:r>
        <w:rPr>
          <w:rFonts w:ascii="Arial" w:hAnsi="Arial" w:cs="Arial"/>
        </w:rPr>
        <w:t>.  This optional resource was introduced in the April 30, 2020 Email Blast (</w:t>
      </w:r>
      <w:hyperlink r:id="rId24" w:history="1">
        <w:r w:rsidRPr="00815BFB">
          <w:rPr>
            <w:rStyle w:val="Hyperlink"/>
            <w:rFonts w:ascii="Arial" w:hAnsi="Arial" w:cs="Arial"/>
          </w:rPr>
          <w:t>here</w:t>
        </w:r>
      </w:hyperlink>
      <w:r>
        <w:rPr>
          <w:rFonts w:ascii="Arial" w:hAnsi="Arial" w:cs="Arial"/>
        </w:rPr>
        <w:t xml:space="preserve">), and can be found </w:t>
      </w:r>
      <w:r w:rsidRPr="003B0F4C">
        <w:rPr>
          <w:rFonts w:ascii="Arial" w:hAnsi="Arial" w:cs="Arial"/>
        </w:rPr>
        <w:t>on ORCF’s Loan Servicing Guidance Home Page (</w:t>
      </w:r>
      <w:hyperlink r:id="rId25" w:history="1">
        <w:r w:rsidRPr="008174F4">
          <w:rPr>
            <w:rStyle w:val="Hyperlink"/>
            <w:rFonts w:ascii="Arial" w:hAnsi="Arial" w:cs="Arial"/>
          </w:rPr>
          <w:t>here</w:t>
        </w:r>
      </w:hyperlink>
      <w:r w:rsidRPr="003B0F4C">
        <w:rPr>
          <w:rFonts w:ascii="Arial" w:hAnsi="Arial" w:cs="Arial"/>
        </w:rPr>
        <w:t>), under “Documents for Notifying ORCF of Action Plans</w:t>
      </w:r>
      <w:r>
        <w:rPr>
          <w:rFonts w:ascii="Arial" w:hAnsi="Arial" w:cs="Arial"/>
        </w:rPr>
        <w:t>”</w:t>
      </w:r>
      <w:r w:rsidRPr="003B0F4C">
        <w:rPr>
          <w:rFonts w:ascii="Arial" w:hAnsi="Arial" w:cs="Arial"/>
        </w:rPr>
        <w:t>:</w:t>
      </w:r>
    </w:p>
    <w:p w14:paraId="6DD3ABDF" w14:textId="77777777" w:rsidR="00A810AB" w:rsidRPr="00DF51A2" w:rsidRDefault="00A810AB" w:rsidP="00A810AB">
      <w:pPr>
        <w:rPr>
          <w:rFonts w:ascii="Arial" w:hAnsi="Arial" w:cs="Arial"/>
          <w:szCs w:val="24"/>
        </w:rPr>
      </w:pPr>
    </w:p>
    <w:p w14:paraId="6C75693E" w14:textId="77777777" w:rsidR="00A810AB" w:rsidRPr="00DF51A2" w:rsidRDefault="00A810AB" w:rsidP="00A810AB">
      <w:pPr>
        <w:rPr>
          <w:rFonts w:ascii="Arial" w:hAnsi="Arial" w:cs="Arial"/>
          <w:i/>
          <w:iCs/>
          <w:szCs w:val="24"/>
        </w:rPr>
      </w:pPr>
      <w:r w:rsidRPr="00DF51A2">
        <w:rPr>
          <w:rFonts w:ascii="Arial" w:hAnsi="Arial" w:cs="Arial"/>
          <w:b/>
          <w:bCs/>
          <w:i/>
          <w:iCs/>
          <w:szCs w:val="24"/>
        </w:rPr>
        <w:t>Keywords:</w:t>
      </w:r>
      <w:r w:rsidRPr="00DF51A2">
        <w:rPr>
          <w:rFonts w:ascii="Arial" w:hAnsi="Arial" w:cs="Arial"/>
          <w:i/>
          <w:iCs/>
          <w:szCs w:val="24"/>
        </w:rPr>
        <w:t xml:space="preserve"> </w:t>
      </w:r>
      <w:r>
        <w:rPr>
          <w:rFonts w:ascii="Arial" w:hAnsi="Arial" w:cs="Arial"/>
          <w:i/>
          <w:iCs/>
          <w:szCs w:val="24"/>
        </w:rPr>
        <w:t>Action Plans, Risk Surveillance Dashboard</w:t>
      </w:r>
    </w:p>
    <w:bookmarkEnd w:id="17"/>
    <w:p w14:paraId="06D94D86" w14:textId="6E9D9591" w:rsidR="00A810AB" w:rsidRDefault="00A810AB" w:rsidP="003976E9">
      <w:pPr>
        <w:rPr>
          <w:rFonts w:ascii="Arial" w:hAnsi="Arial" w:cs="Arial"/>
          <w:bCs/>
          <w:i/>
          <w:iCs/>
        </w:rPr>
      </w:pPr>
    </w:p>
    <w:p w14:paraId="2E7FD7D5" w14:textId="2514CDF0" w:rsidR="00A810AB" w:rsidRDefault="001302D2" w:rsidP="003976E9">
      <w:pPr>
        <w:rPr>
          <w:rFonts w:ascii="Arial" w:hAnsi="Arial" w:cs="Arial"/>
          <w:bCs/>
          <w:i/>
          <w:iCs/>
        </w:rPr>
      </w:pPr>
      <w:hyperlink w:anchor="_top" w:history="1">
        <w:r w:rsidR="00A810AB" w:rsidRPr="001F5102">
          <w:rPr>
            <w:rFonts w:ascii="Arial" w:hAnsi="Arial" w:cs="Arial"/>
            <w:color w:val="365F91" w:themeColor="accent1" w:themeShade="BF"/>
            <w:szCs w:val="24"/>
            <w:u w:val="single"/>
          </w:rPr>
          <w:t>Back to top</w:t>
        </w:r>
      </w:hyperlink>
    </w:p>
    <w:p w14:paraId="19F1DC4F" w14:textId="77777777" w:rsidR="00A810AB" w:rsidRDefault="00A810AB" w:rsidP="003976E9">
      <w:pPr>
        <w:rPr>
          <w:rFonts w:ascii="Arial" w:hAnsi="Arial" w:cs="Arial"/>
          <w:bCs/>
          <w:i/>
          <w:iCs/>
        </w:rPr>
      </w:pPr>
    </w:p>
    <w:bookmarkEnd w:id="0"/>
    <w:p w14:paraId="4F172A5A" w14:textId="77777777" w:rsidR="00072F75" w:rsidRPr="001F5102" w:rsidRDefault="00072F75" w:rsidP="00072F75">
      <w:pPr>
        <w:rPr>
          <w:rFonts w:ascii="Arial" w:eastAsia="MS Mincho" w:hAnsi="Arial" w:cs="Arial"/>
          <w:b/>
          <w:szCs w:val="24"/>
        </w:rPr>
      </w:pPr>
    </w:p>
    <w:p w14:paraId="46C0910B" w14:textId="77777777" w:rsidR="00072F75" w:rsidRPr="001F5102" w:rsidRDefault="00072F75" w:rsidP="00072F75">
      <w:pPr>
        <w:rPr>
          <w:rFonts w:ascii="Arial" w:hAnsi="Arial" w:cs="Arial"/>
        </w:rPr>
      </w:pPr>
      <w:r>
        <w:rPr>
          <w:rFonts w:ascii="Arial" w:eastAsia="MS Mincho" w:hAnsi="Arial" w:cs="Arial"/>
          <w:b/>
          <w:noProof/>
          <w:szCs w:val="24"/>
        </w:rPr>
        <mc:AlternateContent>
          <mc:Choice Requires="wps">
            <w:drawing>
              <wp:anchor distT="0" distB="0" distL="114300" distR="114300" simplePos="0" relativeHeight="251659264" behindDoc="0" locked="0" layoutInCell="1" allowOverlap="1" wp14:anchorId="4DC9E78A" wp14:editId="55C4657C">
                <wp:simplePos x="0" y="0"/>
                <wp:positionH relativeFrom="column">
                  <wp:posOffset>25400</wp:posOffset>
                </wp:positionH>
                <wp:positionV relativeFrom="paragraph">
                  <wp:posOffset>32385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ED8E12"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2.55pt" to="45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72F75" w14:paraId="67A32E54" w14:textId="77777777" w:rsidTr="00305C1B">
        <w:trPr>
          <w:tblCellSpacing w:w="0" w:type="dxa"/>
          <w:jc w:val="center"/>
        </w:trPr>
        <w:tc>
          <w:tcPr>
            <w:tcW w:w="0" w:type="auto"/>
            <w:tcMar>
              <w:top w:w="300" w:type="dxa"/>
              <w:left w:w="0" w:type="dxa"/>
              <w:bottom w:w="150" w:type="dxa"/>
              <w:right w:w="0" w:type="dxa"/>
            </w:tcMar>
            <w:vAlign w:val="center"/>
            <w:hideMark/>
          </w:tcPr>
          <w:p w14:paraId="64891E5F" w14:textId="77777777" w:rsidR="00072F75" w:rsidRDefault="00072F75" w:rsidP="00305C1B">
            <w:pPr>
              <w:pStyle w:val="NormalWeb"/>
              <w:spacing w:before="120"/>
              <w:jc w:val="center"/>
              <w:rPr>
                <w:rFonts w:ascii="Calibri" w:hAnsi="Calibri"/>
                <w:sz w:val="20"/>
                <w:szCs w:val="20"/>
              </w:rPr>
            </w:pPr>
            <w:r>
              <w:rPr>
                <w:rFonts w:ascii="Arial" w:hAnsi="Arial" w:cs="Arial"/>
                <w:sz w:val="20"/>
                <w:szCs w:val="20"/>
              </w:rPr>
              <w:t xml:space="preserve">Past Lean 232 Updates are </w:t>
            </w:r>
            <w:hyperlink r:id="rId26" w:tgtFrame="_blank" w:history="1">
              <w:r>
                <w:rPr>
                  <w:rStyle w:val="Hyperlink"/>
                  <w:rFonts w:ascii="Arial" w:hAnsi="Arial" w:cs="Arial"/>
                  <w:sz w:val="20"/>
                  <w:szCs w:val="20"/>
                </w:rPr>
                <w:t>available online</w:t>
              </w:r>
            </w:hyperlink>
            <w:r>
              <w:rPr>
                <w:rFonts w:ascii="Arial" w:hAnsi="Arial" w:cs="Arial"/>
                <w:sz w:val="20"/>
                <w:szCs w:val="20"/>
              </w:rPr>
              <w:t>.</w:t>
            </w:r>
          </w:p>
          <w:p w14:paraId="7B5F185F" w14:textId="77777777" w:rsidR="00072F75" w:rsidRDefault="00072F75" w:rsidP="00305C1B">
            <w:pPr>
              <w:pStyle w:val="NormalWeb"/>
              <w:spacing w:before="120"/>
              <w:jc w:val="center"/>
              <w:rPr>
                <w:sz w:val="20"/>
                <w:szCs w:val="20"/>
              </w:rPr>
            </w:pPr>
            <w:r>
              <w:rPr>
                <w:rFonts w:ascii="Arial" w:hAnsi="Arial" w:cs="Arial"/>
                <w:sz w:val="20"/>
                <w:szCs w:val="20"/>
              </w:rPr>
              <w:t xml:space="preserve">Have questions about the Lean 232 Program? Please contact </w:t>
            </w:r>
            <w:hyperlink r:id="rId27" w:history="1">
              <w:r>
                <w:rPr>
                  <w:rStyle w:val="Hyperlink"/>
                  <w:rFonts w:ascii="Arial" w:hAnsi="Arial" w:cs="Arial"/>
                  <w:sz w:val="20"/>
                  <w:szCs w:val="20"/>
                </w:rPr>
                <w:t>LeanThinking@hud.gov</w:t>
              </w:r>
            </w:hyperlink>
            <w:r>
              <w:rPr>
                <w:rFonts w:ascii="Arial" w:hAnsi="Arial" w:cs="Arial"/>
                <w:sz w:val="20"/>
                <w:szCs w:val="20"/>
              </w:rPr>
              <w:t>.</w:t>
            </w:r>
          </w:p>
          <w:p w14:paraId="0A36EA01" w14:textId="77777777" w:rsidR="00072F75" w:rsidRDefault="00072F75" w:rsidP="00305C1B">
            <w:pPr>
              <w:pStyle w:val="NormalWeb"/>
              <w:spacing w:before="120"/>
              <w:jc w:val="center"/>
              <w:rPr>
                <w:sz w:val="20"/>
                <w:szCs w:val="20"/>
              </w:rPr>
            </w:pPr>
            <w:r>
              <w:rPr>
                <w:rFonts w:ascii="Arial" w:hAnsi="Arial" w:cs="Arial"/>
                <w:sz w:val="20"/>
                <w:szCs w:val="20"/>
              </w:rPr>
              <w:t xml:space="preserve">For more information on the Lean 232 Program, check out: </w:t>
            </w:r>
            <w:hyperlink r:id="rId28" w:history="1">
              <w:r>
                <w:rPr>
                  <w:rStyle w:val="Hyperlink"/>
                  <w:rFonts w:ascii="Arial" w:hAnsi="Arial" w:cs="Arial"/>
                  <w:sz w:val="20"/>
                  <w:szCs w:val="20"/>
                </w:rPr>
                <w:t>http://www.hud.gov/healthcare</w:t>
              </w:r>
            </w:hyperlink>
            <w:r>
              <w:rPr>
                <w:rFonts w:ascii="Arial" w:hAnsi="Arial" w:cs="Arial"/>
                <w:sz w:val="20"/>
                <w:szCs w:val="20"/>
              </w:rPr>
              <w:t>.</w:t>
            </w:r>
          </w:p>
          <w:p w14:paraId="77BBD4A5" w14:textId="77777777" w:rsidR="00072F75" w:rsidRDefault="00072F75" w:rsidP="00305C1B">
            <w:pPr>
              <w:pStyle w:val="NormalWeb"/>
              <w:jc w:val="center"/>
              <w:rPr>
                <w:sz w:val="20"/>
                <w:szCs w:val="20"/>
              </w:rPr>
            </w:pPr>
            <w:r>
              <w:rPr>
                <w:sz w:val="20"/>
                <w:szCs w:val="20"/>
              </w:rPr>
              <w:t> </w:t>
            </w:r>
          </w:p>
          <w:p w14:paraId="7BD9A530" w14:textId="77777777" w:rsidR="00072F75" w:rsidRDefault="00072F75" w:rsidP="00305C1B">
            <w:pPr>
              <w:pStyle w:val="NormalWeb"/>
              <w:jc w:val="center"/>
              <w:rPr>
                <w:sz w:val="20"/>
                <w:szCs w:val="20"/>
              </w:rPr>
            </w:pPr>
            <w:r>
              <w:rPr>
                <w:rFonts w:ascii="Arial" w:hAnsi="Arial" w:cs="Arial"/>
                <w:sz w:val="20"/>
                <w:szCs w:val="20"/>
              </w:rPr>
              <w:t>Stay Connected with the Office of Housing and the Federal Housing Administration:</w:t>
            </w:r>
          </w:p>
        </w:tc>
      </w:tr>
      <w:tr w:rsidR="00072F75" w14:paraId="64C53A74" w14:textId="77777777" w:rsidTr="00305C1B">
        <w:trPr>
          <w:tblCellSpacing w:w="0" w:type="dxa"/>
          <w:jc w:val="center"/>
        </w:trPr>
        <w:tc>
          <w:tcPr>
            <w:tcW w:w="0" w:type="auto"/>
            <w:tcMar>
              <w:top w:w="150" w:type="dxa"/>
              <w:left w:w="150" w:type="dxa"/>
              <w:bottom w:w="150" w:type="dxa"/>
              <w:right w:w="150" w:type="dxa"/>
            </w:tcMar>
            <w:vAlign w:val="center"/>
            <w:hideMark/>
          </w:tcPr>
          <w:p w14:paraId="7A352B26" w14:textId="77777777" w:rsidR="00072F75" w:rsidRDefault="00072F75" w:rsidP="00305C1B">
            <w:pPr>
              <w:jc w:val="center"/>
              <w:rPr>
                <w:rFonts w:eastAsia="Times New Roman"/>
                <w:sz w:val="22"/>
              </w:rPr>
            </w:pPr>
            <w:r>
              <w:rPr>
                <w:rFonts w:ascii="Arial" w:eastAsia="Times New Roman" w:hAnsi="Arial" w:cs="Arial"/>
                <w:noProof/>
                <w:color w:val="0000FF"/>
              </w:rPr>
              <w:drawing>
                <wp:inline distT="0" distB="0" distL="0" distR="0" wp14:anchorId="6A762368" wp14:editId="5139330F">
                  <wp:extent cx="304800" cy="304800"/>
                  <wp:effectExtent l="0" t="0" r="0" b="0"/>
                  <wp:docPr id="4" name="Picture 4" descr="Twitter">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r>
              <w:rPr>
                <w:rFonts w:ascii="Arial" w:eastAsia="Times New Roman" w:hAnsi="Arial" w:cs="Arial"/>
                <w:noProof/>
                <w:color w:val="0000FF"/>
              </w:rPr>
              <w:drawing>
                <wp:inline distT="0" distB="0" distL="0" distR="0" wp14:anchorId="1A689DF8" wp14:editId="3A80EC90">
                  <wp:extent cx="304800" cy="304800"/>
                  <wp:effectExtent l="0" t="0" r="0" b="0"/>
                  <wp:docPr id="5" name="Picture 5" descr="LinkedI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p>
        </w:tc>
      </w:tr>
      <w:tr w:rsidR="00072F75" w14:paraId="7348E018" w14:textId="77777777" w:rsidTr="00305C1B">
        <w:trPr>
          <w:tblCellSpacing w:w="0" w:type="dxa"/>
          <w:jc w:val="center"/>
        </w:trPr>
        <w:tc>
          <w:tcPr>
            <w:tcW w:w="0" w:type="auto"/>
            <w:tcMar>
              <w:top w:w="150" w:type="dxa"/>
              <w:left w:w="0" w:type="dxa"/>
              <w:bottom w:w="300" w:type="dxa"/>
              <w:right w:w="0" w:type="dxa"/>
            </w:tcMar>
            <w:vAlign w:val="center"/>
            <w:hideMark/>
          </w:tcPr>
          <w:p w14:paraId="7D605279" w14:textId="77777777" w:rsidR="00072F75" w:rsidRDefault="00072F75" w:rsidP="00305C1B">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33"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34"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6E0E606B" w14:textId="2AA10C3B" w:rsidR="00605E4A" w:rsidRPr="00E23EAD" w:rsidRDefault="00605E4A" w:rsidP="00072F75">
      <w:pPr>
        <w:rPr>
          <w:szCs w:val="24"/>
        </w:rPr>
      </w:pPr>
    </w:p>
    <w:sectPr w:rsidR="00605E4A" w:rsidRPr="00E23EAD" w:rsidSect="00E217E8">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FE89" w14:textId="77777777" w:rsidR="001302D2" w:rsidRDefault="001302D2" w:rsidP="00E724F7">
      <w:r>
        <w:separator/>
      </w:r>
    </w:p>
  </w:endnote>
  <w:endnote w:type="continuationSeparator" w:id="0">
    <w:p w14:paraId="47317AC6" w14:textId="77777777" w:rsidR="001302D2" w:rsidRDefault="001302D2" w:rsidP="00E724F7">
      <w:r>
        <w:continuationSeparator/>
      </w:r>
    </w:p>
  </w:endnote>
  <w:endnote w:type="continuationNotice" w:id="1">
    <w:p w14:paraId="3C599155" w14:textId="77777777" w:rsidR="001302D2" w:rsidRDefault="00130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2F72" w14:textId="77777777" w:rsidR="00D7174B" w:rsidRDefault="00D71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E6D4" w14:textId="77777777" w:rsidR="00D7174B" w:rsidRDefault="00D71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BE68" w14:textId="77777777" w:rsidR="00D7174B" w:rsidRDefault="00D71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0F7D" w14:textId="77777777" w:rsidR="001302D2" w:rsidRDefault="001302D2" w:rsidP="00E724F7">
      <w:r>
        <w:separator/>
      </w:r>
    </w:p>
  </w:footnote>
  <w:footnote w:type="continuationSeparator" w:id="0">
    <w:p w14:paraId="55867CF9" w14:textId="77777777" w:rsidR="001302D2" w:rsidRDefault="001302D2" w:rsidP="00E724F7">
      <w:r>
        <w:continuationSeparator/>
      </w:r>
    </w:p>
  </w:footnote>
  <w:footnote w:type="continuationNotice" w:id="1">
    <w:p w14:paraId="62E1B115" w14:textId="77777777" w:rsidR="001302D2" w:rsidRDefault="00130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9560" w14:textId="1135E9D6" w:rsidR="00D7174B" w:rsidRDefault="00D71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F715" w14:textId="5C587A8D" w:rsidR="0089592C" w:rsidRDefault="001302D2">
    <w:pPr>
      <w:pStyle w:val="Header"/>
      <w:jc w:val="right"/>
    </w:pPr>
    <w:sdt>
      <w:sdtPr>
        <w:id w:val="505251132"/>
        <w:docPartObj>
          <w:docPartGallery w:val="Page Numbers (Top of Page)"/>
          <w:docPartUnique/>
        </w:docPartObj>
      </w:sdtPr>
      <w:sdtEndPr>
        <w:rPr>
          <w:noProof/>
        </w:rPr>
      </w:sdtEndPr>
      <w:sdtContent>
        <w:r w:rsidR="0089592C">
          <w:fldChar w:fldCharType="begin"/>
        </w:r>
        <w:r w:rsidR="0089592C">
          <w:instrText xml:space="preserve"> PAGE   \* MERGEFORMAT </w:instrText>
        </w:r>
        <w:r w:rsidR="0089592C">
          <w:fldChar w:fldCharType="separate"/>
        </w:r>
        <w:r w:rsidR="00D37F4F">
          <w:rPr>
            <w:noProof/>
          </w:rPr>
          <w:t>2</w:t>
        </w:r>
        <w:r w:rsidR="0089592C">
          <w:rPr>
            <w:noProof/>
          </w:rPr>
          <w:fldChar w:fldCharType="end"/>
        </w:r>
      </w:sdtContent>
    </w:sdt>
  </w:p>
  <w:p w14:paraId="6E0E6076" w14:textId="7D8AC60E" w:rsidR="008F66AB" w:rsidRDefault="008F6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02B9" w14:textId="5AEB5558" w:rsidR="00D7174B" w:rsidRDefault="00D71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79A5A2C"/>
    <w:multiLevelType w:val="multilevel"/>
    <w:tmpl w:val="05CA9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610B1"/>
    <w:multiLevelType w:val="hybridMultilevel"/>
    <w:tmpl w:val="17C2CD82"/>
    <w:lvl w:ilvl="0" w:tplc="83FCC4BE">
      <w:start w:val="1"/>
      <w:numFmt w:val="bullet"/>
      <w:pStyle w:val="TOC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C3CA5"/>
    <w:multiLevelType w:val="hybridMultilevel"/>
    <w:tmpl w:val="86587FBC"/>
    <w:lvl w:ilvl="0" w:tplc="0409000F">
      <w:start w:val="1"/>
      <w:numFmt w:val="decimal"/>
      <w:lvlText w:val="%1."/>
      <w:lvlJc w:val="left"/>
      <w:pPr>
        <w:ind w:left="855" w:hanging="360"/>
      </w:pPr>
    </w:lvl>
    <w:lvl w:ilvl="1" w:tplc="04090019">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7"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2"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7662A"/>
    <w:multiLevelType w:val="hybridMultilevel"/>
    <w:tmpl w:val="1BBAF95A"/>
    <w:lvl w:ilvl="0" w:tplc="820802C6">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32504"/>
    <w:multiLevelType w:val="multilevel"/>
    <w:tmpl w:val="A7DAF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63E0A70"/>
    <w:multiLevelType w:val="multilevel"/>
    <w:tmpl w:val="1FAEA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9720CB"/>
    <w:multiLevelType w:val="hybridMultilevel"/>
    <w:tmpl w:val="9870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A1395"/>
    <w:multiLevelType w:val="multilevel"/>
    <w:tmpl w:val="03729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A611D"/>
    <w:multiLevelType w:val="hybridMultilevel"/>
    <w:tmpl w:val="8C96C74A"/>
    <w:lvl w:ilvl="0" w:tplc="FCBA29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F64DA"/>
    <w:multiLevelType w:val="hybridMultilevel"/>
    <w:tmpl w:val="BA6EB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4"/>
  </w:num>
  <w:num w:numId="12">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0"/>
  </w:num>
  <w:num w:numId="14">
    <w:abstractNumId w:val="7"/>
  </w:num>
  <w:num w:numId="15">
    <w:abstractNumId w:val="30"/>
  </w:num>
  <w:num w:numId="16">
    <w:abstractNumId w:val="1"/>
  </w:num>
  <w:num w:numId="17">
    <w:abstractNumId w:val="2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num>
  <w:num w:numId="22">
    <w:abstractNumId w:val="8"/>
  </w:num>
  <w:num w:numId="23">
    <w:abstractNumId w:val="20"/>
  </w:num>
  <w:num w:numId="24">
    <w:abstractNumId w:val="4"/>
  </w:num>
  <w:num w:numId="25">
    <w:abstractNumId w:val="13"/>
  </w:num>
  <w:num w:numId="26">
    <w:abstractNumId w:val="25"/>
  </w:num>
  <w:num w:numId="27">
    <w:abstractNumId w:val="2"/>
  </w:num>
  <w:num w:numId="28">
    <w:abstractNumId w:val="22"/>
  </w:num>
  <w:num w:numId="29">
    <w:abstractNumId w:val="19"/>
  </w:num>
  <w:num w:numId="30">
    <w:abstractNumId w:val="15"/>
  </w:num>
  <w:num w:numId="31">
    <w:abstractNumId w:val="21"/>
  </w:num>
  <w:num w:numId="32">
    <w:abstractNumId w:val="27"/>
  </w:num>
  <w:num w:numId="33">
    <w:abstractNumId w:val="3"/>
  </w:num>
  <w:num w:numId="34">
    <w:abstractNumId w:val="5"/>
  </w:num>
  <w:num w:numId="3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02519"/>
    <w:rsid w:val="00010565"/>
    <w:rsid w:val="000112A7"/>
    <w:rsid w:val="00011D16"/>
    <w:rsid w:val="0001456D"/>
    <w:rsid w:val="00014A66"/>
    <w:rsid w:val="000220E1"/>
    <w:rsid w:val="0002519C"/>
    <w:rsid w:val="00026721"/>
    <w:rsid w:val="00027DF5"/>
    <w:rsid w:val="00031481"/>
    <w:rsid w:val="00036CEF"/>
    <w:rsid w:val="0003786A"/>
    <w:rsid w:val="00041F02"/>
    <w:rsid w:val="00042F9C"/>
    <w:rsid w:val="000431CA"/>
    <w:rsid w:val="000452B8"/>
    <w:rsid w:val="000520BE"/>
    <w:rsid w:val="000530A7"/>
    <w:rsid w:val="000553FE"/>
    <w:rsid w:val="000579E7"/>
    <w:rsid w:val="00064BEA"/>
    <w:rsid w:val="00064DA3"/>
    <w:rsid w:val="00072F75"/>
    <w:rsid w:val="000747AE"/>
    <w:rsid w:val="00074C29"/>
    <w:rsid w:val="00074C2C"/>
    <w:rsid w:val="00076DB2"/>
    <w:rsid w:val="00082F31"/>
    <w:rsid w:val="00082FD5"/>
    <w:rsid w:val="00083BF7"/>
    <w:rsid w:val="000915E7"/>
    <w:rsid w:val="000950CB"/>
    <w:rsid w:val="00096BE1"/>
    <w:rsid w:val="00096F9D"/>
    <w:rsid w:val="000A686F"/>
    <w:rsid w:val="000A7B4F"/>
    <w:rsid w:val="000B00A2"/>
    <w:rsid w:val="000B5A6A"/>
    <w:rsid w:val="000B7B24"/>
    <w:rsid w:val="000B7CBB"/>
    <w:rsid w:val="000C3107"/>
    <w:rsid w:val="000C337B"/>
    <w:rsid w:val="000C3411"/>
    <w:rsid w:val="000C354A"/>
    <w:rsid w:val="000C3DC6"/>
    <w:rsid w:val="000C3E54"/>
    <w:rsid w:val="000C55E3"/>
    <w:rsid w:val="000C77E8"/>
    <w:rsid w:val="000D1AD7"/>
    <w:rsid w:val="000D1C79"/>
    <w:rsid w:val="000D1CF8"/>
    <w:rsid w:val="000D4CB0"/>
    <w:rsid w:val="000D575F"/>
    <w:rsid w:val="000D590E"/>
    <w:rsid w:val="000D662C"/>
    <w:rsid w:val="000D7B99"/>
    <w:rsid w:val="000E1C49"/>
    <w:rsid w:val="000E2D9F"/>
    <w:rsid w:val="000E3EFF"/>
    <w:rsid w:val="000E4B11"/>
    <w:rsid w:val="000E5E74"/>
    <w:rsid w:val="000E62D3"/>
    <w:rsid w:val="000F55F6"/>
    <w:rsid w:val="000F593D"/>
    <w:rsid w:val="000F6E87"/>
    <w:rsid w:val="000F7D2E"/>
    <w:rsid w:val="001007E7"/>
    <w:rsid w:val="001010D0"/>
    <w:rsid w:val="00102E21"/>
    <w:rsid w:val="00102EA3"/>
    <w:rsid w:val="00103273"/>
    <w:rsid w:val="00104CCE"/>
    <w:rsid w:val="00114E43"/>
    <w:rsid w:val="001166D4"/>
    <w:rsid w:val="00116B08"/>
    <w:rsid w:val="00117426"/>
    <w:rsid w:val="001234C0"/>
    <w:rsid w:val="00125568"/>
    <w:rsid w:val="001302D2"/>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84F13"/>
    <w:rsid w:val="0019457B"/>
    <w:rsid w:val="00194B8C"/>
    <w:rsid w:val="001A06DA"/>
    <w:rsid w:val="001A231F"/>
    <w:rsid w:val="001A286F"/>
    <w:rsid w:val="001A4170"/>
    <w:rsid w:val="001A50AE"/>
    <w:rsid w:val="001A5994"/>
    <w:rsid w:val="001A64CB"/>
    <w:rsid w:val="001B1502"/>
    <w:rsid w:val="001B4E70"/>
    <w:rsid w:val="001B72D4"/>
    <w:rsid w:val="001C3886"/>
    <w:rsid w:val="001D230E"/>
    <w:rsid w:val="001D2514"/>
    <w:rsid w:val="001D32E4"/>
    <w:rsid w:val="001E172A"/>
    <w:rsid w:val="001E2581"/>
    <w:rsid w:val="001E717C"/>
    <w:rsid w:val="001F0D91"/>
    <w:rsid w:val="001F5102"/>
    <w:rsid w:val="001F5FE3"/>
    <w:rsid w:val="001F686F"/>
    <w:rsid w:val="001F7501"/>
    <w:rsid w:val="001F7B60"/>
    <w:rsid w:val="0020432E"/>
    <w:rsid w:val="00205202"/>
    <w:rsid w:val="00205C0D"/>
    <w:rsid w:val="00210CA6"/>
    <w:rsid w:val="002125F1"/>
    <w:rsid w:val="002152F3"/>
    <w:rsid w:val="0021567D"/>
    <w:rsid w:val="002169B7"/>
    <w:rsid w:val="00221EC6"/>
    <w:rsid w:val="0022231F"/>
    <w:rsid w:val="00231312"/>
    <w:rsid w:val="002315E4"/>
    <w:rsid w:val="00233DA8"/>
    <w:rsid w:val="00234B3A"/>
    <w:rsid w:val="002403A0"/>
    <w:rsid w:val="002419FB"/>
    <w:rsid w:val="00241BAB"/>
    <w:rsid w:val="00245A9D"/>
    <w:rsid w:val="00250450"/>
    <w:rsid w:val="00252904"/>
    <w:rsid w:val="002533F5"/>
    <w:rsid w:val="00254E17"/>
    <w:rsid w:val="00266332"/>
    <w:rsid w:val="00275348"/>
    <w:rsid w:val="00276FA2"/>
    <w:rsid w:val="002811AB"/>
    <w:rsid w:val="00283571"/>
    <w:rsid w:val="00291BF9"/>
    <w:rsid w:val="002A43CF"/>
    <w:rsid w:val="002B0D80"/>
    <w:rsid w:val="002C1693"/>
    <w:rsid w:val="002C1CC2"/>
    <w:rsid w:val="002D0DE9"/>
    <w:rsid w:val="002E36C5"/>
    <w:rsid w:val="0030081A"/>
    <w:rsid w:val="003016E1"/>
    <w:rsid w:val="00302486"/>
    <w:rsid w:val="003037D6"/>
    <w:rsid w:val="00303BBC"/>
    <w:rsid w:val="00305369"/>
    <w:rsid w:val="00313008"/>
    <w:rsid w:val="00323263"/>
    <w:rsid w:val="00335633"/>
    <w:rsid w:val="003375F7"/>
    <w:rsid w:val="00342F09"/>
    <w:rsid w:val="0034362D"/>
    <w:rsid w:val="003453C0"/>
    <w:rsid w:val="00345602"/>
    <w:rsid w:val="003514F7"/>
    <w:rsid w:val="00352F9A"/>
    <w:rsid w:val="00361A15"/>
    <w:rsid w:val="00367065"/>
    <w:rsid w:val="00367AC1"/>
    <w:rsid w:val="00370139"/>
    <w:rsid w:val="00370582"/>
    <w:rsid w:val="00370EA2"/>
    <w:rsid w:val="003800DD"/>
    <w:rsid w:val="00380A0E"/>
    <w:rsid w:val="00385613"/>
    <w:rsid w:val="00385E62"/>
    <w:rsid w:val="00392115"/>
    <w:rsid w:val="00393AD0"/>
    <w:rsid w:val="00396DB3"/>
    <w:rsid w:val="003976E9"/>
    <w:rsid w:val="003A0D70"/>
    <w:rsid w:val="003A0DC8"/>
    <w:rsid w:val="003A14CD"/>
    <w:rsid w:val="003A518E"/>
    <w:rsid w:val="003A7686"/>
    <w:rsid w:val="003B0B4E"/>
    <w:rsid w:val="003B3640"/>
    <w:rsid w:val="003B40F5"/>
    <w:rsid w:val="003B609D"/>
    <w:rsid w:val="003C11BA"/>
    <w:rsid w:val="003C256D"/>
    <w:rsid w:val="003C28A2"/>
    <w:rsid w:val="003C74DF"/>
    <w:rsid w:val="003C796D"/>
    <w:rsid w:val="003D288C"/>
    <w:rsid w:val="003D50FE"/>
    <w:rsid w:val="003D5C49"/>
    <w:rsid w:val="003D6F20"/>
    <w:rsid w:val="003D759C"/>
    <w:rsid w:val="003E4D05"/>
    <w:rsid w:val="003F42BE"/>
    <w:rsid w:val="003F5A47"/>
    <w:rsid w:val="00400F5D"/>
    <w:rsid w:val="004014E6"/>
    <w:rsid w:val="00403500"/>
    <w:rsid w:val="004044EC"/>
    <w:rsid w:val="0040475F"/>
    <w:rsid w:val="004153A7"/>
    <w:rsid w:val="004165AD"/>
    <w:rsid w:val="00420C01"/>
    <w:rsid w:val="00421E11"/>
    <w:rsid w:val="0042314C"/>
    <w:rsid w:val="00423F99"/>
    <w:rsid w:val="00427390"/>
    <w:rsid w:val="00431048"/>
    <w:rsid w:val="0043705A"/>
    <w:rsid w:val="004450B9"/>
    <w:rsid w:val="004501E7"/>
    <w:rsid w:val="00450705"/>
    <w:rsid w:val="00451A3D"/>
    <w:rsid w:val="00455415"/>
    <w:rsid w:val="00463B25"/>
    <w:rsid w:val="00465878"/>
    <w:rsid w:val="0046634C"/>
    <w:rsid w:val="004678DD"/>
    <w:rsid w:val="00475909"/>
    <w:rsid w:val="0047642B"/>
    <w:rsid w:val="00486B21"/>
    <w:rsid w:val="0049098D"/>
    <w:rsid w:val="004975EA"/>
    <w:rsid w:val="004A0486"/>
    <w:rsid w:val="004A0E10"/>
    <w:rsid w:val="004A5D11"/>
    <w:rsid w:val="004B1439"/>
    <w:rsid w:val="004B1446"/>
    <w:rsid w:val="004B182F"/>
    <w:rsid w:val="004B1C9D"/>
    <w:rsid w:val="004B316D"/>
    <w:rsid w:val="004B62C4"/>
    <w:rsid w:val="004C035D"/>
    <w:rsid w:val="004D68AA"/>
    <w:rsid w:val="004D6BFF"/>
    <w:rsid w:val="004E0F90"/>
    <w:rsid w:val="004E35EC"/>
    <w:rsid w:val="004E46F8"/>
    <w:rsid w:val="004E64BA"/>
    <w:rsid w:val="004E6BBE"/>
    <w:rsid w:val="00500157"/>
    <w:rsid w:val="00505D9C"/>
    <w:rsid w:val="00506220"/>
    <w:rsid w:val="0050749B"/>
    <w:rsid w:val="00507D4A"/>
    <w:rsid w:val="00512271"/>
    <w:rsid w:val="00514249"/>
    <w:rsid w:val="00520297"/>
    <w:rsid w:val="0052057F"/>
    <w:rsid w:val="005224D8"/>
    <w:rsid w:val="0052394E"/>
    <w:rsid w:val="0052470D"/>
    <w:rsid w:val="00527CA3"/>
    <w:rsid w:val="00530DFD"/>
    <w:rsid w:val="00532341"/>
    <w:rsid w:val="00536EA6"/>
    <w:rsid w:val="00537E8B"/>
    <w:rsid w:val="00540251"/>
    <w:rsid w:val="00543FEC"/>
    <w:rsid w:val="00545000"/>
    <w:rsid w:val="005456D4"/>
    <w:rsid w:val="00546640"/>
    <w:rsid w:val="005504CA"/>
    <w:rsid w:val="00553043"/>
    <w:rsid w:val="0055355A"/>
    <w:rsid w:val="0055444D"/>
    <w:rsid w:val="0056265C"/>
    <w:rsid w:val="005626F6"/>
    <w:rsid w:val="0057025A"/>
    <w:rsid w:val="0057105F"/>
    <w:rsid w:val="0057310A"/>
    <w:rsid w:val="005736BF"/>
    <w:rsid w:val="00593E55"/>
    <w:rsid w:val="005A0D50"/>
    <w:rsid w:val="005A208E"/>
    <w:rsid w:val="005A5C2E"/>
    <w:rsid w:val="005B39A1"/>
    <w:rsid w:val="005C0D72"/>
    <w:rsid w:val="005C3423"/>
    <w:rsid w:val="005D223B"/>
    <w:rsid w:val="005D370A"/>
    <w:rsid w:val="005D39DB"/>
    <w:rsid w:val="005D5C09"/>
    <w:rsid w:val="005D6571"/>
    <w:rsid w:val="005E29A7"/>
    <w:rsid w:val="005E2D59"/>
    <w:rsid w:val="005E67FE"/>
    <w:rsid w:val="005E7D86"/>
    <w:rsid w:val="005F02F2"/>
    <w:rsid w:val="005F074F"/>
    <w:rsid w:val="005F08B9"/>
    <w:rsid w:val="005F213F"/>
    <w:rsid w:val="005F2CCA"/>
    <w:rsid w:val="00600205"/>
    <w:rsid w:val="006039A3"/>
    <w:rsid w:val="006047B1"/>
    <w:rsid w:val="00605E4A"/>
    <w:rsid w:val="006100DD"/>
    <w:rsid w:val="00611B14"/>
    <w:rsid w:val="00611D57"/>
    <w:rsid w:val="00612D9D"/>
    <w:rsid w:val="0061300C"/>
    <w:rsid w:val="00623A5A"/>
    <w:rsid w:val="00625406"/>
    <w:rsid w:val="00626403"/>
    <w:rsid w:val="00626DAB"/>
    <w:rsid w:val="00632205"/>
    <w:rsid w:val="006373B1"/>
    <w:rsid w:val="006433CA"/>
    <w:rsid w:val="006460CC"/>
    <w:rsid w:val="00646656"/>
    <w:rsid w:val="006516EB"/>
    <w:rsid w:val="00653868"/>
    <w:rsid w:val="00653934"/>
    <w:rsid w:val="0065509A"/>
    <w:rsid w:val="00655831"/>
    <w:rsid w:val="006559A6"/>
    <w:rsid w:val="006601D1"/>
    <w:rsid w:val="00660780"/>
    <w:rsid w:val="00665BBC"/>
    <w:rsid w:val="006668CD"/>
    <w:rsid w:val="00666DB8"/>
    <w:rsid w:val="00670C8F"/>
    <w:rsid w:val="00676689"/>
    <w:rsid w:val="00681FAC"/>
    <w:rsid w:val="006849E7"/>
    <w:rsid w:val="006909A3"/>
    <w:rsid w:val="006912C7"/>
    <w:rsid w:val="0069363B"/>
    <w:rsid w:val="00696BE5"/>
    <w:rsid w:val="00696CFA"/>
    <w:rsid w:val="0069739B"/>
    <w:rsid w:val="006A2DCD"/>
    <w:rsid w:val="006A4F7E"/>
    <w:rsid w:val="006A5A1E"/>
    <w:rsid w:val="006A5A52"/>
    <w:rsid w:val="006B0D96"/>
    <w:rsid w:val="006B5DA3"/>
    <w:rsid w:val="006C3AD6"/>
    <w:rsid w:val="006C7F7B"/>
    <w:rsid w:val="006D0A86"/>
    <w:rsid w:val="006D7D46"/>
    <w:rsid w:val="006E0D19"/>
    <w:rsid w:val="006E2BD9"/>
    <w:rsid w:val="006E3544"/>
    <w:rsid w:val="006E63FB"/>
    <w:rsid w:val="006F547F"/>
    <w:rsid w:val="006F5762"/>
    <w:rsid w:val="007011EC"/>
    <w:rsid w:val="00701E9E"/>
    <w:rsid w:val="00702CE9"/>
    <w:rsid w:val="007035E0"/>
    <w:rsid w:val="007054B4"/>
    <w:rsid w:val="007071E2"/>
    <w:rsid w:val="00711FBB"/>
    <w:rsid w:val="00712EA6"/>
    <w:rsid w:val="007131DC"/>
    <w:rsid w:val="00713894"/>
    <w:rsid w:val="00713F6A"/>
    <w:rsid w:val="00717140"/>
    <w:rsid w:val="00720B5D"/>
    <w:rsid w:val="007225F5"/>
    <w:rsid w:val="00723EA8"/>
    <w:rsid w:val="0073355B"/>
    <w:rsid w:val="00735D4D"/>
    <w:rsid w:val="00740D11"/>
    <w:rsid w:val="00743451"/>
    <w:rsid w:val="00743DDB"/>
    <w:rsid w:val="0074441F"/>
    <w:rsid w:val="00750ECD"/>
    <w:rsid w:val="00751AF4"/>
    <w:rsid w:val="0075254C"/>
    <w:rsid w:val="0075277B"/>
    <w:rsid w:val="007629CB"/>
    <w:rsid w:val="00762B2A"/>
    <w:rsid w:val="0076305E"/>
    <w:rsid w:val="007633CA"/>
    <w:rsid w:val="007670CF"/>
    <w:rsid w:val="00771538"/>
    <w:rsid w:val="007865C2"/>
    <w:rsid w:val="0078774A"/>
    <w:rsid w:val="0079016E"/>
    <w:rsid w:val="007971B8"/>
    <w:rsid w:val="007A6AF1"/>
    <w:rsid w:val="007A6D17"/>
    <w:rsid w:val="007A7AD2"/>
    <w:rsid w:val="007B1CB9"/>
    <w:rsid w:val="007B5246"/>
    <w:rsid w:val="007B680A"/>
    <w:rsid w:val="007C41B9"/>
    <w:rsid w:val="007C570C"/>
    <w:rsid w:val="007C78C0"/>
    <w:rsid w:val="007D0FA3"/>
    <w:rsid w:val="007D1CB6"/>
    <w:rsid w:val="007D22CD"/>
    <w:rsid w:val="007D55E6"/>
    <w:rsid w:val="007E02EB"/>
    <w:rsid w:val="007E348B"/>
    <w:rsid w:val="007E4EA9"/>
    <w:rsid w:val="007E7FB6"/>
    <w:rsid w:val="007F584C"/>
    <w:rsid w:val="008020BB"/>
    <w:rsid w:val="008036DA"/>
    <w:rsid w:val="00803C36"/>
    <w:rsid w:val="00804AF0"/>
    <w:rsid w:val="008052FE"/>
    <w:rsid w:val="008060EC"/>
    <w:rsid w:val="00806994"/>
    <w:rsid w:val="00807374"/>
    <w:rsid w:val="008129A3"/>
    <w:rsid w:val="008144D7"/>
    <w:rsid w:val="00820B0D"/>
    <w:rsid w:val="00823286"/>
    <w:rsid w:val="0082548B"/>
    <w:rsid w:val="008345F6"/>
    <w:rsid w:val="00834693"/>
    <w:rsid w:val="0084300D"/>
    <w:rsid w:val="00850C00"/>
    <w:rsid w:val="00851100"/>
    <w:rsid w:val="008516E7"/>
    <w:rsid w:val="00856481"/>
    <w:rsid w:val="00862CE3"/>
    <w:rsid w:val="00863472"/>
    <w:rsid w:val="008636A0"/>
    <w:rsid w:val="00865B51"/>
    <w:rsid w:val="00866350"/>
    <w:rsid w:val="00866C75"/>
    <w:rsid w:val="008675F8"/>
    <w:rsid w:val="00877BC5"/>
    <w:rsid w:val="008819F8"/>
    <w:rsid w:val="0088414C"/>
    <w:rsid w:val="0088466C"/>
    <w:rsid w:val="00886FA2"/>
    <w:rsid w:val="008930F5"/>
    <w:rsid w:val="0089592C"/>
    <w:rsid w:val="008A1765"/>
    <w:rsid w:val="008A7284"/>
    <w:rsid w:val="008A7595"/>
    <w:rsid w:val="008A7867"/>
    <w:rsid w:val="008A7F37"/>
    <w:rsid w:val="008B56DD"/>
    <w:rsid w:val="008B71F2"/>
    <w:rsid w:val="008C018C"/>
    <w:rsid w:val="008C037D"/>
    <w:rsid w:val="008C28EE"/>
    <w:rsid w:val="008C2DB4"/>
    <w:rsid w:val="008C3ED8"/>
    <w:rsid w:val="008C5805"/>
    <w:rsid w:val="008C78BE"/>
    <w:rsid w:val="008C79AD"/>
    <w:rsid w:val="008D46D8"/>
    <w:rsid w:val="008D6545"/>
    <w:rsid w:val="008D7B74"/>
    <w:rsid w:val="008E29C9"/>
    <w:rsid w:val="008E6F7E"/>
    <w:rsid w:val="008E7CC5"/>
    <w:rsid w:val="008F2D90"/>
    <w:rsid w:val="008F4A71"/>
    <w:rsid w:val="008F5697"/>
    <w:rsid w:val="008F66AB"/>
    <w:rsid w:val="0090051D"/>
    <w:rsid w:val="009028F1"/>
    <w:rsid w:val="00907060"/>
    <w:rsid w:val="00910E23"/>
    <w:rsid w:val="009117CA"/>
    <w:rsid w:val="00912D45"/>
    <w:rsid w:val="00921EAA"/>
    <w:rsid w:val="00932987"/>
    <w:rsid w:val="00934100"/>
    <w:rsid w:val="0093564D"/>
    <w:rsid w:val="00935890"/>
    <w:rsid w:val="00942343"/>
    <w:rsid w:val="00951C81"/>
    <w:rsid w:val="00951E70"/>
    <w:rsid w:val="00953CD6"/>
    <w:rsid w:val="00961669"/>
    <w:rsid w:val="00963204"/>
    <w:rsid w:val="00967EEB"/>
    <w:rsid w:val="00973B47"/>
    <w:rsid w:val="0097518E"/>
    <w:rsid w:val="00980266"/>
    <w:rsid w:val="00981AE8"/>
    <w:rsid w:val="00981E04"/>
    <w:rsid w:val="009825CE"/>
    <w:rsid w:val="0098476E"/>
    <w:rsid w:val="00990150"/>
    <w:rsid w:val="009924BF"/>
    <w:rsid w:val="00995A44"/>
    <w:rsid w:val="009979FA"/>
    <w:rsid w:val="00997C33"/>
    <w:rsid w:val="009A13BA"/>
    <w:rsid w:val="009A6D83"/>
    <w:rsid w:val="009B3394"/>
    <w:rsid w:val="009B352D"/>
    <w:rsid w:val="009C10DF"/>
    <w:rsid w:val="009C3410"/>
    <w:rsid w:val="009C3816"/>
    <w:rsid w:val="009C5760"/>
    <w:rsid w:val="009D0FB7"/>
    <w:rsid w:val="009D1AD1"/>
    <w:rsid w:val="009D3AC3"/>
    <w:rsid w:val="009D6D5F"/>
    <w:rsid w:val="009E2A39"/>
    <w:rsid w:val="009E7AD6"/>
    <w:rsid w:val="009F0DD4"/>
    <w:rsid w:val="009F3165"/>
    <w:rsid w:val="009F4D59"/>
    <w:rsid w:val="00A01E02"/>
    <w:rsid w:val="00A10FC0"/>
    <w:rsid w:val="00A110C8"/>
    <w:rsid w:val="00A20A46"/>
    <w:rsid w:val="00A216B5"/>
    <w:rsid w:val="00A22AD1"/>
    <w:rsid w:val="00A25626"/>
    <w:rsid w:val="00A25B2E"/>
    <w:rsid w:val="00A30FDD"/>
    <w:rsid w:val="00A332DE"/>
    <w:rsid w:val="00A33C6C"/>
    <w:rsid w:val="00A36B64"/>
    <w:rsid w:val="00A37D94"/>
    <w:rsid w:val="00A4020A"/>
    <w:rsid w:val="00A452A5"/>
    <w:rsid w:val="00A461EB"/>
    <w:rsid w:val="00A537F4"/>
    <w:rsid w:val="00A53B23"/>
    <w:rsid w:val="00A56EDC"/>
    <w:rsid w:val="00A66B15"/>
    <w:rsid w:val="00A713BC"/>
    <w:rsid w:val="00A76D42"/>
    <w:rsid w:val="00A77F96"/>
    <w:rsid w:val="00A810AB"/>
    <w:rsid w:val="00AA0603"/>
    <w:rsid w:val="00AA2770"/>
    <w:rsid w:val="00AA2E09"/>
    <w:rsid w:val="00AA705E"/>
    <w:rsid w:val="00AC2CDE"/>
    <w:rsid w:val="00AC2FE1"/>
    <w:rsid w:val="00AD43A5"/>
    <w:rsid w:val="00AD4BD9"/>
    <w:rsid w:val="00AD6B44"/>
    <w:rsid w:val="00AE26DB"/>
    <w:rsid w:val="00AE2C86"/>
    <w:rsid w:val="00AE43AF"/>
    <w:rsid w:val="00AE43FC"/>
    <w:rsid w:val="00AE491D"/>
    <w:rsid w:val="00AF12FC"/>
    <w:rsid w:val="00AF20E1"/>
    <w:rsid w:val="00AF2F30"/>
    <w:rsid w:val="00B00372"/>
    <w:rsid w:val="00B0162E"/>
    <w:rsid w:val="00B017F1"/>
    <w:rsid w:val="00B2122A"/>
    <w:rsid w:val="00B22440"/>
    <w:rsid w:val="00B22BA0"/>
    <w:rsid w:val="00B22F0F"/>
    <w:rsid w:val="00B23EC5"/>
    <w:rsid w:val="00B243B2"/>
    <w:rsid w:val="00B27A24"/>
    <w:rsid w:val="00B30118"/>
    <w:rsid w:val="00B3077D"/>
    <w:rsid w:val="00B31B3A"/>
    <w:rsid w:val="00B34BA7"/>
    <w:rsid w:val="00B35DFB"/>
    <w:rsid w:val="00B37417"/>
    <w:rsid w:val="00B45ACE"/>
    <w:rsid w:val="00B4644E"/>
    <w:rsid w:val="00B51EAE"/>
    <w:rsid w:val="00B522C9"/>
    <w:rsid w:val="00B61253"/>
    <w:rsid w:val="00B66D4E"/>
    <w:rsid w:val="00B713C0"/>
    <w:rsid w:val="00B7164F"/>
    <w:rsid w:val="00B75A8D"/>
    <w:rsid w:val="00B75F04"/>
    <w:rsid w:val="00B82D2D"/>
    <w:rsid w:val="00B85220"/>
    <w:rsid w:val="00B908A6"/>
    <w:rsid w:val="00B95455"/>
    <w:rsid w:val="00B962A5"/>
    <w:rsid w:val="00BA0435"/>
    <w:rsid w:val="00BB02BB"/>
    <w:rsid w:val="00BB1493"/>
    <w:rsid w:val="00BB53D7"/>
    <w:rsid w:val="00BC1861"/>
    <w:rsid w:val="00BC1ED8"/>
    <w:rsid w:val="00BC39FA"/>
    <w:rsid w:val="00BC70D6"/>
    <w:rsid w:val="00BC7604"/>
    <w:rsid w:val="00BD0D2E"/>
    <w:rsid w:val="00BD2669"/>
    <w:rsid w:val="00BD7A55"/>
    <w:rsid w:val="00BE2F56"/>
    <w:rsid w:val="00BE37B1"/>
    <w:rsid w:val="00BE3854"/>
    <w:rsid w:val="00BE5ACC"/>
    <w:rsid w:val="00BF0444"/>
    <w:rsid w:val="00BF16FF"/>
    <w:rsid w:val="00BF2CFC"/>
    <w:rsid w:val="00BF51C8"/>
    <w:rsid w:val="00C01E84"/>
    <w:rsid w:val="00C02DF1"/>
    <w:rsid w:val="00C115E0"/>
    <w:rsid w:val="00C12924"/>
    <w:rsid w:val="00C1601F"/>
    <w:rsid w:val="00C17185"/>
    <w:rsid w:val="00C21F3E"/>
    <w:rsid w:val="00C32066"/>
    <w:rsid w:val="00C34DE9"/>
    <w:rsid w:val="00C34E86"/>
    <w:rsid w:val="00C35C95"/>
    <w:rsid w:val="00C51267"/>
    <w:rsid w:val="00C55261"/>
    <w:rsid w:val="00C56C58"/>
    <w:rsid w:val="00C56E9D"/>
    <w:rsid w:val="00C602B9"/>
    <w:rsid w:val="00C62E34"/>
    <w:rsid w:val="00C64758"/>
    <w:rsid w:val="00C64A82"/>
    <w:rsid w:val="00C65673"/>
    <w:rsid w:val="00C6586B"/>
    <w:rsid w:val="00C67AC3"/>
    <w:rsid w:val="00C67B99"/>
    <w:rsid w:val="00C73CFC"/>
    <w:rsid w:val="00C756F3"/>
    <w:rsid w:val="00C759E1"/>
    <w:rsid w:val="00C81877"/>
    <w:rsid w:val="00C835D5"/>
    <w:rsid w:val="00C84D08"/>
    <w:rsid w:val="00C857F3"/>
    <w:rsid w:val="00C94EB3"/>
    <w:rsid w:val="00C96CE0"/>
    <w:rsid w:val="00CA07E0"/>
    <w:rsid w:val="00CA09BE"/>
    <w:rsid w:val="00CA546A"/>
    <w:rsid w:val="00CB384B"/>
    <w:rsid w:val="00CB59F4"/>
    <w:rsid w:val="00CC1634"/>
    <w:rsid w:val="00CC1B05"/>
    <w:rsid w:val="00CC4B57"/>
    <w:rsid w:val="00CC6B53"/>
    <w:rsid w:val="00CD3061"/>
    <w:rsid w:val="00CD4145"/>
    <w:rsid w:val="00CD590F"/>
    <w:rsid w:val="00CD5E1F"/>
    <w:rsid w:val="00CD6874"/>
    <w:rsid w:val="00CE2E61"/>
    <w:rsid w:val="00CE5846"/>
    <w:rsid w:val="00CE6F2B"/>
    <w:rsid w:val="00CE75ED"/>
    <w:rsid w:val="00CF04B2"/>
    <w:rsid w:val="00CF070D"/>
    <w:rsid w:val="00CF2541"/>
    <w:rsid w:val="00CF3CA7"/>
    <w:rsid w:val="00CF5CF0"/>
    <w:rsid w:val="00D027F2"/>
    <w:rsid w:val="00D0463E"/>
    <w:rsid w:val="00D06A59"/>
    <w:rsid w:val="00D15458"/>
    <w:rsid w:val="00D15893"/>
    <w:rsid w:val="00D16B29"/>
    <w:rsid w:val="00D16BAE"/>
    <w:rsid w:val="00D22E0C"/>
    <w:rsid w:val="00D26327"/>
    <w:rsid w:val="00D36285"/>
    <w:rsid w:val="00D36F94"/>
    <w:rsid w:val="00D36FAA"/>
    <w:rsid w:val="00D37106"/>
    <w:rsid w:val="00D37F4F"/>
    <w:rsid w:val="00D411ED"/>
    <w:rsid w:val="00D413C4"/>
    <w:rsid w:val="00D42FFF"/>
    <w:rsid w:val="00D5116C"/>
    <w:rsid w:val="00D52A61"/>
    <w:rsid w:val="00D55967"/>
    <w:rsid w:val="00D57F37"/>
    <w:rsid w:val="00D61A9F"/>
    <w:rsid w:val="00D62356"/>
    <w:rsid w:val="00D7174B"/>
    <w:rsid w:val="00D71BD4"/>
    <w:rsid w:val="00D72348"/>
    <w:rsid w:val="00D72DA8"/>
    <w:rsid w:val="00D72FBA"/>
    <w:rsid w:val="00D75304"/>
    <w:rsid w:val="00D822D0"/>
    <w:rsid w:val="00D8363D"/>
    <w:rsid w:val="00D84FD4"/>
    <w:rsid w:val="00D914EA"/>
    <w:rsid w:val="00D94614"/>
    <w:rsid w:val="00D95B5F"/>
    <w:rsid w:val="00D95FB4"/>
    <w:rsid w:val="00DA0410"/>
    <w:rsid w:val="00DA1056"/>
    <w:rsid w:val="00DA2126"/>
    <w:rsid w:val="00DA2230"/>
    <w:rsid w:val="00DA31D4"/>
    <w:rsid w:val="00DA5A5A"/>
    <w:rsid w:val="00DA70F1"/>
    <w:rsid w:val="00DA72F3"/>
    <w:rsid w:val="00DC0C97"/>
    <w:rsid w:val="00DC6BD6"/>
    <w:rsid w:val="00DD138A"/>
    <w:rsid w:val="00DD42D7"/>
    <w:rsid w:val="00DD6A76"/>
    <w:rsid w:val="00DE5952"/>
    <w:rsid w:val="00DF0114"/>
    <w:rsid w:val="00DF0DFA"/>
    <w:rsid w:val="00DF13D9"/>
    <w:rsid w:val="00DF1937"/>
    <w:rsid w:val="00DF25BF"/>
    <w:rsid w:val="00DF6AC9"/>
    <w:rsid w:val="00DF7B47"/>
    <w:rsid w:val="00E03189"/>
    <w:rsid w:val="00E0419E"/>
    <w:rsid w:val="00E101B9"/>
    <w:rsid w:val="00E115E8"/>
    <w:rsid w:val="00E217E8"/>
    <w:rsid w:val="00E23EAD"/>
    <w:rsid w:val="00E24238"/>
    <w:rsid w:val="00E26A71"/>
    <w:rsid w:val="00E26CFC"/>
    <w:rsid w:val="00E33DB6"/>
    <w:rsid w:val="00E36EC3"/>
    <w:rsid w:val="00E40451"/>
    <w:rsid w:val="00E426DA"/>
    <w:rsid w:val="00E43543"/>
    <w:rsid w:val="00E470F3"/>
    <w:rsid w:val="00E52379"/>
    <w:rsid w:val="00E527F1"/>
    <w:rsid w:val="00E53492"/>
    <w:rsid w:val="00E55131"/>
    <w:rsid w:val="00E56473"/>
    <w:rsid w:val="00E66073"/>
    <w:rsid w:val="00E70DA9"/>
    <w:rsid w:val="00E724F7"/>
    <w:rsid w:val="00E7390B"/>
    <w:rsid w:val="00E75A3F"/>
    <w:rsid w:val="00E77A67"/>
    <w:rsid w:val="00E77B9C"/>
    <w:rsid w:val="00E8206B"/>
    <w:rsid w:val="00E83C31"/>
    <w:rsid w:val="00E91ED5"/>
    <w:rsid w:val="00E933A0"/>
    <w:rsid w:val="00E95B28"/>
    <w:rsid w:val="00EA7708"/>
    <w:rsid w:val="00EB30CF"/>
    <w:rsid w:val="00EB5431"/>
    <w:rsid w:val="00EB6A53"/>
    <w:rsid w:val="00EB6B2A"/>
    <w:rsid w:val="00EC2BF5"/>
    <w:rsid w:val="00EC3328"/>
    <w:rsid w:val="00EC3F20"/>
    <w:rsid w:val="00EC66B3"/>
    <w:rsid w:val="00EC7192"/>
    <w:rsid w:val="00ED73B3"/>
    <w:rsid w:val="00EE0C16"/>
    <w:rsid w:val="00EE1ADD"/>
    <w:rsid w:val="00EE1D15"/>
    <w:rsid w:val="00EE201B"/>
    <w:rsid w:val="00EE2194"/>
    <w:rsid w:val="00EE2B44"/>
    <w:rsid w:val="00EE5159"/>
    <w:rsid w:val="00EE6E3B"/>
    <w:rsid w:val="00EF0134"/>
    <w:rsid w:val="00EF4739"/>
    <w:rsid w:val="00F01A93"/>
    <w:rsid w:val="00F01E9B"/>
    <w:rsid w:val="00F03E9E"/>
    <w:rsid w:val="00F14266"/>
    <w:rsid w:val="00F1564F"/>
    <w:rsid w:val="00F21965"/>
    <w:rsid w:val="00F21C16"/>
    <w:rsid w:val="00F24740"/>
    <w:rsid w:val="00F25F13"/>
    <w:rsid w:val="00F30127"/>
    <w:rsid w:val="00F43BCF"/>
    <w:rsid w:val="00F603BF"/>
    <w:rsid w:val="00F64758"/>
    <w:rsid w:val="00F649F0"/>
    <w:rsid w:val="00F65977"/>
    <w:rsid w:val="00F6650D"/>
    <w:rsid w:val="00F66FF8"/>
    <w:rsid w:val="00F72754"/>
    <w:rsid w:val="00F72BF6"/>
    <w:rsid w:val="00F733E7"/>
    <w:rsid w:val="00F76151"/>
    <w:rsid w:val="00F83D4D"/>
    <w:rsid w:val="00F9728A"/>
    <w:rsid w:val="00F97947"/>
    <w:rsid w:val="00FA014D"/>
    <w:rsid w:val="00FA59C6"/>
    <w:rsid w:val="00FB21E7"/>
    <w:rsid w:val="00FB5F9A"/>
    <w:rsid w:val="00FC691D"/>
    <w:rsid w:val="00FE28A5"/>
    <w:rsid w:val="00FE6973"/>
    <w:rsid w:val="00FF43EA"/>
    <w:rsid w:val="00FF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E26CFC"/>
    <w:pPr>
      <w:numPr>
        <w:numId w:val="35"/>
      </w:numPr>
      <w:tabs>
        <w:tab w:val="right" w:leader="dot" w:pos="9350"/>
      </w:tabs>
      <w:spacing w:before="120"/>
    </w:pPr>
  </w:style>
  <w:style w:type="paragraph" w:styleId="TOC2">
    <w:name w:val="toc 2"/>
    <w:basedOn w:val="Normal"/>
    <w:next w:val="Normal"/>
    <w:autoRedefine/>
    <w:uiPriority w:val="39"/>
    <w:unhideWhenUsed/>
    <w:rsid w:val="0098476E"/>
    <w:pPr>
      <w:numPr>
        <w:numId w:val="33"/>
      </w:numPr>
      <w:tabs>
        <w:tab w:val="right" w:leader="dot" w:pos="9350"/>
      </w:tabs>
      <w:spacing w:before="120" w:after="120"/>
      <w:ind w:left="144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1A4170"/>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customStyle="1" w:styleId="xxmsonormal">
    <w:name w:val="x_xmsonormal"/>
    <w:basedOn w:val="Normal"/>
    <w:rsid w:val="00951C81"/>
    <w:rPr>
      <w:rFonts w:ascii="Calibri" w:eastAsiaTheme="minorHAnsi" w:hAnsi="Calibri" w:cs="Calibri"/>
      <w:sz w:val="22"/>
    </w:rPr>
  </w:style>
  <w:style w:type="paragraph" w:customStyle="1" w:styleId="xmsonormal">
    <w:name w:val="x_msonormal"/>
    <w:basedOn w:val="Normal"/>
    <w:rsid w:val="00951C81"/>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60125443">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18844789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484509578">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0437019">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49946715">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27692644">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4315917">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81760332">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07091095">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3562597">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Thinking@hud.gov" TargetMode="External"/><Relationship Id="rId18" Type="http://schemas.openxmlformats.org/officeDocument/2006/relationships/hyperlink" Target="https://www.hud.gov/program_offices/administration/hudclips/handbooks/hsgh/42321" TargetMode="External"/><Relationship Id="rId26"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ud.gov/sites/dfiles/Housing/documents/Master_Lease_Term_Chklst.docx" TargetMode="External"/><Relationship Id="rId34"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gister.gotowebinar.com/register/5286203830838941968?utm_medium=email&amp;utm_source=govdelivery" TargetMode="External"/><Relationship Id="rId17" Type="http://schemas.openxmlformats.org/officeDocument/2006/relationships/hyperlink" Target="https://www.hud.gov/sites/dfiles/OCHCO/documents/92435_orcf.docx" TargetMode="External"/><Relationship Id="rId25" Type="http://schemas.openxmlformats.org/officeDocument/2006/relationships/hyperlink" Target="https://www.hud.gov/federal_housing_administration/healthcare_facilities/residential_care/loan_servicing" TargetMode="External"/><Relationship Id="rId33"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ud.gov/federal_housing_administration/healthcare_facilities/residential_care/232_healthcare_portal/232HCP_Training" TargetMode="External"/><Relationship Id="rId20" Type="http://schemas.openxmlformats.org/officeDocument/2006/relationships/hyperlink" Target="https://www.hud.gov/sites/dfiles/Housing/documents/Prepay_9807_Checklist.docx" TargetMode="External"/><Relationship Id="rId29"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ud.gov/sites/dfiles/Housing/documents/AprEmailBlast04302020.docx" TargetMode="External"/><Relationship Id="rId32" Type="http://schemas.openxmlformats.org/officeDocument/2006/relationships/image" Target="media/image3.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LeanThinking@hud.gov" TargetMode="External"/><Relationship Id="rId23" Type="http://schemas.openxmlformats.org/officeDocument/2006/relationships/hyperlink" Target="https://www.hud.gov/sites/dfiles/Housing/documents/Act_Plan_Tool_SAMPLE.docx" TargetMode="External"/><Relationship Id="rId28"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ud.gov/program_offices/administration/hudclips/handbooks/hsgh/42321" TargetMode="External"/><Relationship Id="rId31"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sites/dfiles/OCHCO/documents/2021-01hsgml.pdf" TargetMode="External"/><Relationship Id="rId22" Type="http://schemas.openxmlformats.org/officeDocument/2006/relationships/hyperlink" Target="https://www.hud.gov/sites/dfiles/Housing/documents/FebEmailBlast02262020.docx" TargetMode="External"/><Relationship Id="rId27" Type="http://schemas.openxmlformats.org/officeDocument/2006/relationships/hyperlink" Target="mailto:LeanThinking@hud.gov" TargetMode="External"/><Relationship Id="rId30" Type="http://schemas.openxmlformats.org/officeDocument/2006/relationships/image" Target="media/image2.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customXml/itemProps2.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4.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19108</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9</cp:revision>
  <cp:lastPrinted>2014-08-11T13:53:00Z</cp:lastPrinted>
  <dcterms:created xsi:type="dcterms:W3CDTF">2021-04-28T13:09:00Z</dcterms:created>
  <dcterms:modified xsi:type="dcterms:W3CDTF">2021-04-28T15:11:00Z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