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90" w:tblpY="147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950"/>
        <w:gridCol w:w="4590"/>
      </w:tblGrid>
      <w:tr w:rsidR="004A1155" w:rsidRPr="00B43043" w14:paraId="38591B37" w14:textId="77777777" w:rsidTr="000A7A2B">
        <w:tc>
          <w:tcPr>
            <w:tcW w:w="4950" w:type="dxa"/>
          </w:tcPr>
          <w:p w14:paraId="01583DC1" w14:textId="7265E003" w:rsidR="004A1155" w:rsidRPr="003D07FA" w:rsidRDefault="004A1155" w:rsidP="0069302F">
            <w:pPr>
              <w:autoSpaceDE w:val="0"/>
              <w:autoSpaceDN w:val="0"/>
              <w:adjustRightInd w:val="0"/>
              <w:rPr>
                <w:sz w:val="28"/>
                <w:szCs w:val="28"/>
              </w:rPr>
            </w:pPr>
            <w:bookmarkStart w:id="0" w:name="_Hlk35944886"/>
            <w:r w:rsidRPr="0069302F">
              <w:rPr>
                <w:b/>
                <w:sz w:val="28"/>
                <w:szCs w:val="28"/>
              </w:rPr>
              <w:t xml:space="preserve">Section 18 Non-RAD PBV Rider to RAD Use Agreement  </w:t>
            </w:r>
          </w:p>
        </w:tc>
        <w:tc>
          <w:tcPr>
            <w:tcW w:w="4590" w:type="dxa"/>
          </w:tcPr>
          <w:p w14:paraId="4DD3E6C7" w14:textId="77777777" w:rsidR="004A1155" w:rsidRPr="00C753B8" w:rsidRDefault="004A1155" w:rsidP="004A1155">
            <w:pPr>
              <w:autoSpaceDE w:val="0"/>
              <w:autoSpaceDN w:val="0"/>
              <w:adjustRightInd w:val="0"/>
              <w:jc w:val="right"/>
              <w:rPr>
                <w:b/>
                <w:bCs/>
              </w:rPr>
            </w:pPr>
            <w:r w:rsidRPr="00C753B8">
              <w:rPr>
                <w:b/>
                <w:bCs/>
              </w:rPr>
              <w:t>U.S. Department of Housing</w:t>
            </w:r>
            <w:r w:rsidRPr="00C753B8">
              <w:rPr>
                <w:b/>
                <w:bCs/>
              </w:rPr>
              <w:br/>
              <w:t xml:space="preserve">    and Urban Development</w:t>
            </w:r>
          </w:p>
          <w:p w14:paraId="32F9E87F" w14:textId="05C094F5" w:rsidR="004A1155" w:rsidRPr="004A1155" w:rsidRDefault="004A1155" w:rsidP="00BC298A">
            <w:pPr>
              <w:autoSpaceDE w:val="0"/>
              <w:autoSpaceDN w:val="0"/>
              <w:adjustRightInd w:val="0"/>
              <w:jc w:val="right"/>
              <w:rPr>
                <w:b/>
                <w:sz w:val="18"/>
                <w:szCs w:val="18"/>
              </w:rPr>
            </w:pPr>
          </w:p>
        </w:tc>
      </w:tr>
    </w:tbl>
    <w:p w14:paraId="4D75E6F8" w14:textId="77777777" w:rsidR="009E140F" w:rsidRDefault="009E140F" w:rsidP="009E140F">
      <w:pPr>
        <w:autoSpaceDE w:val="0"/>
        <w:autoSpaceDN w:val="0"/>
        <w:adjustRightInd w:val="0"/>
        <w:rPr>
          <w:b/>
          <w:bCs/>
        </w:rPr>
      </w:pPr>
    </w:p>
    <w:bookmarkEnd w:id="0"/>
    <w:p w14:paraId="4E1CCB58" w14:textId="77777777" w:rsidR="0069302F" w:rsidRDefault="0069302F" w:rsidP="009E140F">
      <w:pPr>
        <w:autoSpaceDE w:val="0"/>
        <w:autoSpaceDN w:val="0"/>
        <w:adjustRightInd w:val="0"/>
        <w:rPr>
          <w:b/>
          <w:bCs/>
        </w:rPr>
      </w:pPr>
    </w:p>
    <w:p w14:paraId="3AB3582A" w14:textId="07FD34D4" w:rsidR="009E140F" w:rsidRPr="00900A53" w:rsidRDefault="009E140F" w:rsidP="003D07FA">
      <w:pPr>
        <w:pBdr>
          <w:top w:val="single" w:sz="4" w:space="1" w:color="auto"/>
          <w:left w:val="single" w:sz="4" w:space="4" w:color="auto"/>
          <w:bottom w:val="single" w:sz="4" w:space="1" w:color="auto"/>
          <w:right w:val="single" w:sz="4" w:space="4" w:color="auto"/>
        </w:pBdr>
        <w:tabs>
          <w:tab w:val="left" w:pos="10710"/>
        </w:tabs>
        <w:autoSpaceDE w:val="0"/>
        <w:autoSpaceDN w:val="0"/>
        <w:adjustRightInd w:val="0"/>
        <w:jc w:val="both"/>
        <w:rPr>
          <w:sz w:val="18"/>
          <w:szCs w:val="18"/>
        </w:rPr>
      </w:pPr>
      <w:r w:rsidRPr="00900A53">
        <w:rPr>
          <w:b/>
          <w:bCs/>
          <w:sz w:val="18"/>
          <w:szCs w:val="18"/>
        </w:rPr>
        <w:t>Public reporting burden</w:t>
      </w:r>
      <w:r w:rsidRPr="00900A53">
        <w:rPr>
          <w:sz w:val="18"/>
          <w:szCs w:val="18"/>
        </w:rPr>
        <w:t xml:space="preserve"> for this collection of information is estimated to average 15 minutes per response, including the time for reviewing instructions, searching existing data sources, gathering and maintaining the data needed, and completing and reviewing the collection of information. </w:t>
      </w:r>
      <w:r w:rsidR="00747F12" w:rsidRPr="00900A53">
        <w:rPr>
          <w:sz w:val="18"/>
          <w:szCs w:val="18"/>
        </w:rPr>
        <w:t xml:space="preserve">Send comments regarding this burden estimate or any other aspect of this collection of information, including suggestions for reducing this burden, to the Reports Management Officer, Paperwork Reduction Project (2577-0276), Office of Information Technology, U.S. Department of Housing and Urban Development, Washington, D.C. 20410-3600. </w:t>
      </w:r>
      <w:r w:rsidRPr="00900A53">
        <w:rPr>
          <w:sz w:val="18"/>
          <w:szCs w:val="18"/>
        </w:rPr>
        <w:t>This agency may not collect this information, and you are not required to complete this form, unless it displays a currently valid OMB control number.</w:t>
      </w:r>
    </w:p>
    <w:p w14:paraId="0D4A2531" w14:textId="77777777" w:rsidR="009E140F" w:rsidRPr="00900A53" w:rsidRDefault="009E140F" w:rsidP="003D07FA">
      <w:pPr>
        <w:pBdr>
          <w:top w:val="single" w:sz="4" w:space="1" w:color="auto"/>
          <w:left w:val="single" w:sz="4" w:space="4" w:color="auto"/>
          <w:bottom w:val="single" w:sz="4" w:space="1" w:color="auto"/>
          <w:right w:val="single" w:sz="4" w:space="4" w:color="auto"/>
        </w:pBdr>
        <w:tabs>
          <w:tab w:val="left" w:pos="10710"/>
        </w:tabs>
        <w:autoSpaceDE w:val="0"/>
        <w:autoSpaceDN w:val="0"/>
        <w:adjustRightInd w:val="0"/>
        <w:jc w:val="both"/>
        <w:rPr>
          <w:sz w:val="18"/>
          <w:szCs w:val="18"/>
        </w:rPr>
      </w:pPr>
    </w:p>
    <w:p w14:paraId="3AFE82D2" w14:textId="7A5A4CFC" w:rsidR="009E140F" w:rsidRPr="00900A53" w:rsidRDefault="009E140F" w:rsidP="003D07FA">
      <w:pPr>
        <w:pBdr>
          <w:top w:val="single" w:sz="4" w:space="1" w:color="auto"/>
          <w:left w:val="single" w:sz="4" w:space="4" w:color="auto"/>
          <w:bottom w:val="single" w:sz="4" w:space="1" w:color="auto"/>
          <w:right w:val="single" w:sz="4" w:space="4" w:color="auto"/>
        </w:pBdr>
        <w:tabs>
          <w:tab w:val="left" w:pos="10710"/>
        </w:tabs>
        <w:autoSpaceDE w:val="0"/>
        <w:autoSpaceDN w:val="0"/>
        <w:adjustRightInd w:val="0"/>
        <w:jc w:val="both"/>
        <w:rPr>
          <w:sz w:val="18"/>
          <w:szCs w:val="18"/>
        </w:rPr>
      </w:pPr>
      <w:r w:rsidRPr="00900A53">
        <w:rPr>
          <w:sz w:val="18"/>
          <w:szCs w:val="18"/>
        </w:rPr>
        <w:t xml:space="preserve">This collection of information is required to apply to the Rental Assistance Demonstration program as authorized by the Consolidated and Further Continuing Appropriations Act of 2012 and subsequent appropriations.  Requirements for RAD were established in </w:t>
      </w:r>
      <w:r w:rsidR="00AF7A01" w:rsidRPr="00900A53">
        <w:rPr>
          <w:sz w:val="18"/>
          <w:szCs w:val="18"/>
        </w:rPr>
        <w:t>Notice H-2019-09 PIH-2019-23 (HA)</w:t>
      </w:r>
      <w:r w:rsidRPr="00900A53">
        <w:rPr>
          <w:sz w:val="18"/>
          <w:szCs w:val="18"/>
        </w:rPr>
        <w:t xml:space="preserve"> and subsequent notices.  The information will be used to set out affordability and use restrictions for projects approved through Section 18 in conjunction with RAD and that will be preserved with project-based assistance.  There are no assurances of confidentiality.</w:t>
      </w:r>
    </w:p>
    <w:p w14:paraId="67905071" w14:textId="0DE78E41" w:rsidR="004E3535" w:rsidRDefault="004E3535" w:rsidP="00A6561C">
      <w:pPr>
        <w:tabs>
          <w:tab w:val="left" w:pos="10710"/>
        </w:tabs>
        <w:autoSpaceDE w:val="0"/>
        <w:autoSpaceDN w:val="0"/>
        <w:adjustRightInd w:val="0"/>
        <w:rPr>
          <w:b/>
          <w:bCs/>
        </w:rPr>
      </w:pPr>
    </w:p>
    <w:p w14:paraId="07490598" w14:textId="77777777" w:rsidR="003D07FA" w:rsidRDefault="003D07FA" w:rsidP="00A6561C">
      <w:pPr>
        <w:tabs>
          <w:tab w:val="left" w:pos="10710"/>
        </w:tabs>
        <w:autoSpaceDE w:val="0"/>
        <w:autoSpaceDN w:val="0"/>
        <w:adjustRightInd w:val="0"/>
        <w:rPr>
          <w:b/>
          <w:bCs/>
        </w:rPr>
      </w:pPr>
    </w:p>
    <w:p w14:paraId="4E47ED16" w14:textId="688F7F44" w:rsidR="00C82C33" w:rsidRDefault="00B67CFE" w:rsidP="003D07FA">
      <w:pPr>
        <w:tabs>
          <w:tab w:val="left" w:pos="10710"/>
        </w:tabs>
        <w:autoSpaceDE w:val="0"/>
        <w:autoSpaceDN w:val="0"/>
        <w:adjustRightInd w:val="0"/>
        <w:jc w:val="center"/>
        <w:rPr>
          <w:b/>
          <w:bCs/>
        </w:rPr>
      </w:pPr>
      <w:r>
        <w:rPr>
          <w:b/>
          <w:bCs/>
        </w:rPr>
        <w:t xml:space="preserve">Section 18 Non-RAD PBV </w:t>
      </w:r>
      <w:r w:rsidR="00C82C33">
        <w:rPr>
          <w:b/>
          <w:bCs/>
        </w:rPr>
        <w:t xml:space="preserve">Rider to </w:t>
      </w:r>
      <w:r w:rsidR="00BF6B1C">
        <w:rPr>
          <w:b/>
          <w:bCs/>
        </w:rPr>
        <w:t>the</w:t>
      </w:r>
      <w:r w:rsidR="00EF0897">
        <w:rPr>
          <w:b/>
          <w:bCs/>
        </w:rPr>
        <w:br/>
      </w:r>
      <w:r w:rsidR="00EF0897" w:rsidRPr="00EF0897">
        <w:rPr>
          <w:b/>
          <w:bCs/>
        </w:rPr>
        <w:t>Rental Assistance Demonstration (“RAD”)</w:t>
      </w:r>
      <w:r w:rsidR="00C82C33">
        <w:rPr>
          <w:b/>
          <w:bCs/>
        </w:rPr>
        <w:t xml:space="preserve"> Use Agreement</w:t>
      </w:r>
    </w:p>
    <w:p w14:paraId="385F3F48" w14:textId="77777777" w:rsidR="00C82C33" w:rsidRDefault="00C82C33" w:rsidP="0032477A">
      <w:pPr>
        <w:tabs>
          <w:tab w:val="left" w:pos="10710"/>
        </w:tabs>
        <w:autoSpaceDE w:val="0"/>
        <w:autoSpaceDN w:val="0"/>
        <w:adjustRightInd w:val="0"/>
      </w:pPr>
    </w:p>
    <w:p w14:paraId="6CD95CBA" w14:textId="60564FBF" w:rsidR="005729F0" w:rsidRDefault="00251657" w:rsidP="00251657">
      <w:pPr>
        <w:widowControl w:val="0"/>
      </w:pPr>
      <w:r w:rsidRPr="00251657">
        <w:rPr>
          <w:b/>
          <w:bCs/>
        </w:rPr>
        <w:t>Whereas</w:t>
      </w:r>
      <w:r w:rsidR="00605D39" w:rsidRPr="00251657">
        <w:t>, t</w:t>
      </w:r>
      <w:r w:rsidR="00605D39">
        <w:t>his Section 18 Non-RAD PBV Rider to RAD Use Agreement is part of t</w:t>
      </w:r>
      <w:r w:rsidR="00EA61DF">
        <w:t>he RAD Use Agreement to which it is appended</w:t>
      </w:r>
      <w:r w:rsidR="00EB5A45">
        <w:t>, and capitalized terms shall have the meaning ascribed to them in the RAD Use Agreement.</w:t>
      </w:r>
    </w:p>
    <w:p w14:paraId="1C512C83" w14:textId="77777777" w:rsidR="005729F0" w:rsidRDefault="005729F0" w:rsidP="00251657">
      <w:pPr>
        <w:widowControl w:val="0"/>
      </w:pPr>
    </w:p>
    <w:p w14:paraId="390B8247" w14:textId="10BC9B96" w:rsidR="00C82C33" w:rsidRDefault="00251657" w:rsidP="00251657">
      <w:pPr>
        <w:widowControl w:val="0"/>
      </w:pPr>
      <w:r w:rsidRPr="00251657">
        <w:rPr>
          <w:b/>
          <w:bCs/>
        </w:rPr>
        <w:t>Whereas</w:t>
      </w:r>
      <w:r w:rsidR="00C82C33" w:rsidRPr="00611168">
        <w:t xml:space="preserve">, </w:t>
      </w:r>
      <w:r w:rsidR="00313742">
        <w:t>____________________ (</w:t>
      </w:r>
      <w:r w:rsidR="001B64C3">
        <w:t xml:space="preserve">the </w:t>
      </w:r>
      <w:r w:rsidR="00313742">
        <w:t>“</w:t>
      </w:r>
      <w:r w:rsidR="00C82C33" w:rsidRPr="00611168">
        <w:t>PHA</w:t>
      </w:r>
      <w:r w:rsidR="00313742">
        <w:t>”)</w:t>
      </w:r>
      <w:r w:rsidR="00C82C33" w:rsidRPr="00611168">
        <w:t xml:space="preserve"> owned and operated </w:t>
      </w:r>
      <w:r w:rsidR="00575CDA">
        <w:t xml:space="preserve">__________ </w:t>
      </w:r>
      <w:r w:rsidR="00C82C33" w:rsidRPr="00611168">
        <w:t>(</w:t>
      </w:r>
      <w:r w:rsidR="003E1920">
        <w:t>___</w:t>
      </w:r>
      <w:r w:rsidR="00C82C33" w:rsidRPr="00611168">
        <w:t>) dwelling</w:t>
      </w:r>
      <w:r w:rsidR="00C82C33">
        <w:t xml:space="preserve"> units</w:t>
      </w:r>
      <w:r w:rsidR="00C82C33" w:rsidRPr="00611168">
        <w:t xml:space="preserve"> a</w:t>
      </w:r>
      <w:r w:rsidR="00575CDA">
        <w:t>t _________________________________________</w:t>
      </w:r>
      <w:r w:rsidR="009D58C1">
        <w:t>[common name of property]</w:t>
      </w:r>
      <w:r w:rsidR="00C82C33" w:rsidRPr="00611168">
        <w:t xml:space="preserve">, more particularly </w:t>
      </w:r>
      <w:r w:rsidR="006715A3">
        <w:t xml:space="preserve">described </w:t>
      </w:r>
      <w:r w:rsidR="00C82C33" w:rsidRPr="00611168">
        <w:t xml:space="preserve">in </w:t>
      </w:r>
      <w:r w:rsidR="00C82C33" w:rsidRPr="00611168">
        <w:rPr>
          <w:u w:val="single"/>
        </w:rPr>
        <w:t>Exhibit A</w:t>
      </w:r>
      <w:r w:rsidR="00BF6B1C">
        <w:t xml:space="preserve"> to the RAD Use Agreement</w:t>
      </w:r>
      <w:r w:rsidR="00C82C33" w:rsidRPr="00611168">
        <w:t xml:space="preserve"> (the “</w:t>
      </w:r>
      <w:r w:rsidR="00C82C33" w:rsidRPr="00611168">
        <w:rPr>
          <w:b/>
        </w:rPr>
        <w:t>Disposition Property</w:t>
      </w:r>
      <w:r w:rsidR="00C82C33" w:rsidRPr="00611168">
        <w:t>”);</w:t>
      </w:r>
    </w:p>
    <w:p w14:paraId="09919E76" w14:textId="77777777" w:rsidR="00C82C33" w:rsidRPr="00611168" w:rsidRDefault="00C82C33" w:rsidP="00251657"/>
    <w:p w14:paraId="3278BEFA" w14:textId="09BF2916" w:rsidR="00C82C33" w:rsidRPr="00611168" w:rsidRDefault="00251657" w:rsidP="00251657">
      <w:pPr>
        <w:widowControl w:val="0"/>
      </w:pPr>
      <w:r w:rsidRPr="00251657">
        <w:rPr>
          <w:b/>
          <w:bCs/>
        </w:rPr>
        <w:t>Whereas</w:t>
      </w:r>
      <w:r w:rsidR="00C82C33" w:rsidRPr="00611168">
        <w:t xml:space="preserve">, </w:t>
      </w:r>
      <w:r w:rsidR="001B64C3">
        <w:t xml:space="preserve">the </w:t>
      </w:r>
      <w:r w:rsidR="00C82C33" w:rsidRPr="00611168">
        <w:t>PHA owned and operated the Disposition Property as low-rent public housing with financial assistance provided by HUD under the U.S. Housing Act of 1937, as amended, 42 U.S.C. 1437 et. seq. (the “</w:t>
      </w:r>
      <w:r w:rsidR="00C82C33" w:rsidRPr="00611168">
        <w:rPr>
          <w:b/>
        </w:rPr>
        <w:t>Act</w:t>
      </w:r>
      <w:r w:rsidR="00C82C33" w:rsidRPr="00611168">
        <w:t>”);</w:t>
      </w:r>
    </w:p>
    <w:p w14:paraId="5D4359CE" w14:textId="77777777" w:rsidR="00C82C33" w:rsidRPr="00611168" w:rsidRDefault="00C82C33" w:rsidP="00251657"/>
    <w:p w14:paraId="7BD91DA2" w14:textId="3074F223" w:rsidR="00C82C33" w:rsidRPr="00611168" w:rsidRDefault="00251657" w:rsidP="00251657">
      <w:r w:rsidRPr="00251657">
        <w:rPr>
          <w:b/>
          <w:bCs/>
        </w:rPr>
        <w:t>Whereas</w:t>
      </w:r>
      <w:r w:rsidR="00C82C33" w:rsidRPr="00611168">
        <w:t>, construction and/or operation of the Disposition Property was financed in part by HUD</w:t>
      </w:r>
      <w:r w:rsidR="00C82C33">
        <w:t xml:space="preserve"> under the Act;</w:t>
      </w:r>
    </w:p>
    <w:p w14:paraId="5352BBF9" w14:textId="77777777" w:rsidR="00C82C33" w:rsidRPr="00611168" w:rsidRDefault="00C82C33" w:rsidP="00251657"/>
    <w:p w14:paraId="4742AF6C" w14:textId="5906BE47" w:rsidR="00C82C33" w:rsidRDefault="00251657" w:rsidP="00251657">
      <w:pPr>
        <w:widowControl w:val="0"/>
      </w:pPr>
      <w:bookmarkStart w:id="1" w:name="_Hlk11130553"/>
      <w:r w:rsidRPr="00251657">
        <w:rPr>
          <w:b/>
          <w:bCs/>
        </w:rPr>
        <w:t>Whereas</w:t>
      </w:r>
      <w:r w:rsidR="00C82C33" w:rsidRPr="00611168">
        <w:t xml:space="preserve">, </w:t>
      </w:r>
      <w:r w:rsidR="0032477A">
        <w:t xml:space="preserve">the </w:t>
      </w:r>
      <w:r w:rsidR="00C82C33" w:rsidRPr="00611168">
        <w:t xml:space="preserve">PHA requested HUD approval of the conveyance of the Disposition Property </w:t>
      </w:r>
      <w:r w:rsidR="00C82C33">
        <w:t xml:space="preserve">in accordance with RAD and </w:t>
      </w:r>
      <w:bookmarkStart w:id="2" w:name="_Hlk11130265"/>
      <w:r w:rsidR="00C82C33">
        <w:t>Section 18 of the Act</w:t>
      </w:r>
      <w:bookmarkEnd w:id="2"/>
      <w:r w:rsidR="00C82C33">
        <w:t>, and specifically based on</w:t>
      </w:r>
      <w:r w:rsidR="00C82C33" w:rsidRPr="00DE6D45">
        <w:t xml:space="preserve"> Section 3</w:t>
      </w:r>
      <w:r w:rsidR="00C82C33">
        <w:t>) A.</w:t>
      </w:r>
      <w:r w:rsidR="0083702E">
        <w:t>2</w:t>
      </w:r>
      <w:r w:rsidR="00C82C33">
        <w:t>.</w:t>
      </w:r>
      <w:r w:rsidR="0083702E">
        <w:t>e</w:t>
      </w:r>
      <w:r w:rsidR="00C82C33" w:rsidRPr="00DE6D45">
        <w:t xml:space="preserve"> of PIH Notice </w:t>
      </w:r>
      <w:r w:rsidR="0083702E">
        <w:t>2021-07</w:t>
      </w:r>
      <w:r w:rsidR="00C82C33">
        <w:t>: “</w:t>
      </w:r>
      <w:bookmarkEnd w:id="1"/>
      <w:r w:rsidR="0083702E">
        <w:t xml:space="preserve">Blending Section 18 Disposition Approvals with </w:t>
      </w:r>
      <w:r w:rsidR="00C82C33" w:rsidRPr="00DE6D45">
        <w:rPr>
          <w:bCs/>
        </w:rPr>
        <w:t>Rental Assistance</w:t>
      </w:r>
      <w:r w:rsidR="00C82C33">
        <w:t xml:space="preserve"> </w:t>
      </w:r>
      <w:r w:rsidR="00C82C33" w:rsidRPr="00DE6D45">
        <w:rPr>
          <w:bCs/>
        </w:rPr>
        <w:t>Demonstration (RAD)</w:t>
      </w:r>
      <w:r w:rsidR="0083702E">
        <w:rPr>
          <w:bCs/>
        </w:rPr>
        <w:t xml:space="preserve"> Conversion</w:t>
      </w:r>
      <w:r w:rsidR="00C82C33">
        <w:rPr>
          <w:bCs/>
        </w:rPr>
        <w:t>”</w:t>
      </w:r>
      <w:r w:rsidR="00E11F69">
        <w:rPr>
          <w:bCs/>
        </w:rPr>
        <w:t xml:space="preserve"> as amended or replaced from time to time.</w:t>
      </w:r>
      <w:r w:rsidR="00C82C33">
        <w:rPr>
          <w:bCs/>
        </w:rPr>
        <w:t xml:space="preserve">  Specifically, t</w:t>
      </w:r>
      <w:r w:rsidR="00C82C33" w:rsidRPr="00DE6D45">
        <w:t xml:space="preserve">he PHA is converting </w:t>
      </w:r>
      <w:r w:rsidR="001F21E6">
        <w:t xml:space="preserve">a portion </w:t>
      </w:r>
      <w:r w:rsidR="00C82C33" w:rsidRPr="00DE6D45">
        <w:t>of the</w:t>
      </w:r>
      <w:r w:rsidR="001F21E6">
        <w:t xml:space="preserve"> </w:t>
      </w:r>
      <w:r w:rsidR="00C82C33" w:rsidRPr="00DE6D45">
        <w:t xml:space="preserve">public housing units </w:t>
      </w:r>
      <w:r w:rsidR="00C82C33">
        <w:t xml:space="preserve">at the Disposition Property under </w:t>
      </w:r>
      <w:r w:rsidR="00C82C33" w:rsidRPr="00DE6D45">
        <w:t xml:space="preserve">RAD </w:t>
      </w:r>
      <w:r w:rsidR="00C82C33">
        <w:t xml:space="preserve">and is </w:t>
      </w:r>
      <w:r w:rsidR="00C82C33" w:rsidRPr="00DE6D45">
        <w:t>replacing the units</w:t>
      </w:r>
      <w:r w:rsidR="00C82C33">
        <w:t xml:space="preserve"> </w:t>
      </w:r>
      <w:r w:rsidR="00C82C33" w:rsidRPr="00DE6D45">
        <w:t>proposed for disposition</w:t>
      </w:r>
      <w:r w:rsidR="00C82C33">
        <w:t xml:space="preserve"> under Section 18 of the Act</w:t>
      </w:r>
      <w:r w:rsidR="00C82C33" w:rsidRPr="00DE6D45">
        <w:t xml:space="preserve"> with Section 8 project-based</w:t>
      </w:r>
      <w:r w:rsidR="00C82C33">
        <w:t xml:space="preserve"> </w:t>
      </w:r>
      <w:r w:rsidR="00C82C33" w:rsidRPr="00DE6D45">
        <w:t>voucher (</w:t>
      </w:r>
      <w:r w:rsidR="00CC48CB">
        <w:t>“</w:t>
      </w:r>
      <w:r w:rsidR="00C82C33" w:rsidRPr="00CC48CB">
        <w:rPr>
          <w:b/>
          <w:bCs/>
        </w:rPr>
        <w:t>PBV</w:t>
      </w:r>
      <w:r w:rsidR="00CC48CB">
        <w:t>”</w:t>
      </w:r>
      <w:r w:rsidR="00C82C33" w:rsidRPr="00DE6D45">
        <w:t>) assistance in accordance with 24 CFR part 983. The</w:t>
      </w:r>
      <w:r w:rsidR="00C82C33">
        <w:t xml:space="preserve"> </w:t>
      </w:r>
      <w:r w:rsidR="00C82C33" w:rsidRPr="00DE6D45">
        <w:t>aggregate number of replacement units (RAD and PBVs) meet</w:t>
      </w:r>
      <w:r w:rsidR="00C82C33">
        <w:t>s</w:t>
      </w:r>
      <w:r w:rsidR="00C82C33" w:rsidRPr="00DE6D45">
        <w:t xml:space="preserve"> the RAD</w:t>
      </w:r>
      <w:r w:rsidR="00597189">
        <w:t xml:space="preserve"> </w:t>
      </w:r>
      <w:r w:rsidR="00C82C33" w:rsidRPr="00DE6D45">
        <w:t xml:space="preserve">“substantial conversion of assistance” requirements. </w:t>
      </w:r>
    </w:p>
    <w:p w14:paraId="6450A583" w14:textId="77777777" w:rsidR="00C82C33" w:rsidRDefault="00C82C33" w:rsidP="00251657">
      <w:pPr>
        <w:autoSpaceDE w:val="0"/>
        <w:autoSpaceDN w:val="0"/>
        <w:adjustRightInd w:val="0"/>
        <w:rPr>
          <w:sz w:val="20"/>
          <w:szCs w:val="20"/>
        </w:rPr>
      </w:pPr>
    </w:p>
    <w:p w14:paraId="04EA8648" w14:textId="5BD31CEF" w:rsidR="00C82C33" w:rsidRDefault="00251657" w:rsidP="00251657">
      <w:pPr>
        <w:autoSpaceDE w:val="0"/>
        <w:autoSpaceDN w:val="0"/>
        <w:adjustRightInd w:val="0"/>
      </w:pPr>
      <w:r w:rsidRPr="00251657">
        <w:rPr>
          <w:b/>
          <w:bCs/>
        </w:rPr>
        <w:lastRenderedPageBreak/>
        <w:t>Whereas</w:t>
      </w:r>
      <w:r w:rsidR="00C82C33" w:rsidRPr="00611168">
        <w:t xml:space="preserve">, </w:t>
      </w:r>
      <w:r w:rsidR="00C82C33">
        <w:t xml:space="preserve">as part of the RAD conversion, </w:t>
      </w:r>
      <w:r w:rsidR="00C40D2A">
        <w:t xml:space="preserve">the </w:t>
      </w:r>
      <w:r w:rsidR="00C82C33">
        <w:t xml:space="preserve">Project Owner will own and operate the </w:t>
      </w:r>
      <w:r w:rsidR="0083702E" w:rsidRPr="006B0358">
        <w:t>Project</w:t>
      </w:r>
      <w:r w:rsidR="0083702E">
        <w:t xml:space="preserve"> containing a total of </w:t>
      </w:r>
      <w:r w:rsidR="00575CDA">
        <w:t xml:space="preserve">_____ </w:t>
      </w:r>
      <w:r w:rsidR="00E53852">
        <w:t>(</w:t>
      </w:r>
      <w:r w:rsidR="00575CDA">
        <w:rPr>
          <w:bCs/>
        </w:rPr>
        <w:t xml:space="preserve">  </w:t>
      </w:r>
      <w:r w:rsidR="00E53852">
        <w:rPr>
          <w:bCs/>
        </w:rPr>
        <w:t>)</w:t>
      </w:r>
      <w:r w:rsidR="00C82C33" w:rsidRPr="00440D0A">
        <w:t xml:space="preserve"> dwelling units, of which</w:t>
      </w:r>
      <w:r w:rsidR="001B64C3">
        <w:t xml:space="preserve"> </w:t>
      </w:r>
      <w:r w:rsidR="00575CDA">
        <w:t>_______</w:t>
      </w:r>
      <w:r w:rsidR="003C2159">
        <w:t xml:space="preserve"> (</w:t>
      </w:r>
      <w:r w:rsidR="001B64C3">
        <w:t>____</w:t>
      </w:r>
      <w:r w:rsidR="003C2159">
        <w:t>)</w:t>
      </w:r>
      <w:r w:rsidR="00C82C33" w:rsidRPr="00440D0A">
        <w:t xml:space="preserve"> </w:t>
      </w:r>
      <w:r w:rsidR="0083702E">
        <w:t xml:space="preserve">dwelling units </w:t>
      </w:r>
      <w:r w:rsidR="00AA6915" w:rsidRPr="00440D0A">
        <w:t>(</w:t>
      </w:r>
      <w:r w:rsidR="00AA6915">
        <w:t xml:space="preserve">the </w:t>
      </w:r>
      <w:r w:rsidR="00AA6915" w:rsidRPr="00440D0A">
        <w:t>“</w:t>
      </w:r>
      <w:r w:rsidR="00AA6915" w:rsidRPr="00C41F7D">
        <w:rPr>
          <w:b/>
          <w:bCs/>
        </w:rPr>
        <w:t>RAD Units</w:t>
      </w:r>
      <w:r w:rsidR="00AA6915" w:rsidRPr="00440D0A">
        <w:t xml:space="preserve">”) </w:t>
      </w:r>
      <w:r w:rsidR="00F302FD">
        <w:t xml:space="preserve">will be </w:t>
      </w:r>
      <w:r w:rsidR="00C82C33" w:rsidRPr="00440D0A">
        <w:t xml:space="preserve">subject to </w:t>
      </w:r>
      <w:r w:rsidR="0083702E">
        <w:t xml:space="preserve">the RAD </w:t>
      </w:r>
      <w:r w:rsidR="0083702E" w:rsidRPr="006B0358">
        <w:t>HAP</w:t>
      </w:r>
      <w:r w:rsidR="0083702E">
        <w:t xml:space="preserve"> Contract </w:t>
      </w:r>
      <w:r w:rsidR="00C82C33">
        <w:t xml:space="preserve">and </w:t>
      </w:r>
      <w:r w:rsidR="00575CDA">
        <w:t>_____</w:t>
      </w:r>
      <w:r w:rsidR="003C2159">
        <w:t xml:space="preserve"> (</w:t>
      </w:r>
      <w:r w:rsidR="00B41E4B">
        <w:rPr>
          <w:bCs/>
        </w:rPr>
        <w:t>____</w:t>
      </w:r>
      <w:r w:rsidR="003C2159">
        <w:rPr>
          <w:bCs/>
        </w:rPr>
        <w:t>)</w:t>
      </w:r>
      <w:r w:rsidR="00C82C33" w:rsidRPr="00440D0A">
        <w:t xml:space="preserve"> dwelling units</w:t>
      </w:r>
      <w:r w:rsidR="00C82C33">
        <w:t xml:space="preserve"> </w:t>
      </w:r>
      <w:r w:rsidR="00AA6915">
        <w:t>(the “</w:t>
      </w:r>
      <w:r w:rsidR="00AA6915" w:rsidRPr="00653AE3">
        <w:rPr>
          <w:b/>
          <w:bCs/>
        </w:rPr>
        <w:t xml:space="preserve">Non-RAD </w:t>
      </w:r>
      <w:r w:rsidR="00AA6915">
        <w:rPr>
          <w:b/>
          <w:bCs/>
        </w:rPr>
        <w:t xml:space="preserve">PBV </w:t>
      </w:r>
      <w:r w:rsidR="00AA6915" w:rsidRPr="00653AE3">
        <w:rPr>
          <w:b/>
          <w:bCs/>
        </w:rPr>
        <w:t>Units</w:t>
      </w:r>
      <w:r w:rsidR="00AA6915">
        <w:t xml:space="preserve">”) </w:t>
      </w:r>
      <w:r w:rsidR="00C82C33">
        <w:t>will be subject to a non-RAD Section 8 PBV H</w:t>
      </w:r>
      <w:r w:rsidR="00AA6915">
        <w:t xml:space="preserve">ousing Assistance Payments </w:t>
      </w:r>
      <w:r w:rsidR="00C82C33">
        <w:t>contrac</w:t>
      </w:r>
      <w:r w:rsidR="00EA31C8">
        <w:t>t</w:t>
      </w:r>
      <w:r w:rsidR="00DE0945">
        <w:t xml:space="preserve"> </w:t>
      </w:r>
      <w:r w:rsidR="00C82C33">
        <w:t>in accordance with HUD’s disposition approval</w:t>
      </w:r>
      <w:r w:rsidR="00AA6915">
        <w:t xml:space="preserve"> under Section 18 of the Act</w:t>
      </w:r>
      <w:r>
        <w:t>.</w:t>
      </w:r>
    </w:p>
    <w:p w14:paraId="342E3D04" w14:textId="77777777" w:rsidR="00C82C33" w:rsidRDefault="00C82C33" w:rsidP="0032477A">
      <w:pPr>
        <w:autoSpaceDE w:val="0"/>
        <w:autoSpaceDN w:val="0"/>
        <w:adjustRightInd w:val="0"/>
        <w:rPr>
          <w:b/>
          <w:bCs/>
        </w:rPr>
      </w:pPr>
    </w:p>
    <w:p w14:paraId="49179713" w14:textId="211BF2B0" w:rsidR="00266144" w:rsidRDefault="00C82C33" w:rsidP="0032477A">
      <w:pPr>
        <w:autoSpaceDE w:val="0"/>
        <w:autoSpaceDN w:val="0"/>
        <w:adjustRightInd w:val="0"/>
      </w:pPr>
      <w:r w:rsidRPr="0070599F">
        <w:rPr>
          <w:b/>
          <w:bCs/>
        </w:rPr>
        <w:t xml:space="preserve">Now Therefore, </w:t>
      </w:r>
      <w:r w:rsidRPr="0070599F">
        <w:t>in consideration of the foregoing</w:t>
      </w:r>
      <w:r w:rsidR="00D55399">
        <w:t xml:space="preserve"> </w:t>
      </w:r>
      <w:r w:rsidRPr="0070599F">
        <w:t xml:space="preserve">and other </w:t>
      </w:r>
      <w:r w:rsidR="00D55399">
        <w:t xml:space="preserve">good and </w:t>
      </w:r>
      <w:r w:rsidRPr="0070599F">
        <w:t>valuable consideration, the parties hereby agr</w:t>
      </w:r>
      <w:r>
        <w:t xml:space="preserve">ee </w:t>
      </w:r>
      <w:r w:rsidR="00266144">
        <w:t>as follows:</w:t>
      </w:r>
    </w:p>
    <w:p w14:paraId="4839FC5D" w14:textId="73935EFD" w:rsidR="00830768" w:rsidRDefault="00830768" w:rsidP="0032477A">
      <w:pPr>
        <w:autoSpaceDE w:val="0"/>
        <w:autoSpaceDN w:val="0"/>
        <w:adjustRightInd w:val="0"/>
      </w:pPr>
    </w:p>
    <w:p w14:paraId="77AFFCA1" w14:textId="67DC7B44" w:rsidR="00830768" w:rsidRPr="006D4794" w:rsidRDefault="006D4794" w:rsidP="001F1C03">
      <w:pPr>
        <w:pStyle w:val="ListParagraph"/>
        <w:numPr>
          <w:ilvl w:val="0"/>
          <w:numId w:val="13"/>
        </w:numPr>
        <w:tabs>
          <w:tab w:val="left" w:pos="360"/>
        </w:tabs>
        <w:autoSpaceDE w:val="0"/>
        <w:autoSpaceDN w:val="0"/>
        <w:adjustRightInd w:val="0"/>
        <w:ind w:left="0" w:firstLine="0"/>
        <w:rPr>
          <w:rFonts w:ascii="Times New Roman" w:eastAsia="Times New Roman" w:hAnsi="Times New Roman"/>
          <w:sz w:val="24"/>
          <w:szCs w:val="24"/>
        </w:rPr>
      </w:pPr>
      <w:r w:rsidRPr="00300F8C">
        <w:rPr>
          <w:rFonts w:ascii="Times New Roman" w:hAnsi="Times New Roman"/>
          <w:b/>
          <w:bCs/>
          <w:sz w:val="24"/>
          <w:szCs w:val="24"/>
        </w:rPr>
        <w:t xml:space="preserve">Applicability of RAD Use Agreement. </w:t>
      </w:r>
      <w:r w:rsidRPr="00300F8C">
        <w:rPr>
          <w:rFonts w:ascii="Times New Roman" w:hAnsi="Times New Roman"/>
          <w:sz w:val="24"/>
          <w:szCs w:val="24"/>
        </w:rPr>
        <w:t xml:space="preserve"> Except as noted or clarified in this Rider, all terms and conditions </w:t>
      </w:r>
      <w:r>
        <w:rPr>
          <w:rFonts w:ascii="Times New Roman" w:hAnsi="Times New Roman"/>
          <w:sz w:val="24"/>
          <w:szCs w:val="24"/>
        </w:rPr>
        <w:t xml:space="preserve">of the </w:t>
      </w:r>
      <w:r w:rsidRPr="00300F8C">
        <w:rPr>
          <w:rFonts w:ascii="Times New Roman" w:hAnsi="Times New Roman"/>
          <w:sz w:val="24"/>
          <w:szCs w:val="24"/>
        </w:rPr>
        <w:t xml:space="preserve">RAD Use Agreement </w:t>
      </w:r>
      <w:r w:rsidR="00A9103D">
        <w:rPr>
          <w:rFonts w:ascii="Times New Roman" w:hAnsi="Times New Roman"/>
          <w:sz w:val="24"/>
          <w:szCs w:val="24"/>
        </w:rPr>
        <w:t xml:space="preserve">applicable to </w:t>
      </w:r>
      <w:r w:rsidR="0066442D">
        <w:rPr>
          <w:rFonts w:ascii="Times New Roman" w:hAnsi="Times New Roman"/>
          <w:sz w:val="24"/>
          <w:szCs w:val="24"/>
        </w:rPr>
        <w:t xml:space="preserve">the Project, the Project Owner and the </w:t>
      </w:r>
      <w:r w:rsidR="00A9103D">
        <w:rPr>
          <w:rFonts w:ascii="Times New Roman" w:hAnsi="Times New Roman"/>
          <w:sz w:val="24"/>
          <w:szCs w:val="24"/>
        </w:rPr>
        <w:t xml:space="preserve">Assisted Units also </w:t>
      </w:r>
      <w:r w:rsidRPr="00300F8C">
        <w:rPr>
          <w:rFonts w:ascii="Times New Roman" w:hAnsi="Times New Roman"/>
          <w:sz w:val="24"/>
          <w:szCs w:val="24"/>
        </w:rPr>
        <w:t>apply to the Non-RAD</w:t>
      </w:r>
      <w:r>
        <w:rPr>
          <w:rFonts w:ascii="Times New Roman" w:hAnsi="Times New Roman"/>
          <w:sz w:val="24"/>
          <w:szCs w:val="24"/>
        </w:rPr>
        <w:t xml:space="preserve"> PBV</w:t>
      </w:r>
      <w:r w:rsidRPr="00300F8C">
        <w:rPr>
          <w:rFonts w:ascii="Times New Roman" w:hAnsi="Times New Roman"/>
          <w:sz w:val="24"/>
          <w:szCs w:val="24"/>
        </w:rPr>
        <w:t xml:space="preserve"> Units.</w:t>
      </w:r>
    </w:p>
    <w:p w14:paraId="2266ACA5" w14:textId="77777777" w:rsidR="006D4794" w:rsidRPr="006D4794" w:rsidRDefault="006D4794" w:rsidP="001F1C03">
      <w:pPr>
        <w:pStyle w:val="ListParagraph"/>
        <w:tabs>
          <w:tab w:val="left" w:pos="360"/>
        </w:tabs>
        <w:autoSpaceDE w:val="0"/>
        <w:autoSpaceDN w:val="0"/>
        <w:adjustRightInd w:val="0"/>
        <w:ind w:left="0"/>
        <w:rPr>
          <w:rFonts w:ascii="Times New Roman" w:eastAsia="Times New Roman" w:hAnsi="Times New Roman"/>
          <w:sz w:val="24"/>
          <w:szCs w:val="24"/>
        </w:rPr>
      </w:pPr>
    </w:p>
    <w:p w14:paraId="769794FB" w14:textId="5A912763" w:rsidR="00FA6AC8" w:rsidRPr="009958C9" w:rsidRDefault="00FA6AC8" w:rsidP="001F1C03">
      <w:pPr>
        <w:pStyle w:val="ListParagraph"/>
        <w:numPr>
          <w:ilvl w:val="0"/>
          <w:numId w:val="13"/>
        </w:numPr>
        <w:tabs>
          <w:tab w:val="left" w:pos="360"/>
        </w:tabs>
        <w:autoSpaceDE w:val="0"/>
        <w:autoSpaceDN w:val="0"/>
        <w:adjustRightInd w:val="0"/>
        <w:ind w:left="0" w:firstLine="0"/>
        <w:rPr>
          <w:rFonts w:ascii="Times New Roman" w:hAnsi="Times New Roman"/>
          <w:sz w:val="24"/>
          <w:szCs w:val="24"/>
        </w:rPr>
      </w:pPr>
      <w:r w:rsidRPr="009958C9">
        <w:rPr>
          <w:rFonts w:ascii="Times New Roman" w:hAnsi="Times New Roman"/>
          <w:b/>
          <w:bCs/>
          <w:sz w:val="24"/>
          <w:szCs w:val="24"/>
        </w:rPr>
        <w:t>Section 18 Disposition Approval Use Restriction</w:t>
      </w:r>
      <w:r w:rsidRPr="009958C9">
        <w:rPr>
          <w:rFonts w:ascii="Times New Roman" w:hAnsi="Times New Roman"/>
          <w:sz w:val="24"/>
          <w:szCs w:val="24"/>
        </w:rPr>
        <w:t xml:space="preserve">.  </w:t>
      </w:r>
      <w:r w:rsidR="00C0253A" w:rsidRPr="009958C9">
        <w:rPr>
          <w:rFonts w:ascii="Times New Roman" w:hAnsi="Times New Roman"/>
          <w:sz w:val="24"/>
          <w:szCs w:val="24"/>
        </w:rPr>
        <w:t xml:space="preserve">In accordance with </w:t>
      </w:r>
      <w:r w:rsidRPr="009958C9">
        <w:rPr>
          <w:rFonts w:ascii="Times New Roman" w:hAnsi="Times New Roman"/>
          <w:sz w:val="24"/>
          <w:szCs w:val="24"/>
        </w:rPr>
        <w:t xml:space="preserve">the terms and conditions of </w:t>
      </w:r>
      <w:r w:rsidR="00653AE3" w:rsidRPr="009958C9">
        <w:rPr>
          <w:rFonts w:ascii="Times New Roman" w:hAnsi="Times New Roman"/>
          <w:sz w:val="24"/>
          <w:szCs w:val="24"/>
        </w:rPr>
        <w:t>HUD</w:t>
      </w:r>
      <w:r w:rsidR="00762A5E" w:rsidRPr="009958C9">
        <w:rPr>
          <w:rFonts w:ascii="Times New Roman" w:hAnsi="Times New Roman"/>
          <w:sz w:val="24"/>
          <w:szCs w:val="24"/>
        </w:rPr>
        <w:t>’s</w:t>
      </w:r>
      <w:r w:rsidR="00653AE3" w:rsidRPr="009958C9">
        <w:rPr>
          <w:rFonts w:ascii="Times New Roman" w:hAnsi="Times New Roman"/>
          <w:sz w:val="24"/>
          <w:szCs w:val="24"/>
        </w:rPr>
        <w:t xml:space="preserve"> approval of the conveyance of the </w:t>
      </w:r>
      <w:r w:rsidR="00762A5E" w:rsidRPr="009958C9">
        <w:rPr>
          <w:rFonts w:ascii="Times New Roman" w:hAnsi="Times New Roman"/>
          <w:sz w:val="24"/>
          <w:szCs w:val="24"/>
        </w:rPr>
        <w:t xml:space="preserve">Non-RAD </w:t>
      </w:r>
      <w:r w:rsidR="00AA6915">
        <w:rPr>
          <w:rFonts w:ascii="Times New Roman" w:hAnsi="Times New Roman"/>
          <w:sz w:val="24"/>
          <w:szCs w:val="24"/>
        </w:rPr>
        <w:t xml:space="preserve">PBV </w:t>
      </w:r>
      <w:r w:rsidR="00762A5E" w:rsidRPr="009958C9">
        <w:rPr>
          <w:rFonts w:ascii="Times New Roman" w:hAnsi="Times New Roman"/>
          <w:sz w:val="24"/>
          <w:szCs w:val="24"/>
        </w:rPr>
        <w:t xml:space="preserve">Units </w:t>
      </w:r>
      <w:r w:rsidRPr="009958C9">
        <w:rPr>
          <w:rFonts w:ascii="Times New Roman" w:hAnsi="Times New Roman"/>
          <w:sz w:val="24"/>
          <w:szCs w:val="24"/>
        </w:rPr>
        <w:t xml:space="preserve">for below fair market value based on a finding of commensurate public benefit pursuant to 24 CFR 970.19, </w:t>
      </w:r>
      <w:r w:rsidR="009958C9" w:rsidRPr="009958C9">
        <w:rPr>
          <w:rFonts w:ascii="Times New Roman" w:hAnsi="Times New Roman"/>
          <w:sz w:val="24"/>
          <w:szCs w:val="24"/>
        </w:rPr>
        <w:t xml:space="preserve">the Non-RAD </w:t>
      </w:r>
      <w:r w:rsidR="00AA6915">
        <w:rPr>
          <w:rFonts w:ascii="Times New Roman" w:hAnsi="Times New Roman"/>
          <w:sz w:val="24"/>
          <w:szCs w:val="24"/>
        </w:rPr>
        <w:t xml:space="preserve">PBV </w:t>
      </w:r>
      <w:r w:rsidR="009958C9" w:rsidRPr="009958C9">
        <w:rPr>
          <w:rFonts w:ascii="Times New Roman" w:hAnsi="Times New Roman"/>
          <w:sz w:val="24"/>
          <w:szCs w:val="24"/>
        </w:rPr>
        <w:t xml:space="preserve">Units </w:t>
      </w:r>
      <w:r w:rsidRPr="009958C9">
        <w:rPr>
          <w:rFonts w:ascii="Times New Roman" w:hAnsi="Times New Roman"/>
          <w:sz w:val="24"/>
          <w:szCs w:val="24"/>
        </w:rPr>
        <w:t>must be used exclusively as housing for</w:t>
      </w:r>
      <w:r w:rsidR="00AA6915">
        <w:rPr>
          <w:rFonts w:ascii="Times New Roman" w:hAnsi="Times New Roman"/>
          <w:sz w:val="24"/>
          <w:szCs w:val="24"/>
        </w:rPr>
        <w:t xml:space="preserve"> </w:t>
      </w:r>
      <w:r w:rsidRPr="009958C9">
        <w:rPr>
          <w:rFonts w:ascii="Times New Roman" w:hAnsi="Times New Roman"/>
          <w:sz w:val="24"/>
          <w:szCs w:val="24"/>
        </w:rPr>
        <w:t>low-income families under the Section 8 PBV program</w:t>
      </w:r>
      <w:r w:rsidR="00AA6915">
        <w:rPr>
          <w:rFonts w:ascii="Times New Roman" w:hAnsi="Times New Roman"/>
          <w:sz w:val="24"/>
          <w:szCs w:val="24"/>
        </w:rPr>
        <w:t xml:space="preserve"> </w:t>
      </w:r>
      <w:r w:rsidRPr="009958C9">
        <w:rPr>
          <w:rFonts w:ascii="Times New Roman" w:hAnsi="Times New Roman"/>
          <w:sz w:val="24"/>
          <w:szCs w:val="24"/>
        </w:rPr>
        <w:t>for a period of not less than 40 years</w:t>
      </w:r>
      <w:r w:rsidR="002B4C32" w:rsidRPr="00515119">
        <w:rPr>
          <w:rFonts w:ascii="Times New Roman" w:hAnsi="Times New Roman"/>
          <w:bCs/>
          <w:sz w:val="24"/>
          <w:szCs w:val="24"/>
        </w:rPr>
        <w:t>.</w:t>
      </w:r>
      <w:r w:rsidRPr="009958C9">
        <w:rPr>
          <w:rFonts w:ascii="Times New Roman" w:hAnsi="Times New Roman"/>
          <w:sz w:val="24"/>
          <w:szCs w:val="24"/>
        </w:rPr>
        <w:t xml:space="preserve">  </w:t>
      </w:r>
      <w:r w:rsidR="002B4C32" w:rsidRPr="00515119">
        <w:rPr>
          <w:rFonts w:ascii="Times New Roman" w:hAnsi="Times New Roman"/>
          <w:bCs/>
          <w:sz w:val="24"/>
          <w:szCs w:val="24"/>
        </w:rPr>
        <w:t xml:space="preserve">For purposes of this </w:t>
      </w:r>
      <w:r w:rsidR="002B4C32">
        <w:rPr>
          <w:rFonts w:ascii="Times New Roman" w:hAnsi="Times New Roman"/>
          <w:bCs/>
          <w:sz w:val="24"/>
          <w:szCs w:val="24"/>
        </w:rPr>
        <w:t>Rider</w:t>
      </w:r>
      <w:r w:rsidR="002B4C32" w:rsidRPr="00515119">
        <w:rPr>
          <w:rFonts w:ascii="Times New Roman" w:hAnsi="Times New Roman"/>
          <w:bCs/>
          <w:sz w:val="24"/>
          <w:szCs w:val="24"/>
        </w:rPr>
        <w:t>, the term "low-income families" is defined at Section 3(b)(2) of the Act and means families with incomes at or below 80% of median income for the area.</w:t>
      </w:r>
    </w:p>
    <w:p w14:paraId="303B4956" w14:textId="77777777" w:rsidR="00FA6AC8" w:rsidRPr="00FA6AC8" w:rsidRDefault="00FA6AC8" w:rsidP="001F1C03">
      <w:pPr>
        <w:pStyle w:val="ListParagraph"/>
        <w:tabs>
          <w:tab w:val="left" w:pos="360"/>
        </w:tabs>
        <w:rPr>
          <w:rFonts w:ascii="Times New Roman" w:hAnsi="Times New Roman"/>
          <w:b/>
          <w:sz w:val="24"/>
          <w:szCs w:val="24"/>
        </w:rPr>
      </w:pPr>
    </w:p>
    <w:p w14:paraId="340B6C30" w14:textId="77777777" w:rsidR="00515119" w:rsidRPr="00515119" w:rsidRDefault="00C36657" w:rsidP="001F1C03">
      <w:pPr>
        <w:pStyle w:val="ListParagraph"/>
        <w:numPr>
          <w:ilvl w:val="0"/>
          <w:numId w:val="13"/>
        </w:numPr>
        <w:tabs>
          <w:tab w:val="left" w:pos="360"/>
        </w:tabs>
        <w:autoSpaceDE w:val="0"/>
        <w:autoSpaceDN w:val="0"/>
        <w:adjustRightInd w:val="0"/>
        <w:ind w:left="0" w:firstLine="0"/>
        <w:rPr>
          <w:rFonts w:ascii="Times New Roman" w:eastAsia="Times New Roman" w:hAnsi="Times New Roman"/>
          <w:sz w:val="24"/>
          <w:szCs w:val="24"/>
        </w:rPr>
      </w:pPr>
      <w:r w:rsidRPr="00AC5F97">
        <w:rPr>
          <w:rFonts w:ascii="Times New Roman" w:hAnsi="Times New Roman"/>
          <w:b/>
          <w:sz w:val="24"/>
          <w:szCs w:val="24"/>
        </w:rPr>
        <w:t>Term.</w:t>
      </w:r>
      <w:r w:rsidRPr="00AC5F97">
        <w:rPr>
          <w:rFonts w:ascii="Times New Roman" w:hAnsi="Times New Roman"/>
          <w:bCs/>
          <w:sz w:val="24"/>
          <w:szCs w:val="24"/>
        </w:rPr>
        <w:t xml:space="preserve">  </w:t>
      </w:r>
    </w:p>
    <w:p w14:paraId="3542452E" w14:textId="77777777" w:rsidR="00515119" w:rsidRPr="00515119" w:rsidRDefault="00515119" w:rsidP="00515119">
      <w:pPr>
        <w:pStyle w:val="ListParagraph"/>
        <w:rPr>
          <w:rFonts w:ascii="Times New Roman" w:hAnsi="Times New Roman"/>
          <w:bCs/>
          <w:sz w:val="24"/>
          <w:szCs w:val="24"/>
        </w:rPr>
      </w:pPr>
    </w:p>
    <w:p w14:paraId="36A60C23" w14:textId="6ABB87CC" w:rsidR="00B57FD9" w:rsidRPr="00AC5F97" w:rsidRDefault="006D4794" w:rsidP="001F1C03">
      <w:pPr>
        <w:pStyle w:val="ListParagraph"/>
        <w:numPr>
          <w:ilvl w:val="1"/>
          <w:numId w:val="13"/>
        </w:numPr>
        <w:autoSpaceDE w:val="0"/>
        <w:autoSpaceDN w:val="0"/>
        <w:adjustRightInd w:val="0"/>
        <w:ind w:left="720"/>
        <w:rPr>
          <w:rFonts w:ascii="Times New Roman" w:eastAsia="Times New Roman" w:hAnsi="Times New Roman"/>
          <w:sz w:val="24"/>
          <w:szCs w:val="24"/>
        </w:rPr>
      </w:pPr>
      <w:r w:rsidRPr="00AC5F97">
        <w:rPr>
          <w:rFonts w:ascii="Times New Roman" w:hAnsi="Times New Roman"/>
          <w:bCs/>
          <w:sz w:val="24"/>
          <w:szCs w:val="24"/>
        </w:rPr>
        <w:t>S</w:t>
      </w:r>
      <w:r w:rsidRPr="00AC5F97">
        <w:rPr>
          <w:rFonts w:ascii="Times New Roman" w:eastAsia="Times New Roman" w:hAnsi="Times New Roman"/>
          <w:bCs/>
          <w:sz w:val="24"/>
          <w:szCs w:val="24"/>
        </w:rPr>
        <w:t xml:space="preserve">ection 2 of the RAD Use Agreement </w:t>
      </w:r>
      <w:r w:rsidR="00974A18" w:rsidRPr="00AC5F97">
        <w:rPr>
          <w:rFonts w:ascii="Times New Roman" w:hAnsi="Times New Roman"/>
          <w:bCs/>
          <w:sz w:val="24"/>
          <w:szCs w:val="24"/>
        </w:rPr>
        <w:t xml:space="preserve">regarding </w:t>
      </w:r>
      <w:r w:rsidR="00C36657" w:rsidRPr="00AC5F97">
        <w:rPr>
          <w:rFonts w:ascii="Times New Roman" w:hAnsi="Times New Roman"/>
          <w:bCs/>
          <w:sz w:val="24"/>
          <w:szCs w:val="24"/>
        </w:rPr>
        <w:t>the Term</w:t>
      </w:r>
      <w:r w:rsidR="00974A18" w:rsidRPr="00AC5F97">
        <w:rPr>
          <w:rFonts w:ascii="Times New Roman" w:hAnsi="Times New Roman"/>
          <w:bCs/>
          <w:sz w:val="24"/>
          <w:szCs w:val="24"/>
        </w:rPr>
        <w:t xml:space="preserve"> is modified to specify that the following excerpt does not apply to the Non-RAD </w:t>
      </w:r>
      <w:r w:rsidR="00AA6915">
        <w:rPr>
          <w:rFonts w:ascii="Times New Roman" w:hAnsi="Times New Roman"/>
          <w:bCs/>
          <w:sz w:val="24"/>
          <w:szCs w:val="24"/>
        </w:rPr>
        <w:t xml:space="preserve">PBV </w:t>
      </w:r>
      <w:r w:rsidR="00974A18" w:rsidRPr="00AC5F97">
        <w:rPr>
          <w:rFonts w:ascii="Times New Roman" w:hAnsi="Times New Roman"/>
          <w:bCs/>
          <w:sz w:val="24"/>
          <w:szCs w:val="24"/>
        </w:rPr>
        <w:t>Units:</w:t>
      </w:r>
    </w:p>
    <w:p w14:paraId="21A79FB1" w14:textId="6E096A2F" w:rsidR="00B57FD9" w:rsidRPr="00392C1E" w:rsidRDefault="00392C1E" w:rsidP="00515119">
      <w:pPr>
        <w:autoSpaceDE w:val="0"/>
        <w:autoSpaceDN w:val="0"/>
        <w:adjustRightInd w:val="0"/>
        <w:spacing w:after="240"/>
        <w:ind w:left="1080"/>
        <w:rPr>
          <w:i/>
          <w:iCs/>
        </w:rPr>
      </w:pPr>
      <w:r w:rsidRPr="00392C1E">
        <w:rPr>
          <w:i/>
          <w:iCs/>
        </w:rPr>
        <w:t xml:space="preserve">It is the intention of the parties that this Agreement shall remain in effect for a term not less than the stated term of the RAD HAP Contract, including the initial term of the RAD HAP Contract and any subsequent renewal terms of the RAD HAP Contract or any replacement HAP contracts.  The term of this Agreement shall not be affected by the premature termination of the RAD HAP Contract (by way of illustration and not limitation, for breach or non-compliance) prior to its stated term (whether the initial term, any renewal term, or the term of any replacement HAP contracts).  In furtherance of the foregoing, unless otherwise approved by HUD this Agreement shall remain in effect until and unless released by HUD and such release is recorded </w:t>
      </w:r>
      <w:r w:rsidRPr="00392C1E">
        <w:rPr>
          <w:bCs/>
          <w:i/>
          <w:iCs/>
        </w:rPr>
        <w:t xml:space="preserve">as contemplated by Section 8 of this Agreement.  Such release shall be the </w:t>
      </w:r>
      <w:r w:rsidRPr="00392C1E">
        <w:rPr>
          <w:i/>
          <w:iCs/>
        </w:rPr>
        <w:t>evidence of the determination not to execute a replacement HAP contract and of the termination of this Agreement.  The RAD Statute and RAD Notice require that, upon expiration of the initial RAD HAP Contract and each renewal RAD HAP Contract or any replacement HAP contracts, the Secretary shall offer and the owner of the property shall accept renewal of the HAP contract</w:t>
      </w:r>
      <w:r w:rsidR="00F8205E" w:rsidRPr="00392C1E">
        <w:rPr>
          <w:i/>
          <w:iCs/>
        </w:rPr>
        <w:t>.</w:t>
      </w:r>
    </w:p>
    <w:p w14:paraId="6F39D8F7" w14:textId="57CA8402" w:rsidR="00C6279A" w:rsidRPr="00515119" w:rsidRDefault="00C6279A" w:rsidP="001F1C03">
      <w:pPr>
        <w:pStyle w:val="ListParagraph"/>
        <w:numPr>
          <w:ilvl w:val="1"/>
          <w:numId w:val="13"/>
        </w:numPr>
        <w:autoSpaceDE w:val="0"/>
        <w:autoSpaceDN w:val="0"/>
        <w:adjustRightInd w:val="0"/>
        <w:ind w:left="720"/>
        <w:rPr>
          <w:rFonts w:ascii="Times New Roman" w:hAnsi="Times New Roman"/>
          <w:bCs/>
          <w:sz w:val="24"/>
          <w:szCs w:val="24"/>
        </w:rPr>
      </w:pPr>
      <w:r w:rsidRPr="00515119">
        <w:rPr>
          <w:rFonts w:ascii="Times New Roman" w:hAnsi="Times New Roman"/>
          <w:bCs/>
          <w:sz w:val="24"/>
          <w:szCs w:val="24"/>
        </w:rPr>
        <w:t xml:space="preserve">The </w:t>
      </w:r>
      <w:r w:rsidR="00515119" w:rsidRPr="00515119">
        <w:rPr>
          <w:rFonts w:ascii="Times New Roman" w:hAnsi="Times New Roman"/>
          <w:bCs/>
          <w:sz w:val="24"/>
          <w:szCs w:val="24"/>
        </w:rPr>
        <w:t xml:space="preserve">applicability of this Rider shall extend </w:t>
      </w:r>
      <w:r w:rsidRPr="00515119">
        <w:rPr>
          <w:rFonts w:ascii="Times New Roman" w:hAnsi="Times New Roman"/>
          <w:bCs/>
          <w:sz w:val="24"/>
          <w:szCs w:val="24"/>
        </w:rPr>
        <w:t xml:space="preserve">for any periods that are coterminous with any extended HAP contract applicable to the </w:t>
      </w:r>
      <w:r w:rsidR="009D58C1">
        <w:rPr>
          <w:rFonts w:ascii="Times New Roman" w:hAnsi="Times New Roman"/>
          <w:bCs/>
          <w:sz w:val="24"/>
          <w:szCs w:val="24"/>
        </w:rPr>
        <w:t>N</w:t>
      </w:r>
      <w:r w:rsidRPr="00515119">
        <w:rPr>
          <w:rFonts w:ascii="Times New Roman" w:hAnsi="Times New Roman"/>
          <w:bCs/>
          <w:sz w:val="24"/>
          <w:szCs w:val="24"/>
        </w:rPr>
        <w:t xml:space="preserve">on-RAD PBV </w:t>
      </w:r>
      <w:r w:rsidR="009D58C1">
        <w:rPr>
          <w:rFonts w:ascii="Times New Roman" w:hAnsi="Times New Roman"/>
          <w:bCs/>
          <w:sz w:val="24"/>
          <w:szCs w:val="24"/>
        </w:rPr>
        <w:t>U</w:t>
      </w:r>
      <w:r w:rsidRPr="00515119">
        <w:rPr>
          <w:rFonts w:ascii="Times New Roman" w:hAnsi="Times New Roman"/>
          <w:bCs/>
          <w:sz w:val="24"/>
          <w:szCs w:val="24"/>
        </w:rPr>
        <w:t xml:space="preserve">nits.  The parties intend to </w:t>
      </w:r>
      <w:r w:rsidRPr="00515119">
        <w:rPr>
          <w:rFonts w:ascii="Times New Roman" w:hAnsi="Times New Roman"/>
          <w:bCs/>
          <w:sz w:val="24"/>
          <w:szCs w:val="24"/>
        </w:rPr>
        <w:lastRenderedPageBreak/>
        <w:t>exercise the rights to extend the HAP contract to the maximum extent as may be permitted by section 8(o)(13)(G) of the Act, as amended</w:t>
      </w:r>
      <w:r w:rsidR="00515119">
        <w:rPr>
          <w:rFonts w:ascii="Times New Roman" w:hAnsi="Times New Roman"/>
          <w:bCs/>
          <w:sz w:val="24"/>
          <w:szCs w:val="24"/>
        </w:rPr>
        <w:t>;</w:t>
      </w:r>
      <w:r w:rsidRPr="00515119">
        <w:rPr>
          <w:rFonts w:ascii="Times New Roman" w:hAnsi="Times New Roman"/>
          <w:bCs/>
          <w:sz w:val="24"/>
          <w:szCs w:val="24"/>
        </w:rPr>
        <w:t xml:space="preserve"> 24 CFR part 983, as amended</w:t>
      </w:r>
      <w:r w:rsidR="002B4C32">
        <w:rPr>
          <w:rFonts w:ascii="Times New Roman" w:hAnsi="Times New Roman"/>
          <w:bCs/>
          <w:sz w:val="24"/>
          <w:szCs w:val="24"/>
        </w:rPr>
        <w:t>;</w:t>
      </w:r>
      <w:r w:rsidRPr="00515119">
        <w:rPr>
          <w:rFonts w:ascii="Times New Roman" w:hAnsi="Times New Roman"/>
          <w:bCs/>
          <w:sz w:val="24"/>
          <w:szCs w:val="24"/>
        </w:rPr>
        <w:t xml:space="preserve"> and 82 Fed. Reg. 5458, 5468</w:t>
      </w:r>
      <w:r w:rsidR="00F8205E">
        <w:rPr>
          <w:rFonts w:ascii="Times New Roman" w:hAnsi="Times New Roman"/>
          <w:bCs/>
          <w:sz w:val="24"/>
          <w:szCs w:val="24"/>
        </w:rPr>
        <w:t>, as such requirements may be amended from time to time</w:t>
      </w:r>
      <w:r w:rsidRPr="00515119">
        <w:rPr>
          <w:rFonts w:ascii="Times New Roman" w:hAnsi="Times New Roman"/>
          <w:bCs/>
          <w:sz w:val="24"/>
          <w:szCs w:val="24"/>
        </w:rPr>
        <w:t xml:space="preserve">.  </w:t>
      </w:r>
    </w:p>
    <w:p w14:paraId="030E0B82" w14:textId="77777777" w:rsidR="00AE0102" w:rsidRPr="005C4F9C" w:rsidRDefault="00AE0102" w:rsidP="00AE0102">
      <w:pPr>
        <w:pStyle w:val="ListParagraph"/>
        <w:rPr>
          <w:rFonts w:ascii="Times New Roman" w:hAnsi="Times New Roman"/>
          <w:sz w:val="24"/>
          <w:szCs w:val="24"/>
        </w:rPr>
      </w:pPr>
    </w:p>
    <w:p w14:paraId="6CE79984" w14:textId="388185AB" w:rsidR="00C82C33" w:rsidRPr="00B15241" w:rsidRDefault="0001134F" w:rsidP="001F1C03">
      <w:pPr>
        <w:pStyle w:val="ListParagraph"/>
        <w:numPr>
          <w:ilvl w:val="0"/>
          <w:numId w:val="13"/>
        </w:numPr>
        <w:tabs>
          <w:tab w:val="left" w:pos="360"/>
        </w:tabs>
        <w:autoSpaceDE w:val="0"/>
        <w:autoSpaceDN w:val="0"/>
        <w:adjustRightInd w:val="0"/>
        <w:ind w:left="0" w:firstLine="0"/>
        <w:rPr>
          <w:rFonts w:ascii="Times New Roman" w:hAnsi="Times New Roman"/>
          <w:bCs/>
          <w:sz w:val="24"/>
          <w:szCs w:val="24"/>
        </w:rPr>
      </w:pPr>
      <w:r>
        <w:rPr>
          <w:rFonts w:ascii="Times New Roman" w:hAnsi="Times New Roman"/>
          <w:b/>
          <w:sz w:val="24"/>
          <w:szCs w:val="24"/>
        </w:rPr>
        <w:t>Transfer</w:t>
      </w:r>
      <w:r w:rsidR="00B15241">
        <w:rPr>
          <w:rFonts w:ascii="Times New Roman" w:hAnsi="Times New Roman"/>
          <w:b/>
          <w:sz w:val="24"/>
          <w:szCs w:val="24"/>
        </w:rPr>
        <w:t>s</w:t>
      </w:r>
      <w:r w:rsidRPr="0001134F">
        <w:rPr>
          <w:rFonts w:ascii="Times New Roman" w:hAnsi="Times New Roman"/>
          <w:bCs/>
          <w:sz w:val="24"/>
          <w:szCs w:val="24"/>
        </w:rPr>
        <w:t xml:space="preserve">.  </w:t>
      </w:r>
      <w:r w:rsidR="00F86A54" w:rsidRPr="00F86A54">
        <w:rPr>
          <w:rFonts w:ascii="Times New Roman" w:hAnsi="Times New Roman"/>
          <w:bCs/>
          <w:sz w:val="24"/>
          <w:szCs w:val="24"/>
        </w:rPr>
        <w:t>Non-RAD PBV Units are not subject to any of the provisions set forth in the RAD Notice which allow and govern a transfer of assistance.</w:t>
      </w:r>
      <w:r w:rsidR="00B15241" w:rsidRPr="00B15241">
        <w:rPr>
          <w:rFonts w:ascii="Times New Roman" w:hAnsi="Times New Roman"/>
          <w:bCs/>
          <w:sz w:val="24"/>
          <w:szCs w:val="24"/>
        </w:rPr>
        <w:t xml:space="preserve">  </w:t>
      </w:r>
      <w:r w:rsidR="000E22D5" w:rsidRPr="00B15241">
        <w:rPr>
          <w:rFonts w:ascii="Times New Roman" w:hAnsi="Times New Roman"/>
          <w:bCs/>
          <w:sz w:val="24"/>
          <w:szCs w:val="24"/>
        </w:rPr>
        <w:t xml:space="preserve">Section 7 of the RAD Use Agreement regarding restrictions on transfer </w:t>
      </w:r>
      <w:r w:rsidR="007844E2" w:rsidRPr="00B15241">
        <w:rPr>
          <w:rFonts w:ascii="Times New Roman" w:hAnsi="Times New Roman"/>
          <w:bCs/>
          <w:sz w:val="24"/>
          <w:szCs w:val="24"/>
        </w:rPr>
        <w:t xml:space="preserve">is modified to specify that the following excerpt </w:t>
      </w:r>
      <w:r w:rsidR="00933BC2" w:rsidRPr="00B15241">
        <w:rPr>
          <w:rFonts w:ascii="Times New Roman" w:hAnsi="Times New Roman"/>
          <w:bCs/>
          <w:sz w:val="24"/>
          <w:szCs w:val="24"/>
        </w:rPr>
        <w:t xml:space="preserve">does not apply to the Non-RAD </w:t>
      </w:r>
      <w:r w:rsidR="00AA6915">
        <w:rPr>
          <w:rFonts w:ascii="Times New Roman" w:hAnsi="Times New Roman"/>
          <w:bCs/>
          <w:sz w:val="24"/>
          <w:szCs w:val="24"/>
        </w:rPr>
        <w:t xml:space="preserve">PBV </w:t>
      </w:r>
      <w:r w:rsidR="00933BC2" w:rsidRPr="00B15241">
        <w:rPr>
          <w:rFonts w:ascii="Times New Roman" w:hAnsi="Times New Roman"/>
          <w:bCs/>
          <w:sz w:val="24"/>
          <w:szCs w:val="24"/>
        </w:rPr>
        <w:t>Units</w:t>
      </w:r>
      <w:r w:rsidR="00217513" w:rsidRPr="00B15241">
        <w:rPr>
          <w:rFonts w:ascii="Times New Roman" w:hAnsi="Times New Roman"/>
          <w:bCs/>
          <w:sz w:val="24"/>
          <w:szCs w:val="24"/>
        </w:rPr>
        <w:t>:</w:t>
      </w:r>
    </w:p>
    <w:p w14:paraId="4DAFF375" w14:textId="0F371AB8" w:rsidR="00DB2BF3" w:rsidRPr="00392C1E" w:rsidRDefault="00392C1E" w:rsidP="00084CA3">
      <w:pPr>
        <w:autoSpaceDE w:val="0"/>
        <w:autoSpaceDN w:val="0"/>
        <w:adjustRightInd w:val="0"/>
        <w:spacing w:after="240"/>
        <w:ind w:left="720"/>
        <w:rPr>
          <w:i/>
          <w:iCs/>
        </w:rPr>
      </w:pPr>
      <w:r w:rsidRPr="00392C1E">
        <w:rPr>
          <w:i/>
          <w:iCs/>
        </w:rPr>
        <w:t>In the event of a default under the RAD HAP Contract including, without limitation, upon any transfer of the Property or Project without HUD consent, upon expiration of any applicable notice and/or cure periods, HUD may terminate the Owner’s interest in the RAD HAP Contract, including all of the Owner’s rights and obligations therein, and transfer the RAD HAP Contract to another “Owner,” as defined in section 8(f)(1) of the United States Housing Act of 1937, to ensure the continuation of rental assistance, as authorized under the RAD HAP Contract</w:t>
      </w:r>
      <w:r w:rsidR="00107860" w:rsidRPr="00392C1E">
        <w:rPr>
          <w:i/>
          <w:iCs/>
        </w:rPr>
        <w:t>.</w:t>
      </w:r>
      <w:r w:rsidR="00C82C33" w:rsidRPr="00392C1E">
        <w:rPr>
          <w:i/>
          <w:iCs/>
        </w:rPr>
        <w:t xml:space="preserve"> </w:t>
      </w:r>
    </w:p>
    <w:p w14:paraId="1DA1C40E" w14:textId="77777777" w:rsidR="000B415F" w:rsidRDefault="000B415F" w:rsidP="00ED76CD">
      <w:pPr>
        <w:pStyle w:val="msBodyText"/>
        <w:ind w:firstLine="0"/>
        <w:jc w:val="center"/>
        <w:rPr>
          <w:rFonts w:eastAsia="Arial Unicode MS"/>
          <w:bCs/>
          <w:w w:val="0"/>
          <w:szCs w:val="22"/>
        </w:rPr>
      </w:pPr>
    </w:p>
    <w:p w14:paraId="738D4490" w14:textId="640E1FBB" w:rsidR="007939F4" w:rsidRPr="006B0358" w:rsidRDefault="0075389E" w:rsidP="006B0358">
      <w:pPr>
        <w:pStyle w:val="msBodyText"/>
        <w:ind w:firstLine="0"/>
        <w:jc w:val="center"/>
        <w:rPr>
          <w:rFonts w:eastAsia="Arial Unicode MS"/>
          <w:w w:val="0"/>
        </w:rPr>
      </w:pPr>
      <w:r w:rsidRPr="0075389E">
        <w:rPr>
          <w:rFonts w:eastAsia="Arial Unicode MS"/>
          <w:bCs/>
          <w:w w:val="0"/>
          <w:szCs w:val="22"/>
        </w:rPr>
        <w:t>[End of Rider to RAD Use Agreement]</w:t>
      </w:r>
      <w:bookmarkStart w:id="3" w:name="_DV_M233"/>
      <w:bookmarkEnd w:id="3"/>
    </w:p>
    <w:sectPr w:rsidR="007939F4" w:rsidRPr="006B0358" w:rsidSect="000A7A2B">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45CE" w14:textId="77777777" w:rsidR="00110E83" w:rsidRDefault="00110E83">
      <w:r>
        <w:separator/>
      </w:r>
    </w:p>
  </w:endnote>
  <w:endnote w:type="continuationSeparator" w:id="0">
    <w:p w14:paraId="4AFA315B" w14:textId="77777777" w:rsidR="00110E83" w:rsidRDefault="00110E83">
      <w:r>
        <w:continuationSeparator/>
      </w:r>
    </w:p>
  </w:endnote>
  <w:endnote w:type="continuationNotice" w:id="1">
    <w:p w14:paraId="0899CE49" w14:textId="77777777" w:rsidR="00110E83" w:rsidRDefault="00110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C139" w14:textId="77777777" w:rsidR="009A4CE1" w:rsidRPr="004A1155" w:rsidRDefault="009A4CE1" w:rsidP="009A4CE1">
    <w:pPr>
      <w:pStyle w:val="Footer"/>
      <w:pBdr>
        <w:top w:val="single" w:sz="4" w:space="1" w:color="auto"/>
      </w:pBdr>
      <w:jc w:val="center"/>
      <w:rPr>
        <w:rStyle w:val="PageNumber"/>
        <w:sz w:val="18"/>
        <w:szCs w:val="18"/>
      </w:rPr>
    </w:pPr>
    <w:r w:rsidRPr="00F56DBD">
      <w:rPr>
        <w:sz w:val="20"/>
        <w:szCs w:val="20"/>
      </w:rPr>
      <w:t xml:space="preserve">Page </w:t>
    </w:r>
    <w:r w:rsidRPr="00F56DBD">
      <w:rPr>
        <w:rStyle w:val="PageNumber"/>
        <w:sz w:val="20"/>
        <w:szCs w:val="20"/>
      </w:rPr>
      <w:fldChar w:fldCharType="begin"/>
    </w:r>
    <w:r w:rsidRPr="00F56DBD">
      <w:rPr>
        <w:rStyle w:val="PageNumber"/>
        <w:sz w:val="20"/>
        <w:szCs w:val="20"/>
      </w:rPr>
      <w:instrText xml:space="preserve"> PAGE </w:instrText>
    </w:r>
    <w:r w:rsidRPr="00F56DBD">
      <w:rPr>
        <w:rStyle w:val="PageNumber"/>
        <w:sz w:val="20"/>
        <w:szCs w:val="20"/>
      </w:rPr>
      <w:fldChar w:fldCharType="separate"/>
    </w:r>
    <w:r>
      <w:rPr>
        <w:rStyle w:val="PageNumber"/>
        <w:sz w:val="20"/>
        <w:szCs w:val="20"/>
      </w:rPr>
      <w:t>1</w:t>
    </w:r>
    <w:r w:rsidRPr="00F56DBD">
      <w:rPr>
        <w:rStyle w:val="PageNumber"/>
        <w:sz w:val="20"/>
        <w:szCs w:val="20"/>
      </w:rPr>
      <w:fldChar w:fldCharType="end"/>
    </w:r>
    <w:r w:rsidRPr="00F56DBD">
      <w:rPr>
        <w:rStyle w:val="PageNumber"/>
        <w:sz w:val="20"/>
        <w:szCs w:val="20"/>
      </w:rPr>
      <w:t xml:space="preserve"> of </w:t>
    </w:r>
    <w:r w:rsidRPr="00F56DBD">
      <w:rPr>
        <w:rStyle w:val="PageNumber"/>
        <w:sz w:val="20"/>
        <w:szCs w:val="20"/>
      </w:rPr>
      <w:fldChar w:fldCharType="begin"/>
    </w:r>
    <w:r w:rsidRPr="00F56DBD">
      <w:rPr>
        <w:rStyle w:val="PageNumber"/>
        <w:sz w:val="20"/>
        <w:szCs w:val="20"/>
      </w:rPr>
      <w:instrText xml:space="preserve"> NUMPAGES </w:instrText>
    </w:r>
    <w:r w:rsidRPr="00F56DBD">
      <w:rPr>
        <w:rStyle w:val="PageNumber"/>
        <w:sz w:val="20"/>
        <w:szCs w:val="20"/>
      </w:rPr>
      <w:fldChar w:fldCharType="separate"/>
    </w:r>
    <w:r>
      <w:rPr>
        <w:rStyle w:val="PageNumber"/>
        <w:sz w:val="20"/>
        <w:szCs w:val="20"/>
      </w:rPr>
      <w:t>9</w:t>
    </w:r>
    <w:r w:rsidRPr="00F56DBD">
      <w:rPr>
        <w:rStyle w:val="PageNumber"/>
        <w:sz w:val="20"/>
        <w:szCs w:val="20"/>
      </w:rPr>
      <w:fldChar w:fldCharType="end"/>
    </w:r>
  </w:p>
  <w:p w14:paraId="26487BC7" w14:textId="56DC0328" w:rsidR="009A4CE1" w:rsidRPr="004A1155" w:rsidRDefault="009A4CE1" w:rsidP="009A4CE1">
    <w:pPr>
      <w:pStyle w:val="Footer"/>
      <w:pBdr>
        <w:top w:val="single" w:sz="4" w:space="1" w:color="auto"/>
      </w:pBdr>
      <w:jc w:val="right"/>
      <w:rPr>
        <w:b/>
        <w:sz w:val="18"/>
        <w:szCs w:val="18"/>
      </w:rPr>
    </w:pPr>
    <w:r w:rsidRPr="004A1155">
      <w:rPr>
        <w:b/>
        <w:sz w:val="18"/>
        <w:szCs w:val="18"/>
      </w:rPr>
      <w:t>Form HUD-</w:t>
    </w:r>
    <w:r w:rsidR="004A1155">
      <w:rPr>
        <w:b/>
        <w:sz w:val="18"/>
        <w:szCs w:val="18"/>
      </w:rPr>
      <w:t>5900</w:t>
    </w:r>
    <w:r w:rsidR="00BD382B">
      <w:rPr>
        <w:b/>
        <w:sz w:val="18"/>
        <w:szCs w:val="18"/>
      </w:rPr>
      <w:t xml:space="preserve"> (</w:t>
    </w:r>
    <w:r w:rsidR="000A7A2B">
      <w:rPr>
        <w:b/>
        <w:sz w:val="18"/>
        <w:szCs w:val="18"/>
      </w:rPr>
      <w:t>7/2025</w:t>
    </w:r>
    <w:r w:rsidR="00BD382B">
      <w:rPr>
        <w:b/>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1701" w14:textId="77777777" w:rsidR="000A7A2B" w:rsidRPr="004A1155" w:rsidRDefault="000A7A2B" w:rsidP="000A7A2B">
    <w:pPr>
      <w:pStyle w:val="Footer"/>
      <w:pBdr>
        <w:top w:val="single" w:sz="4" w:space="1" w:color="auto"/>
      </w:pBdr>
      <w:jc w:val="center"/>
      <w:rPr>
        <w:rStyle w:val="PageNumber"/>
        <w:sz w:val="18"/>
        <w:szCs w:val="18"/>
      </w:rPr>
    </w:pPr>
    <w:r w:rsidRPr="00F56DBD">
      <w:rPr>
        <w:sz w:val="20"/>
        <w:szCs w:val="20"/>
      </w:rPr>
      <w:t xml:space="preserve">Page </w:t>
    </w:r>
    <w:r w:rsidRPr="00F56DBD">
      <w:rPr>
        <w:rStyle w:val="PageNumber"/>
        <w:sz w:val="20"/>
        <w:szCs w:val="20"/>
      </w:rPr>
      <w:fldChar w:fldCharType="begin"/>
    </w:r>
    <w:r w:rsidRPr="00F56DBD">
      <w:rPr>
        <w:rStyle w:val="PageNumber"/>
        <w:sz w:val="20"/>
        <w:szCs w:val="20"/>
      </w:rPr>
      <w:instrText xml:space="preserve"> PAGE </w:instrText>
    </w:r>
    <w:r w:rsidRPr="00F56DBD">
      <w:rPr>
        <w:rStyle w:val="PageNumber"/>
        <w:sz w:val="20"/>
        <w:szCs w:val="20"/>
      </w:rPr>
      <w:fldChar w:fldCharType="separate"/>
    </w:r>
    <w:r>
      <w:rPr>
        <w:rStyle w:val="PageNumber"/>
        <w:sz w:val="20"/>
        <w:szCs w:val="20"/>
      </w:rPr>
      <w:t>2</w:t>
    </w:r>
    <w:r w:rsidRPr="00F56DBD">
      <w:rPr>
        <w:rStyle w:val="PageNumber"/>
        <w:sz w:val="20"/>
        <w:szCs w:val="20"/>
      </w:rPr>
      <w:fldChar w:fldCharType="end"/>
    </w:r>
    <w:r w:rsidRPr="00F56DBD">
      <w:rPr>
        <w:rStyle w:val="PageNumber"/>
        <w:sz w:val="20"/>
        <w:szCs w:val="20"/>
      </w:rPr>
      <w:t xml:space="preserve"> of </w:t>
    </w:r>
    <w:r w:rsidRPr="00F56DBD">
      <w:rPr>
        <w:rStyle w:val="PageNumber"/>
        <w:sz w:val="20"/>
        <w:szCs w:val="20"/>
      </w:rPr>
      <w:fldChar w:fldCharType="begin"/>
    </w:r>
    <w:r w:rsidRPr="00F56DBD">
      <w:rPr>
        <w:rStyle w:val="PageNumber"/>
        <w:sz w:val="20"/>
        <w:szCs w:val="20"/>
      </w:rPr>
      <w:instrText xml:space="preserve"> NUMPAGES </w:instrText>
    </w:r>
    <w:r w:rsidRPr="00F56DBD">
      <w:rPr>
        <w:rStyle w:val="PageNumber"/>
        <w:sz w:val="20"/>
        <w:szCs w:val="20"/>
      </w:rPr>
      <w:fldChar w:fldCharType="separate"/>
    </w:r>
    <w:r>
      <w:rPr>
        <w:rStyle w:val="PageNumber"/>
        <w:sz w:val="20"/>
        <w:szCs w:val="20"/>
      </w:rPr>
      <w:t>3</w:t>
    </w:r>
    <w:r w:rsidRPr="00F56DBD">
      <w:rPr>
        <w:rStyle w:val="PageNumber"/>
        <w:sz w:val="20"/>
        <w:szCs w:val="20"/>
      </w:rPr>
      <w:fldChar w:fldCharType="end"/>
    </w:r>
  </w:p>
  <w:p w14:paraId="59ED68FD" w14:textId="5E4476D1" w:rsidR="000A7A2B" w:rsidRPr="004A1155" w:rsidRDefault="000A7A2B" w:rsidP="000A7A2B">
    <w:pPr>
      <w:pStyle w:val="Footer"/>
      <w:pBdr>
        <w:top w:val="single" w:sz="4" w:space="1" w:color="auto"/>
      </w:pBdr>
      <w:jc w:val="right"/>
      <w:rPr>
        <w:b/>
        <w:sz w:val="18"/>
        <w:szCs w:val="18"/>
      </w:rPr>
    </w:pPr>
    <w:r w:rsidRPr="004A1155">
      <w:rPr>
        <w:b/>
        <w:sz w:val="18"/>
        <w:szCs w:val="18"/>
      </w:rPr>
      <w:t>Form HUD-</w:t>
    </w:r>
    <w:r>
      <w:rPr>
        <w:b/>
        <w:sz w:val="18"/>
        <w:szCs w:val="18"/>
      </w:rPr>
      <w:t>5900 (</w:t>
    </w:r>
    <w:r>
      <w:rPr>
        <w:b/>
        <w:sz w:val="18"/>
        <w:szCs w:val="18"/>
      </w:rPr>
      <w:t>7/2025</w:t>
    </w:r>
    <w:r>
      <w:rPr>
        <w:b/>
        <w:sz w:val="18"/>
        <w:szCs w:val="18"/>
      </w:rPr>
      <w:t>)</w:t>
    </w:r>
  </w:p>
  <w:p w14:paraId="026E78F6" w14:textId="77777777" w:rsidR="000A7A2B" w:rsidRDefault="000A7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D38B" w14:textId="77777777" w:rsidR="00110E83" w:rsidRDefault="00110E83">
      <w:pPr>
        <w:rPr>
          <w:noProof/>
        </w:rPr>
      </w:pPr>
      <w:r>
        <w:rPr>
          <w:noProof/>
        </w:rPr>
        <w:separator/>
      </w:r>
    </w:p>
  </w:footnote>
  <w:footnote w:type="continuationSeparator" w:id="0">
    <w:p w14:paraId="248237A7" w14:textId="77777777" w:rsidR="00110E83" w:rsidRDefault="00110E83">
      <w:r>
        <w:continuationSeparator/>
      </w:r>
    </w:p>
  </w:footnote>
  <w:footnote w:type="continuationNotice" w:id="1">
    <w:p w14:paraId="6C2065BA" w14:textId="77777777" w:rsidR="00110E83" w:rsidRDefault="00110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4A21" w14:textId="613DA38E" w:rsidR="004A1155" w:rsidRDefault="004A1155" w:rsidP="004A1155">
    <w:pPr>
      <w:pStyle w:val="Header"/>
      <w:jc w:val="right"/>
    </w:pPr>
    <w:r w:rsidRPr="004A1155">
      <w:rPr>
        <w:b/>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218A" w14:textId="77777777" w:rsidR="000A7A2B" w:rsidRPr="000A7A2B" w:rsidRDefault="000A7A2B" w:rsidP="000A7A2B">
    <w:pPr>
      <w:pStyle w:val="Header"/>
      <w:jc w:val="right"/>
      <w:rPr>
        <w:rFonts w:ascii="Arial" w:hAnsi="Arial" w:cs="Arial"/>
        <w:b/>
        <w:sz w:val="18"/>
        <w:szCs w:val="18"/>
      </w:rPr>
    </w:pPr>
    <w:r w:rsidRPr="000A7A2B">
      <w:rPr>
        <w:rFonts w:ascii="Arial" w:hAnsi="Arial" w:cs="Arial"/>
        <w:b/>
        <w:sz w:val="18"/>
        <w:szCs w:val="18"/>
      </w:rPr>
      <w:t>OMB Approval No. 2502-0612</w:t>
    </w:r>
  </w:p>
  <w:p w14:paraId="60AAFB73" w14:textId="359ACBEF" w:rsidR="000A7A2B" w:rsidRPr="000A7A2B" w:rsidRDefault="000A7A2B" w:rsidP="000A7A2B">
    <w:pPr>
      <w:pStyle w:val="Header"/>
      <w:jc w:val="right"/>
      <w:rPr>
        <w:rFonts w:ascii="Arial" w:hAnsi="Arial" w:cs="Arial"/>
      </w:rPr>
    </w:pPr>
    <w:r w:rsidRPr="000A7A2B">
      <w:rPr>
        <w:rFonts w:ascii="Arial" w:hAnsi="Arial" w:cs="Arial"/>
        <w:b/>
        <w:sz w:val="18"/>
        <w:szCs w:val="18"/>
      </w:rPr>
      <w:t>(Exp. 7/31/2025)</w:t>
    </w:r>
    <w:r w:rsidRPr="000A7A2B">
      <w:rPr>
        <w:rFonts w:ascii="Arial" w:hAnsi="Arial" w:cs="Arial"/>
        <w:b/>
        <w:sz w:val="18"/>
        <w:szCs w:val="18"/>
      </w:rPr>
      <w:t xml:space="preserve"> </w:t>
    </w:r>
    <w:r w:rsidRPr="000A7A2B">
      <w:rPr>
        <w:rFonts w:ascii="Arial" w:hAnsi="Arial" w:cs="Arial"/>
        <w:b/>
        <w:sz w:val="18"/>
        <w:szCs w:val="18"/>
      </w:rPr>
      <w:br/>
    </w:r>
  </w:p>
  <w:p w14:paraId="743F50DC" w14:textId="77777777" w:rsidR="000A7A2B" w:rsidRDefault="000A7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608"/>
    <w:multiLevelType w:val="hybridMultilevel"/>
    <w:tmpl w:val="749A987C"/>
    <w:lvl w:ilvl="0" w:tplc="DA0C8D4E">
      <w:start w:val="1"/>
      <w:numFmt w:val="decimal"/>
      <w:suff w:val="space"/>
      <w:lvlText w:val="%1."/>
      <w:lvlJc w:val="left"/>
      <w:pPr>
        <w:ind w:left="0" w:firstLine="0"/>
      </w:pPr>
      <w:rPr>
        <w:rFonts w:hint="default"/>
      </w:rPr>
    </w:lvl>
    <w:lvl w:ilvl="1" w:tplc="2B3E71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147D8"/>
    <w:multiLevelType w:val="hybridMultilevel"/>
    <w:tmpl w:val="D7FECC2A"/>
    <w:lvl w:ilvl="0" w:tplc="E488C472">
      <w:start w:val="2"/>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3C242B"/>
    <w:multiLevelType w:val="hybridMultilevel"/>
    <w:tmpl w:val="749A987C"/>
    <w:lvl w:ilvl="0" w:tplc="DA0C8D4E">
      <w:start w:val="1"/>
      <w:numFmt w:val="decimal"/>
      <w:suff w:val="space"/>
      <w:lvlText w:val="%1."/>
      <w:lvlJc w:val="left"/>
      <w:pPr>
        <w:ind w:left="0" w:firstLine="0"/>
      </w:pPr>
      <w:rPr>
        <w:rFonts w:hint="default"/>
      </w:rPr>
    </w:lvl>
    <w:lvl w:ilvl="1" w:tplc="2B3E71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B6218"/>
    <w:multiLevelType w:val="hybridMultilevel"/>
    <w:tmpl w:val="E3C45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E5F5F"/>
    <w:multiLevelType w:val="multilevel"/>
    <w:tmpl w:val="6E7C1C4A"/>
    <w:lvl w:ilvl="0">
      <w:start w:val="1"/>
      <w:numFmt w:val="upperLetter"/>
      <w:lvlText w:val="%1."/>
      <w:lvlJc w:val="left"/>
      <w:pPr>
        <w:ind w:left="540" w:hanging="360"/>
      </w:pPr>
      <w:rPr>
        <w:rFonts w:ascii="Times New Roman" w:eastAsia="Times New Roman" w:hAnsi="Times New Roman" w:hint="default"/>
        <w:b w:val="0"/>
      </w:rPr>
    </w:lvl>
    <w:lvl w:ilvl="1">
      <w:start w:val="1"/>
      <w:numFmt w:val="bullet"/>
      <w:lvlText w:val=""/>
      <w:lvlJc w:val="left"/>
      <w:pPr>
        <w:tabs>
          <w:tab w:val="num" w:pos="936"/>
        </w:tabs>
        <w:ind w:left="1008" w:hanging="432"/>
      </w:pPr>
      <w:rPr>
        <w:rFonts w:ascii="Symbol" w:hAnsi="Symbol" w:hint="default"/>
        <w:b w:val="0"/>
      </w:rPr>
    </w:lvl>
    <w:lvl w:ilvl="2">
      <w:start w:val="1"/>
      <w:numFmt w:val="bullet"/>
      <w:lvlText w:val=""/>
      <w:lvlJc w:val="left"/>
      <w:pPr>
        <w:ind w:left="900" w:hanging="504"/>
      </w:pPr>
      <w:rPr>
        <w:rFonts w:ascii="Symbol" w:hAnsi="Symbol"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lowerRoman"/>
      <w:isLgl/>
      <w:lvlText w:val="%6."/>
      <w:lvlJc w:val="left"/>
      <w:pPr>
        <w:ind w:left="1260" w:hanging="1080"/>
      </w:pPr>
      <w:rPr>
        <w:rFonts w:ascii="Times New Roman" w:eastAsia="Calibri" w:hAnsi="Times New Roman" w:cs="Times New Roman"/>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15:restartNumberingAfterBreak="0">
    <w:nsid w:val="58782982"/>
    <w:multiLevelType w:val="hybridMultilevel"/>
    <w:tmpl w:val="B3545184"/>
    <w:lvl w:ilvl="0" w:tplc="C1BAB8C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7F045E"/>
    <w:multiLevelType w:val="hybridMultilevel"/>
    <w:tmpl w:val="DCDEC1D6"/>
    <w:lvl w:ilvl="0" w:tplc="BC5A73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82727A"/>
    <w:multiLevelType w:val="hybridMultilevel"/>
    <w:tmpl w:val="2F423F78"/>
    <w:lvl w:ilvl="0" w:tplc="FFFFFFFF">
      <w:start w:val="1"/>
      <w:numFmt w:val="decimal"/>
      <w:lvlText w:val="%1."/>
      <w:lvlJc w:val="left"/>
      <w:pPr>
        <w:ind w:hanging="360"/>
      </w:pPr>
      <w:rPr>
        <w:strike w:val="0"/>
        <w:dstrike w:val="0"/>
        <w:sz w:val="22"/>
      </w:rPr>
    </w:lvl>
    <w:lvl w:ilvl="1" w:tplc="FFFFFFFF">
      <w:start w:val="1"/>
      <w:numFmt w:val="lowerLetter"/>
      <w:lvlText w:val="%2."/>
      <w:lvlJc w:val="left"/>
      <w:pPr>
        <w:ind w:hanging="360"/>
      </w:pPr>
      <w:rPr>
        <w:strike w:val="0"/>
        <w:dstrike w:val="0"/>
      </w:rPr>
    </w:lvl>
    <w:lvl w:ilvl="2" w:tplc="FFFFFFFF">
      <w:start w:val="1"/>
      <w:numFmt w:val="lowerRoman"/>
      <w:lvlText w:val="%3."/>
      <w:lvlJc w:val="right"/>
      <w:pPr>
        <w:ind w:hanging="180"/>
      </w:pPr>
      <w:rPr>
        <w:strike w:val="0"/>
        <w:dstrike w:val="0"/>
      </w:rPr>
    </w:lvl>
    <w:lvl w:ilvl="3" w:tplc="FFFFFFFF">
      <w:start w:val="1"/>
      <w:numFmt w:val="decimal"/>
      <w:lvlText w:val="%4."/>
      <w:lvlJc w:val="left"/>
      <w:pPr>
        <w:ind w:hanging="360"/>
      </w:pPr>
      <w:rPr>
        <w:strike w:val="0"/>
        <w:dstrike w:val="0"/>
      </w:rPr>
    </w:lvl>
    <w:lvl w:ilvl="4" w:tplc="FFFFFFFF">
      <w:start w:val="1"/>
      <w:numFmt w:val="lowerLetter"/>
      <w:lvlText w:val="%5."/>
      <w:lvlJc w:val="left"/>
      <w:pPr>
        <w:ind w:hanging="360"/>
      </w:pPr>
      <w:rPr>
        <w:strike w:val="0"/>
        <w:dstrike w:val="0"/>
      </w:rPr>
    </w:lvl>
    <w:lvl w:ilvl="5" w:tplc="FFFFFFFF">
      <w:start w:val="1"/>
      <w:numFmt w:val="lowerRoman"/>
      <w:lvlText w:val="%6."/>
      <w:lvlJc w:val="right"/>
      <w:pPr>
        <w:ind w:hanging="180"/>
      </w:pPr>
      <w:rPr>
        <w:strike w:val="0"/>
        <w:dstrike w:val="0"/>
      </w:rPr>
    </w:lvl>
    <w:lvl w:ilvl="6" w:tplc="FFFFFFFF">
      <w:start w:val="1"/>
      <w:numFmt w:val="decimal"/>
      <w:lvlText w:val="%7."/>
      <w:lvlJc w:val="left"/>
      <w:pPr>
        <w:ind w:hanging="360"/>
      </w:pPr>
      <w:rPr>
        <w:strike w:val="0"/>
        <w:dstrike w:val="0"/>
      </w:rPr>
    </w:lvl>
    <w:lvl w:ilvl="7" w:tplc="FFFFFFFF">
      <w:start w:val="1"/>
      <w:numFmt w:val="lowerLetter"/>
      <w:lvlText w:val="%8."/>
      <w:lvlJc w:val="left"/>
      <w:pPr>
        <w:ind w:hanging="360"/>
      </w:pPr>
      <w:rPr>
        <w:strike w:val="0"/>
        <w:dstrike w:val="0"/>
      </w:rPr>
    </w:lvl>
    <w:lvl w:ilvl="8" w:tplc="FFFFFFFF">
      <w:start w:val="1"/>
      <w:numFmt w:val="lowerRoman"/>
      <w:lvlText w:val="%9."/>
      <w:lvlJc w:val="right"/>
      <w:pPr>
        <w:ind w:hanging="180"/>
      </w:pPr>
      <w:rPr>
        <w:strike w:val="0"/>
        <w:dstrike w:val="0"/>
      </w:rPr>
    </w:lvl>
  </w:abstractNum>
  <w:abstractNum w:abstractNumId="8" w15:restartNumberingAfterBreak="0">
    <w:nsid w:val="5D5E1C1D"/>
    <w:multiLevelType w:val="hybridMultilevel"/>
    <w:tmpl w:val="6C5C7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412E2C"/>
    <w:multiLevelType w:val="hybridMultilevel"/>
    <w:tmpl w:val="4864B50E"/>
    <w:lvl w:ilvl="0" w:tplc="6DC0DEA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0044843"/>
    <w:multiLevelType w:val="hybridMultilevel"/>
    <w:tmpl w:val="E76EE978"/>
    <w:lvl w:ilvl="0" w:tplc="0C965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22DB1"/>
    <w:multiLevelType w:val="hybridMultilevel"/>
    <w:tmpl w:val="8D00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263203">
    <w:abstractNumId w:val="4"/>
  </w:num>
  <w:num w:numId="2" w16cid:durableId="910121210">
    <w:abstractNumId w:val="1"/>
  </w:num>
  <w:num w:numId="3" w16cid:durableId="1995915090">
    <w:abstractNumId w:val="11"/>
  </w:num>
  <w:num w:numId="4" w16cid:durableId="478811894">
    <w:abstractNumId w:val="2"/>
  </w:num>
  <w:num w:numId="5" w16cid:durableId="718632190">
    <w:abstractNumId w:val="10"/>
  </w:num>
  <w:num w:numId="6" w16cid:durableId="875697852">
    <w:abstractNumId w:val="7"/>
  </w:num>
  <w:num w:numId="7" w16cid:durableId="1242251279">
    <w:abstractNumId w:val="8"/>
  </w:num>
  <w:num w:numId="8" w16cid:durableId="963119331">
    <w:abstractNumId w:val="6"/>
  </w:num>
  <w:num w:numId="9" w16cid:durableId="1854996774">
    <w:abstractNumId w:val="5"/>
  </w:num>
  <w:num w:numId="10" w16cid:durableId="1246501257">
    <w:abstractNumId w:val="9"/>
  </w:num>
  <w:num w:numId="11" w16cid:durableId="829295244">
    <w:abstractNumId w:val="8"/>
  </w:num>
  <w:num w:numId="12" w16cid:durableId="1984383481">
    <w:abstractNumId w:val="0"/>
  </w:num>
  <w:num w:numId="13" w16cid:durableId="268898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E1"/>
    <w:rsid w:val="000039A8"/>
    <w:rsid w:val="0001134F"/>
    <w:rsid w:val="0001212E"/>
    <w:rsid w:val="0002126F"/>
    <w:rsid w:val="000221F9"/>
    <w:rsid w:val="0002501B"/>
    <w:rsid w:val="0002737B"/>
    <w:rsid w:val="00047A74"/>
    <w:rsid w:val="00050886"/>
    <w:rsid w:val="0007057B"/>
    <w:rsid w:val="0008050F"/>
    <w:rsid w:val="00084CA3"/>
    <w:rsid w:val="00085780"/>
    <w:rsid w:val="000A3F42"/>
    <w:rsid w:val="000A7A2B"/>
    <w:rsid w:val="000B3DBC"/>
    <w:rsid w:val="000B415F"/>
    <w:rsid w:val="000C0482"/>
    <w:rsid w:val="000C09F1"/>
    <w:rsid w:val="000C0CA2"/>
    <w:rsid w:val="000D0CAB"/>
    <w:rsid w:val="000E22D5"/>
    <w:rsid w:val="000E5E78"/>
    <w:rsid w:val="000F0360"/>
    <w:rsid w:val="000F1B27"/>
    <w:rsid w:val="000F29A2"/>
    <w:rsid w:val="000F33D8"/>
    <w:rsid w:val="001017A5"/>
    <w:rsid w:val="00107860"/>
    <w:rsid w:val="00110E83"/>
    <w:rsid w:val="00117C87"/>
    <w:rsid w:val="001202ED"/>
    <w:rsid w:val="001269B8"/>
    <w:rsid w:val="0013014F"/>
    <w:rsid w:val="00133BA5"/>
    <w:rsid w:val="00136871"/>
    <w:rsid w:val="00145A43"/>
    <w:rsid w:val="00155530"/>
    <w:rsid w:val="00155C17"/>
    <w:rsid w:val="00165FAF"/>
    <w:rsid w:val="0016633D"/>
    <w:rsid w:val="00166B50"/>
    <w:rsid w:val="001735AC"/>
    <w:rsid w:val="00174F96"/>
    <w:rsid w:val="00176B2F"/>
    <w:rsid w:val="00177352"/>
    <w:rsid w:val="00181C62"/>
    <w:rsid w:val="00187B69"/>
    <w:rsid w:val="00193E16"/>
    <w:rsid w:val="001A1EF2"/>
    <w:rsid w:val="001A30CC"/>
    <w:rsid w:val="001A5BCC"/>
    <w:rsid w:val="001A798D"/>
    <w:rsid w:val="001B64C3"/>
    <w:rsid w:val="001B6751"/>
    <w:rsid w:val="001D1360"/>
    <w:rsid w:val="001D3EEC"/>
    <w:rsid w:val="001F1C03"/>
    <w:rsid w:val="001F21E6"/>
    <w:rsid w:val="001F4A7D"/>
    <w:rsid w:val="0020447D"/>
    <w:rsid w:val="0020492F"/>
    <w:rsid w:val="00205FFE"/>
    <w:rsid w:val="002106C8"/>
    <w:rsid w:val="002118D4"/>
    <w:rsid w:val="00217394"/>
    <w:rsid w:val="00217513"/>
    <w:rsid w:val="00220B02"/>
    <w:rsid w:val="00223821"/>
    <w:rsid w:val="00226D71"/>
    <w:rsid w:val="00246D27"/>
    <w:rsid w:val="00250B7F"/>
    <w:rsid w:val="00251657"/>
    <w:rsid w:val="00251D2D"/>
    <w:rsid w:val="00253B86"/>
    <w:rsid w:val="0025428A"/>
    <w:rsid w:val="00256723"/>
    <w:rsid w:val="0026096B"/>
    <w:rsid w:val="00266144"/>
    <w:rsid w:val="00274644"/>
    <w:rsid w:val="00286D62"/>
    <w:rsid w:val="00292255"/>
    <w:rsid w:val="00292A4A"/>
    <w:rsid w:val="002A7FE7"/>
    <w:rsid w:val="002B4C32"/>
    <w:rsid w:val="002C07D6"/>
    <w:rsid w:val="002C183B"/>
    <w:rsid w:val="002E0242"/>
    <w:rsid w:val="002E2901"/>
    <w:rsid w:val="002F1F20"/>
    <w:rsid w:val="002F22D3"/>
    <w:rsid w:val="00303C40"/>
    <w:rsid w:val="00304A86"/>
    <w:rsid w:val="003123DE"/>
    <w:rsid w:val="00313742"/>
    <w:rsid w:val="0032477A"/>
    <w:rsid w:val="00324A68"/>
    <w:rsid w:val="003274CE"/>
    <w:rsid w:val="00340587"/>
    <w:rsid w:val="003427E8"/>
    <w:rsid w:val="00346A31"/>
    <w:rsid w:val="00350219"/>
    <w:rsid w:val="003512A1"/>
    <w:rsid w:val="003536DA"/>
    <w:rsid w:val="003569E0"/>
    <w:rsid w:val="00361269"/>
    <w:rsid w:val="00361BC0"/>
    <w:rsid w:val="00365752"/>
    <w:rsid w:val="00377828"/>
    <w:rsid w:val="00384D9E"/>
    <w:rsid w:val="003871B1"/>
    <w:rsid w:val="00392C1E"/>
    <w:rsid w:val="00395906"/>
    <w:rsid w:val="00396659"/>
    <w:rsid w:val="003A2ACD"/>
    <w:rsid w:val="003A5F25"/>
    <w:rsid w:val="003B54E6"/>
    <w:rsid w:val="003C2159"/>
    <w:rsid w:val="003C5CC8"/>
    <w:rsid w:val="003C5DC6"/>
    <w:rsid w:val="003C7390"/>
    <w:rsid w:val="003C7B6E"/>
    <w:rsid w:val="003D07FA"/>
    <w:rsid w:val="003D3073"/>
    <w:rsid w:val="003D647D"/>
    <w:rsid w:val="003E1920"/>
    <w:rsid w:val="003E2E57"/>
    <w:rsid w:val="003F2163"/>
    <w:rsid w:val="00402021"/>
    <w:rsid w:val="00402E8A"/>
    <w:rsid w:val="00405EF4"/>
    <w:rsid w:val="004117A8"/>
    <w:rsid w:val="00422223"/>
    <w:rsid w:val="00426C5B"/>
    <w:rsid w:val="004273BA"/>
    <w:rsid w:val="004274E5"/>
    <w:rsid w:val="0042785E"/>
    <w:rsid w:val="00440D0A"/>
    <w:rsid w:val="0045695F"/>
    <w:rsid w:val="004A1155"/>
    <w:rsid w:val="004A2960"/>
    <w:rsid w:val="004A561E"/>
    <w:rsid w:val="004B268A"/>
    <w:rsid w:val="004B2F72"/>
    <w:rsid w:val="004B3073"/>
    <w:rsid w:val="004B379F"/>
    <w:rsid w:val="004B66DE"/>
    <w:rsid w:val="004B76CA"/>
    <w:rsid w:val="004C647C"/>
    <w:rsid w:val="004C754E"/>
    <w:rsid w:val="004E3535"/>
    <w:rsid w:val="004E4D43"/>
    <w:rsid w:val="004E50B8"/>
    <w:rsid w:val="004E63CA"/>
    <w:rsid w:val="004F293E"/>
    <w:rsid w:val="00503595"/>
    <w:rsid w:val="00511150"/>
    <w:rsid w:val="00514F16"/>
    <w:rsid w:val="00515119"/>
    <w:rsid w:val="005175FC"/>
    <w:rsid w:val="00520A6B"/>
    <w:rsid w:val="005304D5"/>
    <w:rsid w:val="00531A0B"/>
    <w:rsid w:val="00551C9E"/>
    <w:rsid w:val="00561329"/>
    <w:rsid w:val="0056398D"/>
    <w:rsid w:val="00566360"/>
    <w:rsid w:val="005729F0"/>
    <w:rsid w:val="005731DE"/>
    <w:rsid w:val="00575CDA"/>
    <w:rsid w:val="00585515"/>
    <w:rsid w:val="005873E1"/>
    <w:rsid w:val="0059578C"/>
    <w:rsid w:val="00597189"/>
    <w:rsid w:val="005A4F6A"/>
    <w:rsid w:val="005A7EFF"/>
    <w:rsid w:val="005C2B9F"/>
    <w:rsid w:val="005C4745"/>
    <w:rsid w:val="005C4F9C"/>
    <w:rsid w:val="005C5E8E"/>
    <w:rsid w:val="005D08A7"/>
    <w:rsid w:val="005D58DA"/>
    <w:rsid w:val="005E00B4"/>
    <w:rsid w:val="005E029D"/>
    <w:rsid w:val="005E3653"/>
    <w:rsid w:val="005E6E84"/>
    <w:rsid w:val="005F7ADE"/>
    <w:rsid w:val="006030FC"/>
    <w:rsid w:val="00605D39"/>
    <w:rsid w:val="00611168"/>
    <w:rsid w:val="00612584"/>
    <w:rsid w:val="006247C0"/>
    <w:rsid w:val="00632E3F"/>
    <w:rsid w:val="00634948"/>
    <w:rsid w:val="00637965"/>
    <w:rsid w:val="00643668"/>
    <w:rsid w:val="00653AE3"/>
    <w:rsid w:val="006627C6"/>
    <w:rsid w:val="00663069"/>
    <w:rsid w:val="0066442D"/>
    <w:rsid w:val="006656DB"/>
    <w:rsid w:val="006715A3"/>
    <w:rsid w:val="0067344A"/>
    <w:rsid w:val="00677E96"/>
    <w:rsid w:val="006862EE"/>
    <w:rsid w:val="0069114E"/>
    <w:rsid w:val="0069302F"/>
    <w:rsid w:val="0069390B"/>
    <w:rsid w:val="00694D39"/>
    <w:rsid w:val="006956AB"/>
    <w:rsid w:val="006A3D01"/>
    <w:rsid w:val="006A7F75"/>
    <w:rsid w:val="006B0358"/>
    <w:rsid w:val="006C01B7"/>
    <w:rsid w:val="006C6942"/>
    <w:rsid w:val="006C6C40"/>
    <w:rsid w:val="006D4794"/>
    <w:rsid w:val="006E3C30"/>
    <w:rsid w:val="006F13A8"/>
    <w:rsid w:val="006F6AAA"/>
    <w:rsid w:val="00700415"/>
    <w:rsid w:val="00704273"/>
    <w:rsid w:val="0070599F"/>
    <w:rsid w:val="007162C6"/>
    <w:rsid w:val="00716E3A"/>
    <w:rsid w:val="00722EF2"/>
    <w:rsid w:val="007419B8"/>
    <w:rsid w:val="00742A61"/>
    <w:rsid w:val="00747607"/>
    <w:rsid w:val="00747F12"/>
    <w:rsid w:val="00750176"/>
    <w:rsid w:val="0075389E"/>
    <w:rsid w:val="00757A40"/>
    <w:rsid w:val="007627FA"/>
    <w:rsid w:val="00762A5E"/>
    <w:rsid w:val="00765E78"/>
    <w:rsid w:val="0078432A"/>
    <w:rsid w:val="007844E2"/>
    <w:rsid w:val="00784ACF"/>
    <w:rsid w:val="007858C3"/>
    <w:rsid w:val="00786BE8"/>
    <w:rsid w:val="007939F4"/>
    <w:rsid w:val="00793FFB"/>
    <w:rsid w:val="00796068"/>
    <w:rsid w:val="007A268D"/>
    <w:rsid w:val="007A684C"/>
    <w:rsid w:val="007C2D5E"/>
    <w:rsid w:val="007C6502"/>
    <w:rsid w:val="007C750D"/>
    <w:rsid w:val="007D2883"/>
    <w:rsid w:val="007D3F14"/>
    <w:rsid w:val="007D6029"/>
    <w:rsid w:val="008169EA"/>
    <w:rsid w:val="00821838"/>
    <w:rsid w:val="0082640E"/>
    <w:rsid w:val="0082705F"/>
    <w:rsid w:val="00830768"/>
    <w:rsid w:val="0083702E"/>
    <w:rsid w:val="00843139"/>
    <w:rsid w:val="00850088"/>
    <w:rsid w:val="00863D21"/>
    <w:rsid w:val="008654A2"/>
    <w:rsid w:val="008668DA"/>
    <w:rsid w:val="00882FE0"/>
    <w:rsid w:val="0088633F"/>
    <w:rsid w:val="00891AFC"/>
    <w:rsid w:val="008963BC"/>
    <w:rsid w:val="008A3D3A"/>
    <w:rsid w:val="008A4439"/>
    <w:rsid w:val="008B1471"/>
    <w:rsid w:val="008B214A"/>
    <w:rsid w:val="008B2B61"/>
    <w:rsid w:val="008B2F6B"/>
    <w:rsid w:val="008B3B81"/>
    <w:rsid w:val="008C071E"/>
    <w:rsid w:val="008C0DC0"/>
    <w:rsid w:val="008D086B"/>
    <w:rsid w:val="008D0F87"/>
    <w:rsid w:val="008D1852"/>
    <w:rsid w:val="008D631E"/>
    <w:rsid w:val="008D720E"/>
    <w:rsid w:val="008E7367"/>
    <w:rsid w:val="008F045B"/>
    <w:rsid w:val="008F0524"/>
    <w:rsid w:val="00900A53"/>
    <w:rsid w:val="00906A84"/>
    <w:rsid w:val="00912764"/>
    <w:rsid w:val="0091306A"/>
    <w:rsid w:val="00932583"/>
    <w:rsid w:val="00933BC2"/>
    <w:rsid w:val="009377AE"/>
    <w:rsid w:val="00941313"/>
    <w:rsid w:val="00947D50"/>
    <w:rsid w:val="00954593"/>
    <w:rsid w:val="00963D19"/>
    <w:rsid w:val="009703A7"/>
    <w:rsid w:val="00970FC2"/>
    <w:rsid w:val="00973D62"/>
    <w:rsid w:val="00974A18"/>
    <w:rsid w:val="00977D09"/>
    <w:rsid w:val="00982B9B"/>
    <w:rsid w:val="00985F03"/>
    <w:rsid w:val="009958C9"/>
    <w:rsid w:val="009A03F1"/>
    <w:rsid w:val="009A066B"/>
    <w:rsid w:val="009A4CE1"/>
    <w:rsid w:val="009B2E98"/>
    <w:rsid w:val="009B3F1A"/>
    <w:rsid w:val="009C5067"/>
    <w:rsid w:val="009C7B20"/>
    <w:rsid w:val="009D206A"/>
    <w:rsid w:val="009D36AE"/>
    <w:rsid w:val="009D58C1"/>
    <w:rsid w:val="009D7C1F"/>
    <w:rsid w:val="009E140F"/>
    <w:rsid w:val="009E24F5"/>
    <w:rsid w:val="009E7C05"/>
    <w:rsid w:val="00A01062"/>
    <w:rsid w:val="00A01C4E"/>
    <w:rsid w:val="00A03573"/>
    <w:rsid w:val="00A12B3E"/>
    <w:rsid w:val="00A279DF"/>
    <w:rsid w:val="00A36B70"/>
    <w:rsid w:val="00A518DE"/>
    <w:rsid w:val="00A53257"/>
    <w:rsid w:val="00A61165"/>
    <w:rsid w:val="00A6561C"/>
    <w:rsid w:val="00A7030E"/>
    <w:rsid w:val="00A744E6"/>
    <w:rsid w:val="00A746BF"/>
    <w:rsid w:val="00A75755"/>
    <w:rsid w:val="00A77864"/>
    <w:rsid w:val="00A8364A"/>
    <w:rsid w:val="00A9103D"/>
    <w:rsid w:val="00A95D22"/>
    <w:rsid w:val="00AA0151"/>
    <w:rsid w:val="00AA190B"/>
    <w:rsid w:val="00AA3C45"/>
    <w:rsid w:val="00AA3E6B"/>
    <w:rsid w:val="00AA460E"/>
    <w:rsid w:val="00AA6915"/>
    <w:rsid w:val="00AB4D1D"/>
    <w:rsid w:val="00AB78CB"/>
    <w:rsid w:val="00AC5F97"/>
    <w:rsid w:val="00AD3BBC"/>
    <w:rsid w:val="00AD5A7B"/>
    <w:rsid w:val="00AE0102"/>
    <w:rsid w:val="00AE1D32"/>
    <w:rsid w:val="00AE53DA"/>
    <w:rsid w:val="00AF7A01"/>
    <w:rsid w:val="00B066FA"/>
    <w:rsid w:val="00B06BC1"/>
    <w:rsid w:val="00B06DD1"/>
    <w:rsid w:val="00B15241"/>
    <w:rsid w:val="00B225F6"/>
    <w:rsid w:val="00B35729"/>
    <w:rsid w:val="00B3576A"/>
    <w:rsid w:val="00B41E4B"/>
    <w:rsid w:val="00B43043"/>
    <w:rsid w:val="00B4345F"/>
    <w:rsid w:val="00B43832"/>
    <w:rsid w:val="00B439AB"/>
    <w:rsid w:val="00B4737A"/>
    <w:rsid w:val="00B50379"/>
    <w:rsid w:val="00B528F2"/>
    <w:rsid w:val="00B52AC3"/>
    <w:rsid w:val="00B5797B"/>
    <w:rsid w:val="00B57FD9"/>
    <w:rsid w:val="00B67855"/>
    <w:rsid w:val="00B67CFE"/>
    <w:rsid w:val="00B705BB"/>
    <w:rsid w:val="00B71F83"/>
    <w:rsid w:val="00B74EA2"/>
    <w:rsid w:val="00B7636C"/>
    <w:rsid w:val="00B77843"/>
    <w:rsid w:val="00B857B5"/>
    <w:rsid w:val="00B858E5"/>
    <w:rsid w:val="00B87A48"/>
    <w:rsid w:val="00B933EA"/>
    <w:rsid w:val="00B93C27"/>
    <w:rsid w:val="00B949D8"/>
    <w:rsid w:val="00B97108"/>
    <w:rsid w:val="00BB503B"/>
    <w:rsid w:val="00BC298A"/>
    <w:rsid w:val="00BD158D"/>
    <w:rsid w:val="00BD3373"/>
    <w:rsid w:val="00BD382B"/>
    <w:rsid w:val="00BF6B1C"/>
    <w:rsid w:val="00C016F2"/>
    <w:rsid w:val="00C0253A"/>
    <w:rsid w:val="00C147B1"/>
    <w:rsid w:val="00C17230"/>
    <w:rsid w:val="00C20041"/>
    <w:rsid w:val="00C23001"/>
    <w:rsid w:val="00C24F54"/>
    <w:rsid w:val="00C326AA"/>
    <w:rsid w:val="00C35FFC"/>
    <w:rsid w:val="00C36657"/>
    <w:rsid w:val="00C40D2A"/>
    <w:rsid w:val="00C41F7D"/>
    <w:rsid w:val="00C5181E"/>
    <w:rsid w:val="00C52E92"/>
    <w:rsid w:val="00C53195"/>
    <w:rsid w:val="00C542E1"/>
    <w:rsid w:val="00C6279A"/>
    <w:rsid w:val="00C654ED"/>
    <w:rsid w:val="00C70B34"/>
    <w:rsid w:val="00C71639"/>
    <w:rsid w:val="00C753B8"/>
    <w:rsid w:val="00C75BF9"/>
    <w:rsid w:val="00C80AED"/>
    <w:rsid w:val="00C82C33"/>
    <w:rsid w:val="00C82C65"/>
    <w:rsid w:val="00C831F2"/>
    <w:rsid w:val="00C8579E"/>
    <w:rsid w:val="00C961B2"/>
    <w:rsid w:val="00CA54FC"/>
    <w:rsid w:val="00CA7198"/>
    <w:rsid w:val="00CB5648"/>
    <w:rsid w:val="00CB5A81"/>
    <w:rsid w:val="00CC0008"/>
    <w:rsid w:val="00CC48CB"/>
    <w:rsid w:val="00CD3BA8"/>
    <w:rsid w:val="00CD654C"/>
    <w:rsid w:val="00CE3300"/>
    <w:rsid w:val="00CF2FB3"/>
    <w:rsid w:val="00D04576"/>
    <w:rsid w:val="00D0685C"/>
    <w:rsid w:val="00D17EBF"/>
    <w:rsid w:val="00D210BB"/>
    <w:rsid w:val="00D40A6B"/>
    <w:rsid w:val="00D4530D"/>
    <w:rsid w:val="00D4588F"/>
    <w:rsid w:val="00D45896"/>
    <w:rsid w:val="00D55399"/>
    <w:rsid w:val="00D64782"/>
    <w:rsid w:val="00D80C7A"/>
    <w:rsid w:val="00D8352C"/>
    <w:rsid w:val="00D8526C"/>
    <w:rsid w:val="00D904DE"/>
    <w:rsid w:val="00DA03F4"/>
    <w:rsid w:val="00DA370A"/>
    <w:rsid w:val="00DA5FD1"/>
    <w:rsid w:val="00DB2BF3"/>
    <w:rsid w:val="00DB47D2"/>
    <w:rsid w:val="00DC4D43"/>
    <w:rsid w:val="00DC5076"/>
    <w:rsid w:val="00DE0945"/>
    <w:rsid w:val="00DE6D45"/>
    <w:rsid w:val="00DF6E46"/>
    <w:rsid w:val="00E11F69"/>
    <w:rsid w:val="00E229F2"/>
    <w:rsid w:val="00E257BF"/>
    <w:rsid w:val="00E25EF2"/>
    <w:rsid w:val="00E324CC"/>
    <w:rsid w:val="00E36049"/>
    <w:rsid w:val="00E53521"/>
    <w:rsid w:val="00E53852"/>
    <w:rsid w:val="00E6456B"/>
    <w:rsid w:val="00E70D53"/>
    <w:rsid w:val="00E769AE"/>
    <w:rsid w:val="00E814C2"/>
    <w:rsid w:val="00E82595"/>
    <w:rsid w:val="00E941D2"/>
    <w:rsid w:val="00EA0285"/>
    <w:rsid w:val="00EA0AAB"/>
    <w:rsid w:val="00EA31C8"/>
    <w:rsid w:val="00EA4903"/>
    <w:rsid w:val="00EA61DF"/>
    <w:rsid w:val="00EB23C2"/>
    <w:rsid w:val="00EB34FA"/>
    <w:rsid w:val="00EB5A45"/>
    <w:rsid w:val="00EC2EBB"/>
    <w:rsid w:val="00ED2B2D"/>
    <w:rsid w:val="00ED726B"/>
    <w:rsid w:val="00ED76CD"/>
    <w:rsid w:val="00EE2CE3"/>
    <w:rsid w:val="00EF0897"/>
    <w:rsid w:val="00EF202E"/>
    <w:rsid w:val="00EF25D0"/>
    <w:rsid w:val="00EF2DE6"/>
    <w:rsid w:val="00EF412D"/>
    <w:rsid w:val="00EF416C"/>
    <w:rsid w:val="00EF6009"/>
    <w:rsid w:val="00F0648E"/>
    <w:rsid w:val="00F10F28"/>
    <w:rsid w:val="00F12A30"/>
    <w:rsid w:val="00F168AD"/>
    <w:rsid w:val="00F271C3"/>
    <w:rsid w:val="00F302FD"/>
    <w:rsid w:val="00F3278A"/>
    <w:rsid w:val="00F34487"/>
    <w:rsid w:val="00F463A5"/>
    <w:rsid w:val="00F46B93"/>
    <w:rsid w:val="00F56DBD"/>
    <w:rsid w:val="00F62445"/>
    <w:rsid w:val="00F71D2B"/>
    <w:rsid w:val="00F8205E"/>
    <w:rsid w:val="00F85D3D"/>
    <w:rsid w:val="00F86A54"/>
    <w:rsid w:val="00F9056B"/>
    <w:rsid w:val="00F95CA4"/>
    <w:rsid w:val="00FA331B"/>
    <w:rsid w:val="00FA6AC8"/>
    <w:rsid w:val="00FD4C50"/>
    <w:rsid w:val="00FF0805"/>
    <w:rsid w:val="00F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9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C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428A"/>
    <w:pPr>
      <w:tabs>
        <w:tab w:val="center" w:pos="4320"/>
        <w:tab w:val="right" w:pos="8640"/>
      </w:tabs>
    </w:pPr>
  </w:style>
  <w:style w:type="paragraph" w:styleId="Footer">
    <w:name w:val="footer"/>
    <w:basedOn w:val="Normal"/>
    <w:rsid w:val="0025428A"/>
    <w:pPr>
      <w:tabs>
        <w:tab w:val="center" w:pos="4320"/>
        <w:tab w:val="right" w:pos="8640"/>
      </w:tabs>
    </w:pPr>
  </w:style>
  <w:style w:type="character" w:styleId="PageNumber">
    <w:name w:val="page number"/>
    <w:basedOn w:val="DefaultParagraphFont"/>
    <w:rsid w:val="0025428A"/>
  </w:style>
  <w:style w:type="paragraph" w:styleId="ListParagraph">
    <w:name w:val="List Paragraph"/>
    <w:basedOn w:val="Normal"/>
    <w:uiPriority w:val="34"/>
    <w:qFormat/>
    <w:rsid w:val="006862EE"/>
    <w:pPr>
      <w:spacing w:after="200" w:line="276" w:lineRule="auto"/>
      <w:ind w:left="720"/>
      <w:contextualSpacing/>
    </w:pPr>
    <w:rPr>
      <w:rFonts w:ascii="Calibri" w:eastAsia="Calibri" w:hAnsi="Calibri"/>
      <w:sz w:val="20"/>
      <w:szCs w:val="20"/>
    </w:rPr>
  </w:style>
  <w:style w:type="character" w:styleId="CommentReference">
    <w:name w:val="annotation reference"/>
    <w:basedOn w:val="DefaultParagraphFont"/>
    <w:uiPriority w:val="99"/>
    <w:rsid w:val="00C80AED"/>
    <w:rPr>
      <w:rFonts w:cs="Times New Roman"/>
      <w:sz w:val="16"/>
    </w:rPr>
  </w:style>
  <w:style w:type="paragraph" w:styleId="CommentText">
    <w:name w:val="annotation text"/>
    <w:basedOn w:val="Normal"/>
    <w:link w:val="CommentTextChar"/>
    <w:uiPriority w:val="99"/>
    <w:rsid w:val="00C80AED"/>
    <w:pPr>
      <w:spacing w:after="200"/>
    </w:pPr>
    <w:rPr>
      <w:rFonts w:ascii="Cambria" w:eastAsia="Calibri" w:hAnsi="Cambria"/>
      <w:sz w:val="20"/>
      <w:szCs w:val="20"/>
    </w:rPr>
  </w:style>
  <w:style w:type="character" w:customStyle="1" w:styleId="CommentTextChar">
    <w:name w:val="Comment Text Char"/>
    <w:basedOn w:val="DefaultParagraphFont"/>
    <w:link w:val="CommentText"/>
    <w:uiPriority w:val="99"/>
    <w:rsid w:val="00C80AED"/>
    <w:rPr>
      <w:rFonts w:ascii="Cambria" w:eastAsia="Calibri" w:hAnsi="Cambria"/>
    </w:rPr>
  </w:style>
  <w:style w:type="paragraph" w:styleId="BalloonText">
    <w:name w:val="Balloon Text"/>
    <w:basedOn w:val="Normal"/>
    <w:link w:val="BalloonTextChar"/>
    <w:rsid w:val="00C80AED"/>
    <w:rPr>
      <w:rFonts w:ascii="Tahoma" w:hAnsi="Tahoma" w:cs="Tahoma"/>
      <w:sz w:val="16"/>
      <w:szCs w:val="16"/>
    </w:rPr>
  </w:style>
  <w:style w:type="character" w:customStyle="1" w:styleId="BalloonTextChar">
    <w:name w:val="Balloon Text Char"/>
    <w:basedOn w:val="DefaultParagraphFont"/>
    <w:link w:val="BalloonText"/>
    <w:rsid w:val="00C80AED"/>
    <w:rPr>
      <w:rFonts w:ascii="Tahoma" w:hAnsi="Tahoma" w:cs="Tahoma"/>
      <w:sz w:val="16"/>
      <w:szCs w:val="16"/>
    </w:rPr>
  </w:style>
  <w:style w:type="paragraph" w:styleId="FootnoteText">
    <w:name w:val="footnote text"/>
    <w:basedOn w:val="Normal"/>
    <w:link w:val="FootnoteTextChar"/>
    <w:uiPriority w:val="99"/>
    <w:rsid w:val="005D58DA"/>
    <w:pPr>
      <w:spacing w:after="200" w:line="276" w:lineRule="auto"/>
    </w:pPr>
    <w:rPr>
      <w:rFonts w:ascii="Cambria" w:eastAsia="Calibri" w:hAnsi="Cambria"/>
      <w:sz w:val="20"/>
      <w:szCs w:val="20"/>
    </w:rPr>
  </w:style>
  <w:style w:type="character" w:customStyle="1" w:styleId="FootnoteTextChar">
    <w:name w:val="Footnote Text Char"/>
    <w:basedOn w:val="DefaultParagraphFont"/>
    <w:link w:val="FootnoteText"/>
    <w:uiPriority w:val="99"/>
    <w:rsid w:val="005D58DA"/>
    <w:rPr>
      <w:rFonts w:ascii="Cambria" w:eastAsia="Calibri" w:hAnsi="Cambria"/>
    </w:rPr>
  </w:style>
  <w:style w:type="character" w:styleId="FootnoteReference">
    <w:name w:val="footnote reference"/>
    <w:basedOn w:val="DefaultParagraphFont"/>
    <w:uiPriority w:val="99"/>
    <w:rsid w:val="005D58DA"/>
    <w:rPr>
      <w:rFonts w:cs="Times New Roman"/>
      <w:vertAlign w:val="superscript"/>
    </w:rPr>
  </w:style>
  <w:style w:type="paragraph" w:styleId="CommentSubject">
    <w:name w:val="annotation subject"/>
    <w:basedOn w:val="CommentText"/>
    <w:next w:val="CommentText"/>
    <w:link w:val="CommentSubjectChar"/>
    <w:rsid w:val="008B2B61"/>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8B2B61"/>
    <w:rPr>
      <w:rFonts w:ascii="Cambria" w:eastAsia="Calibri" w:hAnsi="Cambria"/>
      <w:b/>
      <w:bCs/>
    </w:rPr>
  </w:style>
  <w:style w:type="paragraph" w:styleId="BodyText">
    <w:name w:val="Body Text"/>
    <w:basedOn w:val="Normal"/>
    <w:link w:val="BodyTextChar"/>
    <w:rsid w:val="00C17230"/>
    <w:pPr>
      <w:spacing w:after="240"/>
      <w:ind w:firstLine="720"/>
      <w:jc w:val="both"/>
    </w:pPr>
    <w:rPr>
      <w:sz w:val="22"/>
      <w:szCs w:val="20"/>
    </w:rPr>
  </w:style>
  <w:style w:type="character" w:customStyle="1" w:styleId="BodyTextChar">
    <w:name w:val="Body Text Char"/>
    <w:basedOn w:val="DefaultParagraphFont"/>
    <w:link w:val="BodyText"/>
    <w:rsid w:val="00C17230"/>
    <w:rPr>
      <w:sz w:val="22"/>
    </w:rPr>
  </w:style>
  <w:style w:type="paragraph" w:customStyle="1" w:styleId="Default">
    <w:name w:val="Default"/>
    <w:rsid w:val="00396659"/>
    <w:pPr>
      <w:autoSpaceDE w:val="0"/>
      <w:autoSpaceDN w:val="0"/>
      <w:adjustRightInd w:val="0"/>
    </w:pPr>
    <w:rPr>
      <w:rFonts w:ascii="Courier New" w:eastAsia="Calibri" w:hAnsi="Courier New" w:cs="Calibri"/>
      <w:color w:val="000000"/>
      <w:sz w:val="24"/>
    </w:rPr>
  </w:style>
  <w:style w:type="paragraph" w:styleId="BodyTextIndent2">
    <w:name w:val="Body Text Indent 2"/>
    <w:basedOn w:val="Normal"/>
    <w:link w:val="BodyTextIndent2Char"/>
    <w:semiHidden/>
    <w:unhideWhenUsed/>
    <w:rsid w:val="00303C40"/>
    <w:pPr>
      <w:spacing w:after="120" w:line="480" w:lineRule="auto"/>
      <w:ind w:left="360"/>
    </w:pPr>
  </w:style>
  <w:style w:type="character" w:customStyle="1" w:styleId="BodyTextIndent2Char">
    <w:name w:val="Body Text Indent 2 Char"/>
    <w:basedOn w:val="DefaultParagraphFont"/>
    <w:link w:val="BodyTextIndent2"/>
    <w:semiHidden/>
    <w:rsid w:val="00303C40"/>
    <w:rPr>
      <w:sz w:val="24"/>
      <w:szCs w:val="24"/>
    </w:rPr>
  </w:style>
  <w:style w:type="character" w:styleId="Hyperlink">
    <w:name w:val="Hyperlink"/>
    <w:basedOn w:val="DefaultParagraphFont"/>
    <w:uiPriority w:val="99"/>
    <w:semiHidden/>
    <w:unhideWhenUsed/>
    <w:rsid w:val="004B76CA"/>
    <w:rPr>
      <w:color w:val="0000FF"/>
      <w:u w:val="single"/>
    </w:rPr>
  </w:style>
  <w:style w:type="paragraph" w:customStyle="1" w:styleId="DocID">
    <w:name w:val="DocID"/>
    <w:basedOn w:val="Normal"/>
    <w:next w:val="Footer"/>
    <w:rsid w:val="00611168"/>
    <w:rPr>
      <w:snapToGrid w:val="0"/>
      <w:sz w:val="16"/>
      <w:szCs w:val="16"/>
    </w:rPr>
  </w:style>
  <w:style w:type="table" w:customStyle="1" w:styleId="TableGrid1">
    <w:name w:val="Table Grid1"/>
    <w:basedOn w:val="TableNormal"/>
    <w:next w:val="TableGrid"/>
    <w:rsid w:val="0061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BodyText">
    <w:name w:val="_ms Body Text"/>
    <w:aliases w:val="BT"/>
    <w:basedOn w:val="Normal"/>
    <w:rsid w:val="00ED76CD"/>
    <w:pPr>
      <w:autoSpaceDE w:val="0"/>
      <w:autoSpaceDN w:val="0"/>
      <w:adjustRightInd w:val="0"/>
      <w:spacing w:after="240"/>
      <w:ind w:firstLine="720"/>
      <w:jc w:val="both"/>
    </w:pPr>
  </w:style>
  <w:style w:type="paragraph" w:styleId="Title">
    <w:name w:val="Title"/>
    <w:basedOn w:val="Normal"/>
    <w:link w:val="TitleChar"/>
    <w:qFormat/>
    <w:rsid w:val="00050886"/>
    <w:pPr>
      <w:overflowPunct w:val="0"/>
      <w:autoSpaceDE w:val="0"/>
      <w:autoSpaceDN w:val="0"/>
      <w:adjustRightInd w:val="0"/>
      <w:jc w:val="center"/>
      <w:textAlignment w:val="baseline"/>
    </w:pPr>
    <w:rPr>
      <w:rFonts w:ascii="Helvetica" w:hAnsi="Helvetica"/>
      <w:b/>
      <w:sz w:val="28"/>
      <w:szCs w:val="20"/>
    </w:rPr>
  </w:style>
  <w:style w:type="character" w:customStyle="1" w:styleId="TitleChar">
    <w:name w:val="Title Char"/>
    <w:basedOn w:val="DefaultParagraphFont"/>
    <w:link w:val="Title"/>
    <w:rsid w:val="00050886"/>
    <w:rPr>
      <w:rFonts w:ascii="Helvetica" w:hAnsi="Helvetic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455103568">
      <w:bodyDiv w:val="1"/>
      <w:marLeft w:val="0"/>
      <w:marRight w:val="0"/>
      <w:marTop w:val="0"/>
      <w:marBottom w:val="0"/>
      <w:divBdr>
        <w:top w:val="none" w:sz="0" w:space="0" w:color="auto"/>
        <w:left w:val="none" w:sz="0" w:space="0" w:color="auto"/>
        <w:bottom w:val="none" w:sz="0" w:space="0" w:color="auto"/>
        <w:right w:val="none" w:sz="0" w:space="0" w:color="auto"/>
      </w:divBdr>
    </w:div>
    <w:div w:id="597522161">
      <w:bodyDiv w:val="1"/>
      <w:marLeft w:val="0"/>
      <w:marRight w:val="0"/>
      <w:marTop w:val="0"/>
      <w:marBottom w:val="0"/>
      <w:divBdr>
        <w:top w:val="none" w:sz="0" w:space="0" w:color="auto"/>
        <w:left w:val="none" w:sz="0" w:space="0" w:color="auto"/>
        <w:bottom w:val="none" w:sz="0" w:space="0" w:color="auto"/>
        <w:right w:val="none" w:sz="0" w:space="0" w:color="auto"/>
      </w:divBdr>
    </w:div>
    <w:div w:id="1445879521">
      <w:bodyDiv w:val="1"/>
      <w:marLeft w:val="0"/>
      <w:marRight w:val="0"/>
      <w:marTop w:val="0"/>
      <w:marBottom w:val="0"/>
      <w:divBdr>
        <w:top w:val="none" w:sz="0" w:space="0" w:color="auto"/>
        <w:left w:val="none" w:sz="0" w:space="0" w:color="auto"/>
        <w:bottom w:val="none" w:sz="0" w:space="0" w:color="auto"/>
        <w:right w:val="none" w:sz="0" w:space="0" w:color="auto"/>
      </w:divBdr>
    </w:div>
    <w:div w:id="1836535174">
      <w:bodyDiv w:val="1"/>
      <w:marLeft w:val="0"/>
      <w:marRight w:val="0"/>
      <w:marTop w:val="0"/>
      <w:marBottom w:val="0"/>
      <w:divBdr>
        <w:top w:val="none" w:sz="0" w:space="0" w:color="auto"/>
        <w:left w:val="none" w:sz="0" w:space="0" w:color="auto"/>
        <w:bottom w:val="none" w:sz="0" w:space="0" w:color="auto"/>
        <w:right w:val="none" w:sz="0" w:space="0" w:color="auto"/>
      </w:divBdr>
    </w:div>
    <w:div w:id="196707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82176-9D2A-4DE5-9B01-8A89379504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1D447E-1748-43D0-9A05-0525A30187B1}">
  <ds:schemaRefs>
    <ds:schemaRef ds:uri="http://schemas.microsoft.com/sharepoint/v3/contenttype/forms"/>
  </ds:schemaRefs>
</ds:datastoreItem>
</file>

<file path=customXml/itemProps3.xml><?xml version="1.0" encoding="utf-8"?>
<ds:datastoreItem xmlns:ds="http://schemas.openxmlformats.org/officeDocument/2006/customXml" ds:itemID="{5A79337C-0E94-4F50-B182-EAD8253394E8}">
  <ds:schemaRefs>
    <ds:schemaRef ds:uri="http://schemas.openxmlformats.org/officeDocument/2006/bibliography"/>
  </ds:schemaRefs>
</ds:datastoreItem>
</file>

<file path=customXml/itemProps4.xml><?xml version="1.0" encoding="utf-8"?>
<ds:datastoreItem xmlns:ds="http://schemas.openxmlformats.org/officeDocument/2006/customXml" ds:itemID="{B6D2B9CB-7F75-48EA-85E8-D8FE8711E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6033</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2021-08-02T16:22:00Z</dcterms:created>
  <dcterms:modified xsi:type="dcterms:W3CDTF">2022-08-05T16:16:00Z</dcterms:modified>
</cp:coreProperties>
</file>