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96D" w:rsidRDefault="00BF414C" w:rsidP="00DE0057">
      <w:pPr>
        <w:tabs>
          <w:tab w:val="right" w:leader="underscore" w:pos="6480"/>
          <w:tab w:val="right" w:leader="underscore" w:pos="10080"/>
        </w:tabs>
        <w:sectPr w:rsidR="00C1396D" w:rsidSect="00A17D66">
          <w:headerReference w:type="even" r:id="rId7"/>
          <w:headerReference w:type="default" r:id="rId8"/>
          <w:footerReference w:type="even" r:id="rId9"/>
          <w:footerReference w:type="default" r:id="rId10"/>
          <w:headerReference w:type="first" r:id="rId11"/>
          <w:footerReference w:type="first" r:id="rId12"/>
          <w:type w:val="continuous"/>
          <w:pgSz w:w="12240" w:h="15840"/>
          <w:pgMar w:top="1440" w:right="1440" w:bottom="1440" w:left="1440" w:header="540" w:footer="720" w:gutter="0"/>
          <w:cols w:space="720"/>
          <w:titlePg/>
          <w:docGrid w:linePitch="360"/>
        </w:sectPr>
      </w:pPr>
      <w:r>
        <w:rPr>
          <w:b/>
          <w:bCs/>
        </w:rPr>
        <w:tab/>
      </w:r>
      <w:r>
        <w:rPr>
          <w:b/>
          <w:bCs/>
        </w:rPr>
        <w:tab/>
      </w:r>
      <w:r>
        <w:rPr>
          <w:b/>
          <w:bCs/>
        </w:rPr>
        <w:tab/>
      </w:r>
      <w:r w:rsidR="00D453C8">
        <w:rPr>
          <w:b/>
          <w:bCs/>
        </w:rPr>
        <w:t xml:space="preserve">            </w:t>
      </w:r>
    </w:p>
    <w:p w:rsidR="00C1396D" w:rsidRPr="00C1396D" w:rsidRDefault="00ED4775" w:rsidP="00DE0057">
      <w:pPr>
        <w:pStyle w:val="Title"/>
        <w:tabs>
          <w:tab w:val="clear" w:pos="5400"/>
        </w:tabs>
        <w:ind w:left="0" w:right="0"/>
        <w:rPr>
          <w:rFonts w:ascii="Times New Roman" w:hAnsi="Times New Roman"/>
          <w:sz w:val="28"/>
          <w:szCs w:val="28"/>
        </w:rPr>
      </w:pPr>
      <w:r>
        <w:rPr>
          <w:rFonts w:ascii="Times New Roman" w:hAnsi="Times New Roman"/>
          <w:sz w:val="28"/>
          <w:szCs w:val="28"/>
        </w:rPr>
        <w:t>LEASE ADDENDUM FOR MULTIFAMILY HOUSING PROGRAMS</w:t>
      </w:r>
    </w:p>
    <w:p w:rsidR="00C1396D" w:rsidRPr="0012301E" w:rsidRDefault="00C1396D" w:rsidP="006D6048">
      <w:pPr>
        <w:suppressAutoHyphens/>
        <w:jc w:val="center"/>
        <w:rPr>
          <w:b/>
          <w:bCs/>
          <w:smallCaps/>
          <w:u w:val="single"/>
        </w:rPr>
      </w:pPr>
      <w:r w:rsidRPr="0012301E">
        <w:rPr>
          <w:b/>
          <w:smallCaps/>
          <w:u w:val="single"/>
        </w:rPr>
        <w:t xml:space="preserve">Violence </w:t>
      </w:r>
      <w:r w:rsidRPr="0012301E">
        <w:rPr>
          <w:b/>
          <w:bCs/>
          <w:smallCaps/>
          <w:u w:val="single"/>
        </w:rPr>
        <w:t>Against Women Reauthorization Act of 20</w:t>
      </w:r>
      <w:r w:rsidR="00DE0057">
        <w:rPr>
          <w:b/>
          <w:bCs/>
          <w:smallCaps/>
          <w:u w:val="single"/>
        </w:rPr>
        <w:t>13</w:t>
      </w:r>
      <w:r w:rsidR="00CF42BE">
        <w:rPr>
          <w:b/>
          <w:bCs/>
          <w:smallCaps/>
          <w:u w:val="single"/>
        </w:rPr>
        <w:t xml:space="preserve"> (VAWA)</w:t>
      </w:r>
    </w:p>
    <w:p w:rsidR="00C1396D" w:rsidRDefault="00C1396D" w:rsidP="00DE0057">
      <w:pPr>
        <w:tabs>
          <w:tab w:val="left" w:pos="-720"/>
        </w:tabs>
        <w:suppressAutoHyphens/>
        <w:ind w:left="720"/>
        <w:rPr>
          <w:smallCaps/>
        </w:rPr>
      </w:pPr>
    </w:p>
    <w:tbl>
      <w:tblPr>
        <w:tblW w:w="0" w:type="auto"/>
        <w:jc w:val="center"/>
        <w:tblLayout w:type="fixed"/>
        <w:tblCellMar>
          <w:left w:w="120" w:type="dxa"/>
          <w:right w:w="120" w:type="dxa"/>
        </w:tblCellMar>
        <w:tblLook w:val="0000" w:firstRow="0" w:lastRow="0" w:firstColumn="0" w:lastColumn="0" w:noHBand="0" w:noVBand="0"/>
      </w:tblPr>
      <w:tblGrid>
        <w:gridCol w:w="3561"/>
        <w:gridCol w:w="2899"/>
        <w:gridCol w:w="2899"/>
      </w:tblGrid>
      <w:tr w:rsidR="00C1396D" w:rsidTr="00C1396D">
        <w:tblPrEx>
          <w:tblCellMar>
            <w:top w:w="0" w:type="dxa"/>
            <w:bottom w:w="0" w:type="dxa"/>
          </w:tblCellMar>
        </w:tblPrEx>
        <w:trPr>
          <w:trHeight w:val="579"/>
          <w:jc w:val="center"/>
        </w:trPr>
        <w:tc>
          <w:tcPr>
            <w:tcW w:w="3561" w:type="dxa"/>
            <w:tcBorders>
              <w:top w:val="double" w:sz="7" w:space="0" w:color="auto"/>
              <w:left w:val="double" w:sz="7" w:space="0" w:color="auto"/>
              <w:bottom w:val="double" w:sz="7" w:space="0" w:color="auto"/>
            </w:tcBorders>
          </w:tcPr>
          <w:p w:rsidR="00C1396D" w:rsidRPr="00C1396D" w:rsidRDefault="00C1396D" w:rsidP="00DE0057">
            <w:pPr>
              <w:tabs>
                <w:tab w:val="left" w:pos="-1440"/>
                <w:tab w:val="left" w:pos="-720"/>
                <w:tab w:val="left" w:pos="0"/>
                <w:tab w:val="left" w:pos="360"/>
                <w:tab w:val="left" w:pos="720"/>
                <w:tab w:val="left" w:pos="1080"/>
                <w:tab w:val="left" w:pos="1440"/>
                <w:tab w:val="left" w:pos="1800"/>
              </w:tabs>
              <w:suppressAutoHyphens/>
              <w:spacing w:before="90"/>
              <w:rPr>
                <w:smallCaps/>
              </w:rPr>
            </w:pPr>
            <w:r w:rsidRPr="00C1396D">
              <w:rPr>
                <w:smallCaps/>
              </w:rPr>
              <w:t>TENANT</w:t>
            </w:r>
          </w:p>
          <w:p w:rsidR="00C1396D" w:rsidRDefault="00C1396D" w:rsidP="00DE0057">
            <w:pPr>
              <w:tabs>
                <w:tab w:val="left" w:pos="-1440"/>
                <w:tab w:val="left" w:pos="-720"/>
                <w:tab w:val="left" w:pos="0"/>
                <w:tab w:val="left" w:pos="360"/>
                <w:tab w:val="left" w:pos="720"/>
                <w:tab w:val="left" w:pos="1080"/>
                <w:tab w:val="left" w:pos="1440"/>
                <w:tab w:val="left" w:pos="1800"/>
              </w:tabs>
              <w:suppressAutoHyphens/>
              <w:spacing w:after="54"/>
              <w:rPr>
                <w:smallCaps/>
              </w:rPr>
            </w:pPr>
          </w:p>
        </w:tc>
        <w:tc>
          <w:tcPr>
            <w:tcW w:w="2899" w:type="dxa"/>
            <w:tcBorders>
              <w:top w:val="double" w:sz="7" w:space="0" w:color="auto"/>
              <w:left w:val="single" w:sz="7" w:space="0" w:color="auto"/>
              <w:bottom w:val="double" w:sz="7" w:space="0" w:color="auto"/>
            </w:tcBorders>
          </w:tcPr>
          <w:p w:rsidR="00C1396D" w:rsidRDefault="00C1396D" w:rsidP="00DE0057">
            <w:pPr>
              <w:tabs>
                <w:tab w:val="left" w:pos="-1440"/>
                <w:tab w:val="left" w:pos="-720"/>
                <w:tab w:val="left" w:pos="0"/>
                <w:tab w:val="left" w:pos="360"/>
                <w:tab w:val="left" w:pos="720"/>
                <w:tab w:val="left" w:pos="1080"/>
                <w:tab w:val="left" w:pos="1440"/>
                <w:tab w:val="left" w:pos="1800"/>
              </w:tabs>
              <w:suppressAutoHyphens/>
              <w:spacing w:before="90" w:after="54"/>
              <w:rPr>
                <w:smallCaps/>
              </w:rPr>
            </w:pPr>
            <w:r>
              <w:rPr>
                <w:smallCaps/>
              </w:rPr>
              <w:t>LANDLORD</w:t>
            </w:r>
          </w:p>
        </w:tc>
        <w:tc>
          <w:tcPr>
            <w:tcW w:w="2899" w:type="dxa"/>
            <w:tcBorders>
              <w:top w:val="double" w:sz="7" w:space="0" w:color="auto"/>
              <w:left w:val="single" w:sz="7" w:space="0" w:color="auto"/>
              <w:bottom w:val="double" w:sz="7" w:space="0" w:color="auto"/>
              <w:right w:val="double" w:sz="7" w:space="0" w:color="auto"/>
            </w:tcBorders>
          </w:tcPr>
          <w:p w:rsidR="00C1396D" w:rsidRDefault="00C1396D" w:rsidP="00DE0057">
            <w:pPr>
              <w:tabs>
                <w:tab w:val="left" w:pos="-1440"/>
                <w:tab w:val="left" w:pos="-720"/>
                <w:tab w:val="left" w:pos="0"/>
                <w:tab w:val="left" w:pos="360"/>
                <w:tab w:val="left" w:pos="720"/>
                <w:tab w:val="left" w:pos="1080"/>
                <w:tab w:val="left" w:pos="1440"/>
                <w:tab w:val="left" w:pos="1800"/>
              </w:tabs>
              <w:suppressAutoHyphens/>
              <w:spacing w:before="90" w:after="54"/>
              <w:rPr>
                <w:smallCaps/>
              </w:rPr>
            </w:pPr>
            <w:r>
              <w:rPr>
                <w:smallCaps/>
              </w:rPr>
              <w:t>UNIT NO. &amp; ADDRESS</w:t>
            </w:r>
          </w:p>
          <w:p w:rsidR="00C1396D" w:rsidRDefault="00C1396D" w:rsidP="00DE0057">
            <w:pPr>
              <w:tabs>
                <w:tab w:val="left" w:pos="-1440"/>
                <w:tab w:val="left" w:pos="-720"/>
                <w:tab w:val="left" w:pos="0"/>
                <w:tab w:val="left" w:pos="360"/>
                <w:tab w:val="left" w:pos="720"/>
                <w:tab w:val="left" w:pos="1080"/>
                <w:tab w:val="left" w:pos="1440"/>
                <w:tab w:val="left" w:pos="1800"/>
              </w:tabs>
              <w:suppressAutoHyphens/>
              <w:spacing w:before="90" w:after="54"/>
              <w:rPr>
                <w:smallCaps/>
              </w:rPr>
            </w:pPr>
          </w:p>
        </w:tc>
      </w:tr>
    </w:tbl>
    <w:p w:rsidR="00C1396D" w:rsidRPr="008C311B" w:rsidRDefault="00C1396D" w:rsidP="008C311B">
      <w:pPr>
        <w:tabs>
          <w:tab w:val="left" w:pos="-1440"/>
          <w:tab w:val="left" w:pos="-720"/>
          <w:tab w:val="left" w:pos="0"/>
          <w:tab w:val="left" w:pos="360"/>
          <w:tab w:val="left" w:pos="720"/>
          <w:tab w:val="left" w:pos="1080"/>
          <w:tab w:val="left" w:pos="1440"/>
          <w:tab w:val="left" w:pos="1800"/>
        </w:tabs>
        <w:suppressAutoHyphens/>
        <w:rPr>
          <w:smallCaps/>
          <w:sz w:val="16"/>
          <w:szCs w:val="16"/>
        </w:rPr>
      </w:pPr>
    </w:p>
    <w:p w:rsidR="00ED3164" w:rsidRPr="00740ECF" w:rsidRDefault="00ED3164" w:rsidP="006D6048">
      <w:pPr>
        <w:pStyle w:val="BlockText"/>
        <w:tabs>
          <w:tab w:val="clear" w:pos="360"/>
        </w:tabs>
        <w:ind w:left="0"/>
        <w:rPr>
          <w:rFonts w:ascii="Times New Roman" w:hAnsi="Times New Roman"/>
          <w:sz w:val="24"/>
        </w:rPr>
      </w:pPr>
      <w:bookmarkStart w:id="1" w:name="OLE_LINK7"/>
      <w:bookmarkStart w:id="2" w:name="OLE_LINK8"/>
      <w:r w:rsidRPr="00740ECF">
        <w:rPr>
          <w:rFonts w:ascii="Times New Roman" w:hAnsi="Times New Roman"/>
          <w:sz w:val="24"/>
        </w:rPr>
        <w:t xml:space="preserve">This </w:t>
      </w:r>
      <w:r w:rsidR="003A24CA">
        <w:rPr>
          <w:rFonts w:ascii="Times New Roman" w:hAnsi="Times New Roman"/>
          <w:sz w:val="24"/>
        </w:rPr>
        <w:t>L</w:t>
      </w:r>
      <w:r w:rsidR="003A24CA" w:rsidRPr="00740ECF">
        <w:rPr>
          <w:rFonts w:ascii="Times New Roman" w:hAnsi="Times New Roman"/>
          <w:sz w:val="24"/>
        </w:rPr>
        <w:t xml:space="preserve">ease </w:t>
      </w:r>
      <w:r w:rsidR="003A24CA">
        <w:rPr>
          <w:rFonts w:ascii="Times New Roman" w:hAnsi="Times New Roman"/>
          <w:sz w:val="24"/>
        </w:rPr>
        <w:t>A</w:t>
      </w:r>
      <w:r w:rsidR="003A24CA" w:rsidRPr="00740ECF">
        <w:rPr>
          <w:rFonts w:ascii="Times New Roman" w:hAnsi="Times New Roman"/>
          <w:sz w:val="24"/>
        </w:rPr>
        <w:t xml:space="preserve">ddendum </w:t>
      </w:r>
      <w:r w:rsidR="003A24CA">
        <w:rPr>
          <w:rFonts w:ascii="Times New Roman" w:hAnsi="Times New Roman"/>
          <w:sz w:val="24"/>
        </w:rPr>
        <w:t xml:space="preserve">(Addendum) </w:t>
      </w:r>
      <w:r w:rsidRPr="00740ECF">
        <w:rPr>
          <w:rFonts w:ascii="Times New Roman" w:hAnsi="Times New Roman"/>
          <w:sz w:val="24"/>
        </w:rPr>
        <w:t>adds the following paragraphs to the Lease between the above referenced Tenant and Landlord.</w:t>
      </w:r>
    </w:p>
    <w:p w:rsidR="00ED3164" w:rsidRPr="00740ECF" w:rsidRDefault="00ED3164" w:rsidP="00ED3164"/>
    <w:p w:rsidR="00ED3164" w:rsidRPr="006D34D4" w:rsidRDefault="00ED3164" w:rsidP="00ED3164">
      <w:pPr>
        <w:rPr>
          <w:b/>
        </w:rPr>
      </w:pPr>
      <w:r w:rsidRPr="006D34D4">
        <w:rPr>
          <w:b/>
        </w:rPr>
        <w:t xml:space="preserve">Purpose </w:t>
      </w:r>
      <w:r w:rsidR="006D34D4" w:rsidRPr="00AA7D05">
        <w:rPr>
          <w:b/>
          <w:bCs/>
        </w:rPr>
        <w:t xml:space="preserve">of the Addendum  </w:t>
      </w:r>
    </w:p>
    <w:p w:rsidR="006D34D4" w:rsidRDefault="006D34D4" w:rsidP="00ED3164">
      <w:pPr>
        <w:tabs>
          <w:tab w:val="left" w:pos="-1440"/>
          <w:tab w:val="left" w:pos="-720"/>
          <w:tab w:val="left" w:pos="0"/>
          <w:tab w:val="left" w:pos="360"/>
          <w:tab w:val="left" w:pos="720"/>
          <w:tab w:val="left" w:pos="1440"/>
          <w:tab w:val="left" w:pos="1800"/>
        </w:tabs>
        <w:suppressAutoHyphens/>
        <w:ind w:left="720" w:right="720"/>
        <w:rPr>
          <w:bCs/>
        </w:rPr>
      </w:pPr>
    </w:p>
    <w:p w:rsidR="00FB600A" w:rsidRPr="00FC414B" w:rsidRDefault="00FB600A" w:rsidP="00FB600A">
      <w:pPr>
        <w:rPr>
          <w:b/>
          <w:sz w:val="22"/>
          <w:szCs w:val="22"/>
        </w:rPr>
      </w:pPr>
      <w:r w:rsidRPr="00FC414B">
        <w:rPr>
          <w:bCs/>
          <w:sz w:val="22"/>
          <w:szCs w:val="22"/>
        </w:rPr>
        <w:t>The Lease for the above referenced unit is being amended to include the protections and requirements of the Violence Against Women Act Reauthorization Act of 2013 (VAWA) (4</w:t>
      </w:r>
      <w:r w:rsidR="00210A44">
        <w:rPr>
          <w:bCs/>
          <w:sz w:val="22"/>
          <w:szCs w:val="22"/>
        </w:rPr>
        <w:t>Pub.L. No.113-4</w:t>
      </w:r>
      <w:r w:rsidRPr="00FC414B">
        <w:rPr>
          <w:bCs/>
          <w:sz w:val="22"/>
          <w:szCs w:val="22"/>
        </w:rPr>
        <w:t>)</w:t>
      </w:r>
      <w:r w:rsidR="008A354A">
        <w:rPr>
          <w:bCs/>
          <w:sz w:val="22"/>
          <w:szCs w:val="22"/>
        </w:rPr>
        <w:t xml:space="preserve"> and implemented by HUD’s Final Rule (81 Fed. Reg. 80724</w:t>
      </w:r>
      <w:r w:rsidR="00EE0C42">
        <w:rPr>
          <w:bCs/>
          <w:sz w:val="22"/>
          <w:szCs w:val="22"/>
        </w:rPr>
        <w:t xml:space="preserve"> (Nov. 16, 2016)</w:t>
      </w:r>
      <w:r w:rsidR="008A354A">
        <w:rPr>
          <w:bCs/>
          <w:sz w:val="22"/>
          <w:szCs w:val="22"/>
        </w:rPr>
        <w:t>)</w:t>
      </w:r>
      <w:r w:rsidRPr="00FC414B">
        <w:rPr>
          <w:bCs/>
          <w:sz w:val="22"/>
          <w:szCs w:val="22"/>
        </w:rPr>
        <w:t>.</w:t>
      </w:r>
      <w:r w:rsidRPr="00FC414B">
        <w:rPr>
          <w:sz w:val="22"/>
          <w:szCs w:val="22"/>
        </w:rPr>
        <w:t xml:space="preserve"> </w:t>
      </w:r>
      <w:r w:rsidRPr="00FC414B">
        <w:rPr>
          <w:bCs/>
          <w:sz w:val="22"/>
          <w:szCs w:val="22"/>
        </w:rPr>
        <w:t xml:space="preserve">The VAWA protections apply to all tenants </w:t>
      </w:r>
      <w:r w:rsidR="00F619E8">
        <w:rPr>
          <w:bCs/>
          <w:sz w:val="22"/>
          <w:szCs w:val="22"/>
        </w:rPr>
        <w:t xml:space="preserve">who are beneficiaries of assistance </w:t>
      </w:r>
      <w:r w:rsidR="00C02F09">
        <w:rPr>
          <w:bCs/>
          <w:sz w:val="22"/>
          <w:szCs w:val="22"/>
        </w:rPr>
        <w:t>as tenants</w:t>
      </w:r>
      <w:r w:rsidR="00F619E8">
        <w:rPr>
          <w:bCs/>
          <w:sz w:val="22"/>
          <w:szCs w:val="22"/>
        </w:rPr>
        <w:t xml:space="preserve"> of HUD-assisted housing and </w:t>
      </w:r>
      <w:r w:rsidRPr="00FC414B">
        <w:rPr>
          <w:bCs/>
          <w:sz w:val="22"/>
          <w:szCs w:val="22"/>
        </w:rPr>
        <w:t>who are victims of domestic violence, dating violence, sexual assault, or stalking.  The VAWA requirements apply to</w:t>
      </w:r>
      <w:r w:rsidRPr="00FC414B">
        <w:rPr>
          <w:color w:val="000000"/>
          <w:sz w:val="22"/>
          <w:szCs w:val="22"/>
        </w:rPr>
        <w:t xml:space="preserve"> </w:t>
      </w:r>
      <w:r w:rsidRPr="00FC414B">
        <w:rPr>
          <w:bCs/>
          <w:sz w:val="22"/>
          <w:szCs w:val="22"/>
        </w:rPr>
        <w:t xml:space="preserve">owners/landlords, or managers that administer </w:t>
      </w:r>
      <w:r w:rsidR="00EE0C42">
        <w:rPr>
          <w:bCs/>
          <w:sz w:val="22"/>
          <w:szCs w:val="22"/>
        </w:rPr>
        <w:t>HUD programs covered by VAWA.</w:t>
      </w:r>
      <w:r w:rsidRPr="00FC414B">
        <w:rPr>
          <w:bCs/>
          <w:sz w:val="22"/>
          <w:szCs w:val="22"/>
        </w:rPr>
        <w:t xml:space="preserve">  Notwithstanding the title of the VAWA, protections are not limited to women but </w:t>
      </w:r>
      <w:r w:rsidR="00210A44">
        <w:rPr>
          <w:bCs/>
          <w:sz w:val="22"/>
          <w:szCs w:val="22"/>
        </w:rPr>
        <w:t>apply</w:t>
      </w:r>
      <w:r w:rsidRPr="00FC414B">
        <w:rPr>
          <w:bCs/>
          <w:sz w:val="22"/>
          <w:szCs w:val="22"/>
        </w:rPr>
        <w:t xml:space="preserve"> </w:t>
      </w:r>
      <w:r w:rsidR="003A24CA">
        <w:rPr>
          <w:bCs/>
          <w:sz w:val="22"/>
          <w:szCs w:val="22"/>
        </w:rPr>
        <w:t xml:space="preserve">to all victims, </w:t>
      </w:r>
      <w:r w:rsidRPr="00FC414B">
        <w:rPr>
          <w:bCs/>
          <w:sz w:val="22"/>
          <w:szCs w:val="22"/>
        </w:rPr>
        <w:t xml:space="preserve">regardless of sex, gender identity, or sexual orientation.  </w:t>
      </w:r>
    </w:p>
    <w:p w:rsidR="00ED3164" w:rsidRPr="00740ECF" w:rsidRDefault="00ED3164" w:rsidP="00ED3164">
      <w:pPr>
        <w:tabs>
          <w:tab w:val="left" w:pos="-1440"/>
          <w:tab w:val="left" w:pos="-720"/>
          <w:tab w:val="left" w:pos="0"/>
          <w:tab w:val="left" w:pos="360"/>
          <w:tab w:val="left" w:pos="720"/>
          <w:tab w:val="left" w:pos="1440"/>
          <w:tab w:val="left" w:pos="1800"/>
        </w:tabs>
        <w:suppressAutoHyphens/>
        <w:ind w:left="720" w:right="720"/>
      </w:pPr>
      <w:r w:rsidRPr="00740ECF">
        <w:t xml:space="preserve">.  </w:t>
      </w:r>
    </w:p>
    <w:p w:rsidR="006D34D4" w:rsidRDefault="006D34D4" w:rsidP="006D34D4">
      <w:pPr>
        <w:rPr>
          <w:b/>
          <w:szCs w:val="22"/>
        </w:rPr>
      </w:pPr>
    </w:p>
    <w:p w:rsidR="006D34D4" w:rsidRPr="00740ECF" w:rsidRDefault="006D34D4" w:rsidP="006D34D4">
      <w:pPr>
        <w:rPr>
          <w:szCs w:val="22"/>
        </w:rPr>
      </w:pPr>
      <w:r w:rsidRPr="006D34D4">
        <w:rPr>
          <w:b/>
          <w:szCs w:val="22"/>
        </w:rPr>
        <w:t>Conflicts with Other Provisions of the Lease</w:t>
      </w:r>
      <w:r w:rsidR="00FB600A">
        <w:rPr>
          <w:b/>
          <w:bCs/>
          <w:szCs w:val="22"/>
        </w:rPr>
        <w:t xml:space="preserve">: </w:t>
      </w:r>
      <w:r w:rsidRPr="006D34D4">
        <w:rPr>
          <w:b/>
          <w:bCs/>
          <w:szCs w:val="22"/>
        </w:rPr>
        <w:t>In ca</w:t>
      </w:r>
      <w:r>
        <w:rPr>
          <w:b/>
          <w:bCs/>
          <w:szCs w:val="22"/>
        </w:rPr>
        <w:t xml:space="preserve">se of any conflict between </w:t>
      </w:r>
      <w:r w:rsidR="00CF42BE">
        <w:rPr>
          <w:b/>
          <w:bCs/>
          <w:szCs w:val="22"/>
        </w:rPr>
        <w:t>this</w:t>
      </w:r>
      <w:r w:rsidR="00CF42BE" w:rsidRPr="006D34D4">
        <w:rPr>
          <w:b/>
          <w:bCs/>
          <w:szCs w:val="22"/>
        </w:rPr>
        <w:t xml:space="preserve"> Addendum</w:t>
      </w:r>
      <w:r w:rsidRPr="006D34D4">
        <w:rPr>
          <w:b/>
          <w:bCs/>
          <w:szCs w:val="22"/>
        </w:rPr>
        <w:t xml:space="preserve"> and </w:t>
      </w:r>
      <w:r w:rsidRPr="00740ECF">
        <w:rPr>
          <w:bCs/>
          <w:szCs w:val="22"/>
        </w:rPr>
        <w:t>other provisions of the Lease, this Addendum shall prevail.</w:t>
      </w:r>
    </w:p>
    <w:p w:rsidR="00C57EC1" w:rsidRDefault="00C57EC1" w:rsidP="00C57EC1">
      <w:pPr>
        <w:tabs>
          <w:tab w:val="left" w:pos="-1440"/>
          <w:tab w:val="left" w:pos="-720"/>
          <w:tab w:val="left" w:pos="0"/>
          <w:tab w:val="left" w:pos="360"/>
          <w:tab w:val="left" w:pos="720"/>
          <w:tab w:val="left" w:pos="1440"/>
          <w:tab w:val="left" w:pos="1800"/>
        </w:tabs>
        <w:suppressAutoHyphens/>
        <w:ind w:right="720"/>
        <w:rPr>
          <w:b/>
          <w:szCs w:val="22"/>
        </w:rPr>
      </w:pPr>
    </w:p>
    <w:p w:rsidR="00C57EC1" w:rsidRPr="00C57EC1" w:rsidRDefault="00C57EC1" w:rsidP="00C57EC1">
      <w:pPr>
        <w:tabs>
          <w:tab w:val="left" w:pos="-1440"/>
          <w:tab w:val="left" w:pos="-720"/>
          <w:tab w:val="left" w:pos="0"/>
          <w:tab w:val="left" w:pos="360"/>
          <w:tab w:val="left" w:pos="720"/>
          <w:tab w:val="left" w:pos="1440"/>
          <w:tab w:val="left" w:pos="1800"/>
        </w:tabs>
        <w:suppressAutoHyphens/>
        <w:ind w:right="720"/>
        <w:rPr>
          <w:b/>
          <w:szCs w:val="22"/>
        </w:rPr>
      </w:pPr>
      <w:r w:rsidRPr="00C57EC1">
        <w:rPr>
          <w:b/>
          <w:szCs w:val="22"/>
        </w:rPr>
        <w:t xml:space="preserve">Definitions </w:t>
      </w:r>
    </w:p>
    <w:p w:rsidR="00C57EC1" w:rsidRDefault="00C57EC1" w:rsidP="00C57EC1">
      <w:pPr>
        <w:tabs>
          <w:tab w:val="left" w:pos="-1440"/>
          <w:tab w:val="left" w:pos="-720"/>
          <w:tab w:val="left" w:pos="0"/>
          <w:tab w:val="left" w:pos="360"/>
          <w:tab w:val="left" w:pos="720"/>
          <w:tab w:val="left" w:pos="1440"/>
          <w:tab w:val="left" w:pos="1800"/>
        </w:tabs>
        <w:suppressAutoHyphens/>
        <w:ind w:right="720"/>
        <w:rPr>
          <w:szCs w:val="22"/>
        </w:rPr>
      </w:pPr>
    </w:p>
    <w:p w:rsidR="00C57EC1" w:rsidRPr="00740ECF" w:rsidRDefault="00C57EC1" w:rsidP="00C57EC1">
      <w:pPr>
        <w:tabs>
          <w:tab w:val="left" w:pos="-1440"/>
          <w:tab w:val="left" w:pos="-720"/>
          <w:tab w:val="left" w:pos="0"/>
          <w:tab w:val="left" w:pos="360"/>
          <w:tab w:val="left" w:pos="720"/>
          <w:tab w:val="left" w:pos="1440"/>
          <w:tab w:val="left" w:pos="1800"/>
        </w:tabs>
        <w:suppressAutoHyphens/>
        <w:ind w:right="720"/>
        <w:rPr>
          <w:szCs w:val="22"/>
        </w:rPr>
      </w:pPr>
      <w:r w:rsidRPr="00740ECF">
        <w:rPr>
          <w:szCs w:val="22"/>
        </w:rPr>
        <w:t>As used in this Addendum, the terms</w:t>
      </w:r>
      <w:r w:rsidR="00FF356B">
        <w:rPr>
          <w:szCs w:val="22"/>
        </w:rPr>
        <w:t xml:space="preserve"> “Actual and Imminent Threat”,</w:t>
      </w:r>
      <w:r w:rsidRPr="00740ECF">
        <w:rPr>
          <w:szCs w:val="22"/>
        </w:rPr>
        <w:t xml:space="preserve"> “Affiliated Individual”, </w:t>
      </w:r>
      <w:r w:rsidR="00FF356B">
        <w:rPr>
          <w:szCs w:val="22"/>
        </w:rPr>
        <w:t xml:space="preserve">“Bifurcate”, </w:t>
      </w:r>
      <w:r w:rsidRPr="00740ECF">
        <w:rPr>
          <w:szCs w:val="22"/>
        </w:rPr>
        <w:t xml:space="preserve">“Dating Violence”, “Domestic Violence”, “Household”, “Other Person Under the Tenant’s Control”, “Sexual Assault”, and “Stalking” are defined in HUD’s regulations at 24 CFR part 5, subpart </w:t>
      </w:r>
      <w:r w:rsidR="00FF356B">
        <w:rPr>
          <w:szCs w:val="22"/>
        </w:rPr>
        <w:t xml:space="preserve">A and </w:t>
      </w:r>
      <w:r w:rsidRPr="00740ECF">
        <w:rPr>
          <w:szCs w:val="22"/>
        </w:rPr>
        <w:t xml:space="preserve">L.  </w:t>
      </w:r>
    </w:p>
    <w:p w:rsidR="006D34D4" w:rsidRDefault="006D34D4" w:rsidP="006D34D4">
      <w:pPr>
        <w:tabs>
          <w:tab w:val="left" w:pos="-1440"/>
          <w:tab w:val="left" w:pos="-720"/>
          <w:tab w:val="left" w:pos="0"/>
          <w:tab w:val="left" w:pos="360"/>
          <w:tab w:val="left" w:pos="720"/>
          <w:tab w:val="num" w:pos="1080"/>
          <w:tab w:val="left" w:pos="1440"/>
          <w:tab w:val="left" w:pos="1800"/>
        </w:tabs>
        <w:suppressAutoHyphens/>
        <w:ind w:left="720" w:right="720" w:hanging="360"/>
        <w:rPr>
          <w:b/>
          <w:bCs/>
        </w:rPr>
      </w:pPr>
    </w:p>
    <w:p w:rsidR="006D34D4" w:rsidRDefault="006D34D4" w:rsidP="00C02F09">
      <w:pPr>
        <w:tabs>
          <w:tab w:val="left" w:pos="-1440"/>
          <w:tab w:val="left" w:pos="-720"/>
          <w:tab w:val="left" w:pos="0"/>
          <w:tab w:val="left" w:pos="360"/>
          <w:tab w:val="left" w:pos="720"/>
          <w:tab w:val="num" w:pos="1080"/>
          <w:tab w:val="left" w:pos="1440"/>
          <w:tab w:val="left" w:pos="1800"/>
        </w:tabs>
        <w:suppressAutoHyphens/>
        <w:ind w:left="720" w:right="720" w:hanging="720"/>
      </w:pPr>
      <w:r>
        <w:rPr>
          <w:b/>
          <w:bCs/>
        </w:rPr>
        <w:t>Term of the Lease Addendum</w:t>
      </w:r>
    </w:p>
    <w:p w:rsidR="006D34D4" w:rsidRDefault="006D34D4" w:rsidP="006D34D4">
      <w:pPr>
        <w:tabs>
          <w:tab w:val="left" w:pos="-1440"/>
          <w:tab w:val="left" w:pos="-720"/>
          <w:tab w:val="left" w:pos="0"/>
          <w:tab w:val="left" w:pos="360"/>
          <w:tab w:val="left" w:pos="720"/>
          <w:tab w:val="left" w:pos="1440"/>
          <w:tab w:val="left" w:pos="1800"/>
        </w:tabs>
        <w:suppressAutoHyphens/>
        <w:ind w:left="720" w:right="720"/>
        <w:rPr>
          <w:b/>
          <w:bCs/>
        </w:rPr>
      </w:pPr>
    </w:p>
    <w:p w:rsidR="006D34D4" w:rsidRPr="00AA7D05" w:rsidRDefault="006D34D4" w:rsidP="00C02F09">
      <w:pPr>
        <w:tabs>
          <w:tab w:val="left" w:pos="-1440"/>
          <w:tab w:val="left" w:pos="-720"/>
          <w:tab w:val="left" w:pos="0"/>
          <w:tab w:val="left" w:pos="360"/>
          <w:tab w:val="left" w:pos="1440"/>
          <w:tab w:val="left" w:pos="1800"/>
        </w:tabs>
        <w:suppressAutoHyphens/>
        <w:ind w:right="720"/>
      </w:pPr>
      <w:r>
        <w:t>The effective date of this Lease Addendum is  ________</w:t>
      </w:r>
      <w:r>
        <w:softHyphen/>
      </w:r>
      <w:r>
        <w:softHyphen/>
      </w:r>
      <w:r>
        <w:softHyphen/>
        <w:t>______.  This Lease Addendum shall continue to be in effect until the Lease is terminated.</w:t>
      </w:r>
    </w:p>
    <w:p w:rsidR="00ED3164" w:rsidRDefault="00ED3164" w:rsidP="00ED3164">
      <w:pPr>
        <w:tabs>
          <w:tab w:val="left" w:pos="-720"/>
        </w:tabs>
        <w:suppressAutoHyphens/>
        <w:ind w:left="720" w:right="720"/>
        <w:jc w:val="center"/>
        <w:rPr>
          <w:smallCaps/>
          <w:szCs w:val="22"/>
          <w:u w:val="single"/>
        </w:rPr>
      </w:pPr>
    </w:p>
    <w:p w:rsidR="00ED3164" w:rsidRPr="00740ECF" w:rsidRDefault="00ED3164" w:rsidP="00ED3164">
      <w:pPr>
        <w:tabs>
          <w:tab w:val="left" w:pos="-720"/>
        </w:tabs>
        <w:suppressAutoHyphens/>
        <w:ind w:left="720" w:right="720"/>
        <w:jc w:val="center"/>
        <w:rPr>
          <w:smallCaps/>
          <w:szCs w:val="22"/>
          <w:u w:val="single"/>
        </w:rPr>
      </w:pPr>
      <w:r w:rsidRPr="006D34D4">
        <w:rPr>
          <w:b/>
          <w:smallCaps/>
          <w:szCs w:val="22"/>
          <w:u w:val="single"/>
        </w:rPr>
        <w:t>Protections for Victims of Domestic Violence, Dating Violence, Sexual</w:t>
      </w:r>
      <w:r w:rsidRPr="00FB600A">
        <w:rPr>
          <w:b/>
          <w:smallCaps/>
          <w:szCs w:val="22"/>
          <w:u w:val="single"/>
        </w:rPr>
        <w:t xml:space="preserve"> </w:t>
      </w:r>
      <w:r w:rsidRPr="003A25A4">
        <w:rPr>
          <w:b/>
          <w:smallCaps/>
          <w:szCs w:val="22"/>
          <w:u w:val="single"/>
        </w:rPr>
        <w:t>Assault, or Stalking</w:t>
      </w:r>
    </w:p>
    <w:p w:rsidR="006D34D4" w:rsidRDefault="006D34D4" w:rsidP="00ED3164">
      <w:pPr>
        <w:rPr>
          <w:bCs/>
        </w:rPr>
      </w:pPr>
    </w:p>
    <w:p w:rsidR="00C57EC1" w:rsidRDefault="00C57EC1" w:rsidP="00C57EC1">
      <w:pPr>
        <w:ind w:left="720"/>
        <w:rPr>
          <w:bCs/>
          <w:szCs w:val="22"/>
        </w:rPr>
      </w:pPr>
    </w:p>
    <w:p w:rsidR="00C57EC1" w:rsidRPr="00C57EC1" w:rsidRDefault="00ED3164" w:rsidP="00C02F09">
      <w:pPr>
        <w:numPr>
          <w:ilvl w:val="0"/>
          <w:numId w:val="16"/>
        </w:numPr>
        <w:ind w:left="360"/>
        <w:rPr>
          <w:bCs/>
          <w:szCs w:val="22"/>
        </w:rPr>
      </w:pPr>
      <w:r w:rsidRPr="00C57EC1">
        <w:rPr>
          <w:rFonts w:eastAsia="Calibri"/>
          <w:szCs w:val="22"/>
        </w:rPr>
        <w:t xml:space="preserve">The </w:t>
      </w:r>
      <w:r w:rsidR="00864C5D">
        <w:rPr>
          <w:rFonts w:eastAsia="Calibri"/>
          <w:szCs w:val="22"/>
        </w:rPr>
        <w:t>L</w:t>
      </w:r>
      <w:r w:rsidRPr="00C57EC1">
        <w:rPr>
          <w:rFonts w:eastAsia="Calibri"/>
          <w:szCs w:val="22"/>
        </w:rPr>
        <w:t>andlord shall provide to tenants the “Notice of Occupancy Rights under the Violence Against Women Act”, form HUD-5380</w:t>
      </w:r>
      <w:r w:rsidR="006C50C2">
        <w:rPr>
          <w:rFonts w:eastAsia="Calibri"/>
          <w:szCs w:val="22"/>
        </w:rPr>
        <w:t xml:space="preserve"> (Notice)</w:t>
      </w:r>
      <w:r w:rsidRPr="00C57EC1">
        <w:rPr>
          <w:rFonts w:eastAsia="Calibri"/>
          <w:szCs w:val="22"/>
        </w:rPr>
        <w:t xml:space="preserve">.  The Notice explains the VAWA </w:t>
      </w:r>
      <w:r w:rsidRPr="00C57EC1">
        <w:rPr>
          <w:rFonts w:eastAsia="Calibri"/>
          <w:szCs w:val="22"/>
        </w:rPr>
        <w:lastRenderedPageBreak/>
        <w:t xml:space="preserve">protections, including the right to confidentiality, and provides instruction on how to request an emergency transfer.  Along with this Notice, landlord shall provide tenants with the </w:t>
      </w:r>
      <w:r w:rsidR="00847AC9">
        <w:rPr>
          <w:rFonts w:eastAsia="Calibri"/>
          <w:szCs w:val="22"/>
        </w:rPr>
        <w:t xml:space="preserve">HUD-approved </w:t>
      </w:r>
      <w:r w:rsidRPr="00C57EC1">
        <w:rPr>
          <w:rFonts w:eastAsia="Calibri"/>
          <w:szCs w:val="22"/>
        </w:rPr>
        <w:t>“</w:t>
      </w:r>
      <w:r w:rsidRPr="00740ECF">
        <w:t>Certification of Domestic Violence, Dating Violence, Sexual Assault, or Stalking, and Alternate Documentation”, form HUD-5382</w:t>
      </w:r>
      <w:r w:rsidR="006C50C2">
        <w:t xml:space="preserve"> (Certification)</w:t>
      </w:r>
      <w:r w:rsidRPr="00740ECF">
        <w:t>.</w:t>
      </w:r>
      <w:r w:rsidRPr="00C57EC1">
        <w:rPr>
          <w:rFonts w:eastAsia="Calibri"/>
          <w:szCs w:val="22"/>
        </w:rPr>
        <w:t xml:space="preserve">  Victims may complete this form to document their eligibility </w:t>
      </w:r>
      <w:r w:rsidR="00C57EC1">
        <w:rPr>
          <w:rFonts w:eastAsia="Calibri"/>
          <w:szCs w:val="22"/>
        </w:rPr>
        <w:t>for VAWA protections.</w:t>
      </w:r>
    </w:p>
    <w:p w:rsidR="00C57EC1" w:rsidRDefault="00C57EC1" w:rsidP="00C02F09">
      <w:pPr>
        <w:pStyle w:val="ListParagraph"/>
        <w:ind w:left="360" w:hanging="360"/>
        <w:rPr>
          <w:rFonts w:eastAsia="Calibri"/>
          <w:szCs w:val="22"/>
        </w:rPr>
      </w:pPr>
    </w:p>
    <w:p w:rsidR="00C57EC1" w:rsidRDefault="00ED3164" w:rsidP="00C02F09">
      <w:pPr>
        <w:numPr>
          <w:ilvl w:val="0"/>
          <w:numId w:val="16"/>
        </w:numPr>
        <w:ind w:left="360"/>
        <w:rPr>
          <w:bCs/>
          <w:szCs w:val="22"/>
        </w:rPr>
      </w:pPr>
      <w:r w:rsidRPr="00C57EC1">
        <w:rPr>
          <w:rFonts w:eastAsia="Calibri"/>
          <w:szCs w:val="22"/>
        </w:rPr>
        <w:t>In certain instances, the landlord may request that the tenant/victim, or an individual on the victim’s behalf, complete form HUD-5382 to document that the individual is eligible for VAWA protections.  The tenant</w:t>
      </w:r>
      <w:r w:rsidRPr="00C57EC1">
        <w:rPr>
          <w:bCs/>
          <w:szCs w:val="22"/>
        </w:rPr>
        <w:t xml:space="preserve"> shall submit</w:t>
      </w:r>
      <w:r w:rsidRPr="00C57EC1">
        <w:rPr>
          <w:rFonts w:eastAsia="Calibri"/>
          <w:szCs w:val="22"/>
        </w:rPr>
        <w:t xml:space="preserve"> the </w:t>
      </w:r>
      <w:r w:rsidR="006C50C2">
        <w:rPr>
          <w:rFonts w:eastAsia="Calibri"/>
          <w:szCs w:val="22"/>
        </w:rPr>
        <w:t>C</w:t>
      </w:r>
      <w:r w:rsidR="006C50C2" w:rsidRPr="00C57EC1">
        <w:rPr>
          <w:rFonts w:eastAsia="Calibri"/>
          <w:szCs w:val="22"/>
        </w:rPr>
        <w:t xml:space="preserve">ertification </w:t>
      </w:r>
      <w:r w:rsidRPr="00C57EC1">
        <w:rPr>
          <w:rFonts w:eastAsia="Calibri"/>
          <w:szCs w:val="22"/>
        </w:rPr>
        <w:t xml:space="preserve">and/or other </w:t>
      </w:r>
      <w:r w:rsidRPr="00C57EC1">
        <w:rPr>
          <w:bCs/>
          <w:szCs w:val="22"/>
        </w:rPr>
        <w:t xml:space="preserve">documentation, as noted on the </w:t>
      </w:r>
      <w:r w:rsidR="006C50C2">
        <w:rPr>
          <w:bCs/>
          <w:szCs w:val="22"/>
        </w:rPr>
        <w:t>Certification</w:t>
      </w:r>
      <w:r w:rsidRPr="00C57EC1">
        <w:rPr>
          <w:bCs/>
          <w:szCs w:val="22"/>
        </w:rPr>
        <w:t xml:space="preserve">, within 14 business days of the </w:t>
      </w:r>
      <w:r w:rsidRPr="00C57EC1">
        <w:rPr>
          <w:rFonts w:eastAsia="Calibri"/>
          <w:szCs w:val="22"/>
        </w:rPr>
        <w:t xml:space="preserve">landlord’s </w:t>
      </w:r>
      <w:r w:rsidRPr="00C57EC1">
        <w:rPr>
          <w:bCs/>
          <w:szCs w:val="22"/>
        </w:rPr>
        <w:t xml:space="preserve">request, or an agreed upon extension date, to receive protections under VAWA.  Failure to provide the </w:t>
      </w:r>
      <w:r w:rsidR="006C50C2">
        <w:rPr>
          <w:bCs/>
          <w:szCs w:val="22"/>
        </w:rPr>
        <w:t>C</w:t>
      </w:r>
      <w:r w:rsidR="006C50C2" w:rsidRPr="00C57EC1">
        <w:rPr>
          <w:bCs/>
          <w:szCs w:val="22"/>
        </w:rPr>
        <w:t xml:space="preserve">ertification </w:t>
      </w:r>
      <w:r w:rsidRPr="00C57EC1">
        <w:rPr>
          <w:bCs/>
          <w:szCs w:val="22"/>
        </w:rPr>
        <w:t>or other supporting documentation within the specified timeframe may result in the tenant/victim not receiving VAWA protections</w:t>
      </w:r>
      <w:r w:rsidR="00C57EC1">
        <w:rPr>
          <w:bCs/>
          <w:szCs w:val="22"/>
        </w:rPr>
        <w:t>.</w:t>
      </w:r>
    </w:p>
    <w:p w:rsidR="00C57EC1" w:rsidRDefault="00C57EC1" w:rsidP="00C02F09">
      <w:pPr>
        <w:pStyle w:val="ListParagraph"/>
        <w:ind w:left="360" w:hanging="360"/>
        <w:rPr>
          <w:szCs w:val="22"/>
        </w:rPr>
      </w:pPr>
    </w:p>
    <w:p w:rsidR="00C57EC1" w:rsidRPr="00C57EC1" w:rsidRDefault="00ED3164" w:rsidP="00C02F09">
      <w:pPr>
        <w:numPr>
          <w:ilvl w:val="0"/>
          <w:numId w:val="16"/>
        </w:numPr>
        <w:ind w:left="360"/>
        <w:rPr>
          <w:bCs/>
          <w:szCs w:val="22"/>
        </w:rPr>
      </w:pPr>
      <w:r w:rsidRPr="00C57EC1">
        <w:rPr>
          <w:szCs w:val="22"/>
        </w:rPr>
        <w:t xml:space="preserve">The </w:t>
      </w:r>
      <w:r w:rsidR="00864C5D">
        <w:rPr>
          <w:szCs w:val="22"/>
        </w:rPr>
        <w:t>L</w:t>
      </w:r>
      <w:r w:rsidRPr="00C57EC1">
        <w:rPr>
          <w:szCs w:val="22"/>
        </w:rPr>
        <w:t xml:space="preserve">andlord shall not deny admission to, terminate </w:t>
      </w:r>
      <w:r w:rsidR="00FF356B">
        <w:rPr>
          <w:szCs w:val="22"/>
        </w:rPr>
        <w:t>assistance</w:t>
      </w:r>
      <w:r w:rsidRPr="00C57EC1">
        <w:rPr>
          <w:szCs w:val="22"/>
        </w:rPr>
        <w:t xml:space="preserve"> in, or evict from housing a </w:t>
      </w:r>
      <w:r w:rsidR="00D83952">
        <w:rPr>
          <w:szCs w:val="22"/>
        </w:rPr>
        <w:t>T</w:t>
      </w:r>
      <w:r w:rsidR="00D83952" w:rsidRPr="00C57EC1">
        <w:rPr>
          <w:szCs w:val="22"/>
        </w:rPr>
        <w:t xml:space="preserve">enant </w:t>
      </w:r>
      <w:r w:rsidRPr="00C57EC1">
        <w:rPr>
          <w:szCs w:val="22"/>
        </w:rPr>
        <w:t xml:space="preserve">on the basis of or as a direct result of the fact that the </w:t>
      </w:r>
      <w:r w:rsidR="00D83952">
        <w:rPr>
          <w:szCs w:val="22"/>
        </w:rPr>
        <w:t>T</w:t>
      </w:r>
      <w:r w:rsidR="00D83952" w:rsidRPr="00C57EC1">
        <w:rPr>
          <w:szCs w:val="22"/>
        </w:rPr>
        <w:t xml:space="preserve">enant </w:t>
      </w:r>
      <w:r w:rsidRPr="00C57EC1">
        <w:rPr>
          <w:szCs w:val="22"/>
        </w:rPr>
        <w:t xml:space="preserve">is or has been a </w:t>
      </w:r>
      <w:r w:rsidRPr="00C57EC1">
        <w:rPr>
          <w:rFonts w:eastAsia="Calibri"/>
          <w:szCs w:val="22"/>
        </w:rPr>
        <w:t>victim</w:t>
      </w:r>
      <w:r w:rsidRPr="00C57EC1">
        <w:rPr>
          <w:szCs w:val="22"/>
        </w:rPr>
        <w:t xml:space="preserve"> of domestic violence, dating violenc</w:t>
      </w:r>
      <w:r w:rsidR="00C57EC1">
        <w:rPr>
          <w:szCs w:val="22"/>
        </w:rPr>
        <w:t>e, sexual assault, or stalking</w:t>
      </w:r>
      <w:r w:rsidR="00210A44">
        <w:rPr>
          <w:szCs w:val="22"/>
        </w:rPr>
        <w:t>, if the tenant otherwise qualifies for admission or occupancy. 24 CFR 5.2005(b)(1).</w:t>
      </w:r>
    </w:p>
    <w:p w:rsidR="00C57EC1" w:rsidRDefault="00C57EC1" w:rsidP="00C02F09">
      <w:pPr>
        <w:pStyle w:val="ListParagraph"/>
        <w:ind w:left="360" w:hanging="360"/>
        <w:rPr>
          <w:szCs w:val="22"/>
        </w:rPr>
      </w:pPr>
    </w:p>
    <w:p w:rsidR="00FF356B" w:rsidRPr="008922C9" w:rsidRDefault="004F11AD" w:rsidP="00C02F09">
      <w:pPr>
        <w:numPr>
          <w:ilvl w:val="0"/>
          <w:numId w:val="16"/>
        </w:numPr>
        <w:ind w:left="360"/>
        <w:rPr>
          <w:bCs/>
          <w:szCs w:val="22"/>
        </w:rPr>
      </w:pPr>
      <w:r w:rsidRPr="004F11AD">
        <w:rPr>
          <w:szCs w:val="22"/>
        </w:rPr>
        <w:t xml:space="preserve">The </w:t>
      </w:r>
      <w:r w:rsidR="00292D2E">
        <w:rPr>
          <w:szCs w:val="22"/>
        </w:rPr>
        <w:t>T</w:t>
      </w:r>
      <w:r w:rsidRPr="004F11AD">
        <w:rPr>
          <w:szCs w:val="22"/>
        </w:rPr>
        <w:t xml:space="preserve">enant shall not be denied tenancy or occupancy rights solely on the basis of </w:t>
      </w:r>
      <w:r w:rsidRPr="00CB70A7">
        <w:rPr>
          <w:szCs w:val="22"/>
        </w:rPr>
        <w:t>c</w:t>
      </w:r>
      <w:r w:rsidR="00ED3164" w:rsidRPr="00CB70A7">
        <w:rPr>
          <w:szCs w:val="22"/>
        </w:rPr>
        <w:t xml:space="preserve">riminal activity directly relating to domestic violence, dating violence, sexual assault, or stalking, </w:t>
      </w:r>
      <w:r w:rsidRPr="00864C5D">
        <w:rPr>
          <w:szCs w:val="22"/>
        </w:rPr>
        <w:t xml:space="preserve">if the criminal activity is </w:t>
      </w:r>
      <w:r w:rsidR="00ED3164" w:rsidRPr="00864C5D">
        <w:rPr>
          <w:szCs w:val="22"/>
        </w:rPr>
        <w:t xml:space="preserve">engaged in by a member of a </w:t>
      </w:r>
      <w:r w:rsidR="00D83952">
        <w:rPr>
          <w:szCs w:val="22"/>
        </w:rPr>
        <w:t>T</w:t>
      </w:r>
      <w:r w:rsidR="00D83952" w:rsidRPr="00864C5D">
        <w:rPr>
          <w:szCs w:val="22"/>
        </w:rPr>
        <w:t xml:space="preserve">enant’s </w:t>
      </w:r>
      <w:r w:rsidR="00ED3164" w:rsidRPr="00864C5D">
        <w:rPr>
          <w:szCs w:val="22"/>
        </w:rPr>
        <w:t xml:space="preserve">household or any guest or other person under the </w:t>
      </w:r>
      <w:r w:rsidR="00D83952">
        <w:rPr>
          <w:szCs w:val="22"/>
        </w:rPr>
        <w:t>T</w:t>
      </w:r>
      <w:r w:rsidR="00D83952" w:rsidRPr="00864C5D">
        <w:rPr>
          <w:szCs w:val="22"/>
        </w:rPr>
        <w:t xml:space="preserve">enant’s </w:t>
      </w:r>
      <w:r w:rsidR="006D6048" w:rsidRPr="00864C5D">
        <w:rPr>
          <w:szCs w:val="22"/>
        </w:rPr>
        <w:t xml:space="preserve">control, </w:t>
      </w:r>
      <w:r w:rsidR="006D6048" w:rsidRPr="00292D2E">
        <w:rPr>
          <w:szCs w:val="22"/>
        </w:rPr>
        <w:t>and</w:t>
      </w:r>
      <w:r w:rsidRPr="00292D2E">
        <w:rPr>
          <w:szCs w:val="22"/>
        </w:rPr>
        <w:t xml:space="preserve"> </w:t>
      </w:r>
      <w:r w:rsidR="00ED3164" w:rsidRPr="00292D2E">
        <w:rPr>
          <w:szCs w:val="22"/>
        </w:rPr>
        <w:t xml:space="preserve">the </w:t>
      </w:r>
      <w:r w:rsidR="00D83952">
        <w:rPr>
          <w:szCs w:val="22"/>
        </w:rPr>
        <w:t>T</w:t>
      </w:r>
      <w:r w:rsidR="00D83952" w:rsidRPr="00292D2E">
        <w:rPr>
          <w:szCs w:val="22"/>
        </w:rPr>
        <w:t xml:space="preserve">enant </w:t>
      </w:r>
      <w:r w:rsidR="00ED3164" w:rsidRPr="00292D2E">
        <w:rPr>
          <w:szCs w:val="22"/>
        </w:rPr>
        <w:t xml:space="preserve">or an </w:t>
      </w:r>
      <w:r w:rsidRPr="00BB22AE">
        <w:rPr>
          <w:szCs w:val="22"/>
        </w:rPr>
        <w:t>A</w:t>
      </w:r>
      <w:r w:rsidR="00ED3164" w:rsidRPr="00BB22AE">
        <w:rPr>
          <w:szCs w:val="22"/>
        </w:rPr>
        <w:t xml:space="preserve">ffiliated </w:t>
      </w:r>
      <w:r w:rsidRPr="00BB22AE">
        <w:rPr>
          <w:szCs w:val="22"/>
        </w:rPr>
        <w:t>I</w:t>
      </w:r>
      <w:r w:rsidR="00ED3164" w:rsidRPr="00D93B6E">
        <w:rPr>
          <w:szCs w:val="22"/>
        </w:rPr>
        <w:t xml:space="preserve">ndividual of the </w:t>
      </w:r>
      <w:r w:rsidR="00D83952">
        <w:rPr>
          <w:szCs w:val="22"/>
        </w:rPr>
        <w:t>T</w:t>
      </w:r>
      <w:r w:rsidR="00D83952" w:rsidRPr="00D93B6E">
        <w:rPr>
          <w:szCs w:val="22"/>
        </w:rPr>
        <w:t xml:space="preserve">enant </w:t>
      </w:r>
      <w:r w:rsidR="00ED3164" w:rsidRPr="00D93B6E">
        <w:rPr>
          <w:szCs w:val="22"/>
        </w:rPr>
        <w:t xml:space="preserve">is the </w:t>
      </w:r>
      <w:r w:rsidR="00ED3164" w:rsidRPr="009D3CE9">
        <w:rPr>
          <w:rFonts w:eastAsia="Calibri"/>
          <w:szCs w:val="22"/>
        </w:rPr>
        <w:t>victim</w:t>
      </w:r>
      <w:r w:rsidR="00ED3164" w:rsidRPr="009D3CE9">
        <w:rPr>
          <w:szCs w:val="22"/>
        </w:rPr>
        <w:t xml:space="preserve"> or threatened </w:t>
      </w:r>
      <w:r w:rsidR="00ED3164" w:rsidRPr="00CF6A62">
        <w:rPr>
          <w:rFonts w:eastAsia="Calibri"/>
          <w:szCs w:val="22"/>
        </w:rPr>
        <w:t>victim</w:t>
      </w:r>
      <w:r w:rsidR="00ED3164" w:rsidRPr="007F094D">
        <w:rPr>
          <w:szCs w:val="22"/>
        </w:rPr>
        <w:t xml:space="preserve"> of domestic violence, dating violence, sexual assault, or stalking. </w:t>
      </w:r>
    </w:p>
    <w:p w:rsidR="00C57EC1" w:rsidRPr="004F11AD" w:rsidRDefault="00C57EC1" w:rsidP="00C02F09">
      <w:pPr>
        <w:ind w:left="360" w:hanging="360"/>
        <w:rPr>
          <w:szCs w:val="22"/>
        </w:rPr>
      </w:pPr>
    </w:p>
    <w:p w:rsidR="00C57EC1" w:rsidRPr="00C57EC1" w:rsidRDefault="004B5AEE" w:rsidP="00C02F09">
      <w:pPr>
        <w:numPr>
          <w:ilvl w:val="0"/>
          <w:numId w:val="16"/>
        </w:numPr>
        <w:ind w:left="360"/>
        <w:rPr>
          <w:bCs/>
          <w:szCs w:val="22"/>
        </w:rPr>
      </w:pPr>
      <w:r>
        <w:rPr>
          <w:szCs w:val="22"/>
        </w:rPr>
        <w:t>The Landlord shall not consider a</w:t>
      </w:r>
      <w:r w:rsidR="00ED3164" w:rsidRPr="00C57EC1">
        <w:rPr>
          <w:szCs w:val="22"/>
        </w:rPr>
        <w:t xml:space="preserve">n incident of actual or threatened domestic violence, dating violence, sexual assault, or stalking as a serious or repeated violation of the Lease or other “good cause” for termination of the assistance, tenancy, or occupancy rights of the </w:t>
      </w:r>
      <w:r w:rsidR="00ED3164" w:rsidRPr="00C57EC1">
        <w:rPr>
          <w:rFonts w:eastAsia="Calibri"/>
          <w:szCs w:val="22"/>
        </w:rPr>
        <w:t>victim</w:t>
      </w:r>
      <w:r w:rsidR="00ED3164" w:rsidRPr="00C57EC1">
        <w:rPr>
          <w:szCs w:val="22"/>
        </w:rPr>
        <w:t xml:space="preserve"> </w:t>
      </w:r>
      <w:r w:rsidR="00892F7B">
        <w:rPr>
          <w:szCs w:val="22"/>
        </w:rPr>
        <w:t xml:space="preserve">or threatened victim </w:t>
      </w:r>
      <w:r w:rsidR="00ED3164" w:rsidRPr="00C57EC1">
        <w:rPr>
          <w:szCs w:val="22"/>
        </w:rPr>
        <w:t>of such incident</w:t>
      </w:r>
      <w:r w:rsidR="00C57EC1">
        <w:rPr>
          <w:szCs w:val="22"/>
        </w:rPr>
        <w:t>.</w:t>
      </w:r>
      <w:r w:rsidR="00210A44">
        <w:rPr>
          <w:szCs w:val="22"/>
        </w:rPr>
        <w:t xml:space="preserve"> 24 CFR 5.2005(c).</w:t>
      </w:r>
    </w:p>
    <w:p w:rsidR="00C57EC1" w:rsidRDefault="00C57EC1" w:rsidP="00C02F09">
      <w:pPr>
        <w:pStyle w:val="ListParagraph"/>
        <w:ind w:left="360" w:hanging="360"/>
        <w:rPr>
          <w:szCs w:val="22"/>
        </w:rPr>
      </w:pPr>
    </w:p>
    <w:p w:rsidR="00C57EC1" w:rsidRPr="00C57EC1" w:rsidRDefault="00ED3164" w:rsidP="00C02F09">
      <w:pPr>
        <w:numPr>
          <w:ilvl w:val="0"/>
          <w:numId w:val="16"/>
        </w:numPr>
        <w:ind w:left="360"/>
        <w:rPr>
          <w:bCs/>
          <w:szCs w:val="22"/>
        </w:rPr>
      </w:pPr>
      <w:r w:rsidRPr="00C57EC1">
        <w:rPr>
          <w:szCs w:val="22"/>
        </w:rPr>
        <w:t xml:space="preserve">Nothing in this Addendum shall be construed to limit the authority of the </w:t>
      </w:r>
      <w:r w:rsidR="006C50C2">
        <w:rPr>
          <w:szCs w:val="22"/>
        </w:rPr>
        <w:t>L</w:t>
      </w:r>
      <w:r w:rsidR="006C50C2" w:rsidRPr="00C57EC1">
        <w:rPr>
          <w:szCs w:val="22"/>
        </w:rPr>
        <w:t xml:space="preserve">andlord </w:t>
      </w:r>
      <w:r w:rsidRPr="00C57EC1">
        <w:rPr>
          <w:szCs w:val="22"/>
        </w:rPr>
        <w:t xml:space="preserve">when notified of a court order, to comply with such court order with respect to rights of access or control of the property (including civil protection orders issued to protect a </w:t>
      </w:r>
      <w:r w:rsidRPr="00C57EC1">
        <w:rPr>
          <w:rFonts w:eastAsia="Calibri"/>
          <w:szCs w:val="22"/>
        </w:rPr>
        <w:t>victim</w:t>
      </w:r>
      <w:r w:rsidRPr="00C57EC1">
        <w:rPr>
          <w:szCs w:val="22"/>
        </w:rPr>
        <w:t xml:space="preserve"> of domestic violence, dating violence, sexual assault, or stalking) or with respect to addressing the distribution or possession of property among members of </w:t>
      </w:r>
      <w:r w:rsidR="00892F7B">
        <w:rPr>
          <w:szCs w:val="22"/>
        </w:rPr>
        <w:t>the</w:t>
      </w:r>
      <w:r w:rsidR="00892F7B" w:rsidRPr="00C57EC1">
        <w:rPr>
          <w:szCs w:val="22"/>
        </w:rPr>
        <w:t xml:space="preserve"> </w:t>
      </w:r>
      <w:r w:rsidR="006C50C2">
        <w:rPr>
          <w:szCs w:val="22"/>
        </w:rPr>
        <w:t>T</w:t>
      </w:r>
      <w:r w:rsidR="006C50C2" w:rsidRPr="00C57EC1">
        <w:rPr>
          <w:szCs w:val="22"/>
        </w:rPr>
        <w:t xml:space="preserve">enant’s </w:t>
      </w:r>
      <w:r w:rsidRPr="00C57EC1">
        <w:rPr>
          <w:szCs w:val="22"/>
        </w:rPr>
        <w:t>household</w:t>
      </w:r>
      <w:r w:rsidR="00C57EC1">
        <w:rPr>
          <w:szCs w:val="22"/>
        </w:rPr>
        <w:t>.</w:t>
      </w:r>
      <w:r w:rsidR="00210A44">
        <w:rPr>
          <w:szCs w:val="22"/>
        </w:rPr>
        <w:t xml:space="preserve"> 24 CFR 5.2005(d)(1). </w:t>
      </w:r>
    </w:p>
    <w:p w:rsidR="00C57EC1" w:rsidRDefault="00C57EC1" w:rsidP="00C02F09">
      <w:pPr>
        <w:pStyle w:val="ListParagraph"/>
        <w:ind w:left="360" w:hanging="360"/>
        <w:rPr>
          <w:szCs w:val="22"/>
        </w:rPr>
      </w:pPr>
    </w:p>
    <w:p w:rsidR="00ED3164" w:rsidRPr="00C57EC1" w:rsidRDefault="00ED3164" w:rsidP="00C02F09">
      <w:pPr>
        <w:numPr>
          <w:ilvl w:val="0"/>
          <w:numId w:val="16"/>
        </w:numPr>
        <w:ind w:left="360"/>
        <w:rPr>
          <w:bCs/>
          <w:szCs w:val="22"/>
        </w:rPr>
      </w:pPr>
      <w:r w:rsidRPr="00C57EC1">
        <w:rPr>
          <w:szCs w:val="22"/>
        </w:rPr>
        <w:t xml:space="preserve">Nothing in this Addendum limits any otherwise available authority of the </w:t>
      </w:r>
      <w:r w:rsidR="006C50C2">
        <w:rPr>
          <w:szCs w:val="22"/>
        </w:rPr>
        <w:t>L</w:t>
      </w:r>
      <w:r w:rsidR="006C50C2" w:rsidRPr="00C57EC1">
        <w:rPr>
          <w:szCs w:val="22"/>
        </w:rPr>
        <w:t xml:space="preserve">andlord </w:t>
      </w:r>
      <w:r w:rsidRPr="00C57EC1">
        <w:rPr>
          <w:szCs w:val="22"/>
        </w:rPr>
        <w:t xml:space="preserve">to evict or terminate assistance to a </w:t>
      </w:r>
      <w:r w:rsidR="006C50C2">
        <w:rPr>
          <w:szCs w:val="22"/>
        </w:rPr>
        <w:t>T</w:t>
      </w:r>
      <w:r w:rsidR="006C50C2" w:rsidRPr="00C57EC1">
        <w:rPr>
          <w:szCs w:val="22"/>
        </w:rPr>
        <w:t xml:space="preserve">enant </w:t>
      </w:r>
      <w:r w:rsidRPr="00C57EC1">
        <w:rPr>
          <w:szCs w:val="22"/>
        </w:rPr>
        <w:t xml:space="preserve">for any </w:t>
      </w:r>
      <w:r w:rsidR="00892F7B">
        <w:rPr>
          <w:szCs w:val="22"/>
        </w:rPr>
        <w:t xml:space="preserve">lease </w:t>
      </w:r>
      <w:r w:rsidRPr="00C57EC1">
        <w:rPr>
          <w:szCs w:val="22"/>
        </w:rPr>
        <w:t xml:space="preserve">violation not premised on </w:t>
      </w:r>
      <w:r w:rsidR="00892F7B">
        <w:rPr>
          <w:szCs w:val="22"/>
        </w:rPr>
        <w:t>an</w:t>
      </w:r>
      <w:r w:rsidR="00892F7B" w:rsidRPr="00C57EC1">
        <w:rPr>
          <w:szCs w:val="22"/>
        </w:rPr>
        <w:t xml:space="preserve"> </w:t>
      </w:r>
      <w:r w:rsidRPr="00C57EC1">
        <w:rPr>
          <w:szCs w:val="22"/>
        </w:rPr>
        <w:t xml:space="preserve">act of </w:t>
      </w:r>
      <w:r w:rsidRPr="00C57EC1">
        <w:rPr>
          <w:rFonts w:eastAsia="Calibri"/>
          <w:szCs w:val="22"/>
        </w:rPr>
        <w:t>domestic violence, dating violence, sexual assault, or stalking</w:t>
      </w:r>
      <w:r w:rsidRPr="00C57EC1">
        <w:rPr>
          <w:szCs w:val="22"/>
        </w:rPr>
        <w:t xml:space="preserve"> that is in question against the </w:t>
      </w:r>
      <w:r w:rsidR="00892F7B">
        <w:rPr>
          <w:szCs w:val="22"/>
        </w:rPr>
        <w:t>T</w:t>
      </w:r>
      <w:r w:rsidRPr="00C57EC1">
        <w:rPr>
          <w:szCs w:val="22"/>
        </w:rPr>
        <w:t xml:space="preserve">enant or an </w:t>
      </w:r>
      <w:r w:rsidR="00892F7B">
        <w:rPr>
          <w:szCs w:val="22"/>
        </w:rPr>
        <w:t>A</w:t>
      </w:r>
      <w:r w:rsidRPr="00C57EC1">
        <w:rPr>
          <w:szCs w:val="22"/>
        </w:rPr>
        <w:t xml:space="preserve">ffiliated </w:t>
      </w:r>
      <w:r w:rsidR="00892F7B">
        <w:rPr>
          <w:szCs w:val="22"/>
        </w:rPr>
        <w:t>I</w:t>
      </w:r>
      <w:r w:rsidRPr="00C57EC1">
        <w:rPr>
          <w:szCs w:val="22"/>
        </w:rPr>
        <w:t xml:space="preserve">ndividual of the </w:t>
      </w:r>
      <w:r w:rsidR="00892F7B">
        <w:rPr>
          <w:szCs w:val="22"/>
        </w:rPr>
        <w:t>T</w:t>
      </w:r>
      <w:r w:rsidRPr="00C57EC1">
        <w:rPr>
          <w:szCs w:val="22"/>
        </w:rPr>
        <w:t xml:space="preserve">enant.  However, </w:t>
      </w:r>
      <w:r w:rsidR="00212E27">
        <w:rPr>
          <w:szCs w:val="22"/>
        </w:rPr>
        <w:t xml:space="preserve">in determining whether to evict the Tenant, </w:t>
      </w:r>
      <w:r w:rsidRPr="00C57EC1">
        <w:rPr>
          <w:szCs w:val="22"/>
        </w:rPr>
        <w:t xml:space="preserve">the </w:t>
      </w:r>
      <w:r w:rsidR="00212E27">
        <w:rPr>
          <w:szCs w:val="22"/>
        </w:rPr>
        <w:t>L</w:t>
      </w:r>
      <w:r w:rsidRPr="00C57EC1">
        <w:rPr>
          <w:szCs w:val="22"/>
        </w:rPr>
        <w:t xml:space="preserve">andlord shall not subject </w:t>
      </w:r>
      <w:r w:rsidR="00212E27">
        <w:rPr>
          <w:szCs w:val="22"/>
        </w:rPr>
        <w:t>the Tenant</w:t>
      </w:r>
      <w:r w:rsidRPr="00C57EC1">
        <w:rPr>
          <w:szCs w:val="22"/>
        </w:rPr>
        <w:t xml:space="preserve"> </w:t>
      </w:r>
      <w:r w:rsidR="00212E27">
        <w:rPr>
          <w:szCs w:val="22"/>
        </w:rPr>
        <w:t xml:space="preserve">to a more demanding standard than other tenants, if </w:t>
      </w:r>
      <w:r w:rsidR="00212E27">
        <w:rPr>
          <w:szCs w:val="22"/>
        </w:rPr>
        <w:lastRenderedPageBreak/>
        <w:t xml:space="preserve">the Tenant or </w:t>
      </w:r>
      <w:r w:rsidR="006C50C2">
        <w:rPr>
          <w:szCs w:val="22"/>
        </w:rPr>
        <w:t>a</w:t>
      </w:r>
      <w:r w:rsidR="00212E27">
        <w:rPr>
          <w:szCs w:val="22"/>
        </w:rPr>
        <w:t xml:space="preserve">n Affiliated Individual of the Tenant </w:t>
      </w:r>
      <w:r w:rsidRPr="00C57EC1">
        <w:rPr>
          <w:szCs w:val="22"/>
        </w:rPr>
        <w:t xml:space="preserve"> is or has been a </w:t>
      </w:r>
      <w:r w:rsidRPr="00C57EC1">
        <w:rPr>
          <w:rFonts w:eastAsia="Calibri"/>
          <w:szCs w:val="22"/>
        </w:rPr>
        <w:t>victim</w:t>
      </w:r>
      <w:r w:rsidRPr="00C57EC1">
        <w:rPr>
          <w:szCs w:val="22"/>
        </w:rPr>
        <w:t xml:space="preserve"> of domestic violence, dating violence, sexual assault, or stalking. </w:t>
      </w:r>
      <w:r w:rsidR="00210A44">
        <w:rPr>
          <w:szCs w:val="22"/>
        </w:rPr>
        <w:t>24 CFR 5.2005(d)(2).</w:t>
      </w:r>
    </w:p>
    <w:p w:rsidR="00ED3164" w:rsidRPr="00740ECF" w:rsidRDefault="00ED3164" w:rsidP="00C02F09">
      <w:pPr>
        <w:pStyle w:val="ListParagraph"/>
        <w:ind w:left="360" w:hanging="360"/>
        <w:rPr>
          <w:szCs w:val="22"/>
        </w:rPr>
      </w:pPr>
    </w:p>
    <w:p w:rsidR="00ED3164" w:rsidRPr="00ED3164" w:rsidRDefault="00210A44" w:rsidP="00C02F09">
      <w:pPr>
        <w:pStyle w:val="NormalWeb"/>
        <w:spacing w:before="0" w:beforeAutospacing="0" w:after="0" w:afterAutospacing="0"/>
        <w:ind w:left="720" w:hanging="720"/>
        <w:rPr>
          <w:rFonts w:eastAsia="Calibri"/>
          <w:szCs w:val="22"/>
        </w:rPr>
      </w:pPr>
      <w:r>
        <w:rPr>
          <w:szCs w:val="22"/>
        </w:rPr>
        <w:t>8</w:t>
      </w:r>
      <w:r w:rsidR="00C57EC1">
        <w:rPr>
          <w:szCs w:val="22"/>
        </w:rPr>
        <w:t>.</w:t>
      </w:r>
      <w:r w:rsidR="003A25A4">
        <w:rPr>
          <w:szCs w:val="22"/>
        </w:rPr>
        <w:t xml:space="preserve">  </w:t>
      </w:r>
      <w:r w:rsidR="00C02F09">
        <w:rPr>
          <w:szCs w:val="22"/>
        </w:rPr>
        <w:t xml:space="preserve"> </w:t>
      </w:r>
      <w:r w:rsidR="00ED3164" w:rsidRPr="00740ECF">
        <w:rPr>
          <w:szCs w:val="22"/>
        </w:rPr>
        <w:t xml:space="preserve">(a) Nothing in this Addendum shall be construed to limit the authority of the </w:t>
      </w:r>
      <w:r w:rsidR="00864C5D">
        <w:rPr>
          <w:szCs w:val="22"/>
        </w:rPr>
        <w:t>L</w:t>
      </w:r>
      <w:r w:rsidR="00ED3164" w:rsidRPr="00740ECF">
        <w:rPr>
          <w:szCs w:val="22"/>
        </w:rPr>
        <w:t xml:space="preserve">andlord to terminate assistance or evict the </w:t>
      </w:r>
      <w:r w:rsidR="006C50C2">
        <w:rPr>
          <w:szCs w:val="22"/>
        </w:rPr>
        <w:t>T</w:t>
      </w:r>
      <w:r w:rsidR="006C50C2" w:rsidRPr="00740ECF">
        <w:rPr>
          <w:szCs w:val="22"/>
        </w:rPr>
        <w:t>enant</w:t>
      </w:r>
      <w:r w:rsidR="00ED3164" w:rsidRPr="00740ECF">
        <w:rPr>
          <w:szCs w:val="22"/>
        </w:rPr>
        <w:t xml:space="preserve">, if the </w:t>
      </w:r>
      <w:r w:rsidR="00BB22AE">
        <w:rPr>
          <w:szCs w:val="22"/>
        </w:rPr>
        <w:t>L</w:t>
      </w:r>
      <w:r w:rsidR="00ED3164" w:rsidRPr="00740ECF">
        <w:rPr>
          <w:szCs w:val="22"/>
        </w:rPr>
        <w:t xml:space="preserve">andlord can demonstrate that an actual and imminent threat to other tenants or those employed at or providing service to the property would be present if that tenant or lawful occupant is not evicted or terminated from assistance. </w:t>
      </w:r>
      <w:r w:rsidR="00ED3164" w:rsidRPr="00ED3164">
        <w:rPr>
          <w:rFonts w:eastAsia="Calibri"/>
          <w:szCs w:val="22"/>
        </w:rPr>
        <w:t>In this context, words, gestures, actions, or other indicators</w:t>
      </w:r>
      <w:r w:rsidR="00D93B6E">
        <w:rPr>
          <w:rFonts w:eastAsia="Calibri"/>
          <w:szCs w:val="22"/>
        </w:rPr>
        <w:t xml:space="preserve"> will be considered an </w:t>
      </w:r>
      <w:r w:rsidR="004B5AEE">
        <w:rPr>
          <w:rFonts w:eastAsia="Calibri"/>
          <w:szCs w:val="22"/>
        </w:rPr>
        <w:t>“</w:t>
      </w:r>
      <w:r w:rsidR="00D93B6E">
        <w:rPr>
          <w:rFonts w:eastAsia="Calibri"/>
          <w:szCs w:val="22"/>
        </w:rPr>
        <w:t>actual or imminent threat</w:t>
      </w:r>
      <w:r w:rsidR="004B5AEE">
        <w:rPr>
          <w:rFonts w:eastAsia="Calibri"/>
          <w:szCs w:val="22"/>
        </w:rPr>
        <w:t>”</w:t>
      </w:r>
      <w:r w:rsidR="00D93B6E">
        <w:rPr>
          <w:rFonts w:eastAsia="Calibri"/>
          <w:szCs w:val="22"/>
        </w:rPr>
        <w:t xml:space="preserve"> if they meet the </w:t>
      </w:r>
      <w:r w:rsidR="008922C9">
        <w:rPr>
          <w:rFonts w:eastAsia="Calibri"/>
          <w:szCs w:val="22"/>
        </w:rPr>
        <w:t>standards</w:t>
      </w:r>
      <w:r w:rsidR="00D93B6E">
        <w:rPr>
          <w:rFonts w:eastAsia="Calibri"/>
          <w:szCs w:val="22"/>
        </w:rPr>
        <w:t xml:space="preserve"> in the </w:t>
      </w:r>
      <w:r w:rsidR="008922C9">
        <w:rPr>
          <w:rFonts w:eastAsia="Calibri"/>
          <w:szCs w:val="22"/>
        </w:rPr>
        <w:t>provided in the</w:t>
      </w:r>
      <w:r w:rsidR="00D93B6E">
        <w:rPr>
          <w:rFonts w:eastAsia="Calibri"/>
          <w:szCs w:val="22"/>
        </w:rPr>
        <w:t xml:space="preserve"> definition</w:t>
      </w:r>
      <w:r w:rsidR="004B5AEE">
        <w:rPr>
          <w:rFonts w:eastAsia="Calibri"/>
          <w:szCs w:val="22"/>
        </w:rPr>
        <w:t xml:space="preserve"> </w:t>
      </w:r>
      <w:r w:rsidR="008922C9">
        <w:rPr>
          <w:rFonts w:eastAsia="Calibri"/>
          <w:szCs w:val="22"/>
        </w:rPr>
        <w:t>of</w:t>
      </w:r>
      <w:r w:rsidR="00D93B6E">
        <w:rPr>
          <w:rFonts w:eastAsia="Calibri"/>
          <w:szCs w:val="22"/>
        </w:rPr>
        <w:t xml:space="preserve"> </w:t>
      </w:r>
      <w:r w:rsidR="00ED3164" w:rsidRPr="00ED3164">
        <w:rPr>
          <w:rFonts w:eastAsia="Calibri"/>
          <w:szCs w:val="22"/>
        </w:rPr>
        <w:t>“</w:t>
      </w:r>
      <w:r w:rsidR="004B5AEE">
        <w:rPr>
          <w:rFonts w:eastAsia="Calibri"/>
          <w:iCs/>
          <w:szCs w:val="22"/>
        </w:rPr>
        <w:t>a</w:t>
      </w:r>
      <w:r w:rsidR="00ED3164" w:rsidRPr="00ED3164">
        <w:rPr>
          <w:rFonts w:eastAsia="Calibri"/>
          <w:iCs/>
          <w:szCs w:val="22"/>
        </w:rPr>
        <w:t>ctual and imminent threat”</w:t>
      </w:r>
      <w:r w:rsidR="008922C9">
        <w:rPr>
          <w:rFonts w:eastAsia="Calibri"/>
          <w:iCs/>
          <w:szCs w:val="22"/>
        </w:rPr>
        <w:t xml:space="preserve"> in 24 CFR 5.2003</w:t>
      </w:r>
      <w:r w:rsidR="00ED3164" w:rsidRPr="00ED3164">
        <w:rPr>
          <w:rFonts w:eastAsia="Calibri"/>
          <w:szCs w:val="22"/>
        </w:rPr>
        <w:t xml:space="preserve">. </w:t>
      </w:r>
      <w:r w:rsidR="00D93B6E">
        <w:rPr>
          <w:rFonts w:eastAsia="Calibri"/>
          <w:szCs w:val="22"/>
        </w:rPr>
        <w:t>24 CFR 5.2005(d)(3).</w:t>
      </w:r>
    </w:p>
    <w:p w:rsidR="00ED3164" w:rsidRPr="00ED3164" w:rsidRDefault="00ED3164" w:rsidP="00C02F09">
      <w:pPr>
        <w:pStyle w:val="NormalWeb"/>
        <w:spacing w:before="0" w:beforeAutospacing="0" w:after="0" w:afterAutospacing="0"/>
        <w:ind w:left="360" w:hanging="360"/>
        <w:rPr>
          <w:rFonts w:eastAsia="Calibri"/>
          <w:szCs w:val="22"/>
        </w:rPr>
      </w:pPr>
    </w:p>
    <w:p w:rsidR="00ED3164" w:rsidRPr="00740ECF" w:rsidRDefault="00ED3164" w:rsidP="00C02F09">
      <w:pPr>
        <w:pStyle w:val="NormalWeb"/>
        <w:tabs>
          <w:tab w:val="left" w:pos="720"/>
        </w:tabs>
        <w:spacing w:before="0" w:beforeAutospacing="0" w:after="0" w:afterAutospacing="0"/>
        <w:ind w:left="720" w:hanging="360"/>
        <w:rPr>
          <w:szCs w:val="22"/>
        </w:rPr>
      </w:pPr>
      <w:r w:rsidRPr="00ED3164">
        <w:rPr>
          <w:rFonts w:eastAsia="Calibri"/>
          <w:szCs w:val="22"/>
        </w:rPr>
        <w:t xml:space="preserve">(b) If an actual and imminent threat is demonstrated, the </w:t>
      </w:r>
      <w:r w:rsidR="00D93B6E">
        <w:rPr>
          <w:rFonts w:eastAsia="Calibri"/>
          <w:szCs w:val="22"/>
        </w:rPr>
        <w:t>L</w:t>
      </w:r>
      <w:r w:rsidRPr="00ED3164">
        <w:rPr>
          <w:rFonts w:eastAsia="Calibri"/>
          <w:szCs w:val="22"/>
        </w:rPr>
        <w:t xml:space="preserve">andlord </w:t>
      </w:r>
      <w:r w:rsidR="006C50C2">
        <w:rPr>
          <w:rFonts w:eastAsia="Calibri"/>
          <w:szCs w:val="22"/>
        </w:rPr>
        <w:t>may</w:t>
      </w:r>
      <w:r w:rsidR="00D93B6E" w:rsidRPr="00ED3164">
        <w:rPr>
          <w:rFonts w:eastAsia="Calibri"/>
          <w:szCs w:val="22"/>
        </w:rPr>
        <w:t xml:space="preserve"> </w:t>
      </w:r>
      <w:r w:rsidRPr="00ED3164">
        <w:rPr>
          <w:rFonts w:eastAsia="Calibri"/>
          <w:szCs w:val="22"/>
        </w:rPr>
        <w:t>utilize eviction or termination of assistance only when there are no other actions that could be taken to reduce or eliminate the threat</w:t>
      </w:r>
      <w:r w:rsidR="00D93B6E">
        <w:rPr>
          <w:rFonts w:eastAsia="Calibri"/>
          <w:szCs w:val="22"/>
        </w:rPr>
        <w:t xml:space="preserve">, </w:t>
      </w:r>
      <w:r w:rsidRPr="00ED3164">
        <w:rPr>
          <w:rFonts w:eastAsia="Calibri"/>
          <w:szCs w:val="22"/>
        </w:rPr>
        <w:t xml:space="preserve"> including, but not limited to, transferring the victim to a different unit; barring the perpetrator from the property; contacting law enforcement to increase police presence; developing other plans to keep the property safe, or seeking other legal remedies to prevent the perpetrator from acting on a threat. </w:t>
      </w:r>
      <w:r w:rsidR="00D93B6E">
        <w:rPr>
          <w:rFonts w:eastAsia="Calibri"/>
          <w:szCs w:val="22"/>
        </w:rPr>
        <w:t>R</w:t>
      </w:r>
      <w:r w:rsidRPr="00ED3164">
        <w:rPr>
          <w:rFonts w:eastAsia="Calibri"/>
          <w:szCs w:val="22"/>
        </w:rPr>
        <w:t>estrictions</w:t>
      </w:r>
      <w:r w:rsidR="00D93B6E">
        <w:rPr>
          <w:rFonts w:eastAsia="Calibri"/>
          <w:szCs w:val="22"/>
        </w:rPr>
        <w:t xml:space="preserve"> predicated</w:t>
      </w:r>
      <w:r w:rsidRPr="00ED3164">
        <w:rPr>
          <w:rFonts w:eastAsia="Calibri"/>
          <w:szCs w:val="22"/>
        </w:rPr>
        <w:t xml:space="preserve"> on public safety </w:t>
      </w:r>
      <w:r w:rsidR="00D93B6E">
        <w:rPr>
          <w:rFonts w:eastAsia="Calibri"/>
          <w:szCs w:val="22"/>
        </w:rPr>
        <w:t xml:space="preserve">shall not be </w:t>
      </w:r>
      <w:r w:rsidRPr="00ED3164">
        <w:rPr>
          <w:rFonts w:eastAsia="Calibri"/>
          <w:szCs w:val="22"/>
        </w:rPr>
        <w:t xml:space="preserve">based on stereotypes, but shall </w:t>
      </w:r>
      <w:r w:rsidR="00D93B6E">
        <w:rPr>
          <w:rFonts w:eastAsia="Calibri"/>
          <w:szCs w:val="22"/>
        </w:rPr>
        <w:t xml:space="preserve">be </w:t>
      </w:r>
      <w:r w:rsidRPr="00ED3164">
        <w:rPr>
          <w:rFonts w:eastAsia="Calibri"/>
          <w:szCs w:val="22"/>
        </w:rPr>
        <w:t>tailor</w:t>
      </w:r>
      <w:r w:rsidR="00D93B6E">
        <w:rPr>
          <w:rFonts w:eastAsia="Calibri"/>
          <w:szCs w:val="22"/>
        </w:rPr>
        <w:t>ed</w:t>
      </w:r>
      <w:r w:rsidRPr="00ED3164">
        <w:rPr>
          <w:rFonts w:eastAsia="Calibri"/>
          <w:szCs w:val="22"/>
        </w:rPr>
        <w:t xml:space="preserve"> to particularized concerns about individual tenants. </w:t>
      </w:r>
      <w:r w:rsidR="00210A44">
        <w:rPr>
          <w:rFonts w:eastAsia="Calibri"/>
          <w:szCs w:val="22"/>
        </w:rPr>
        <w:t>24 CFR 5.2005(d)(3), (4).</w:t>
      </w:r>
    </w:p>
    <w:p w:rsidR="00ED3164" w:rsidRPr="00740ECF" w:rsidRDefault="00ED3164" w:rsidP="00C02F09">
      <w:pPr>
        <w:ind w:left="360" w:hanging="360"/>
      </w:pPr>
    </w:p>
    <w:p w:rsidR="00C57EC1" w:rsidRDefault="00C57EC1" w:rsidP="00C02F09">
      <w:pPr>
        <w:pStyle w:val="ListParagraph"/>
        <w:ind w:left="360" w:hanging="360"/>
      </w:pPr>
      <w:r>
        <w:t>10.</w:t>
      </w:r>
      <w:r w:rsidR="003C730C">
        <w:t xml:space="preserve"> </w:t>
      </w:r>
      <w:r w:rsidR="00ED3164" w:rsidRPr="00740ECF">
        <w:t xml:space="preserve">A </w:t>
      </w:r>
      <w:r w:rsidR="00D93B6E">
        <w:t>T</w:t>
      </w:r>
      <w:r w:rsidR="00ED3164" w:rsidRPr="00740ECF">
        <w:t xml:space="preserve">enant who is a victim of domestic violence, dating violence, sexual assault, or stalking may qualify for an emergency transfer </w:t>
      </w:r>
      <w:r w:rsidR="003C730C">
        <w:t>in accordance with the Landlord’s emergency transfer plan.</w:t>
      </w:r>
      <w:r w:rsidR="007F094D">
        <w:t xml:space="preserve"> 24 CFR 5.2005(e).</w:t>
      </w:r>
    </w:p>
    <w:p w:rsidR="00C57EC1" w:rsidRDefault="00C57EC1" w:rsidP="00C02F09">
      <w:pPr>
        <w:ind w:left="360" w:hanging="360"/>
        <w:rPr>
          <w:szCs w:val="22"/>
        </w:rPr>
      </w:pPr>
    </w:p>
    <w:p w:rsidR="00C57EC1" w:rsidRDefault="00C57EC1" w:rsidP="00C02F09">
      <w:pPr>
        <w:ind w:left="360" w:hanging="360"/>
        <w:rPr>
          <w:szCs w:val="22"/>
        </w:rPr>
      </w:pPr>
      <w:r>
        <w:rPr>
          <w:szCs w:val="22"/>
        </w:rPr>
        <w:t xml:space="preserve">11. </w:t>
      </w:r>
      <w:r w:rsidR="009D3CE9">
        <w:rPr>
          <w:szCs w:val="22"/>
        </w:rPr>
        <w:t>The L</w:t>
      </w:r>
      <w:r w:rsidR="00ED3164" w:rsidRPr="00740ECF">
        <w:rPr>
          <w:szCs w:val="22"/>
        </w:rPr>
        <w:t>andlord may “bifurcate”</w:t>
      </w:r>
      <w:r w:rsidR="009D3CE9">
        <w:rPr>
          <w:szCs w:val="22"/>
        </w:rPr>
        <w:t xml:space="preserve"> the Lease </w:t>
      </w:r>
      <w:r w:rsidR="003A25A4">
        <w:rPr>
          <w:szCs w:val="22"/>
        </w:rPr>
        <w:t xml:space="preserve">or </w:t>
      </w:r>
      <w:r w:rsidR="003A25A4" w:rsidRPr="00740ECF">
        <w:rPr>
          <w:szCs w:val="22"/>
        </w:rPr>
        <w:t>remove</w:t>
      </w:r>
      <w:r w:rsidR="00ED3164" w:rsidRPr="00740ECF">
        <w:rPr>
          <w:szCs w:val="22"/>
        </w:rPr>
        <w:t xml:space="preserve"> a household member from </w:t>
      </w:r>
      <w:r w:rsidR="009D3CE9">
        <w:rPr>
          <w:szCs w:val="22"/>
        </w:rPr>
        <w:t xml:space="preserve">the Lease in order </w:t>
      </w:r>
      <w:r w:rsidR="003A25A4">
        <w:rPr>
          <w:szCs w:val="22"/>
        </w:rPr>
        <w:t>to,</w:t>
      </w:r>
      <w:r w:rsidR="00ED3164" w:rsidRPr="00740ECF">
        <w:rPr>
          <w:szCs w:val="22"/>
        </w:rPr>
        <w:t xml:space="preserve"> evict, remove, terminate occupancy rights, or terminate assistance </w:t>
      </w:r>
      <w:r w:rsidR="009D3CE9">
        <w:rPr>
          <w:szCs w:val="22"/>
        </w:rPr>
        <w:t xml:space="preserve">for any household </w:t>
      </w:r>
      <w:r w:rsidR="003A25A4">
        <w:rPr>
          <w:szCs w:val="22"/>
        </w:rPr>
        <w:t xml:space="preserve">member </w:t>
      </w:r>
      <w:r w:rsidR="003A25A4" w:rsidRPr="00740ECF">
        <w:rPr>
          <w:szCs w:val="22"/>
        </w:rPr>
        <w:t>who</w:t>
      </w:r>
      <w:r w:rsidR="00ED3164" w:rsidRPr="00740ECF">
        <w:rPr>
          <w:szCs w:val="22"/>
        </w:rPr>
        <w:t xml:space="preserve"> engages in criminal act</w:t>
      </w:r>
      <w:r w:rsidR="009D3CE9">
        <w:rPr>
          <w:szCs w:val="22"/>
        </w:rPr>
        <w:t xml:space="preserve">ivity directly related to domestic violence, dating violence, sexual assault, or stalking against an Affiliated Individual or other individual. </w:t>
      </w:r>
      <w:r w:rsidR="00ED3164" w:rsidRPr="00740ECF">
        <w:rPr>
          <w:szCs w:val="22"/>
        </w:rPr>
        <w:t xml:space="preserve"> The </w:t>
      </w:r>
      <w:r w:rsidR="009D3CE9">
        <w:rPr>
          <w:szCs w:val="22"/>
        </w:rPr>
        <w:t>L</w:t>
      </w:r>
      <w:r w:rsidR="00ED3164" w:rsidRPr="00740ECF">
        <w:rPr>
          <w:szCs w:val="22"/>
        </w:rPr>
        <w:t xml:space="preserve">andlord shall take this action without evicting, removing, terminating assistance to, or otherwise penalizing the </w:t>
      </w:r>
      <w:r w:rsidR="00ED3164" w:rsidRPr="00ED3164">
        <w:rPr>
          <w:rFonts w:eastAsia="Calibri"/>
          <w:szCs w:val="22"/>
        </w:rPr>
        <w:t>victim</w:t>
      </w:r>
      <w:r w:rsidR="00ED3164" w:rsidRPr="00740ECF">
        <w:rPr>
          <w:szCs w:val="22"/>
        </w:rPr>
        <w:t xml:space="preserve"> of </w:t>
      </w:r>
      <w:r w:rsidR="00D83952">
        <w:rPr>
          <w:szCs w:val="22"/>
        </w:rPr>
        <w:t>domestic violence, dating violence, sexual assault, or stalking</w:t>
      </w:r>
      <w:r w:rsidR="009D3CE9">
        <w:rPr>
          <w:szCs w:val="22"/>
        </w:rPr>
        <w:t xml:space="preserve"> </w:t>
      </w:r>
      <w:r w:rsidR="00ED3164" w:rsidRPr="00740ECF">
        <w:rPr>
          <w:szCs w:val="22"/>
        </w:rPr>
        <w:t xml:space="preserve">who is also a tenant or lawful occupant.  The </w:t>
      </w:r>
      <w:r w:rsidR="009D3CE9">
        <w:rPr>
          <w:szCs w:val="22"/>
        </w:rPr>
        <w:t>L</w:t>
      </w:r>
      <w:r w:rsidR="00ED3164" w:rsidRPr="00740ECF">
        <w:rPr>
          <w:szCs w:val="22"/>
        </w:rPr>
        <w:t>andlord shall undertake</w:t>
      </w:r>
      <w:r w:rsidR="009D3CE9">
        <w:rPr>
          <w:szCs w:val="22"/>
        </w:rPr>
        <w:t xml:space="preserve"> this action</w:t>
      </w:r>
      <w:r w:rsidR="00ED3164" w:rsidRPr="00740ECF">
        <w:rPr>
          <w:szCs w:val="22"/>
        </w:rPr>
        <w:t xml:space="preserve"> in accordance with the </w:t>
      </w:r>
      <w:r w:rsidR="009D3CE9">
        <w:rPr>
          <w:szCs w:val="22"/>
        </w:rPr>
        <w:t xml:space="preserve">requirements or </w:t>
      </w:r>
      <w:r w:rsidR="00ED3164" w:rsidRPr="00740ECF">
        <w:rPr>
          <w:szCs w:val="22"/>
        </w:rPr>
        <w:t xml:space="preserve">procedures prescribed by Federal, State, and local law for the termination of leases or assistance </w:t>
      </w:r>
      <w:r w:rsidR="009D3CE9">
        <w:rPr>
          <w:szCs w:val="22"/>
        </w:rPr>
        <w:t xml:space="preserve">and in accordance with any requirements under </w:t>
      </w:r>
      <w:r w:rsidR="00ED3164" w:rsidRPr="00740ECF">
        <w:rPr>
          <w:szCs w:val="22"/>
        </w:rPr>
        <w:t>the applicable assisted housing program</w:t>
      </w:r>
      <w:r>
        <w:rPr>
          <w:szCs w:val="22"/>
        </w:rPr>
        <w:t>.</w:t>
      </w:r>
      <w:r w:rsidR="009D3CE9">
        <w:rPr>
          <w:szCs w:val="22"/>
        </w:rPr>
        <w:t xml:space="preserve"> 24 CFR 5.2009(a)(2).</w:t>
      </w:r>
    </w:p>
    <w:p w:rsidR="009D3CE9" w:rsidRPr="00C57EC1" w:rsidRDefault="009D3CE9" w:rsidP="00C02F09">
      <w:pPr>
        <w:ind w:left="360" w:hanging="360"/>
      </w:pPr>
    </w:p>
    <w:p w:rsidR="00ED3164" w:rsidRPr="00740ECF" w:rsidRDefault="00C57EC1" w:rsidP="00C02F09">
      <w:pPr>
        <w:pStyle w:val="ListParagraph"/>
        <w:ind w:left="360" w:hanging="360"/>
        <w:rPr>
          <w:szCs w:val="22"/>
        </w:rPr>
      </w:pPr>
      <w:r>
        <w:rPr>
          <w:szCs w:val="22"/>
        </w:rPr>
        <w:t>12</w:t>
      </w:r>
      <w:r w:rsidR="003A25A4">
        <w:rPr>
          <w:szCs w:val="22"/>
        </w:rPr>
        <w:t>.</w:t>
      </w:r>
      <w:r>
        <w:rPr>
          <w:szCs w:val="22"/>
        </w:rPr>
        <w:t xml:space="preserve"> </w:t>
      </w:r>
      <w:r w:rsidR="00ED3164" w:rsidRPr="00740ECF">
        <w:rPr>
          <w:szCs w:val="22"/>
        </w:rPr>
        <w:t xml:space="preserve">Nothing in this Addendum shall be construed to waive any provision of any Federal, State, or local law that provides greater protection than this </w:t>
      </w:r>
      <w:r w:rsidR="00D83952">
        <w:rPr>
          <w:szCs w:val="22"/>
        </w:rPr>
        <w:t>L</w:t>
      </w:r>
      <w:r w:rsidR="00D83952" w:rsidRPr="00740ECF">
        <w:rPr>
          <w:szCs w:val="22"/>
        </w:rPr>
        <w:t xml:space="preserve">ease </w:t>
      </w:r>
      <w:r w:rsidR="00D83952">
        <w:rPr>
          <w:szCs w:val="22"/>
        </w:rPr>
        <w:t>A</w:t>
      </w:r>
      <w:r w:rsidR="00D83952" w:rsidRPr="00740ECF">
        <w:rPr>
          <w:szCs w:val="22"/>
        </w:rPr>
        <w:t xml:space="preserve">ddendum </w:t>
      </w:r>
      <w:r w:rsidR="00ED3164" w:rsidRPr="00740ECF">
        <w:rPr>
          <w:szCs w:val="22"/>
        </w:rPr>
        <w:t xml:space="preserve">for </w:t>
      </w:r>
      <w:r w:rsidR="00ED3164" w:rsidRPr="00ED3164">
        <w:rPr>
          <w:rFonts w:eastAsia="Calibri"/>
          <w:szCs w:val="22"/>
        </w:rPr>
        <w:t>victims</w:t>
      </w:r>
      <w:r w:rsidR="00ED3164" w:rsidRPr="00740ECF">
        <w:rPr>
          <w:szCs w:val="22"/>
        </w:rPr>
        <w:t xml:space="preserve"> of domestic violence, dating violence, sexual assault, or stalking.</w:t>
      </w:r>
      <w:r w:rsidR="009D3CE9">
        <w:rPr>
          <w:szCs w:val="22"/>
        </w:rPr>
        <w:t xml:space="preserve"> 24 CFR 5.2011.</w:t>
      </w:r>
    </w:p>
    <w:p w:rsidR="00ED3164" w:rsidRPr="00740ECF" w:rsidRDefault="00ED3164" w:rsidP="00C02F09">
      <w:pPr>
        <w:pStyle w:val="ListParagraph"/>
        <w:ind w:left="360" w:hanging="360"/>
        <w:rPr>
          <w:szCs w:val="22"/>
        </w:rPr>
      </w:pPr>
    </w:p>
    <w:p w:rsidR="00ED3164" w:rsidRPr="00740ECF" w:rsidRDefault="00C57EC1" w:rsidP="00C02F09">
      <w:pPr>
        <w:pStyle w:val="ListParagraph"/>
        <w:ind w:hanging="720"/>
        <w:rPr>
          <w:szCs w:val="22"/>
        </w:rPr>
      </w:pPr>
      <w:r>
        <w:rPr>
          <w:szCs w:val="22"/>
        </w:rPr>
        <w:t>13.</w:t>
      </w:r>
      <w:r w:rsidR="003A25A4">
        <w:rPr>
          <w:szCs w:val="22"/>
        </w:rPr>
        <w:t xml:space="preserve"> </w:t>
      </w:r>
      <w:r>
        <w:rPr>
          <w:szCs w:val="22"/>
        </w:rPr>
        <w:t xml:space="preserve">(a) </w:t>
      </w:r>
      <w:r w:rsidR="00ED3164" w:rsidRPr="00740ECF">
        <w:rPr>
          <w:szCs w:val="22"/>
        </w:rPr>
        <w:t xml:space="preserve">The </w:t>
      </w:r>
      <w:r w:rsidR="00CF6A62">
        <w:rPr>
          <w:szCs w:val="22"/>
        </w:rPr>
        <w:t>L</w:t>
      </w:r>
      <w:r w:rsidR="00ED3164" w:rsidRPr="00740ECF">
        <w:rPr>
          <w:szCs w:val="22"/>
        </w:rPr>
        <w:t xml:space="preserve">andlord shall maintain in strict confidence </w:t>
      </w:r>
      <w:r w:rsidR="00CF6A62">
        <w:rPr>
          <w:szCs w:val="22"/>
        </w:rPr>
        <w:t>a</w:t>
      </w:r>
      <w:r w:rsidR="00ED3164" w:rsidRPr="00740ECF">
        <w:rPr>
          <w:szCs w:val="22"/>
        </w:rPr>
        <w:t>ny information</w:t>
      </w:r>
      <w:r w:rsidR="00CF6A62">
        <w:rPr>
          <w:szCs w:val="22"/>
        </w:rPr>
        <w:t xml:space="preserve"> the Tenant (or someone acting on behalf of the Tenant)</w:t>
      </w:r>
      <w:r w:rsidR="00ED3164" w:rsidRPr="00740ECF">
        <w:rPr>
          <w:szCs w:val="22"/>
        </w:rPr>
        <w:t xml:space="preserve"> submit</w:t>
      </w:r>
      <w:r w:rsidR="00CF6A62">
        <w:rPr>
          <w:szCs w:val="22"/>
        </w:rPr>
        <w:t>s</w:t>
      </w:r>
      <w:r w:rsidR="00ED3164" w:rsidRPr="00740ECF">
        <w:rPr>
          <w:szCs w:val="22"/>
        </w:rPr>
        <w:t xml:space="preserve"> </w:t>
      </w:r>
      <w:r w:rsidR="00CF6A62">
        <w:rPr>
          <w:szCs w:val="22"/>
        </w:rPr>
        <w:t xml:space="preserve">to the Landlord concerning incidents of domestic violence, dating violence, sexual assault or </w:t>
      </w:r>
      <w:r w:rsidR="003A25A4">
        <w:rPr>
          <w:szCs w:val="22"/>
        </w:rPr>
        <w:t xml:space="preserve">stalking, </w:t>
      </w:r>
      <w:r w:rsidR="003A25A4" w:rsidRPr="00740ECF">
        <w:rPr>
          <w:szCs w:val="22"/>
        </w:rPr>
        <w:t>including</w:t>
      </w:r>
      <w:r w:rsidR="00ED3164" w:rsidRPr="00740ECF">
        <w:rPr>
          <w:szCs w:val="22"/>
        </w:rPr>
        <w:t xml:space="preserve"> the fact that the tenant is a victim of domestic violence, dating violence, sexual assault, or stalking. </w:t>
      </w:r>
    </w:p>
    <w:p w:rsidR="00ED3164" w:rsidRPr="00740ECF" w:rsidRDefault="00ED3164" w:rsidP="00C02F09">
      <w:pPr>
        <w:pStyle w:val="ListParagraph"/>
        <w:ind w:left="360" w:hanging="360"/>
        <w:rPr>
          <w:szCs w:val="22"/>
        </w:rPr>
      </w:pPr>
    </w:p>
    <w:p w:rsidR="00ED3164" w:rsidRPr="00740ECF" w:rsidRDefault="00ED3164" w:rsidP="006D6048">
      <w:pPr>
        <w:pStyle w:val="ListParagraph"/>
        <w:ind w:hanging="360"/>
        <w:rPr>
          <w:spacing w:val="-2"/>
          <w:szCs w:val="22"/>
        </w:rPr>
      </w:pPr>
      <w:r w:rsidRPr="00740ECF">
        <w:rPr>
          <w:szCs w:val="22"/>
        </w:rPr>
        <w:lastRenderedPageBreak/>
        <w:t>(b)</w:t>
      </w:r>
      <w:r w:rsidR="003A25A4">
        <w:rPr>
          <w:szCs w:val="22"/>
        </w:rPr>
        <w:t xml:space="preserve"> </w:t>
      </w:r>
      <w:r w:rsidRPr="00740ECF">
        <w:rPr>
          <w:spacing w:val="-2"/>
          <w:szCs w:val="22"/>
        </w:rPr>
        <w:t xml:space="preserve">The </w:t>
      </w:r>
      <w:r w:rsidR="00CF6A62">
        <w:rPr>
          <w:spacing w:val="-2"/>
          <w:szCs w:val="22"/>
        </w:rPr>
        <w:t>L</w:t>
      </w:r>
      <w:r w:rsidRPr="00740ECF">
        <w:rPr>
          <w:spacing w:val="-2"/>
          <w:szCs w:val="22"/>
        </w:rPr>
        <w:t xml:space="preserve">andlord shall not allow any individual administering assistance on its behalf, or any persons within its employ, to have access to confidential information unless explicitly authorized by the </w:t>
      </w:r>
      <w:r w:rsidR="00D83952">
        <w:rPr>
          <w:spacing w:val="-2"/>
          <w:szCs w:val="22"/>
        </w:rPr>
        <w:t>L</w:t>
      </w:r>
      <w:r w:rsidR="00D83952" w:rsidRPr="00740ECF">
        <w:rPr>
          <w:spacing w:val="-2"/>
          <w:szCs w:val="22"/>
        </w:rPr>
        <w:t xml:space="preserve">andlord </w:t>
      </w:r>
      <w:r w:rsidRPr="00740ECF">
        <w:rPr>
          <w:spacing w:val="-2"/>
          <w:szCs w:val="22"/>
        </w:rPr>
        <w:t>for reasons that specifically call for these individuals to have access to the information pursuant to applicable Federal, State, or local law.</w:t>
      </w:r>
    </w:p>
    <w:p w:rsidR="00ED3164" w:rsidRPr="00740ECF" w:rsidRDefault="00ED3164" w:rsidP="006D6048">
      <w:pPr>
        <w:pStyle w:val="ListParagraph"/>
        <w:ind w:hanging="360"/>
        <w:rPr>
          <w:spacing w:val="-2"/>
          <w:szCs w:val="22"/>
        </w:rPr>
      </w:pPr>
    </w:p>
    <w:p w:rsidR="00ED3164" w:rsidRPr="00740ECF" w:rsidRDefault="00ED3164" w:rsidP="006D6048">
      <w:pPr>
        <w:pStyle w:val="ListParagraph"/>
        <w:ind w:hanging="360"/>
        <w:rPr>
          <w:szCs w:val="22"/>
        </w:rPr>
      </w:pPr>
      <w:r w:rsidRPr="00740ECF">
        <w:rPr>
          <w:szCs w:val="22"/>
        </w:rPr>
        <w:t xml:space="preserve">(c) </w:t>
      </w:r>
      <w:r w:rsidR="003A25A4">
        <w:rPr>
          <w:szCs w:val="22"/>
        </w:rPr>
        <w:t xml:space="preserve"> </w:t>
      </w:r>
      <w:r w:rsidRPr="00740ECF">
        <w:rPr>
          <w:szCs w:val="22"/>
        </w:rPr>
        <w:t xml:space="preserve">The </w:t>
      </w:r>
      <w:r w:rsidR="00CF6A62">
        <w:rPr>
          <w:szCs w:val="22"/>
        </w:rPr>
        <w:t>L</w:t>
      </w:r>
      <w:r w:rsidRPr="00740ECF">
        <w:rPr>
          <w:szCs w:val="22"/>
        </w:rPr>
        <w:t xml:space="preserve">andlord shall not enter confidential information into any shared database or disclose such information to any other entity or individual, except to the extent that the disclosure is requested or consented to in writing by the individual in a time-limited release or is </w:t>
      </w:r>
      <w:r w:rsidRPr="00740ECF">
        <w:rPr>
          <w:spacing w:val="-1"/>
          <w:szCs w:val="22"/>
        </w:rPr>
        <w:t>required by applicable law.</w:t>
      </w:r>
    </w:p>
    <w:p w:rsidR="00ED3164" w:rsidRDefault="00ED3164" w:rsidP="00ED3164">
      <w:pPr>
        <w:tabs>
          <w:tab w:val="left" w:pos="-1440"/>
          <w:tab w:val="left" w:pos="-720"/>
          <w:tab w:val="left" w:pos="0"/>
          <w:tab w:val="left" w:pos="360"/>
          <w:tab w:val="left" w:pos="720"/>
          <w:tab w:val="left" w:pos="1440"/>
        </w:tabs>
        <w:suppressAutoHyphens/>
        <w:ind w:left="1080" w:right="720"/>
        <w:rPr>
          <w:smallCaps/>
        </w:rPr>
      </w:pPr>
    </w:p>
    <w:p w:rsidR="00ED3164" w:rsidRDefault="00ED3164" w:rsidP="00ED3164">
      <w:pPr>
        <w:tabs>
          <w:tab w:val="left" w:pos="-1440"/>
          <w:tab w:val="left" w:pos="-720"/>
          <w:tab w:val="left" w:pos="0"/>
          <w:tab w:val="left" w:pos="360"/>
          <w:tab w:val="left" w:pos="720"/>
          <w:tab w:val="left" w:pos="1440"/>
        </w:tabs>
        <w:suppressAutoHyphens/>
        <w:ind w:left="1080" w:right="720"/>
        <w:rPr>
          <w:smallCaps/>
        </w:rPr>
      </w:pPr>
    </w:p>
    <w:p w:rsidR="00ED3164" w:rsidRDefault="00ED3164" w:rsidP="00ED3164">
      <w:pPr>
        <w:tabs>
          <w:tab w:val="left" w:pos="-1440"/>
          <w:tab w:val="left" w:pos="-720"/>
          <w:tab w:val="left" w:pos="0"/>
          <w:tab w:val="left" w:pos="360"/>
          <w:tab w:val="left" w:pos="720"/>
          <w:tab w:val="left" w:pos="1440"/>
          <w:tab w:val="left" w:pos="1800"/>
        </w:tabs>
        <w:suppressAutoHyphens/>
        <w:ind w:right="720"/>
      </w:pPr>
      <w:r>
        <w:tab/>
        <w:t>_________________________________________</w:t>
      </w:r>
      <w:r>
        <w:tab/>
      </w:r>
      <w:r>
        <w:tab/>
        <w:t>__________________</w:t>
      </w:r>
    </w:p>
    <w:p w:rsidR="00ED3164" w:rsidRDefault="00ED3164" w:rsidP="00ED3164">
      <w:pPr>
        <w:tabs>
          <w:tab w:val="left" w:pos="-1440"/>
          <w:tab w:val="left" w:pos="-720"/>
          <w:tab w:val="left" w:pos="0"/>
          <w:tab w:val="left" w:pos="360"/>
          <w:tab w:val="left" w:pos="720"/>
          <w:tab w:val="left" w:pos="1440"/>
          <w:tab w:val="left" w:pos="1800"/>
        </w:tabs>
        <w:suppressAutoHyphens/>
        <w:ind w:right="720"/>
      </w:pPr>
      <w:r>
        <w:tab/>
        <w:t>Tenant</w:t>
      </w:r>
      <w:r>
        <w:tab/>
      </w:r>
      <w:r>
        <w:tab/>
      </w:r>
      <w:r>
        <w:tab/>
      </w:r>
      <w:r>
        <w:tab/>
      </w:r>
      <w:r>
        <w:tab/>
      </w:r>
      <w:r>
        <w:tab/>
      </w:r>
      <w:r>
        <w:tab/>
      </w:r>
      <w:r>
        <w:tab/>
      </w:r>
      <w:r>
        <w:tab/>
        <w:t>Date</w:t>
      </w:r>
      <w:r>
        <w:tab/>
      </w:r>
    </w:p>
    <w:p w:rsidR="00ED3164" w:rsidRDefault="00ED3164" w:rsidP="00ED3164">
      <w:pPr>
        <w:tabs>
          <w:tab w:val="left" w:pos="-1440"/>
          <w:tab w:val="left" w:pos="-720"/>
          <w:tab w:val="left" w:pos="0"/>
          <w:tab w:val="left" w:pos="360"/>
          <w:tab w:val="left" w:pos="720"/>
          <w:tab w:val="left" w:pos="1440"/>
          <w:tab w:val="left" w:pos="1800"/>
        </w:tabs>
        <w:suppressAutoHyphens/>
        <w:ind w:right="720"/>
      </w:pPr>
    </w:p>
    <w:p w:rsidR="00ED3164" w:rsidRDefault="00ED3164" w:rsidP="00ED3164">
      <w:pPr>
        <w:tabs>
          <w:tab w:val="left" w:pos="-1440"/>
          <w:tab w:val="left" w:pos="-720"/>
          <w:tab w:val="left" w:pos="0"/>
          <w:tab w:val="left" w:pos="360"/>
          <w:tab w:val="left" w:pos="720"/>
          <w:tab w:val="left" w:pos="1440"/>
          <w:tab w:val="left" w:pos="1800"/>
        </w:tabs>
        <w:suppressAutoHyphens/>
        <w:ind w:right="720"/>
      </w:pPr>
      <w:r>
        <w:tab/>
        <w:t>____________________________________</w:t>
      </w:r>
      <w:r>
        <w:softHyphen/>
        <w:t>_____</w:t>
      </w:r>
      <w:r>
        <w:tab/>
      </w:r>
      <w:r>
        <w:tab/>
        <w:t>__________________</w:t>
      </w:r>
      <w:r>
        <w:tab/>
        <w:t>Landlord</w:t>
      </w:r>
      <w:r>
        <w:tab/>
      </w:r>
      <w:r>
        <w:tab/>
      </w:r>
      <w:r>
        <w:tab/>
      </w:r>
      <w:r>
        <w:tab/>
      </w:r>
      <w:r>
        <w:tab/>
      </w:r>
      <w:r>
        <w:tab/>
      </w:r>
      <w:r>
        <w:tab/>
      </w:r>
      <w:r>
        <w:tab/>
      </w:r>
      <w:r>
        <w:tab/>
        <w:t>Date</w:t>
      </w:r>
      <w:r>
        <w:tab/>
      </w:r>
    </w:p>
    <w:p w:rsidR="00ED3164" w:rsidRDefault="00ED3164" w:rsidP="00ED3164">
      <w:pPr>
        <w:tabs>
          <w:tab w:val="left" w:pos="-1440"/>
          <w:tab w:val="left" w:pos="-720"/>
          <w:tab w:val="left" w:pos="0"/>
          <w:tab w:val="left" w:pos="360"/>
          <w:tab w:val="left" w:pos="720"/>
          <w:tab w:val="left" w:pos="1440"/>
        </w:tabs>
        <w:suppressAutoHyphens/>
        <w:ind w:right="720"/>
        <w:rPr>
          <w:smallCaps/>
          <w:szCs w:val="22"/>
        </w:rPr>
      </w:pPr>
    </w:p>
    <w:p w:rsidR="00ED3164" w:rsidRDefault="00ED3164" w:rsidP="00ED3164">
      <w:pPr>
        <w:tabs>
          <w:tab w:val="left" w:pos="-1440"/>
          <w:tab w:val="left" w:pos="-720"/>
          <w:tab w:val="left" w:pos="0"/>
          <w:tab w:val="left" w:pos="360"/>
          <w:tab w:val="left" w:pos="720"/>
          <w:tab w:val="left" w:pos="1440"/>
        </w:tabs>
        <w:suppressAutoHyphens/>
        <w:ind w:right="720"/>
        <w:rPr>
          <w:smallCaps/>
          <w:szCs w:val="22"/>
        </w:rPr>
      </w:pPr>
    </w:p>
    <w:bookmarkEnd w:id="1"/>
    <w:bookmarkEnd w:id="2"/>
    <w:p w:rsidR="00ED3164" w:rsidRPr="00740ECF" w:rsidRDefault="00ED3164" w:rsidP="00ED3164">
      <w:pPr>
        <w:tabs>
          <w:tab w:val="left" w:pos="-1440"/>
          <w:tab w:val="left" w:pos="-720"/>
          <w:tab w:val="left" w:pos="0"/>
          <w:tab w:val="left" w:pos="360"/>
          <w:tab w:val="left" w:pos="720"/>
          <w:tab w:val="left" w:pos="1440"/>
          <w:tab w:val="left" w:pos="1800"/>
        </w:tabs>
        <w:suppressAutoHyphens/>
        <w:ind w:right="720"/>
        <w:rPr>
          <w:szCs w:val="22"/>
        </w:rPr>
      </w:pPr>
    </w:p>
    <w:p w:rsidR="00D453C8" w:rsidRDefault="00D453C8" w:rsidP="008C311B">
      <w:pPr>
        <w:tabs>
          <w:tab w:val="left" w:pos="-1440"/>
          <w:tab w:val="left" w:pos="-720"/>
          <w:tab w:val="left" w:pos="0"/>
          <w:tab w:val="left" w:pos="360"/>
          <w:tab w:val="left" w:pos="720"/>
          <w:tab w:val="left" w:pos="1440"/>
          <w:tab w:val="left" w:pos="1800"/>
        </w:tabs>
        <w:suppressAutoHyphens/>
      </w:pPr>
    </w:p>
    <w:sectPr w:rsidR="00D453C8" w:rsidSect="00A17D66">
      <w:headerReference w:type="first" r:id="rId13"/>
      <w:footerReference w:type="first" r:id="rId14"/>
      <w:type w:val="continuous"/>
      <w:pgSz w:w="12240" w:h="15840"/>
      <w:pgMar w:top="1440" w:right="1440" w:bottom="1440" w:left="1440" w:header="54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4D32" w:rsidRDefault="00724D32">
      <w:r>
        <w:separator/>
      </w:r>
    </w:p>
  </w:endnote>
  <w:endnote w:type="continuationSeparator" w:id="0">
    <w:p w:rsidR="00724D32" w:rsidRDefault="00724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14C" w:rsidRDefault="00BF41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72B0" w:rsidRDefault="00FF72B0" w:rsidP="00FF72B0">
    <w:pPr>
      <w:pStyle w:val="Footer"/>
      <w:jc w:val="right"/>
    </w:pPr>
    <w:r>
      <w:t xml:space="preserve">      Form HUD-91067</w:t>
    </w:r>
  </w:p>
  <w:p w:rsidR="00FF72B0" w:rsidRDefault="00FF72B0" w:rsidP="00FF72B0">
    <w:pPr>
      <w:pStyle w:val="Footer"/>
      <w:jc w:val="right"/>
    </w:pPr>
    <w:r>
      <w:tab/>
    </w:r>
    <w:r>
      <w:tab/>
      <w:t>(</w:t>
    </w:r>
    <w:r>
      <w:t>mm/dd/yyyy</w:t>
    </w:r>
    <w:r>
      <w:t>)</w:t>
    </w:r>
  </w:p>
  <w:p w:rsidR="00FF72B0" w:rsidRDefault="00FF72B0" w:rsidP="00FF72B0">
    <w:pPr>
      <w:pStyle w:val="Footer"/>
      <w:jc w:val="center"/>
    </w:pPr>
  </w:p>
  <w:p w:rsidR="00A17D66" w:rsidRDefault="00A17D66" w:rsidP="00FF72B0">
    <w:pPr>
      <w:pStyle w:val="Footer"/>
      <w:jc w:val="center"/>
    </w:pPr>
    <w:r>
      <w:fldChar w:fldCharType="begin"/>
    </w:r>
    <w:r>
      <w:instrText xml:space="preserve"> PAGE   \* MERGEFORMAT </w:instrText>
    </w:r>
    <w:r>
      <w:fldChar w:fldCharType="separate"/>
    </w:r>
    <w:r w:rsidR="00FB1D01">
      <w:rPr>
        <w:noProof/>
      </w:rPr>
      <w:t>4</w:t>
    </w:r>
    <w:r>
      <w:rPr>
        <w:noProof/>
      </w:rPr>
      <w:fldChar w:fldCharType="end"/>
    </w:r>
  </w:p>
  <w:p w:rsidR="00F52893" w:rsidRDefault="00F52893">
    <w:pPr>
      <w:pStyle w:val="Footer"/>
      <w:ind w:right="360"/>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1BA3" w:rsidRPr="008D1BA3" w:rsidRDefault="008D1BA3" w:rsidP="00A17D66">
    <w:pPr>
      <w:pStyle w:val="Footer"/>
      <w:rPr>
        <w:b/>
        <w:sz w:val="20"/>
        <w:szCs w:val="20"/>
      </w:rPr>
    </w:pPr>
    <w:r>
      <w:tab/>
    </w: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893" w:rsidRDefault="00F52893" w:rsidP="007E32A9">
    <w:pPr>
      <w:pStyle w:val="Footer"/>
      <w:framePr w:wrap="around" w:vAnchor="text" w:hAnchor="margin" w:xAlign="center" w:y="1"/>
      <w:rPr>
        <w:rStyle w:val="PageNumber"/>
      </w:rPr>
    </w:pPr>
  </w:p>
  <w:p w:rsidR="00F52893" w:rsidRDefault="00F52893" w:rsidP="00E128CE">
    <w:pPr>
      <w:pStyle w:val="Footer"/>
      <w:jc w:val="right"/>
      <w:rPr>
        <w:b/>
        <w:sz w:val="20"/>
        <w:szCs w:val="20"/>
      </w:rPr>
    </w:pPr>
    <w:r w:rsidRPr="00E128CE">
      <w:rPr>
        <w:sz w:val="20"/>
        <w:szCs w:val="20"/>
      </w:rPr>
      <w:t xml:space="preserve">Form </w:t>
    </w:r>
    <w:r w:rsidRPr="00E128CE">
      <w:rPr>
        <w:b/>
        <w:sz w:val="20"/>
        <w:szCs w:val="20"/>
      </w:rPr>
      <w:t>HUD-9006</w:t>
    </w:r>
    <w:r>
      <w:rPr>
        <w:b/>
        <w:sz w:val="20"/>
        <w:szCs w:val="20"/>
      </w:rPr>
      <w:t>7</w:t>
    </w:r>
  </w:p>
  <w:p w:rsidR="007C0DF5" w:rsidRPr="00E128CE" w:rsidRDefault="007C0DF5" w:rsidP="00E128CE">
    <w:pPr>
      <w:pStyle w:val="Footer"/>
      <w:jc w:val="right"/>
      <w:rPr>
        <w:sz w:val="20"/>
        <w:szCs w:val="20"/>
      </w:rPr>
    </w:pPr>
    <w:r>
      <w:rPr>
        <w:b/>
        <w:sz w:val="20"/>
        <w:szCs w:val="20"/>
      </w:rPr>
      <w:t>(09/2008)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4D32" w:rsidRDefault="00724D32">
      <w:r>
        <w:separator/>
      </w:r>
    </w:p>
  </w:footnote>
  <w:footnote w:type="continuationSeparator" w:id="0">
    <w:p w:rsidR="00724D32" w:rsidRDefault="00724D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14C" w:rsidRDefault="00BF41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14C" w:rsidRDefault="00BF41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3288"/>
      <w:gridCol w:w="2823"/>
      <w:gridCol w:w="3249"/>
    </w:tblGrid>
    <w:tr w:rsidR="00DE0057" w:rsidRPr="00A17D66" w:rsidTr="00A17D66">
      <w:tc>
        <w:tcPr>
          <w:tcW w:w="3348" w:type="dxa"/>
          <w:shd w:val="clear" w:color="auto" w:fill="auto"/>
        </w:tcPr>
        <w:p w:rsidR="00A17D66" w:rsidRPr="00A17D66" w:rsidRDefault="008C311B" w:rsidP="008E5775">
          <w:pPr>
            <w:pStyle w:val="Header"/>
            <w:rPr>
              <w:b/>
              <w:sz w:val="22"/>
              <w:szCs w:val="22"/>
            </w:rPr>
          </w:pPr>
          <w:r>
            <w:rPr>
              <w:b/>
              <w:sz w:val="22"/>
              <w:szCs w:val="22"/>
            </w:rPr>
            <w:t xml:space="preserve">PROTECTIONS FOR VICTIMS OF </w:t>
          </w:r>
          <w:r w:rsidR="00A17D66" w:rsidRPr="00A17D66">
            <w:rPr>
              <w:b/>
              <w:sz w:val="22"/>
              <w:szCs w:val="22"/>
            </w:rPr>
            <w:t>DOMESTIC VIOLENCE, DATING VIOLENCE, SEXUAL ASSAULT, or STALKING</w:t>
          </w:r>
        </w:p>
      </w:tc>
      <w:tc>
        <w:tcPr>
          <w:tcW w:w="2880" w:type="dxa"/>
          <w:shd w:val="clear" w:color="auto" w:fill="auto"/>
        </w:tcPr>
        <w:p w:rsidR="008C311B" w:rsidRDefault="008C311B" w:rsidP="00A17D66">
          <w:pPr>
            <w:pStyle w:val="Header"/>
            <w:jc w:val="center"/>
            <w:rPr>
              <w:b/>
              <w:sz w:val="22"/>
              <w:szCs w:val="22"/>
            </w:rPr>
          </w:pPr>
        </w:p>
        <w:p w:rsidR="00A17D66" w:rsidRPr="00A17D66" w:rsidRDefault="00A17D66" w:rsidP="00A17D66">
          <w:pPr>
            <w:pStyle w:val="Header"/>
            <w:jc w:val="center"/>
            <w:rPr>
              <w:b/>
              <w:sz w:val="22"/>
              <w:szCs w:val="22"/>
            </w:rPr>
          </w:pPr>
          <w:r w:rsidRPr="00A17D66">
            <w:rPr>
              <w:b/>
              <w:sz w:val="22"/>
              <w:szCs w:val="22"/>
            </w:rPr>
            <w:t>U.S. Department of Housing</w:t>
          </w:r>
        </w:p>
        <w:p w:rsidR="00A17D66" w:rsidRPr="00A17D66" w:rsidRDefault="00A17D66" w:rsidP="00A17D66">
          <w:pPr>
            <w:pStyle w:val="Header"/>
            <w:jc w:val="center"/>
            <w:rPr>
              <w:b/>
              <w:sz w:val="22"/>
              <w:szCs w:val="22"/>
            </w:rPr>
          </w:pPr>
          <w:r w:rsidRPr="00A17D66">
            <w:rPr>
              <w:b/>
              <w:sz w:val="22"/>
              <w:szCs w:val="22"/>
            </w:rPr>
            <w:t>and Urban Development</w:t>
          </w:r>
        </w:p>
        <w:p w:rsidR="00A17D66" w:rsidRPr="00A17D66" w:rsidRDefault="00A17D66" w:rsidP="00A17D66">
          <w:pPr>
            <w:pStyle w:val="Header"/>
            <w:jc w:val="center"/>
            <w:rPr>
              <w:b/>
              <w:sz w:val="22"/>
              <w:szCs w:val="22"/>
            </w:rPr>
          </w:pPr>
          <w:r w:rsidRPr="00A17D66">
            <w:rPr>
              <w:bCs/>
              <w:sz w:val="22"/>
              <w:szCs w:val="22"/>
            </w:rPr>
            <w:t>Office of Housing</w:t>
          </w:r>
        </w:p>
      </w:tc>
      <w:tc>
        <w:tcPr>
          <w:tcW w:w="3348" w:type="dxa"/>
          <w:shd w:val="clear" w:color="auto" w:fill="auto"/>
        </w:tcPr>
        <w:p w:rsidR="00A17D66" w:rsidRPr="00A17D66" w:rsidRDefault="00A17D66" w:rsidP="00A17D66">
          <w:pPr>
            <w:pStyle w:val="Header"/>
            <w:jc w:val="right"/>
            <w:rPr>
              <w:rFonts w:ascii="Helvetica" w:hAnsi="Helvetica"/>
              <w:sz w:val="14"/>
            </w:rPr>
          </w:pPr>
        </w:p>
        <w:p w:rsidR="008C311B" w:rsidRDefault="008C311B" w:rsidP="00A17D66">
          <w:pPr>
            <w:pStyle w:val="Header"/>
            <w:jc w:val="right"/>
            <w:rPr>
              <w:rFonts w:ascii="Helvetica" w:hAnsi="Helvetica"/>
              <w:sz w:val="14"/>
            </w:rPr>
          </w:pPr>
        </w:p>
        <w:p w:rsidR="008C311B" w:rsidRDefault="008C311B" w:rsidP="00A17D66">
          <w:pPr>
            <w:pStyle w:val="Header"/>
            <w:jc w:val="right"/>
            <w:rPr>
              <w:rFonts w:ascii="Helvetica" w:hAnsi="Helvetica"/>
              <w:sz w:val="14"/>
            </w:rPr>
          </w:pPr>
        </w:p>
        <w:p w:rsidR="00A17D66" w:rsidRPr="00A17D66" w:rsidRDefault="00A17D66" w:rsidP="00A17D66">
          <w:pPr>
            <w:pStyle w:val="Header"/>
            <w:jc w:val="right"/>
            <w:rPr>
              <w:rFonts w:ascii="Helvetica" w:hAnsi="Helvetica"/>
              <w:sz w:val="14"/>
            </w:rPr>
          </w:pPr>
          <w:r w:rsidRPr="00A17D66">
            <w:rPr>
              <w:rFonts w:ascii="Helvetica" w:hAnsi="Helvetica"/>
              <w:sz w:val="14"/>
            </w:rPr>
            <w:t>OMB Approval No. 2502-0204</w:t>
          </w:r>
        </w:p>
        <w:p w:rsidR="00A17D66" w:rsidRPr="00A17D66" w:rsidRDefault="00A17D66" w:rsidP="00A17D66">
          <w:pPr>
            <w:pStyle w:val="Header"/>
            <w:jc w:val="right"/>
            <w:rPr>
              <w:b/>
              <w:sz w:val="22"/>
              <w:szCs w:val="22"/>
            </w:rPr>
          </w:pPr>
          <w:r w:rsidRPr="006F5139">
            <w:rPr>
              <w:sz w:val="16"/>
              <w:szCs w:val="22"/>
              <w:highlight w:val="yellow"/>
            </w:rPr>
            <w:t>Exp. 6/30/2017</w:t>
          </w:r>
        </w:p>
      </w:tc>
    </w:tr>
  </w:tbl>
  <w:p w:rsidR="008D1BA3" w:rsidRPr="008E5775" w:rsidRDefault="00DE0057" w:rsidP="008E5775">
    <w:pPr>
      <w:pStyle w:val="Header"/>
      <w:tabs>
        <w:tab w:val="clear" w:pos="4320"/>
        <w:tab w:val="clear" w:pos="8640"/>
        <w:tab w:val="left" w:pos="4680"/>
        <w:tab w:val="left" w:pos="5309"/>
      </w:tabs>
      <w:rPr>
        <w:bCs/>
        <w:sz w:val="22"/>
        <w:szCs w:val="22"/>
      </w:rPr>
    </w:pPr>
    <w:r>
      <w:rPr>
        <w:sz w:val="22"/>
        <w:szCs w:val="22"/>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893" w:rsidRDefault="00F52893" w:rsidP="00C1396D">
    <w:pPr>
      <w:pStyle w:val="Header"/>
      <w:jc w:val="right"/>
      <w:rPr>
        <w:sz w:val="20"/>
        <w:szCs w:val="20"/>
      </w:rPr>
    </w:pPr>
    <w:r>
      <w:rPr>
        <w:sz w:val="20"/>
        <w:szCs w:val="20"/>
      </w:rPr>
      <w:t>Attachment 2</w:t>
    </w:r>
  </w:p>
  <w:p w:rsidR="004E1A19" w:rsidRPr="004E1A19" w:rsidRDefault="004E1A19" w:rsidP="00C1396D">
    <w:pPr>
      <w:pStyle w:val="Header"/>
      <w:jc w:val="right"/>
      <w:rPr>
        <w:rFonts w:ascii="Helvetica" w:hAnsi="Helvetica"/>
        <w:sz w:val="16"/>
        <w:szCs w:val="16"/>
      </w:rPr>
    </w:pPr>
    <w:r w:rsidRPr="004E1A19">
      <w:rPr>
        <w:rFonts w:ascii="Helvetica" w:hAnsi="Helvetica"/>
        <w:sz w:val="16"/>
        <w:szCs w:val="16"/>
      </w:rPr>
      <w:t>OMB Approval No. 2502-0204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11D33"/>
    <w:multiLevelType w:val="hybridMultilevel"/>
    <w:tmpl w:val="D31A44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59472F"/>
    <w:multiLevelType w:val="hybridMultilevel"/>
    <w:tmpl w:val="41105FE0"/>
    <w:lvl w:ilvl="0" w:tplc="8C76293A">
      <w:start w:val="1"/>
      <w:numFmt w:val="decimal"/>
      <w:lvlText w:val="(%1)"/>
      <w:lvlJc w:val="left"/>
      <w:pPr>
        <w:tabs>
          <w:tab w:val="num" w:pos="1440"/>
        </w:tabs>
        <w:ind w:left="1440" w:hanging="360"/>
      </w:pPr>
      <w:rPr>
        <w:rFonts w:hint="default"/>
      </w:rPr>
    </w:lvl>
    <w:lvl w:ilvl="1" w:tplc="6E2AD716">
      <w:start w:val="1"/>
      <w:numFmt w:val="bullet"/>
      <w:lvlText w:val=""/>
      <w:lvlJc w:val="left"/>
      <w:pPr>
        <w:tabs>
          <w:tab w:val="num" w:pos="2160"/>
        </w:tabs>
        <w:ind w:left="2160" w:hanging="360"/>
      </w:pPr>
      <w:rPr>
        <w:rFonts w:ascii="Symbol" w:hAnsi="Symbol" w:hint="default"/>
        <w:color w:val="auto"/>
        <w:sz w:val="16"/>
      </w:rPr>
    </w:lvl>
    <w:lvl w:ilvl="2" w:tplc="A8228D7A">
      <w:start w:val="1"/>
      <w:numFmt w:val="upperLetter"/>
      <w:lvlText w:val="(%3)"/>
      <w:lvlJc w:val="left"/>
      <w:pPr>
        <w:tabs>
          <w:tab w:val="num" w:pos="3090"/>
        </w:tabs>
        <w:ind w:left="3090" w:hanging="39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2199162E"/>
    <w:multiLevelType w:val="hybridMultilevel"/>
    <w:tmpl w:val="B74C82F6"/>
    <w:lvl w:ilvl="0" w:tplc="02C0E9C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E6A48D3"/>
    <w:multiLevelType w:val="hybridMultilevel"/>
    <w:tmpl w:val="796CBCDC"/>
    <w:lvl w:ilvl="0" w:tplc="68A61C8C">
      <w:start w:val="1"/>
      <w:numFmt w:val="decimal"/>
      <w:suff w:val="space"/>
      <w:lvlText w:val="(%1)"/>
      <w:lvlJc w:val="left"/>
      <w:pPr>
        <w:ind w:left="-90" w:firstLine="72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FB91BE9"/>
    <w:multiLevelType w:val="hybridMultilevel"/>
    <w:tmpl w:val="9306CA4A"/>
    <w:lvl w:ilvl="0" w:tplc="A9F49352">
      <w:start w:val="2"/>
      <w:numFmt w:val="upperRoman"/>
      <w:lvlText w:val="%1."/>
      <w:lvlJc w:val="left"/>
      <w:pPr>
        <w:tabs>
          <w:tab w:val="num" w:pos="1080"/>
        </w:tabs>
        <w:ind w:left="1080" w:hanging="72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3AB6601"/>
    <w:multiLevelType w:val="hybridMultilevel"/>
    <w:tmpl w:val="48E2986E"/>
    <w:lvl w:ilvl="0" w:tplc="A9F49352">
      <w:start w:val="7"/>
      <w:numFmt w:val="upp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3B4450E"/>
    <w:multiLevelType w:val="hybridMultilevel"/>
    <w:tmpl w:val="BD34E8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DCB641C"/>
    <w:multiLevelType w:val="hybridMultilevel"/>
    <w:tmpl w:val="85627F34"/>
    <w:lvl w:ilvl="0" w:tplc="6708331E">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41C733C3"/>
    <w:multiLevelType w:val="hybridMultilevel"/>
    <w:tmpl w:val="F59C1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A00F40"/>
    <w:multiLevelType w:val="hybridMultilevel"/>
    <w:tmpl w:val="553C6D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8B05E86"/>
    <w:multiLevelType w:val="hybridMultilevel"/>
    <w:tmpl w:val="FFF4BBA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AEB6849"/>
    <w:multiLevelType w:val="hybridMultilevel"/>
    <w:tmpl w:val="4A8C7174"/>
    <w:lvl w:ilvl="0" w:tplc="13E0B50C">
      <w:start w:val="1"/>
      <w:numFmt w:val="lowerLetter"/>
      <w:lvlText w:val="%1."/>
      <w:lvlJc w:val="left"/>
      <w:pPr>
        <w:tabs>
          <w:tab w:val="num" w:pos="2160"/>
        </w:tabs>
        <w:ind w:left="2160" w:hanging="360"/>
      </w:pPr>
      <w:rPr>
        <w:rFonts w:hint="default"/>
        <w:b/>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2" w15:restartNumberingAfterBreak="0">
    <w:nsid w:val="5C933491"/>
    <w:multiLevelType w:val="hybridMultilevel"/>
    <w:tmpl w:val="B3C4D63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6F32287F"/>
    <w:multiLevelType w:val="hybridMultilevel"/>
    <w:tmpl w:val="8A289ACC"/>
    <w:lvl w:ilvl="0" w:tplc="FC202406">
      <w:start w:val="1"/>
      <w:numFmt w:val="bullet"/>
      <w:lvlText w:val=""/>
      <w:lvlJc w:val="left"/>
      <w:pPr>
        <w:tabs>
          <w:tab w:val="num" w:pos="1440"/>
        </w:tabs>
        <w:ind w:left="1440" w:hanging="360"/>
      </w:pPr>
      <w:rPr>
        <w:rFonts w:ascii="Symbol" w:hAnsi="Symbol" w:hint="default"/>
      </w:rPr>
    </w:lvl>
    <w:lvl w:ilvl="1" w:tplc="4BEE4352"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77485031"/>
    <w:multiLevelType w:val="hybridMultilevel"/>
    <w:tmpl w:val="43CA1C7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7E5D0299"/>
    <w:multiLevelType w:val="hybridMultilevel"/>
    <w:tmpl w:val="E49A9500"/>
    <w:lvl w:ilvl="0" w:tplc="04090001">
      <w:start w:val="5"/>
      <w:numFmt w:val="decimal"/>
      <w:lvlText w:val="%1."/>
      <w:lvlJc w:val="left"/>
      <w:pPr>
        <w:tabs>
          <w:tab w:val="num" w:pos="1860"/>
        </w:tabs>
        <w:ind w:left="1860" w:hanging="360"/>
      </w:pPr>
      <w:rPr>
        <w:rFonts w:hint="default"/>
      </w:rPr>
    </w:lvl>
    <w:lvl w:ilvl="1" w:tplc="04090003" w:tentative="1">
      <w:start w:val="1"/>
      <w:numFmt w:val="lowerLetter"/>
      <w:lvlText w:val="%2."/>
      <w:lvlJc w:val="left"/>
      <w:pPr>
        <w:tabs>
          <w:tab w:val="num" w:pos="2580"/>
        </w:tabs>
        <w:ind w:left="2580" w:hanging="360"/>
      </w:pPr>
    </w:lvl>
    <w:lvl w:ilvl="2" w:tplc="04090005" w:tentative="1">
      <w:start w:val="1"/>
      <w:numFmt w:val="lowerRoman"/>
      <w:lvlText w:val="%3."/>
      <w:lvlJc w:val="right"/>
      <w:pPr>
        <w:tabs>
          <w:tab w:val="num" w:pos="3300"/>
        </w:tabs>
        <w:ind w:left="3300" w:hanging="180"/>
      </w:pPr>
    </w:lvl>
    <w:lvl w:ilvl="3" w:tplc="04090001" w:tentative="1">
      <w:start w:val="1"/>
      <w:numFmt w:val="decimal"/>
      <w:lvlText w:val="%4."/>
      <w:lvlJc w:val="left"/>
      <w:pPr>
        <w:tabs>
          <w:tab w:val="num" w:pos="4020"/>
        </w:tabs>
        <w:ind w:left="4020" w:hanging="360"/>
      </w:pPr>
    </w:lvl>
    <w:lvl w:ilvl="4" w:tplc="04090003" w:tentative="1">
      <w:start w:val="1"/>
      <w:numFmt w:val="lowerLetter"/>
      <w:lvlText w:val="%5."/>
      <w:lvlJc w:val="left"/>
      <w:pPr>
        <w:tabs>
          <w:tab w:val="num" w:pos="4740"/>
        </w:tabs>
        <w:ind w:left="4740" w:hanging="360"/>
      </w:pPr>
    </w:lvl>
    <w:lvl w:ilvl="5" w:tplc="04090005" w:tentative="1">
      <w:start w:val="1"/>
      <w:numFmt w:val="lowerRoman"/>
      <w:lvlText w:val="%6."/>
      <w:lvlJc w:val="right"/>
      <w:pPr>
        <w:tabs>
          <w:tab w:val="num" w:pos="5460"/>
        </w:tabs>
        <w:ind w:left="5460" w:hanging="180"/>
      </w:pPr>
    </w:lvl>
    <w:lvl w:ilvl="6" w:tplc="04090001" w:tentative="1">
      <w:start w:val="1"/>
      <w:numFmt w:val="decimal"/>
      <w:lvlText w:val="%7."/>
      <w:lvlJc w:val="left"/>
      <w:pPr>
        <w:tabs>
          <w:tab w:val="num" w:pos="6180"/>
        </w:tabs>
        <w:ind w:left="6180" w:hanging="360"/>
      </w:pPr>
    </w:lvl>
    <w:lvl w:ilvl="7" w:tplc="04090003" w:tentative="1">
      <w:start w:val="1"/>
      <w:numFmt w:val="lowerLetter"/>
      <w:lvlText w:val="%8."/>
      <w:lvlJc w:val="left"/>
      <w:pPr>
        <w:tabs>
          <w:tab w:val="num" w:pos="6900"/>
        </w:tabs>
        <w:ind w:left="6900" w:hanging="360"/>
      </w:pPr>
    </w:lvl>
    <w:lvl w:ilvl="8" w:tplc="04090005" w:tentative="1">
      <w:start w:val="1"/>
      <w:numFmt w:val="lowerRoman"/>
      <w:lvlText w:val="%9."/>
      <w:lvlJc w:val="right"/>
      <w:pPr>
        <w:tabs>
          <w:tab w:val="num" w:pos="7620"/>
        </w:tabs>
        <w:ind w:left="7620" w:hanging="180"/>
      </w:pPr>
    </w:lvl>
  </w:abstractNum>
  <w:num w:numId="1">
    <w:abstractNumId w:val="1"/>
  </w:num>
  <w:num w:numId="2">
    <w:abstractNumId w:val="4"/>
  </w:num>
  <w:num w:numId="3">
    <w:abstractNumId w:val="5"/>
  </w:num>
  <w:num w:numId="4">
    <w:abstractNumId w:val="13"/>
  </w:num>
  <w:num w:numId="5">
    <w:abstractNumId w:val="14"/>
  </w:num>
  <w:num w:numId="6">
    <w:abstractNumId w:val="6"/>
  </w:num>
  <w:num w:numId="7">
    <w:abstractNumId w:val="9"/>
  </w:num>
  <w:num w:numId="8">
    <w:abstractNumId w:val="10"/>
  </w:num>
  <w:num w:numId="9">
    <w:abstractNumId w:val="12"/>
  </w:num>
  <w:num w:numId="10">
    <w:abstractNumId w:val="7"/>
  </w:num>
  <w:num w:numId="11">
    <w:abstractNumId w:val="15"/>
  </w:num>
  <w:num w:numId="12">
    <w:abstractNumId w:val="11"/>
  </w:num>
  <w:num w:numId="13">
    <w:abstractNumId w:val="2"/>
  </w:num>
  <w:num w:numId="14">
    <w:abstractNumId w:val="0"/>
  </w:num>
  <w:num w:numId="15">
    <w:abstractNumId w:val="3"/>
  </w:num>
  <w:num w:numId="1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DBE"/>
    <w:rsid w:val="00007655"/>
    <w:rsid w:val="00022BB2"/>
    <w:rsid w:val="00030C6B"/>
    <w:rsid w:val="0004421F"/>
    <w:rsid w:val="00055F10"/>
    <w:rsid w:val="00056DDE"/>
    <w:rsid w:val="000576B7"/>
    <w:rsid w:val="0007182D"/>
    <w:rsid w:val="00086EEA"/>
    <w:rsid w:val="000871FA"/>
    <w:rsid w:val="00095B06"/>
    <w:rsid w:val="00095B9B"/>
    <w:rsid w:val="000A0104"/>
    <w:rsid w:val="000B5B78"/>
    <w:rsid w:val="000D1472"/>
    <w:rsid w:val="000D4EDE"/>
    <w:rsid w:val="000E460B"/>
    <w:rsid w:val="000E7750"/>
    <w:rsid w:val="000F583D"/>
    <w:rsid w:val="000F60FD"/>
    <w:rsid w:val="000F7E59"/>
    <w:rsid w:val="001017A6"/>
    <w:rsid w:val="00103E78"/>
    <w:rsid w:val="001058C3"/>
    <w:rsid w:val="0011375D"/>
    <w:rsid w:val="0012301E"/>
    <w:rsid w:val="0013604D"/>
    <w:rsid w:val="00137308"/>
    <w:rsid w:val="001476DE"/>
    <w:rsid w:val="001508DB"/>
    <w:rsid w:val="001519E0"/>
    <w:rsid w:val="0015756D"/>
    <w:rsid w:val="0016727F"/>
    <w:rsid w:val="00171470"/>
    <w:rsid w:val="00180300"/>
    <w:rsid w:val="00191923"/>
    <w:rsid w:val="001936EB"/>
    <w:rsid w:val="001A2F98"/>
    <w:rsid w:val="001B2138"/>
    <w:rsid w:val="001B3F91"/>
    <w:rsid w:val="001E10A0"/>
    <w:rsid w:val="001E4556"/>
    <w:rsid w:val="001E4ADB"/>
    <w:rsid w:val="001E51E0"/>
    <w:rsid w:val="001F19CC"/>
    <w:rsid w:val="001F1E03"/>
    <w:rsid w:val="001F514D"/>
    <w:rsid w:val="00205E64"/>
    <w:rsid w:val="00210A44"/>
    <w:rsid w:val="00212E27"/>
    <w:rsid w:val="00221B1F"/>
    <w:rsid w:val="002224A4"/>
    <w:rsid w:val="002247B6"/>
    <w:rsid w:val="0022507A"/>
    <w:rsid w:val="0024365C"/>
    <w:rsid w:val="00243D54"/>
    <w:rsid w:val="00245F24"/>
    <w:rsid w:val="00256604"/>
    <w:rsid w:val="00270B95"/>
    <w:rsid w:val="002714B9"/>
    <w:rsid w:val="00285B67"/>
    <w:rsid w:val="00292D2E"/>
    <w:rsid w:val="00297B95"/>
    <w:rsid w:val="002A286A"/>
    <w:rsid w:val="002A3800"/>
    <w:rsid w:val="002A4B5A"/>
    <w:rsid w:val="002A58B4"/>
    <w:rsid w:val="002A7D36"/>
    <w:rsid w:val="002C7747"/>
    <w:rsid w:val="002C7A69"/>
    <w:rsid w:val="002D5917"/>
    <w:rsid w:val="002D70CD"/>
    <w:rsid w:val="002E4228"/>
    <w:rsid w:val="002F3B6D"/>
    <w:rsid w:val="003057B4"/>
    <w:rsid w:val="00306E93"/>
    <w:rsid w:val="00330948"/>
    <w:rsid w:val="003435D0"/>
    <w:rsid w:val="00345E8C"/>
    <w:rsid w:val="00345FD2"/>
    <w:rsid w:val="003467B6"/>
    <w:rsid w:val="00350F1E"/>
    <w:rsid w:val="00362861"/>
    <w:rsid w:val="00374C01"/>
    <w:rsid w:val="003823D2"/>
    <w:rsid w:val="00394BED"/>
    <w:rsid w:val="0039748D"/>
    <w:rsid w:val="003A24CA"/>
    <w:rsid w:val="003A25A4"/>
    <w:rsid w:val="003A6740"/>
    <w:rsid w:val="003C19DC"/>
    <w:rsid w:val="003C3B91"/>
    <w:rsid w:val="003C6837"/>
    <w:rsid w:val="003C72B8"/>
    <w:rsid w:val="003C730C"/>
    <w:rsid w:val="003D3D9E"/>
    <w:rsid w:val="003D6A12"/>
    <w:rsid w:val="003E6077"/>
    <w:rsid w:val="003F2C91"/>
    <w:rsid w:val="00402F37"/>
    <w:rsid w:val="00405705"/>
    <w:rsid w:val="00410023"/>
    <w:rsid w:val="00414CFD"/>
    <w:rsid w:val="00415458"/>
    <w:rsid w:val="00416A3E"/>
    <w:rsid w:val="00424310"/>
    <w:rsid w:val="0043015E"/>
    <w:rsid w:val="004342A2"/>
    <w:rsid w:val="00454FB0"/>
    <w:rsid w:val="0046227D"/>
    <w:rsid w:val="00465115"/>
    <w:rsid w:val="00465B05"/>
    <w:rsid w:val="0047146E"/>
    <w:rsid w:val="00475B9B"/>
    <w:rsid w:val="00476C17"/>
    <w:rsid w:val="00476FAF"/>
    <w:rsid w:val="00477764"/>
    <w:rsid w:val="0048798F"/>
    <w:rsid w:val="004A40FE"/>
    <w:rsid w:val="004B05C2"/>
    <w:rsid w:val="004B5221"/>
    <w:rsid w:val="004B5AEE"/>
    <w:rsid w:val="004B754F"/>
    <w:rsid w:val="004C62D1"/>
    <w:rsid w:val="004D2517"/>
    <w:rsid w:val="004D5293"/>
    <w:rsid w:val="004E11DD"/>
    <w:rsid w:val="004E1A19"/>
    <w:rsid w:val="004E495C"/>
    <w:rsid w:val="004E528C"/>
    <w:rsid w:val="004F11AD"/>
    <w:rsid w:val="005026A8"/>
    <w:rsid w:val="0050638E"/>
    <w:rsid w:val="00513D91"/>
    <w:rsid w:val="00517595"/>
    <w:rsid w:val="00520794"/>
    <w:rsid w:val="005345E6"/>
    <w:rsid w:val="005442F5"/>
    <w:rsid w:val="00546827"/>
    <w:rsid w:val="0055242B"/>
    <w:rsid w:val="005533F0"/>
    <w:rsid w:val="00554B01"/>
    <w:rsid w:val="0056261F"/>
    <w:rsid w:val="00564861"/>
    <w:rsid w:val="00566E03"/>
    <w:rsid w:val="00567746"/>
    <w:rsid w:val="00570B5A"/>
    <w:rsid w:val="00590E60"/>
    <w:rsid w:val="00592038"/>
    <w:rsid w:val="00593F12"/>
    <w:rsid w:val="00595BB2"/>
    <w:rsid w:val="005A2CCF"/>
    <w:rsid w:val="005A4B3A"/>
    <w:rsid w:val="005C09FA"/>
    <w:rsid w:val="005C0F30"/>
    <w:rsid w:val="005D074C"/>
    <w:rsid w:val="005D6636"/>
    <w:rsid w:val="005E0EBA"/>
    <w:rsid w:val="005E1E81"/>
    <w:rsid w:val="005E6E59"/>
    <w:rsid w:val="005F0733"/>
    <w:rsid w:val="005F34E0"/>
    <w:rsid w:val="005F5BF5"/>
    <w:rsid w:val="006035C4"/>
    <w:rsid w:val="006054B3"/>
    <w:rsid w:val="00615E9E"/>
    <w:rsid w:val="00631FB0"/>
    <w:rsid w:val="006407DC"/>
    <w:rsid w:val="00643C59"/>
    <w:rsid w:val="006469DB"/>
    <w:rsid w:val="00647690"/>
    <w:rsid w:val="00654E8C"/>
    <w:rsid w:val="00664F9F"/>
    <w:rsid w:val="006669BF"/>
    <w:rsid w:val="00673842"/>
    <w:rsid w:val="006742D0"/>
    <w:rsid w:val="00681DA7"/>
    <w:rsid w:val="00686E06"/>
    <w:rsid w:val="006A052B"/>
    <w:rsid w:val="006A4A8C"/>
    <w:rsid w:val="006A50AC"/>
    <w:rsid w:val="006B1320"/>
    <w:rsid w:val="006B2E42"/>
    <w:rsid w:val="006C50C2"/>
    <w:rsid w:val="006C605A"/>
    <w:rsid w:val="006D34D4"/>
    <w:rsid w:val="006D48F1"/>
    <w:rsid w:val="006D6048"/>
    <w:rsid w:val="006F1370"/>
    <w:rsid w:val="006F5139"/>
    <w:rsid w:val="006F5284"/>
    <w:rsid w:val="007004E8"/>
    <w:rsid w:val="007020F1"/>
    <w:rsid w:val="0070242F"/>
    <w:rsid w:val="00724D32"/>
    <w:rsid w:val="00726E84"/>
    <w:rsid w:val="00732F24"/>
    <w:rsid w:val="00733DE6"/>
    <w:rsid w:val="0077271D"/>
    <w:rsid w:val="0078171F"/>
    <w:rsid w:val="007837A4"/>
    <w:rsid w:val="00787DD2"/>
    <w:rsid w:val="007A26A7"/>
    <w:rsid w:val="007A62BF"/>
    <w:rsid w:val="007B593C"/>
    <w:rsid w:val="007B5CB8"/>
    <w:rsid w:val="007C0DF5"/>
    <w:rsid w:val="007C1C94"/>
    <w:rsid w:val="007C7562"/>
    <w:rsid w:val="007D57DE"/>
    <w:rsid w:val="007E32A9"/>
    <w:rsid w:val="007E6670"/>
    <w:rsid w:val="007E7521"/>
    <w:rsid w:val="007F094D"/>
    <w:rsid w:val="008017A5"/>
    <w:rsid w:val="0081116F"/>
    <w:rsid w:val="0081429C"/>
    <w:rsid w:val="00820DBE"/>
    <w:rsid w:val="00823AAD"/>
    <w:rsid w:val="00827AD4"/>
    <w:rsid w:val="0084479F"/>
    <w:rsid w:val="00847AC9"/>
    <w:rsid w:val="00854E88"/>
    <w:rsid w:val="00864C5D"/>
    <w:rsid w:val="00877B72"/>
    <w:rsid w:val="00881992"/>
    <w:rsid w:val="008870C2"/>
    <w:rsid w:val="008922C9"/>
    <w:rsid w:val="00892F7B"/>
    <w:rsid w:val="008952C7"/>
    <w:rsid w:val="00895A04"/>
    <w:rsid w:val="008A1240"/>
    <w:rsid w:val="008A354A"/>
    <w:rsid w:val="008A46D1"/>
    <w:rsid w:val="008B4C7D"/>
    <w:rsid w:val="008C311B"/>
    <w:rsid w:val="008D1BA3"/>
    <w:rsid w:val="008D596E"/>
    <w:rsid w:val="008E20FA"/>
    <w:rsid w:val="008E2D4F"/>
    <w:rsid w:val="008E5775"/>
    <w:rsid w:val="008F2DB0"/>
    <w:rsid w:val="008F43D0"/>
    <w:rsid w:val="00903A26"/>
    <w:rsid w:val="00904A2D"/>
    <w:rsid w:val="00904DB9"/>
    <w:rsid w:val="00904FDA"/>
    <w:rsid w:val="00905354"/>
    <w:rsid w:val="00912CC6"/>
    <w:rsid w:val="0091550C"/>
    <w:rsid w:val="00916B6F"/>
    <w:rsid w:val="00917303"/>
    <w:rsid w:val="00920CCB"/>
    <w:rsid w:val="0093070A"/>
    <w:rsid w:val="009311A5"/>
    <w:rsid w:val="00935EF1"/>
    <w:rsid w:val="00941390"/>
    <w:rsid w:val="00946281"/>
    <w:rsid w:val="009512CA"/>
    <w:rsid w:val="00957B09"/>
    <w:rsid w:val="009962D7"/>
    <w:rsid w:val="009A0AEB"/>
    <w:rsid w:val="009A7FB1"/>
    <w:rsid w:val="009B5177"/>
    <w:rsid w:val="009C05BE"/>
    <w:rsid w:val="009C49D2"/>
    <w:rsid w:val="009C5815"/>
    <w:rsid w:val="009D3CE9"/>
    <w:rsid w:val="009D670D"/>
    <w:rsid w:val="009E47E9"/>
    <w:rsid w:val="009E6514"/>
    <w:rsid w:val="009E7D51"/>
    <w:rsid w:val="00A003A0"/>
    <w:rsid w:val="00A00EB4"/>
    <w:rsid w:val="00A0229F"/>
    <w:rsid w:val="00A071FF"/>
    <w:rsid w:val="00A17D66"/>
    <w:rsid w:val="00A21E8B"/>
    <w:rsid w:val="00A224A3"/>
    <w:rsid w:val="00A24A41"/>
    <w:rsid w:val="00A24F64"/>
    <w:rsid w:val="00A30BC9"/>
    <w:rsid w:val="00A3451B"/>
    <w:rsid w:val="00A43649"/>
    <w:rsid w:val="00A52A62"/>
    <w:rsid w:val="00A55781"/>
    <w:rsid w:val="00A55D0C"/>
    <w:rsid w:val="00A600DB"/>
    <w:rsid w:val="00A6050D"/>
    <w:rsid w:val="00A756C0"/>
    <w:rsid w:val="00AA6BB6"/>
    <w:rsid w:val="00AB025C"/>
    <w:rsid w:val="00AB7395"/>
    <w:rsid w:val="00AB7FC0"/>
    <w:rsid w:val="00AC0EEF"/>
    <w:rsid w:val="00AC3B1E"/>
    <w:rsid w:val="00AE0DCB"/>
    <w:rsid w:val="00AF0957"/>
    <w:rsid w:val="00AF116E"/>
    <w:rsid w:val="00AF161D"/>
    <w:rsid w:val="00AF4665"/>
    <w:rsid w:val="00AF5D6C"/>
    <w:rsid w:val="00AF6967"/>
    <w:rsid w:val="00B12498"/>
    <w:rsid w:val="00B20217"/>
    <w:rsid w:val="00B216B0"/>
    <w:rsid w:val="00B22A16"/>
    <w:rsid w:val="00B30576"/>
    <w:rsid w:val="00B31958"/>
    <w:rsid w:val="00B33297"/>
    <w:rsid w:val="00B41587"/>
    <w:rsid w:val="00B45393"/>
    <w:rsid w:val="00B456FE"/>
    <w:rsid w:val="00B56C20"/>
    <w:rsid w:val="00B56D4D"/>
    <w:rsid w:val="00B63A18"/>
    <w:rsid w:val="00B63D47"/>
    <w:rsid w:val="00B63E09"/>
    <w:rsid w:val="00B7348E"/>
    <w:rsid w:val="00B76B4D"/>
    <w:rsid w:val="00B80B61"/>
    <w:rsid w:val="00B810C9"/>
    <w:rsid w:val="00B903F2"/>
    <w:rsid w:val="00B9665E"/>
    <w:rsid w:val="00BA059C"/>
    <w:rsid w:val="00BA63E6"/>
    <w:rsid w:val="00BA744F"/>
    <w:rsid w:val="00BB22AE"/>
    <w:rsid w:val="00BD59C1"/>
    <w:rsid w:val="00BF0964"/>
    <w:rsid w:val="00BF0C1C"/>
    <w:rsid w:val="00BF414C"/>
    <w:rsid w:val="00C00BC9"/>
    <w:rsid w:val="00C02F09"/>
    <w:rsid w:val="00C03B36"/>
    <w:rsid w:val="00C0419E"/>
    <w:rsid w:val="00C04C74"/>
    <w:rsid w:val="00C066CB"/>
    <w:rsid w:val="00C06B0A"/>
    <w:rsid w:val="00C07344"/>
    <w:rsid w:val="00C114E5"/>
    <w:rsid w:val="00C11C6F"/>
    <w:rsid w:val="00C1396D"/>
    <w:rsid w:val="00C177B4"/>
    <w:rsid w:val="00C26737"/>
    <w:rsid w:val="00C27B04"/>
    <w:rsid w:val="00C458BC"/>
    <w:rsid w:val="00C468F9"/>
    <w:rsid w:val="00C500E1"/>
    <w:rsid w:val="00C543D1"/>
    <w:rsid w:val="00C57EC1"/>
    <w:rsid w:val="00C622B4"/>
    <w:rsid w:val="00C646C1"/>
    <w:rsid w:val="00C65C39"/>
    <w:rsid w:val="00C6759B"/>
    <w:rsid w:val="00C71C3C"/>
    <w:rsid w:val="00C7557A"/>
    <w:rsid w:val="00C829E6"/>
    <w:rsid w:val="00C92123"/>
    <w:rsid w:val="00C97218"/>
    <w:rsid w:val="00CA0BD3"/>
    <w:rsid w:val="00CA1282"/>
    <w:rsid w:val="00CA3ED6"/>
    <w:rsid w:val="00CA4DF5"/>
    <w:rsid w:val="00CB13FA"/>
    <w:rsid w:val="00CB6822"/>
    <w:rsid w:val="00CB6B2C"/>
    <w:rsid w:val="00CB70A7"/>
    <w:rsid w:val="00CB7910"/>
    <w:rsid w:val="00CC073E"/>
    <w:rsid w:val="00CC307D"/>
    <w:rsid w:val="00CC48A8"/>
    <w:rsid w:val="00CC5A62"/>
    <w:rsid w:val="00CD0C8E"/>
    <w:rsid w:val="00CE6C72"/>
    <w:rsid w:val="00CE7AB1"/>
    <w:rsid w:val="00CF29B7"/>
    <w:rsid w:val="00CF3341"/>
    <w:rsid w:val="00CF42BE"/>
    <w:rsid w:val="00CF6A62"/>
    <w:rsid w:val="00D05682"/>
    <w:rsid w:val="00D07CD6"/>
    <w:rsid w:val="00D1417B"/>
    <w:rsid w:val="00D14848"/>
    <w:rsid w:val="00D166A0"/>
    <w:rsid w:val="00D17746"/>
    <w:rsid w:val="00D17AAC"/>
    <w:rsid w:val="00D221B4"/>
    <w:rsid w:val="00D32AFF"/>
    <w:rsid w:val="00D33009"/>
    <w:rsid w:val="00D37CF5"/>
    <w:rsid w:val="00D44268"/>
    <w:rsid w:val="00D453C8"/>
    <w:rsid w:val="00D453D4"/>
    <w:rsid w:val="00D47124"/>
    <w:rsid w:val="00D50A20"/>
    <w:rsid w:val="00D53597"/>
    <w:rsid w:val="00D7001E"/>
    <w:rsid w:val="00D83952"/>
    <w:rsid w:val="00D85927"/>
    <w:rsid w:val="00D93B6E"/>
    <w:rsid w:val="00DA15AC"/>
    <w:rsid w:val="00DD4D16"/>
    <w:rsid w:val="00DE0057"/>
    <w:rsid w:val="00DE5268"/>
    <w:rsid w:val="00DF000D"/>
    <w:rsid w:val="00DF1593"/>
    <w:rsid w:val="00DF45AB"/>
    <w:rsid w:val="00E0347E"/>
    <w:rsid w:val="00E06509"/>
    <w:rsid w:val="00E10244"/>
    <w:rsid w:val="00E102B1"/>
    <w:rsid w:val="00E128CE"/>
    <w:rsid w:val="00E1368D"/>
    <w:rsid w:val="00E20EF8"/>
    <w:rsid w:val="00E25678"/>
    <w:rsid w:val="00E37674"/>
    <w:rsid w:val="00E4661A"/>
    <w:rsid w:val="00E47822"/>
    <w:rsid w:val="00E517D5"/>
    <w:rsid w:val="00E52BFA"/>
    <w:rsid w:val="00E56C8D"/>
    <w:rsid w:val="00E74BCA"/>
    <w:rsid w:val="00E81C66"/>
    <w:rsid w:val="00EB5CD0"/>
    <w:rsid w:val="00EB720F"/>
    <w:rsid w:val="00ED3164"/>
    <w:rsid w:val="00ED4775"/>
    <w:rsid w:val="00ED74E9"/>
    <w:rsid w:val="00EE0C42"/>
    <w:rsid w:val="00EE1F2F"/>
    <w:rsid w:val="00EE229E"/>
    <w:rsid w:val="00EE69F9"/>
    <w:rsid w:val="00EE6D31"/>
    <w:rsid w:val="00EF12E1"/>
    <w:rsid w:val="00EF5C92"/>
    <w:rsid w:val="00F16B8B"/>
    <w:rsid w:val="00F20349"/>
    <w:rsid w:val="00F21329"/>
    <w:rsid w:val="00F23900"/>
    <w:rsid w:val="00F321B2"/>
    <w:rsid w:val="00F321C2"/>
    <w:rsid w:val="00F50BBB"/>
    <w:rsid w:val="00F52893"/>
    <w:rsid w:val="00F531D4"/>
    <w:rsid w:val="00F53A49"/>
    <w:rsid w:val="00F619E8"/>
    <w:rsid w:val="00F717D9"/>
    <w:rsid w:val="00F72AA1"/>
    <w:rsid w:val="00F73118"/>
    <w:rsid w:val="00F733FA"/>
    <w:rsid w:val="00F8574D"/>
    <w:rsid w:val="00F85E8F"/>
    <w:rsid w:val="00F8685E"/>
    <w:rsid w:val="00F93E22"/>
    <w:rsid w:val="00F94852"/>
    <w:rsid w:val="00F9789D"/>
    <w:rsid w:val="00FA23B8"/>
    <w:rsid w:val="00FB1D01"/>
    <w:rsid w:val="00FB2E70"/>
    <w:rsid w:val="00FB3E19"/>
    <w:rsid w:val="00FB600A"/>
    <w:rsid w:val="00FC2A6E"/>
    <w:rsid w:val="00FC5C5E"/>
    <w:rsid w:val="00FD15BC"/>
    <w:rsid w:val="00FF1978"/>
    <w:rsid w:val="00FF1E99"/>
    <w:rsid w:val="00FF356B"/>
    <w:rsid w:val="00FF3B1F"/>
    <w:rsid w:val="00FF463D"/>
    <w:rsid w:val="00FF48B2"/>
    <w:rsid w:val="00FF7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450F08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b/>
      <w:bCs/>
      <w:u w:val="single"/>
    </w:rPr>
  </w:style>
  <w:style w:type="paragraph" w:styleId="Heading3">
    <w:name w:val="heading 3"/>
    <w:basedOn w:val="Normal"/>
    <w:next w:val="Normal"/>
    <w:qFormat/>
    <w:pPr>
      <w:keepNext/>
      <w:ind w:left="720"/>
      <w:outlineLvl w:val="2"/>
    </w:pPr>
    <w:rPr>
      <w:b/>
      <w:bCs/>
      <w:color w:val="000000"/>
    </w:rPr>
  </w:style>
  <w:style w:type="paragraph" w:styleId="Heading4">
    <w:name w:val="heading 4"/>
    <w:basedOn w:val="Normal"/>
    <w:next w:val="Normal"/>
    <w:qFormat/>
    <w:pPr>
      <w:keepNext/>
      <w:ind w:left="720"/>
      <w:outlineLvl w:val="3"/>
    </w:pPr>
    <w:rPr>
      <w:b/>
      <w:bCs/>
      <w:color w:val="000000"/>
      <w:u w:val="single"/>
    </w:rPr>
  </w:style>
  <w:style w:type="paragraph" w:styleId="Heading5">
    <w:name w:val="heading 5"/>
    <w:basedOn w:val="Normal"/>
    <w:next w:val="Normal"/>
    <w:qFormat/>
    <w:pPr>
      <w:keepNext/>
      <w:autoSpaceDE w:val="0"/>
      <w:autoSpaceDN w:val="0"/>
      <w:adjustRightInd w:val="0"/>
      <w:ind w:firstLine="360"/>
      <w:outlineLvl w:val="4"/>
    </w:pPr>
    <w:rPr>
      <w:b/>
      <w:bCs/>
      <w:color w:val="000000"/>
      <w:u w:val="single"/>
    </w:rPr>
  </w:style>
  <w:style w:type="paragraph" w:styleId="Heading6">
    <w:name w:val="heading 6"/>
    <w:basedOn w:val="Normal"/>
    <w:next w:val="Normal"/>
    <w:qFormat/>
    <w:pPr>
      <w:keepNext/>
      <w:jc w:val="center"/>
      <w:outlineLvl w:val="5"/>
    </w:pPr>
    <w:rPr>
      <w:u w:val="single"/>
    </w:rPr>
  </w:style>
  <w:style w:type="paragraph" w:styleId="Heading7">
    <w:name w:val="heading 7"/>
    <w:basedOn w:val="Normal"/>
    <w:next w:val="Normal"/>
    <w:qFormat/>
    <w:pPr>
      <w:keepNext/>
      <w:ind w:left="720"/>
      <w:outlineLvl w:val="6"/>
    </w:pPr>
    <w:rPr>
      <w:b/>
      <w:bCs/>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jc w:val="right"/>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Cs w:val="22"/>
      <w:u w:val="single"/>
    </w:rPr>
  </w:style>
  <w:style w:type="paragraph" w:styleId="BodyTextIndent">
    <w:name w:val="Body Text Indent"/>
    <w:basedOn w:val="Normal"/>
    <w:pPr>
      <w:ind w:firstLine="720"/>
    </w:pPr>
  </w:style>
  <w:style w:type="character" w:styleId="Hyperlink">
    <w:name w:val="Hyperlink"/>
    <w:rPr>
      <w:color w:val="0000FF"/>
      <w:u w:val="single"/>
    </w:rPr>
  </w:style>
  <w:style w:type="paragraph" w:styleId="Footer">
    <w:name w:val="footer"/>
    <w:basedOn w:val="Normal"/>
    <w:link w:val="FooterChar"/>
    <w:uiPriority w:val="99"/>
    <w:pPr>
      <w:tabs>
        <w:tab w:val="center" w:pos="4320"/>
        <w:tab w:val="right" w:pos="8640"/>
      </w:tabs>
    </w:pPr>
  </w:style>
  <w:style w:type="paragraph" w:styleId="BodyTextIndent2">
    <w:name w:val="Body Text Indent 2"/>
    <w:basedOn w:val="Normal"/>
    <w:pPr>
      <w:autoSpaceDE w:val="0"/>
      <w:autoSpaceDN w:val="0"/>
      <w:adjustRightInd w:val="0"/>
      <w:ind w:left="360"/>
    </w:pPr>
  </w:style>
  <w:style w:type="paragraph" w:styleId="BodyTextIndent3">
    <w:name w:val="Body Text Indent 3"/>
    <w:basedOn w:val="Normal"/>
    <w:pPr>
      <w:autoSpaceDE w:val="0"/>
      <w:autoSpaceDN w:val="0"/>
      <w:adjustRightInd w:val="0"/>
      <w:ind w:left="720"/>
    </w:pPr>
  </w:style>
  <w:style w:type="paragraph" w:styleId="Caption">
    <w:name w:val="caption"/>
    <w:basedOn w:val="Normal"/>
    <w:next w:val="Normal"/>
    <w:qFormat/>
    <w:pPr>
      <w:widowControl w:val="0"/>
      <w:overflowPunct w:val="0"/>
      <w:autoSpaceDE w:val="0"/>
      <w:autoSpaceDN w:val="0"/>
      <w:adjustRightInd w:val="0"/>
      <w:textAlignment w:val="baseline"/>
    </w:pPr>
    <w:rPr>
      <w:rFonts w:ascii="Courier New" w:hAnsi="Courier New"/>
      <w:szCs w:val="20"/>
    </w:rPr>
  </w:style>
  <w:style w:type="paragraph" w:styleId="EndnoteText">
    <w:name w:val="endnote text"/>
    <w:basedOn w:val="Normal"/>
    <w:semiHidden/>
    <w:pPr>
      <w:widowControl w:val="0"/>
      <w:overflowPunct w:val="0"/>
      <w:autoSpaceDE w:val="0"/>
      <w:autoSpaceDN w:val="0"/>
      <w:adjustRightInd w:val="0"/>
      <w:textAlignment w:val="baseline"/>
    </w:pPr>
    <w:rPr>
      <w:rFonts w:ascii="Courier New" w:hAnsi="Courier New"/>
      <w:szCs w:val="20"/>
    </w:rPr>
  </w:style>
  <w:style w:type="character" w:styleId="FollowedHyperlink">
    <w:name w:val="FollowedHyperlink"/>
    <w:rPr>
      <w:color w:val="800080"/>
      <w:u w:val="single"/>
    </w:rPr>
  </w:style>
  <w:style w:type="character" w:styleId="PageNumber">
    <w:name w:val="page number"/>
    <w:basedOn w:val="DefaultParagraphFont"/>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Header">
    <w:name w:val="header"/>
    <w:basedOn w:val="Normal"/>
    <w:rsid w:val="00820DBE"/>
    <w:pPr>
      <w:tabs>
        <w:tab w:val="center" w:pos="4320"/>
        <w:tab w:val="right" w:pos="8640"/>
      </w:tabs>
    </w:pPr>
  </w:style>
  <w:style w:type="paragraph" w:styleId="BalloonText">
    <w:name w:val="Balloon Text"/>
    <w:basedOn w:val="Normal"/>
    <w:semiHidden/>
    <w:rsid w:val="00820DBE"/>
    <w:rPr>
      <w:rFonts w:ascii="Tahoma" w:hAnsi="Tahoma" w:cs="Tahoma"/>
      <w:sz w:val="16"/>
      <w:szCs w:val="16"/>
    </w:rPr>
  </w:style>
  <w:style w:type="character" w:styleId="CommentReference">
    <w:name w:val="annotation reference"/>
    <w:semiHidden/>
    <w:rsid w:val="00AF0957"/>
    <w:rPr>
      <w:sz w:val="16"/>
      <w:szCs w:val="16"/>
    </w:rPr>
  </w:style>
  <w:style w:type="paragraph" w:styleId="CommentText">
    <w:name w:val="annotation text"/>
    <w:basedOn w:val="Normal"/>
    <w:semiHidden/>
    <w:rsid w:val="00AF0957"/>
    <w:rPr>
      <w:sz w:val="20"/>
      <w:szCs w:val="20"/>
    </w:rPr>
  </w:style>
  <w:style w:type="paragraph" w:styleId="CommentSubject">
    <w:name w:val="annotation subject"/>
    <w:basedOn w:val="CommentText"/>
    <w:next w:val="CommentText"/>
    <w:semiHidden/>
    <w:rsid w:val="00AF0957"/>
    <w:rPr>
      <w:b/>
      <w:bCs/>
    </w:rPr>
  </w:style>
  <w:style w:type="paragraph" w:styleId="BlockText">
    <w:name w:val="Block Text"/>
    <w:basedOn w:val="Normal"/>
    <w:rsid w:val="00C1396D"/>
    <w:pPr>
      <w:tabs>
        <w:tab w:val="left" w:pos="-1440"/>
        <w:tab w:val="left" w:pos="-720"/>
        <w:tab w:val="left" w:pos="0"/>
        <w:tab w:val="left" w:pos="360"/>
        <w:tab w:val="left" w:pos="720"/>
        <w:tab w:val="left" w:pos="1080"/>
        <w:tab w:val="left" w:pos="1440"/>
        <w:tab w:val="left" w:pos="1800"/>
      </w:tabs>
      <w:suppressAutoHyphens/>
      <w:ind w:left="720" w:right="720"/>
    </w:pPr>
    <w:rPr>
      <w:rFonts w:ascii="Arial" w:hAnsi="Arial"/>
      <w:sz w:val="22"/>
      <w:szCs w:val="20"/>
    </w:rPr>
  </w:style>
  <w:style w:type="paragraph" w:styleId="Title">
    <w:name w:val="Title"/>
    <w:basedOn w:val="Normal"/>
    <w:link w:val="TitleChar"/>
    <w:qFormat/>
    <w:rsid w:val="00C1396D"/>
    <w:pPr>
      <w:tabs>
        <w:tab w:val="center" w:pos="5400"/>
      </w:tabs>
      <w:suppressAutoHyphens/>
      <w:ind w:left="720" w:right="720"/>
      <w:jc w:val="center"/>
    </w:pPr>
    <w:rPr>
      <w:rFonts w:ascii="Arial" w:hAnsi="Arial"/>
      <w:b/>
      <w:sz w:val="22"/>
      <w:szCs w:val="20"/>
    </w:rPr>
  </w:style>
  <w:style w:type="character" w:customStyle="1" w:styleId="FooterChar">
    <w:name w:val="Footer Char"/>
    <w:link w:val="Footer"/>
    <w:uiPriority w:val="99"/>
    <w:rsid w:val="00A17D66"/>
    <w:rPr>
      <w:sz w:val="24"/>
      <w:szCs w:val="24"/>
    </w:rPr>
  </w:style>
  <w:style w:type="table" w:styleId="TableGrid">
    <w:name w:val="Table Grid"/>
    <w:basedOn w:val="TableNormal"/>
    <w:rsid w:val="00A17D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C311B"/>
    <w:pPr>
      <w:ind w:left="720"/>
    </w:pPr>
  </w:style>
  <w:style w:type="paragraph" w:styleId="NormalWeb">
    <w:name w:val="Normal (Web)"/>
    <w:basedOn w:val="Normal"/>
    <w:uiPriority w:val="99"/>
    <w:unhideWhenUsed/>
    <w:rsid w:val="00ED3164"/>
    <w:pPr>
      <w:spacing w:before="100" w:beforeAutospacing="1" w:after="100" w:afterAutospacing="1"/>
      <w:ind w:firstLine="480"/>
    </w:pPr>
  </w:style>
  <w:style w:type="character" w:customStyle="1" w:styleId="TitleChar">
    <w:name w:val="Title Char"/>
    <w:link w:val="Title"/>
    <w:rsid w:val="00ED3164"/>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1379</Words>
  <Characters>7749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2017-12-11T22:22:00Z</dcterms:created>
  <dcterms:modified xsi:type="dcterms:W3CDTF">2017-12-11T22:22:00Z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584038082</vt:i4>
  </property>
</Properties>
</file>