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53687" w14:textId="47F33BDE" w:rsidR="00810583" w:rsidRPr="005B667A" w:rsidRDefault="00647124" w:rsidP="005B667A">
      <w:pPr>
        <w:tabs>
          <w:tab w:val="left" w:pos="1080"/>
        </w:tabs>
        <w:spacing w:before="120"/>
        <w:ind w:left="180"/>
        <w:rPr>
          <w:rFonts w:ascii="Arial" w:hAnsi="Arial" w:cs="Arial"/>
          <w:w w:val="95"/>
          <w:sz w:val="16"/>
          <w:szCs w:val="16"/>
          <w:u w:val="single"/>
          <w:lang w:val="es-VE"/>
        </w:rPr>
      </w:pPr>
      <w:r>
        <w:rPr>
          <w:rFonts w:ascii="Arial" w:hAnsi="Arial" w:cs="Arial"/>
          <w:b/>
          <w:bCs/>
          <w:spacing w:val="-13"/>
          <w:w w:val="95"/>
          <w:sz w:val="35"/>
          <w:szCs w:val="35"/>
          <w:lang w:val="es-ES"/>
        </w:rPr>
        <w:t>Resultados de la prueba de calibración</w:t>
      </w:r>
      <w:proofErr w:type="gramStart"/>
      <w:r w:rsidR="005B667A">
        <w:rPr>
          <w:rFonts w:ascii="Arial" w:hAnsi="Arial" w:cs="Arial"/>
          <w:b/>
          <w:bCs/>
          <w:spacing w:val="-13"/>
          <w:w w:val="95"/>
          <w:sz w:val="35"/>
          <w:szCs w:val="35"/>
          <w:lang w:val="es-ES"/>
        </w:rPr>
        <w:tab/>
        <w:t xml:space="preserve">  </w:t>
      </w:r>
      <w:r w:rsidRPr="00810583">
        <w:rPr>
          <w:rFonts w:ascii="Arial" w:hAnsi="Arial" w:cs="Arial"/>
          <w:b/>
          <w:bCs/>
          <w:w w:val="95"/>
          <w:sz w:val="16"/>
          <w:szCs w:val="16"/>
          <w:lang w:val="es-ES"/>
        </w:rPr>
        <w:t>Página</w:t>
      </w:r>
      <w:proofErr w:type="gramEnd"/>
      <w:r w:rsidRPr="005B667A">
        <w:rPr>
          <w:rFonts w:ascii="Arial" w:hAnsi="Arial" w:cs="Arial"/>
          <w:b/>
          <w:bCs/>
          <w:spacing w:val="-13"/>
          <w:w w:val="95"/>
          <w:sz w:val="35"/>
          <w:szCs w:val="35"/>
          <w:u w:val="single"/>
          <w:lang w:val="es-ES"/>
        </w:rPr>
        <w:tab/>
      </w:r>
      <w:r w:rsidRPr="005B667A">
        <w:rPr>
          <w:rFonts w:ascii="Arial" w:hAnsi="Arial" w:cs="Arial"/>
          <w:b/>
          <w:bCs/>
          <w:w w:val="95"/>
          <w:sz w:val="16"/>
          <w:szCs w:val="16"/>
          <w:u w:val="single"/>
          <w:lang w:val="es-ES"/>
        </w:rPr>
        <w:t xml:space="preserve"> </w:t>
      </w:r>
      <w:r w:rsidR="005B667A" w:rsidRPr="005B667A">
        <w:rPr>
          <w:rFonts w:ascii="Arial" w:hAnsi="Arial" w:cs="Arial"/>
          <w:b/>
          <w:bCs/>
          <w:w w:val="95"/>
          <w:sz w:val="16"/>
          <w:szCs w:val="16"/>
          <w:u w:val="single"/>
          <w:lang w:val="es-ES"/>
        </w:rPr>
        <w:t xml:space="preserve">     </w:t>
      </w:r>
      <w:r w:rsidR="005B667A">
        <w:rPr>
          <w:rFonts w:ascii="Arial" w:hAnsi="Arial" w:cs="Arial"/>
          <w:b/>
          <w:bCs/>
          <w:w w:val="95"/>
          <w:sz w:val="16"/>
          <w:szCs w:val="16"/>
          <w:u w:val="single"/>
          <w:lang w:val="es-ES"/>
        </w:rPr>
        <w:t xml:space="preserve"> </w:t>
      </w:r>
      <w:r w:rsidR="005B667A">
        <w:rPr>
          <w:rFonts w:ascii="Arial" w:hAnsi="Arial" w:cs="Arial"/>
          <w:b/>
          <w:bCs/>
          <w:w w:val="95"/>
          <w:sz w:val="16"/>
          <w:szCs w:val="16"/>
          <w:lang w:val="es-ES"/>
        </w:rPr>
        <w:t xml:space="preserve"> </w:t>
      </w:r>
      <w:r w:rsidRPr="005B667A">
        <w:rPr>
          <w:rFonts w:ascii="Arial" w:hAnsi="Arial" w:cs="Arial"/>
          <w:w w:val="95"/>
          <w:sz w:val="16"/>
          <w:szCs w:val="16"/>
          <w:lang w:val="es-ES"/>
        </w:rPr>
        <w:t>de</w:t>
      </w:r>
      <w:r w:rsidR="005B667A">
        <w:rPr>
          <w:rFonts w:ascii="Arial" w:hAnsi="Arial" w:cs="Arial"/>
          <w:w w:val="95"/>
          <w:sz w:val="16"/>
          <w:szCs w:val="16"/>
          <w:u w:val="single"/>
          <w:lang w:val="es-VE"/>
        </w:rPr>
        <w:tab/>
        <w:t>____</w:t>
      </w:r>
      <w:r w:rsidR="005B667A" w:rsidRPr="005B667A">
        <w:rPr>
          <w:rFonts w:ascii="Arial" w:hAnsi="Arial" w:cs="Arial"/>
          <w:w w:val="95"/>
          <w:sz w:val="16"/>
          <w:szCs w:val="16"/>
          <w:u w:val="single"/>
          <w:lang w:val="es-VE"/>
        </w:rPr>
        <w:t xml:space="preserve">      </w:t>
      </w:r>
    </w:p>
    <w:p w14:paraId="4E49C7DD" w14:textId="77777777" w:rsidR="00C3047E" w:rsidRPr="005B667A" w:rsidRDefault="00C3047E" w:rsidP="00810583">
      <w:pPr>
        <w:jc w:val="center"/>
        <w:rPr>
          <w:lang w:val="es-VE"/>
        </w:rPr>
      </w:pPr>
    </w:p>
    <w:p w14:paraId="7F85358F" w14:textId="567344F9" w:rsidR="00810583" w:rsidRPr="005B667A" w:rsidRDefault="00647124" w:rsidP="005B667A">
      <w:pPr>
        <w:tabs>
          <w:tab w:val="left" w:pos="9540"/>
        </w:tabs>
        <w:rPr>
          <w:rFonts w:ascii="Arial" w:hAnsi="Arial" w:cs="Arial"/>
          <w:b/>
          <w:bCs/>
          <w:spacing w:val="-8"/>
          <w:sz w:val="22"/>
          <w:szCs w:val="22"/>
          <w:lang w:val="es-VE"/>
        </w:rPr>
      </w:pPr>
      <w:r w:rsidRPr="005B667A">
        <w:rPr>
          <w:rFonts w:ascii="Arial" w:hAnsi="Arial" w:cs="Arial"/>
          <w:b/>
          <w:bCs/>
          <w:spacing w:val="-8"/>
          <w:sz w:val="22"/>
          <w:szCs w:val="22"/>
          <w:lang w:val="es-ES"/>
        </w:rPr>
        <w:t>Dirección/</w:t>
      </w:r>
      <w:proofErr w:type="gramStart"/>
      <w:r w:rsidRPr="005B667A">
        <w:rPr>
          <w:rFonts w:ascii="Arial" w:hAnsi="Arial" w:cs="Arial"/>
          <w:b/>
          <w:bCs/>
          <w:spacing w:val="-8"/>
          <w:sz w:val="22"/>
          <w:szCs w:val="22"/>
          <w:lang w:val="es-ES"/>
        </w:rPr>
        <w:t>unidad N.º</w:t>
      </w:r>
      <w:proofErr w:type="gramEnd"/>
      <w:r w:rsidRPr="005B667A">
        <w:rPr>
          <w:rFonts w:ascii="Arial" w:hAnsi="Arial" w:cs="Arial"/>
          <w:b/>
          <w:bCs/>
          <w:spacing w:val="-8"/>
          <w:sz w:val="22"/>
          <w:szCs w:val="22"/>
          <w:lang w:val="es-ES"/>
        </w:rPr>
        <w:t xml:space="preserve"> </w:t>
      </w:r>
      <w:r w:rsidR="005B667A" w:rsidRPr="005B667A">
        <w:rPr>
          <w:rFonts w:ascii="Arial" w:hAnsi="Arial" w:cs="Arial"/>
          <w:b/>
          <w:bCs/>
          <w:spacing w:val="-8"/>
          <w:sz w:val="22"/>
          <w:szCs w:val="22"/>
          <w:u w:val="single"/>
          <w:lang w:val="es-ES"/>
        </w:rPr>
        <w:tab/>
      </w:r>
      <w:r w:rsidR="005B667A" w:rsidRPr="005B667A">
        <w:rPr>
          <w:rFonts w:ascii="Arial" w:hAnsi="Arial" w:cs="Arial"/>
          <w:b/>
          <w:bCs/>
          <w:spacing w:val="-8"/>
          <w:sz w:val="22"/>
          <w:szCs w:val="22"/>
          <w:lang w:val="es-ES"/>
        </w:rPr>
        <w:tab/>
      </w:r>
      <w:r w:rsidRPr="005B667A">
        <w:rPr>
          <w:rFonts w:ascii="Arial" w:hAnsi="Arial" w:cs="Arial"/>
          <w:b/>
          <w:bCs/>
          <w:spacing w:val="-8"/>
          <w:sz w:val="22"/>
          <w:szCs w:val="22"/>
          <w:lang w:val="es-ES"/>
        </w:rPr>
        <w:tab/>
      </w:r>
    </w:p>
    <w:p w14:paraId="3464ABB5" w14:textId="77777777" w:rsidR="00810583" w:rsidRPr="005B667A" w:rsidRDefault="00647124" w:rsidP="00D90BF8">
      <w:pPr>
        <w:tabs>
          <w:tab w:val="left" w:pos="1980"/>
          <w:tab w:val="left" w:pos="9540"/>
        </w:tabs>
        <w:spacing w:before="120"/>
        <w:rPr>
          <w:rFonts w:ascii="Arial" w:hAnsi="Arial" w:cs="Arial"/>
          <w:b/>
          <w:bCs/>
          <w:spacing w:val="-16"/>
          <w:sz w:val="22"/>
          <w:szCs w:val="22"/>
          <w:u w:val="single"/>
          <w:lang w:val="es-VE"/>
        </w:rPr>
      </w:pPr>
      <w:r w:rsidRPr="005B667A">
        <w:rPr>
          <w:rFonts w:ascii="Arial" w:hAnsi="Arial" w:cs="Arial"/>
          <w:b/>
          <w:bCs/>
          <w:spacing w:val="-16"/>
          <w:sz w:val="22"/>
          <w:szCs w:val="22"/>
          <w:lang w:val="es-VE"/>
        </w:rPr>
        <w:tab/>
      </w:r>
      <w:r w:rsidRPr="005B667A">
        <w:rPr>
          <w:rFonts w:ascii="Arial" w:hAnsi="Arial" w:cs="Arial"/>
          <w:b/>
          <w:bCs/>
          <w:spacing w:val="-16"/>
          <w:sz w:val="22"/>
          <w:szCs w:val="22"/>
          <w:u w:val="single"/>
          <w:lang w:val="es-VE"/>
        </w:rPr>
        <w:tab/>
      </w:r>
    </w:p>
    <w:p w14:paraId="151C02DE" w14:textId="3CDE225A" w:rsidR="00810583" w:rsidRPr="005B667A" w:rsidRDefault="00647124" w:rsidP="005B667A">
      <w:pPr>
        <w:tabs>
          <w:tab w:val="left" w:pos="9540"/>
        </w:tabs>
        <w:spacing w:before="120" w:line="204" w:lineRule="auto"/>
        <w:rPr>
          <w:rFonts w:ascii="Arial" w:hAnsi="Arial" w:cs="Arial"/>
          <w:b/>
          <w:bCs/>
          <w:spacing w:val="-14"/>
          <w:sz w:val="22"/>
          <w:szCs w:val="22"/>
          <w:u w:val="single"/>
          <w:lang w:val="es-VE"/>
        </w:rPr>
      </w:pPr>
      <w:r>
        <w:rPr>
          <w:rFonts w:ascii="Arial" w:hAnsi="Arial" w:cs="Arial"/>
          <w:b/>
          <w:bCs/>
          <w:spacing w:val="-14"/>
          <w:sz w:val="22"/>
          <w:szCs w:val="22"/>
          <w:lang w:val="es-ES"/>
        </w:rPr>
        <w:t xml:space="preserve">Dispositivo </w:t>
      </w:r>
      <w:r w:rsidR="005B667A">
        <w:rPr>
          <w:rFonts w:ascii="Arial" w:hAnsi="Arial" w:cs="Arial"/>
          <w:b/>
          <w:bCs/>
          <w:spacing w:val="-14"/>
          <w:sz w:val="22"/>
          <w:szCs w:val="22"/>
          <w:u w:val="single"/>
          <w:lang w:val="es-ES"/>
        </w:rPr>
        <w:tab/>
      </w:r>
      <w:r>
        <w:rPr>
          <w:rFonts w:ascii="Arial" w:hAnsi="Arial" w:cs="Arial"/>
          <w:b/>
          <w:bCs/>
          <w:spacing w:val="-14"/>
          <w:sz w:val="22"/>
          <w:szCs w:val="22"/>
          <w:lang w:val="es-ES"/>
        </w:rPr>
        <w:tab/>
      </w:r>
    </w:p>
    <w:p w14:paraId="6EA6B664" w14:textId="594C8997" w:rsidR="00956754" w:rsidRPr="005B667A" w:rsidRDefault="00647124" w:rsidP="005B667A">
      <w:pPr>
        <w:tabs>
          <w:tab w:val="left" w:pos="2880"/>
          <w:tab w:val="left" w:pos="9540"/>
        </w:tabs>
        <w:spacing w:before="120" w:line="204" w:lineRule="auto"/>
        <w:rPr>
          <w:rFonts w:ascii="Arial" w:hAnsi="Arial" w:cs="Arial"/>
          <w:b/>
          <w:bCs/>
          <w:spacing w:val="-13"/>
          <w:sz w:val="22"/>
          <w:szCs w:val="22"/>
          <w:u w:val="single"/>
          <w:lang w:val="es-VE"/>
        </w:rPr>
      </w:pPr>
      <w:proofErr w:type="gramStart"/>
      <w:r w:rsidRPr="00956754">
        <w:rPr>
          <w:rFonts w:ascii="Arial" w:hAnsi="Arial" w:cs="Arial"/>
          <w:b/>
          <w:bCs/>
          <w:spacing w:val="-14"/>
          <w:sz w:val="22"/>
          <w:szCs w:val="22"/>
          <w:lang w:val="es-ES"/>
        </w:rPr>
        <w:t xml:space="preserve">Fecha </w:t>
      </w:r>
      <w:r w:rsidR="005B667A">
        <w:rPr>
          <w:rFonts w:ascii="Arial" w:hAnsi="Arial" w:cs="Arial"/>
          <w:b/>
          <w:bCs/>
          <w:spacing w:val="-14"/>
          <w:sz w:val="22"/>
          <w:szCs w:val="22"/>
          <w:u w:val="single"/>
          <w:lang w:val="es-ES"/>
        </w:rPr>
        <w:tab/>
      </w:r>
      <w:r w:rsidR="005B667A">
        <w:rPr>
          <w:rFonts w:ascii="Arial" w:hAnsi="Arial" w:cs="Arial"/>
          <w:b/>
          <w:bCs/>
          <w:spacing w:val="-14"/>
          <w:sz w:val="22"/>
          <w:szCs w:val="22"/>
          <w:lang w:val="es-ES"/>
        </w:rPr>
        <w:t xml:space="preserve"> </w:t>
      </w:r>
      <w:r w:rsidRPr="00956754">
        <w:rPr>
          <w:rFonts w:ascii="Arial" w:hAnsi="Arial" w:cs="Arial"/>
          <w:b/>
          <w:bCs/>
          <w:spacing w:val="-14"/>
          <w:sz w:val="22"/>
          <w:szCs w:val="22"/>
          <w:lang w:val="es-ES"/>
        </w:rPr>
        <w:t>N.º</w:t>
      </w:r>
      <w:proofErr w:type="gramEnd"/>
      <w:r w:rsidRPr="00956754">
        <w:rPr>
          <w:rFonts w:ascii="Arial" w:hAnsi="Arial" w:cs="Arial"/>
          <w:b/>
          <w:bCs/>
          <w:spacing w:val="-14"/>
          <w:sz w:val="22"/>
          <w:szCs w:val="22"/>
          <w:lang w:val="es-ES"/>
        </w:rPr>
        <w:t xml:space="preserve"> de seri</w:t>
      </w:r>
      <w:r w:rsidR="00543CB1">
        <w:rPr>
          <w:rFonts w:ascii="Arial" w:hAnsi="Arial" w:cs="Arial"/>
          <w:b/>
          <w:bCs/>
          <w:spacing w:val="-14"/>
          <w:sz w:val="22"/>
          <w:szCs w:val="22"/>
          <w:lang w:val="es-ES"/>
        </w:rPr>
        <w:t>e</w:t>
      </w:r>
      <w:r w:rsidRPr="00956754">
        <w:rPr>
          <w:rFonts w:ascii="Arial" w:hAnsi="Arial" w:cs="Arial"/>
          <w:b/>
          <w:bCs/>
          <w:spacing w:val="-14"/>
          <w:sz w:val="22"/>
          <w:szCs w:val="22"/>
          <w:lang w:val="es-ES"/>
        </w:rPr>
        <w:t xml:space="preserve"> XRF </w:t>
      </w:r>
      <w:r w:rsidR="005B667A">
        <w:rPr>
          <w:rFonts w:ascii="Arial" w:hAnsi="Arial" w:cs="Arial"/>
          <w:b/>
          <w:bCs/>
          <w:spacing w:val="-14"/>
          <w:sz w:val="22"/>
          <w:szCs w:val="22"/>
          <w:u w:val="single"/>
          <w:lang w:val="es-ES"/>
        </w:rPr>
        <w:tab/>
      </w:r>
      <w:r w:rsidRPr="00956754">
        <w:rPr>
          <w:rFonts w:ascii="Arial" w:hAnsi="Arial" w:cs="Arial"/>
          <w:b/>
          <w:bCs/>
          <w:spacing w:val="-14"/>
          <w:sz w:val="22"/>
          <w:szCs w:val="22"/>
          <w:lang w:val="es-ES"/>
        </w:rPr>
        <w:tab/>
      </w:r>
    </w:p>
    <w:p w14:paraId="0CB01FEE" w14:textId="03B917D5" w:rsidR="006F2EA8" w:rsidRPr="006F2EA8" w:rsidRDefault="00647124" w:rsidP="005B667A">
      <w:pPr>
        <w:pStyle w:val="Default"/>
        <w:tabs>
          <w:tab w:val="left" w:pos="9540"/>
        </w:tabs>
        <w:spacing w:before="120"/>
        <w:rPr>
          <w:b/>
          <w:sz w:val="22"/>
          <w:szCs w:val="22"/>
        </w:rPr>
      </w:pPr>
      <w:r w:rsidRPr="006F2EA8">
        <w:rPr>
          <w:b/>
          <w:bCs/>
          <w:sz w:val="22"/>
          <w:szCs w:val="22"/>
          <w:lang w:val="es-ES"/>
        </w:rPr>
        <w:t>Contratista</w:t>
      </w:r>
      <w:r w:rsidR="005B667A">
        <w:rPr>
          <w:b/>
          <w:bCs/>
          <w:sz w:val="22"/>
          <w:szCs w:val="22"/>
          <w:lang w:val="es-ES"/>
        </w:rPr>
        <w:t xml:space="preserve"> </w:t>
      </w:r>
      <w:r w:rsidR="005B667A">
        <w:rPr>
          <w:b/>
          <w:bCs/>
          <w:sz w:val="22"/>
          <w:szCs w:val="22"/>
          <w:u w:val="single"/>
          <w:lang w:val="es-ES"/>
        </w:rPr>
        <w:tab/>
      </w:r>
      <w:r w:rsidRPr="006F2EA8">
        <w:rPr>
          <w:b/>
          <w:bCs/>
          <w:sz w:val="22"/>
          <w:szCs w:val="22"/>
          <w:lang w:val="es-ES"/>
        </w:rPr>
        <w:tab/>
      </w:r>
    </w:p>
    <w:p w14:paraId="5BC59BD7" w14:textId="77777777" w:rsidR="00956754" w:rsidRDefault="00956754" w:rsidP="00956754">
      <w:pPr>
        <w:spacing w:after="36" w:line="208" w:lineRule="auto"/>
        <w:rPr>
          <w:rFonts w:ascii="Arial" w:hAnsi="Arial" w:cs="Arial"/>
          <w:b/>
          <w:bCs/>
          <w:spacing w:val="-12"/>
          <w:sz w:val="22"/>
          <w:szCs w:val="22"/>
        </w:rPr>
      </w:pPr>
    </w:p>
    <w:p w14:paraId="46F871A7" w14:textId="77777777" w:rsidR="006F2EA8" w:rsidRPr="006F2EA8" w:rsidRDefault="005A24BC" w:rsidP="006F2EA8">
      <w:pPr>
        <w:spacing w:after="36" w:line="209" w:lineRule="auto"/>
        <w:ind w:left="-288" w:right="-288"/>
        <w:rPr>
          <w:rFonts w:ascii="Arial" w:hAnsi="Arial" w:cs="Arial"/>
          <w:b/>
          <w:bCs/>
          <w:spacing w:val="-12"/>
          <w:sz w:val="22"/>
          <w:szCs w:val="22"/>
        </w:rPr>
      </w:pPr>
      <w:r>
        <w:rPr>
          <w:rFonts w:ascii="Arial" w:hAnsi="Arial" w:cs="Arial"/>
          <w:b/>
          <w:bCs/>
          <w:spacing w:val="-12"/>
          <w:sz w:val="22"/>
          <w:szCs w:val="22"/>
        </w:rPr>
        <w:pict w14:anchorId="23B6F65B">
          <v:rect id="_x0000_i1025" style="width:563.1pt;height:3pt" o:hrpct="990" o:hralign="center" o:hrstd="t" o:hrnoshade="t" o:hr="t" fillcolor="black" stroked="f"/>
        </w:pict>
      </w:r>
    </w:p>
    <w:p w14:paraId="442CF8BF" w14:textId="125A6AB5" w:rsidR="00BC4552" w:rsidRPr="005B667A" w:rsidRDefault="00647124" w:rsidP="00BC4552">
      <w:pPr>
        <w:spacing w:before="36" w:after="36" w:line="206" w:lineRule="auto"/>
        <w:rPr>
          <w:rFonts w:ascii="Arial" w:hAnsi="Arial" w:cs="Arial"/>
          <w:b/>
          <w:bCs/>
          <w:spacing w:val="-16"/>
          <w:lang w:val="es-VE"/>
        </w:rPr>
      </w:pPr>
      <w:r>
        <w:rPr>
          <w:rFonts w:ascii="Arial" w:hAnsi="Arial" w:cs="Arial"/>
          <w:b/>
          <w:bCs/>
          <w:spacing w:val="-12"/>
          <w:sz w:val="22"/>
          <w:szCs w:val="22"/>
          <w:lang w:val="es-ES"/>
        </w:rPr>
        <w:t xml:space="preserve">SRM de NIST </w:t>
      </w:r>
      <w:r w:rsidR="005B667A">
        <w:rPr>
          <w:rFonts w:ascii="Arial" w:hAnsi="Arial" w:cs="Arial"/>
          <w:b/>
          <w:bCs/>
          <w:spacing w:val="-12"/>
          <w:sz w:val="22"/>
          <w:szCs w:val="22"/>
          <w:lang w:val="es-ES"/>
        </w:rPr>
        <w:t>utilizado</w:t>
      </w:r>
      <w:r w:rsidRPr="005B667A">
        <w:rPr>
          <w:rFonts w:ascii="Arial" w:hAnsi="Arial" w:cs="Arial"/>
          <w:b/>
          <w:bCs/>
          <w:spacing w:val="-12"/>
          <w:sz w:val="22"/>
          <w:szCs w:val="22"/>
          <w:u w:val="single"/>
          <w:lang w:val="es-ES"/>
        </w:rPr>
        <w:tab/>
      </w:r>
      <w:r w:rsidRPr="005B667A">
        <w:rPr>
          <w:rFonts w:ascii="Arial" w:hAnsi="Arial" w:cs="Arial"/>
          <w:b/>
          <w:bCs/>
          <w:spacing w:val="-12"/>
          <w:sz w:val="22"/>
          <w:szCs w:val="22"/>
          <w:u w:val="single"/>
          <w:lang w:val="es-ES"/>
        </w:rPr>
        <w:tab/>
      </w:r>
      <w:r w:rsidR="005B667A">
        <w:rPr>
          <w:rFonts w:ascii="Arial" w:hAnsi="Arial" w:cs="Arial"/>
          <w:b/>
          <w:bCs/>
          <w:spacing w:val="-12"/>
          <w:sz w:val="22"/>
          <w:szCs w:val="22"/>
          <w:u w:val="single"/>
          <w:lang w:val="es-ES"/>
        </w:rPr>
        <w:t xml:space="preserve">   </w:t>
      </w:r>
      <w:r>
        <w:rPr>
          <w:rFonts w:ascii="Arial" w:hAnsi="Arial" w:cs="Arial"/>
          <w:b/>
          <w:bCs/>
          <w:spacing w:val="-12"/>
          <w:sz w:val="22"/>
          <w:szCs w:val="22"/>
          <w:lang w:val="es-ES"/>
        </w:rPr>
        <w:t xml:space="preserve">mg/cm2   </w:t>
      </w:r>
      <w:r w:rsidR="005B667A">
        <w:rPr>
          <w:rFonts w:ascii="Arial" w:hAnsi="Arial" w:cs="Arial"/>
          <w:b/>
          <w:bCs/>
          <w:spacing w:val="-12"/>
          <w:sz w:val="22"/>
          <w:szCs w:val="22"/>
          <w:lang w:val="es-ES"/>
        </w:rPr>
        <w:t xml:space="preserve"> </w:t>
      </w:r>
      <w:r>
        <w:rPr>
          <w:rFonts w:ascii="Arial" w:hAnsi="Arial" w:cs="Arial"/>
          <w:b/>
          <w:bCs/>
          <w:spacing w:val="-16"/>
          <w:lang w:val="es-ES"/>
        </w:rPr>
        <w:t xml:space="preserve">Tolerancia </w:t>
      </w:r>
      <w:r w:rsidR="00543CB1">
        <w:rPr>
          <w:rFonts w:ascii="Arial" w:hAnsi="Arial" w:cs="Arial"/>
          <w:b/>
          <w:bCs/>
          <w:spacing w:val="-16"/>
          <w:lang w:val="es-ES"/>
        </w:rPr>
        <w:t xml:space="preserve">de verificación usada en la calibración </w:t>
      </w:r>
      <w:r w:rsidRPr="005B667A">
        <w:rPr>
          <w:rFonts w:ascii="Arial" w:hAnsi="Arial" w:cs="Arial"/>
          <w:b/>
          <w:bCs/>
          <w:spacing w:val="-12"/>
          <w:sz w:val="22"/>
          <w:szCs w:val="22"/>
          <w:u w:val="single"/>
          <w:lang w:val="es-ES"/>
        </w:rPr>
        <w:tab/>
      </w:r>
      <w:r w:rsidR="005B667A" w:rsidRPr="005B667A">
        <w:rPr>
          <w:rFonts w:ascii="Arial" w:hAnsi="Arial" w:cs="Arial"/>
          <w:b/>
          <w:bCs/>
          <w:spacing w:val="-12"/>
          <w:sz w:val="22"/>
          <w:szCs w:val="22"/>
          <w:u w:val="single"/>
          <w:lang w:val="es-ES"/>
        </w:rPr>
        <w:t xml:space="preserve">       </w:t>
      </w:r>
      <w:r w:rsidR="005B667A">
        <w:rPr>
          <w:rFonts w:ascii="Arial" w:hAnsi="Arial" w:cs="Arial"/>
          <w:b/>
          <w:bCs/>
          <w:spacing w:val="-12"/>
          <w:sz w:val="22"/>
          <w:szCs w:val="22"/>
          <w:u w:val="single"/>
          <w:lang w:val="es-ES"/>
        </w:rPr>
        <w:t xml:space="preserve">     </w:t>
      </w:r>
      <w:r>
        <w:rPr>
          <w:rFonts w:ascii="Arial" w:hAnsi="Arial" w:cs="Arial"/>
          <w:b/>
          <w:bCs/>
          <w:spacing w:val="-12"/>
          <w:sz w:val="22"/>
          <w:szCs w:val="22"/>
          <w:lang w:val="es-ES"/>
        </w:rPr>
        <w:t xml:space="preserve">mg/cm2   </w:t>
      </w:r>
    </w:p>
    <w:p w14:paraId="0C4F9281" w14:textId="77777777" w:rsidR="00956754" w:rsidRPr="005B667A" w:rsidRDefault="00956754" w:rsidP="00BC4552">
      <w:pPr>
        <w:tabs>
          <w:tab w:val="left" w:pos="2880"/>
        </w:tabs>
        <w:spacing w:before="36"/>
        <w:rPr>
          <w:rFonts w:ascii="Arial" w:hAnsi="Arial" w:cs="Arial"/>
          <w:b/>
          <w:bCs/>
          <w:spacing w:val="-26"/>
          <w:sz w:val="22"/>
          <w:szCs w:val="22"/>
          <w:lang w:val="es-VE"/>
        </w:rPr>
      </w:pPr>
    </w:p>
    <w:p w14:paraId="63B40D8B" w14:textId="77777777" w:rsidR="00BC4552" w:rsidRDefault="00647124" w:rsidP="00BC4552">
      <w:pPr>
        <w:spacing w:before="36" w:after="36" w:line="204" w:lineRule="auto"/>
        <w:rPr>
          <w:rFonts w:ascii="Arial" w:hAnsi="Arial" w:cs="Arial"/>
          <w:b/>
          <w:bCs/>
          <w:spacing w:val="-15"/>
          <w:sz w:val="22"/>
          <w:szCs w:val="22"/>
        </w:rPr>
      </w:pPr>
      <w:r>
        <w:rPr>
          <w:rFonts w:ascii="Arial" w:hAnsi="Arial" w:cs="Arial"/>
          <w:b/>
          <w:bCs/>
          <w:spacing w:val="-15"/>
          <w:sz w:val="22"/>
          <w:szCs w:val="22"/>
          <w:lang w:val="es-ES"/>
        </w:rPr>
        <w:t>Primera comprobación de calibración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2154"/>
        <w:gridCol w:w="2150"/>
        <w:gridCol w:w="2156"/>
        <w:gridCol w:w="2160"/>
      </w:tblGrid>
      <w:tr w:rsidR="00EB0D08" w:rsidRPr="002B785C" w14:paraId="5D1A1989" w14:textId="77777777" w:rsidTr="005B667A">
        <w:trPr>
          <w:trHeight w:val="402"/>
        </w:trPr>
        <w:tc>
          <w:tcPr>
            <w:tcW w:w="66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786D8F" w14:textId="77777777" w:rsidR="00BC4552" w:rsidRPr="00DB1794" w:rsidRDefault="00647124" w:rsidP="005B667A">
            <w:pPr>
              <w:spacing w:before="36" w:after="36" w:line="196" w:lineRule="auto"/>
              <w:ind w:left="-43" w:right="-43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DB1794">
              <w:rPr>
                <w:rFonts w:ascii="Arial" w:hAnsi="Arial" w:cs="Arial"/>
                <w:b/>
                <w:bCs/>
                <w:spacing w:val="-20"/>
                <w:lang w:val="es-ES"/>
              </w:rPr>
              <w:t>SRM de NIST</w:t>
            </w:r>
          </w:p>
          <w:p w14:paraId="600FB52E" w14:textId="77777777" w:rsidR="00BC4552" w:rsidRPr="00DB1794" w:rsidRDefault="00BC4552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  <w:spacing w:val="-12"/>
              </w:rPr>
            </w:pPr>
          </w:p>
        </w:tc>
        <w:tc>
          <w:tcPr>
            <w:tcW w:w="22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A68252" w14:textId="77777777" w:rsidR="00BC4552" w:rsidRPr="00DB1794" w:rsidRDefault="00647124" w:rsidP="005B667A">
            <w:pPr>
              <w:spacing w:after="36"/>
              <w:ind w:left="-43" w:right="-43"/>
              <w:jc w:val="center"/>
              <w:rPr>
                <w:rFonts w:ascii="Arial" w:hAnsi="Arial" w:cs="Arial"/>
                <w:b/>
                <w:bCs/>
                <w:spacing w:val="-12"/>
              </w:rPr>
            </w:pPr>
            <w:r w:rsidRPr="00DB1794">
              <w:rPr>
                <w:rFonts w:ascii="Arial" w:hAnsi="Arial" w:cs="Arial"/>
                <w:b/>
                <w:bCs/>
                <w:spacing w:val="-10"/>
                <w:sz w:val="19"/>
                <w:szCs w:val="19"/>
                <w:lang w:val="es-ES"/>
              </w:rPr>
              <w:t>Primer promedio</w:t>
            </w:r>
          </w:p>
        </w:tc>
        <w:tc>
          <w:tcPr>
            <w:tcW w:w="2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E2711B" w14:textId="36A4B963" w:rsidR="00BC4552" w:rsidRPr="005B667A" w:rsidRDefault="00647124" w:rsidP="005B667A">
            <w:pPr>
              <w:spacing w:before="36" w:line="214" w:lineRule="auto"/>
              <w:ind w:left="-43" w:right="-43"/>
              <w:rPr>
                <w:rFonts w:ascii="Arial" w:hAnsi="Arial" w:cs="Arial"/>
                <w:b/>
                <w:bCs/>
                <w:lang w:val="es-VE"/>
              </w:rPr>
            </w:pPr>
            <w:r w:rsidRPr="005B667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Diferencia entre el primer</w:t>
            </w:r>
            <w:r w:rsidR="005B667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5B667A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promedio y los SRM de NIST*</w:t>
            </w:r>
          </w:p>
        </w:tc>
      </w:tr>
      <w:tr w:rsidR="00EB0D08" w14:paraId="36E51A53" w14:textId="77777777" w:rsidTr="00C3047E"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27901" w14:textId="77777777" w:rsidR="00BC4552" w:rsidRPr="00DB1794" w:rsidRDefault="00647124" w:rsidP="005B667A">
            <w:pPr>
              <w:spacing w:after="36"/>
              <w:ind w:left="-43" w:right="-43"/>
              <w:jc w:val="center"/>
              <w:rPr>
                <w:rFonts w:ascii="Arial" w:hAnsi="Arial" w:cs="Arial"/>
                <w:b/>
                <w:bCs/>
                <w:spacing w:val="-10"/>
                <w:sz w:val="19"/>
                <w:szCs w:val="19"/>
              </w:rPr>
            </w:pPr>
            <w:r w:rsidRPr="00DB1794">
              <w:rPr>
                <w:rFonts w:ascii="Arial" w:hAnsi="Arial" w:cs="Arial"/>
                <w:b/>
                <w:bCs/>
                <w:spacing w:val="-10"/>
                <w:sz w:val="19"/>
                <w:szCs w:val="19"/>
                <w:lang w:val="es-ES"/>
              </w:rPr>
              <w:t>Primera lectura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90C34" w14:textId="77777777" w:rsidR="00BC4552" w:rsidRPr="00DB1794" w:rsidRDefault="00647124" w:rsidP="005B667A">
            <w:pPr>
              <w:spacing w:before="36"/>
              <w:ind w:left="-43" w:right="-43"/>
              <w:jc w:val="center"/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</w:pPr>
            <w:r w:rsidRPr="00DB1794">
              <w:rPr>
                <w:rFonts w:ascii="Arial" w:hAnsi="Arial" w:cs="Arial"/>
                <w:b/>
                <w:bCs/>
                <w:spacing w:val="-9"/>
                <w:sz w:val="19"/>
                <w:szCs w:val="19"/>
                <w:lang w:val="es-ES"/>
              </w:rPr>
              <w:t>Segunda lectura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615DC" w14:textId="77777777" w:rsidR="00BC4552" w:rsidRPr="00DB1794" w:rsidRDefault="00647124" w:rsidP="005B667A">
            <w:pPr>
              <w:spacing w:after="36"/>
              <w:ind w:left="-43" w:right="-43"/>
              <w:jc w:val="center"/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</w:pPr>
            <w:r w:rsidRPr="00DB1794">
              <w:rPr>
                <w:rFonts w:ascii="Arial" w:hAnsi="Arial" w:cs="Arial"/>
                <w:b/>
                <w:bCs/>
                <w:spacing w:val="-9"/>
                <w:sz w:val="19"/>
                <w:szCs w:val="19"/>
                <w:lang w:val="es-ES"/>
              </w:rPr>
              <w:t>Tercera lectura</w:t>
            </w:r>
          </w:p>
        </w:tc>
        <w:tc>
          <w:tcPr>
            <w:tcW w:w="2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17336" w14:textId="77777777" w:rsidR="00BC4552" w:rsidRPr="00DB1794" w:rsidRDefault="00BC4552" w:rsidP="005B667A">
            <w:pPr>
              <w:spacing w:after="36"/>
              <w:ind w:left="-43" w:right="-43"/>
              <w:jc w:val="right"/>
              <w:rPr>
                <w:rFonts w:ascii="Arial" w:hAnsi="Arial" w:cs="Arial"/>
                <w:b/>
                <w:bCs/>
                <w:spacing w:val="-10"/>
                <w:sz w:val="19"/>
                <w:szCs w:val="19"/>
              </w:rPr>
            </w:pPr>
          </w:p>
        </w:tc>
        <w:tc>
          <w:tcPr>
            <w:tcW w:w="22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DB3BD" w14:textId="77777777" w:rsidR="00BC4552" w:rsidRPr="00DB1794" w:rsidRDefault="00BC4552" w:rsidP="005B667A">
            <w:pPr>
              <w:spacing w:before="36" w:line="213" w:lineRule="auto"/>
              <w:ind w:left="-43" w:right="-43"/>
              <w:jc w:val="center"/>
              <w:rPr>
                <w:rFonts w:ascii="Arial" w:hAnsi="Arial" w:cs="Arial"/>
                <w:b/>
                <w:bCs/>
                <w:spacing w:val="-15"/>
                <w:sz w:val="19"/>
                <w:szCs w:val="19"/>
              </w:rPr>
            </w:pPr>
          </w:p>
        </w:tc>
      </w:tr>
      <w:tr w:rsidR="00EB0D08" w14:paraId="7850DBD8" w14:textId="77777777" w:rsidTr="00C3047E">
        <w:trPr>
          <w:trHeight w:val="432"/>
        </w:trPr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FB2A1" w14:textId="77777777" w:rsidR="00BC4552" w:rsidRPr="00DB1794" w:rsidRDefault="00BC4552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  <w:spacing w:val="-12"/>
              </w:rPr>
            </w:pP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4811C" w14:textId="77777777" w:rsidR="00BC4552" w:rsidRPr="00DB1794" w:rsidRDefault="00BC4552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  <w:spacing w:val="-12"/>
              </w:rPr>
            </w:pP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9F8F9" w14:textId="77777777" w:rsidR="00BC4552" w:rsidRPr="00DB1794" w:rsidRDefault="00BC4552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  <w:spacing w:val="-12"/>
              </w:rPr>
            </w:pP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12E38" w14:textId="77777777" w:rsidR="00BC4552" w:rsidRPr="00DB1794" w:rsidRDefault="00BC4552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  <w:spacing w:val="-12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6D1F0" w14:textId="77777777" w:rsidR="00BC4552" w:rsidRPr="00DB1794" w:rsidRDefault="00BC4552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  <w:spacing w:val="-12"/>
              </w:rPr>
            </w:pPr>
          </w:p>
        </w:tc>
      </w:tr>
    </w:tbl>
    <w:p w14:paraId="510EF0D1" w14:textId="77777777" w:rsidR="00956754" w:rsidRDefault="00956754" w:rsidP="005B667A">
      <w:pPr>
        <w:tabs>
          <w:tab w:val="left" w:pos="3600"/>
        </w:tabs>
        <w:spacing w:after="36" w:line="209" w:lineRule="auto"/>
        <w:ind w:left="-43" w:right="-43"/>
        <w:rPr>
          <w:rFonts w:ascii="Arial" w:hAnsi="Arial" w:cs="Arial"/>
          <w:b/>
          <w:bCs/>
          <w:spacing w:val="-12"/>
          <w:sz w:val="22"/>
          <w:szCs w:val="22"/>
        </w:rPr>
      </w:pPr>
    </w:p>
    <w:p w14:paraId="45396BCD" w14:textId="77777777" w:rsidR="00810583" w:rsidRDefault="00810583" w:rsidP="005B667A">
      <w:pPr>
        <w:tabs>
          <w:tab w:val="left" w:pos="9360"/>
        </w:tabs>
        <w:ind w:left="-43" w:right="-43"/>
      </w:pPr>
    </w:p>
    <w:p w14:paraId="46E96433" w14:textId="77777777" w:rsidR="00BC4552" w:rsidRDefault="00BC4552" w:rsidP="005B667A">
      <w:pPr>
        <w:tabs>
          <w:tab w:val="left" w:pos="9360"/>
        </w:tabs>
        <w:ind w:left="-43" w:right="-43"/>
      </w:pPr>
    </w:p>
    <w:p w14:paraId="02B5D25F" w14:textId="77777777" w:rsidR="00BC4552" w:rsidRDefault="00647124" w:rsidP="005B667A">
      <w:pPr>
        <w:spacing w:before="36" w:after="36" w:line="204" w:lineRule="auto"/>
        <w:ind w:left="-43" w:right="-43"/>
        <w:rPr>
          <w:rFonts w:ascii="Arial" w:hAnsi="Arial" w:cs="Arial"/>
          <w:b/>
          <w:bCs/>
          <w:spacing w:val="-16"/>
          <w:sz w:val="22"/>
          <w:szCs w:val="22"/>
        </w:rPr>
      </w:pPr>
      <w:r>
        <w:rPr>
          <w:rFonts w:ascii="Arial" w:hAnsi="Arial" w:cs="Arial"/>
          <w:b/>
          <w:bCs/>
          <w:spacing w:val="-16"/>
          <w:sz w:val="22"/>
          <w:szCs w:val="22"/>
          <w:lang w:val="es-ES"/>
        </w:rPr>
        <w:t>Segunda comprobación de calibración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2154"/>
        <w:gridCol w:w="2150"/>
        <w:gridCol w:w="2157"/>
        <w:gridCol w:w="2158"/>
      </w:tblGrid>
      <w:tr w:rsidR="00EB0D08" w:rsidRPr="002B785C" w14:paraId="7E849A54" w14:textId="77777777" w:rsidTr="00C3047E">
        <w:tc>
          <w:tcPr>
            <w:tcW w:w="66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5431D3" w14:textId="77777777" w:rsidR="00C3047E" w:rsidRPr="005B667A" w:rsidRDefault="00647124" w:rsidP="005B667A">
            <w:pPr>
              <w:spacing w:before="36" w:after="36" w:line="196" w:lineRule="auto"/>
              <w:ind w:left="-43" w:right="-43"/>
              <w:jc w:val="center"/>
              <w:rPr>
                <w:rFonts w:ascii="Arial" w:hAnsi="Arial" w:cs="Arial"/>
                <w:b/>
                <w:bCs/>
              </w:rPr>
            </w:pPr>
            <w:r w:rsidRPr="005B667A">
              <w:rPr>
                <w:rFonts w:ascii="Arial" w:hAnsi="Arial" w:cs="Arial"/>
                <w:b/>
                <w:bCs/>
                <w:lang w:val="es-ES"/>
              </w:rPr>
              <w:t>SRM de NIST</w:t>
            </w:r>
          </w:p>
          <w:p w14:paraId="7D081EAD" w14:textId="77777777" w:rsidR="00C3047E" w:rsidRPr="005B667A" w:rsidRDefault="00C3047E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8DDE71" w14:textId="77777777" w:rsidR="00C3047E" w:rsidRPr="005B667A" w:rsidRDefault="00647124" w:rsidP="005B667A">
            <w:pPr>
              <w:spacing w:after="36"/>
              <w:ind w:left="-43" w:right="-43"/>
              <w:jc w:val="center"/>
              <w:rPr>
                <w:rFonts w:ascii="Arial" w:hAnsi="Arial" w:cs="Arial"/>
                <w:b/>
                <w:bCs/>
              </w:rPr>
            </w:pPr>
            <w:r w:rsidRPr="005B667A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Primer promedio</w:t>
            </w:r>
          </w:p>
        </w:tc>
        <w:tc>
          <w:tcPr>
            <w:tcW w:w="2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9B57D0" w14:textId="41ABE665" w:rsidR="00C3047E" w:rsidRPr="005B667A" w:rsidRDefault="00647124" w:rsidP="005B667A">
            <w:pPr>
              <w:spacing w:before="36" w:line="213" w:lineRule="auto"/>
              <w:ind w:left="-43" w:right="-43"/>
              <w:rPr>
                <w:rFonts w:ascii="Arial" w:hAnsi="Arial" w:cs="Arial"/>
                <w:b/>
                <w:bCs/>
                <w:lang w:val="es-VE"/>
              </w:rPr>
            </w:pPr>
            <w:r w:rsidRPr="005B667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Diferencia entre el primer</w:t>
            </w:r>
            <w:r w:rsidR="005B667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5B667A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promedio y los SRM de NIST*</w:t>
            </w:r>
          </w:p>
        </w:tc>
      </w:tr>
      <w:tr w:rsidR="00EB0D08" w:rsidRPr="005B667A" w14:paraId="47AD6D29" w14:textId="77777777" w:rsidTr="00C3047E"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18B91" w14:textId="77777777" w:rsidR="00C3047E" w:rsidRPr="005B667A" w:rsidRDefault="00647124" w:rsidP="005B667A">
            <w:pPr>
              <w:spacing w:after="36"/>
              <w:ind w:left="-43" w:right="-4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B667A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Primera lectura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407AD" w14:textId="77777777" w:rsidR="00C3047E" w:rsidRPr="005B667A" w:rsidRDefault="00647124" w:rsidP="005B667A">
            <w:pPr>
              <w:spacing w:before="36"/>
              <w:ind w:left="-43" w:right="-4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B667A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Segunda lectura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7550E" w14:textId="77777777" w:rsidR="00C3047E" w:rsidRPr="005B667A" w:rsidRDefault="00647124" w:rsidP="005B667A">
            <w:pPr>
              <w:spacing w:after="36"/>
              <w:ind w:left="-43" w:right="-4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B667A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Tercera lectura</w:t>
            </w:r>
          </w:p>
        </w:tc>
        <w:tc>
          <w:tcPr>
            <w:tcW w:w="2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6F8CB" w14:textId="77777777" w:rsidR="00C3047E" w:rsidRPr="005B667A" w:rsidRDefault="00C3047E" w:rsidP="005B667A">
            <w:pPr>
              <w:spacing w:after="36"/>
              <w:ind w:left="-43" w:right="-43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2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33D25" w14:textId="77777777" w:rsidR="00C3047E" w:rsidRPr="005B667A" w:rsidRDefault="00C3047E" w:rsidP="005B667A">
            <w:pPr>
              <w:spacing w:before="36" w:line="213" w:lineRule="auto"/>
              <w:ind w:left="-43" w:right="-4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EB0D08" w:rsidRPr="005B667A" w14:paraId="78F4A901" w14:textId="77777777" w:rsidTr="00C3047E">
        <w:trPr>
          <w:trHeight w:val="432"/>
        </w:trPr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1AAFD" w14:textId="77777777" w:rsidR="00C3047E" w:rsidRPr="005B667A" w:rsidRDefault="00C3047E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997BB" w14:textId="77777777" w:rsidR="00C3047E" w:rsidRPr="005B667A" w:rsidRDefault="00C3047E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EC962" w14:textId="77777777" w:rsidR="00C3047E" w:rsidRPr="005B667A" w:rsidRDefault="00C3047E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09662" w14:textId="77777777" w:rsidR="00C3047E" w:rsidRPr="005B667A" w:rsidRDefault="00C3047E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60904" w14:textId="77777777" w:rsidR="00C3047E" w:rsidRPr="005B667A" w:rsidRDefault="00C3047E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</w:rPr>
            </w:pPr>
          </w:p>
        </w:tc>
      </w:tr>
    </w:tbl>
    <w:p w14:paraId="5D04814D" w14:textId="77777777" w:rsidR="00BC4552" w:rsidRPr="005B667A" w:rsidRDefault="00BC4552" w:rsidP="005B667A">
      <w:pPr>
        <w:tabs>
          <w:tab w:val="left" w:pos="9360"/>
        </w:tabs>
        <w:ind w:left="-43" w:right="-43"/>
      </w:pPr>
    </w:p>
    <w:p w14:paraId="10E13D38" w14:textId="77777777" w:rsidR="00BC4552" w:rsidRPr="005B667A" w:rsidRDefault="00BC4552" w:rsidP="005B667A">
      <w:pPr>
        <w:tabs>
          <w:tab w:val="left" w:pos="9360"/>
        </w:tabs>
        <w:ind w:left="-43" w:right="-43"/>
      </w:pPr>
    </w:p>
    <w:p w14:paraId="2BF64372" w14:textId="77777777" w:rsidR="00BC4552" w:rsidRPr="005B667A" w:rsidRDefault="00647124" w:rsidP="005B667A">
      <w:pPr>
        <w:spacing w:before="36" w:after="36"/>
        <w:ind w:left="-43" w:right="-43"/>
        <w:rPr>
          <w:rFonts w:ascii="Arial" w:hAnsi="Arial" w:cs="Arial"/>
          <w:b/>
          <w:bCs/>
          <w:i/>
          <w:iCs/>
          <w:sz w:val="22"/>
          <w:szCs w:val="22"/>
          <w:lang w:val="es-VE"/>
        </w:rPr>
      </w:pPr>
      <w:r w:rsidRPr="005B667A">
        <w:rPr>
          <w:rFonts w:ascii="Arial" w:hAnsi="Arial" w:cs="Arial"/>
          <w:b/>
          <w:bCs/>
          <w:sz w:val="22"/>
          <w:szCs w:val="22"/>
          <w:lang w:val="es-ES"/>
        </w:rPr>
        <w:t xml:space="preserve">Tercera comprobación de calibración </w:t>
      </w:r>
      <w:r w:rsidRPr="005B667A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(si es necesario)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2154"/>
        <w:gridCol w:w="2150"/>
        <w:gridCol w:w="2157"/>
        <w:gridCol w:w="2158"/>
      </w:tblGrid>
      <w:tr w:rsidR="00EB0D08" w:rsidRPr="002B785C" w14:paraId="2EA75525" w14:textId="77777777" w:rsidTr="00C3047E">
        <w:tc>
          <w:tcPr>
            <w:tcW w:w="66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862570" w14:textId="77777777" w:rsidR="00C3047E" w:rsidRPr="005B667A" w:rsidRDefault="00647124" w:rsidP="005B667A">
            <w:pPr>
              <w:spacing w:before="36" w:after="36" w:line="196" w:lineRule="auto"/>
              <w:ind w:left="-43" w:right="-43"/>
              <w:jc w:val="center"/>
              <w:rPr>
                <w:rFonts w:ascii="Arial" w:hAnsi="Arial" w:cs="Arial"/>
                <w:b/>
                <w:bCs/>
              </w:rPr>
            </w:pPr>
            <w:r w:rsidRPr="005B667A">
              <w:rPr>
                <w:rFonts w:ascii="Arial" w:hAnsi="Arial" w:cs="Arial"/>
                <w:b/>
                <w:bCs/>
                <w:lang w:val="es-ES"/>
              </w:rPr>
              <w:t>SRM de NIST</w:t>
            </w:r>
          </w:p>
          <w:p w14:paraId="3256F5EE" w14:textId="77777777" w:rsidR="00C3047E" w:rsidRPr="005B667A" w:rsidRDefault="00C3047E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2586CC" w14:textId="77777777" w:rsidR="00C3047E" w:rsidRPr="005B667A" w:rsidRDefault="00647124" w:rsidP="005B667A">
            <w:pPr>
              <w:spacing w:after="36"/>
              <w:ind w:left="-43" w:right="-43"/>
              <w:jc w:val="center"/>
              <w:rPr>
                <w:rFonts w:ascii="Arial" w:hAnsi="Arial" w:cs="Arial"/>
                <w:b/>
                <w:bCs/>
              </w:rPr>
            </w:pPr>
            <w:r w:rsidRPr="005B667A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Primer promedio</w:t>
            </w:r>
          </w:p>
        </w:tc>
        <w:tc>
          <w:tcPr>
            <w:tcW w:w="2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B12A0F" w14:textId="5EF4C9C5" w:rsidR="00C3047E" w:rsidRPr="005B667A" w:rsidRDefault="00647124" w:rsidP="005B667A">
            <w:pPr>
              <w:spacing w:before="36" w:line="213" w:lineRule="auto"/>
              <w:ind w:left="-43" w:right="-43"/>
              <w:rPr>
                <w:rFonts w:ascii="Arial" w:hAnsi="Arial" w:cs="Arial"/>
                <w:b/>
                <w:bCs/>
                <w:lang w:val="es-VE"/>
              </w:rPr>
            </w:pPr>
            <w:r w:rsidRPr="005B667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Diferencia entre el primer</w:t>
            </w:r>
            <w:r w:rsidR="005B667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5B667A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promedio y los SRM de NIST*</w:t>
            </w:r>
          </w:p>
        </w:tc>
      </w:tr>
      <w:tr w:rsidR="00EB0D08" w:rsidRPr="005B667A" w14:paraId="2D2385CF" w14:textId="77777777" w:rsidTr="00C3047E"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A4228" w14:textId="77777777" w:rsidR="00C3047E" w:rsidRPr="005B667A" w:rsidRDefault="00647124" w:rsidP="005B667A">
            <w:pPr>
              <w:spacing w:after="36"/>
              <w:ind w:left="-43" w:right="-4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B667A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Primera lectura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8F0F1" w14:textId="77777777" w:rsidR="00C3047E" w:rsidRPr="005B667A" w:rsidRDefault="00647124" w:rsidP="005B667A">
            <w:pPr>
              <w:spacing w:before="36"/>
              <w:ind w:left="-43" w:right="-4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B667A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Segunda lectura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0236C" w14:textId="77777777" w:rsidR="00C3047E" w:rsidRPr="005B667A" w:rsidRDefault="00647124" w:rsidP="005B667A">
            <w:pPr>
              <w:spacing w:after="36"/>
              <w:ind w:left="-43" w:right="-4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B667A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Tercera lectura</w:t>
            </w:r>
          </w:p>
        </w:tc>
        <w:tc>
          <w:tcPr>
            <w:tcW w:w="2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B9FDA" w14:textId="77777777" w:rsidR="00C3047E" w:rsidRPr="005B667A" w:rsidRDefault="00C3047E" w:rsidP="005B667A">
            <w:pPr>
              <w:spacing w:after="36"/>
              <w:ind w:left="-43" w:right="-43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2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06230" w14:textId="77777777" w:rsidR="00C3047E" w:rsidRPr="005B667A" w:rsidRDefault="00C3047E" w:rsidP="005B667A">
            <w:pPr>
              <w:spacing w:before="36" w:line="213" w:lineRule="auto"/>
              <w:ind w:left="-43" w:right="-4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EB0D08" w:rsidRPr="005B667A" w14:paraId="0E6F9B4F" w14:textId="77777777" w:rsidTr="00C3047E">
        <w:trPr>
          <w:trHeight w:val="432"/>
        </w:trPr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11CC8" w14:textId="77777777" w:rsidR="00C3047E" w:rsidRPr="005B667A" w:rsidRDefault="00C3047E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A028A" w14:textId="77777777" w:rsidR="00C3047E" w:rsidRPr="005B667A" w:rsidRDefault="00C3047E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058D3" w14:textId="77777777" w:rsidR="00C3047E" w:rsidRPr="005B667A" w:rsidRDefault="00C3047E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C77AF" w14:textId="77777777" w:rsidR="00C3047E" w:rsidRPr="005B667A" w:rsidRDefault="00C3047E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85707" w14:textId="77777777" w:rsidR="00C3047E" w:rsidRPr="005B667A" w:rsidRDefault="00C3047E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</w:rPr>
            </w:pPr>
          </w:p>
        </w:tc>
      </w:tr>
    </w:tbl>
    <w:p w14:paraId="6AA5F186" w14:textId="77777777" w:rsidR="00BC4552" w:rsidRPr="005B667A" w:rsidRDefault="00BC4552" w:rsidP="005B667A">
      <w:pPr>
        <w:tabs>
          <w:tab w:val="left" w:pos="9360"/>
        </w:tabs>
        <w:ind w:left="-43" w:right="-43"/>
      </w:pPr>
    </w:p>
    <w:p w14:paraId="7B2F9AFC" w14:textId="77777777" w:rsidR="00BC4552" w:rsidRPr="005B667A" w:rsidRDefault="00BC4552" w:rsidP="005B667A">
      <w:pPr>
        <w:tabs>
          <w:tab w:val="left" w:pos="9360"/>
        </w:tabs>
        <w:ind w:left="-43" w:right="-43"/>
      </w:pPr>
    </w:p>
    <w:p w14:paraId="6C59B8AB" w14:textId="77777777" w:rsidR="00BC4552" w:rsidRPr="005B667A" w:rsidRDefault="00BC4552" w:rsidP="005B667A">
      <w:pPr>
        <w:tabs>
          <w:tab w:val="left" w:pos="9360"/>
        </w:tabs>
        <w:ind w:left="-43" w:right="-43"/>
      </w:pPr>
    </w:p>
    <w:p w14:paraId="490E7387" w14:textId="77777777" w:rsidR="00BC4552" w:rsidRPr="005B667A" w:rsidRDefault="00647124" w:rsidP="005B667A">
      <w:pPr>
        <w:spacing w:before="36" w:after="36"/>
        <w:ind w:left="-43" w:right="-43"/>
        <w:rPr>
          <w:rFonts w:ascii="Arial" w:hAnsi="Arial" w:cs="Arial"/>
          <w:b/>
          <w:bCs/>
          <w:i/>
          <w:iCs/>
          <w:sz w:val="22"/>
          <w:szCs w:val="22"/>
          <w:lang w:val="es-VE"/>
        </w:rPr>
      </w:pPr>
      <w:r w:rsidRPr="005B667A">
        <w:rPr>
          <w:rFonts w:ascii="Arial" w:hAnsi="Arial" w:cs="Arial"/>
          <w:b/>
          <w:bCs/>
          <w:sz w:val="22"/>
          <w:szCs w:val="22"/>
          <w:lang w:val="es-ES"/>
        </w:rPr>
        <w:t xml:space="preserve">Cuarta comprobación de calibración </w:t>
      </w:r>
      <w:r w:rsidRPr="005B667A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(si es necesario)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2154"/>
        <w:gridCol w:w="2149"/>
        <w:gridCol w:w="2158"/>
        <w:gridCol w:w="2159"/>
      </w:tblGrid>
      <w:tr w:rsidR="00EB0D08" w:rsidRPr="002B785C" w14:paraId="68986B33" w14:textId="77777777" w:rsidTr="00C3047E">
        <w:tc>
          <w:tcPr>
            <w:tcW w:w="66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72E22D" w14:textId="77777777" w:rsidR="00C3047E" w:rsidRPr="005B667A" w:rsidRDefault="00647124" w:rsidP="005B667A">
            <w:pPr>
              <w:spacing w:before="36" w:after="36" w:line="196" w:lineRule="auto"/>
              <w:ind w:left="-43" w:right="-43"/>
              <w:jc w:val="center"/>
              <w:rPr>
                <w:rFonts w:ascii="Arial" w:hAnsi="Arial" w:cs="Arial"/>
                <w:b/>
                <w:bCs/>
              </w:rPr>
            </w:pPr>
            <w:r w:rsidRPr="005B667A">
              <w:rPr>
                <w:rFonts w:ascii="Arial" w:hAnsi="Arial" w:cs="Arial"/>
                <w:b/>
                <w:bCs/>
                <w:lang w:val="es-ES"/>
              </w:rPr>
              <w:t>SRM de NIST</w:t>
            </w:r>
          </w:p>
          <w:p w14:paraId="345BB3E9" w14:textId="77777777" w:rsidR="00C3047E" w:rsidRPr="005B667A" w:rsidRDefault="00C3047E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11CA23" w14:textId="77777777" w:rsidR="00C3047E" w:rsidRPr="005B667A" w:rsidRDefault="00647124" w:rsidP="005B667A">
            <w:pPr>
              <w:spacing w:after="36"/>
              <w:ind w:left="-43" w:right="-43"/>
              <w:jc w:val="center"/>
              <w:rPr>
                <w:rFonts w:ascii="Arial" w:hAnsi="Arial" w:cs="Arial"/>
                <w:b/>
                <w:bCs/>
              </w:rPr>
            </w:pPr>
            <w:r w:rsidRPr="005B667A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Primer promedio</w:t>
            </w:r>
          </w:p>
        </w:tc>
        <w:tc>
          <w:tcPr>
            <w:tcW w:w="2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84680B" w14:textId="243D972B" w:rsidR="00C3047E" w:rsidRPr="005B667A" w:rsidRDefault="00647124" w:rsidP="005B667A">
            <w:pPr>
              <w:spacing w:before="36" w:line="213" w:lineRule="auto"/>
              <w:ind w:left="-43" w:right="-43"/>
              <w:rPr>
                <w:rFonts w:ascii="Arial" w:hAnsi="Arial" w:cs="Arial"/>
                <w:b/>
                <w:bCs/>
                <w:lang w:val="es-VE"/>
              </w:rPr>
            </w:pPr>
            <w:r w:rsidRPr="005B667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Diferencia entre el primer</w:t>
            </w:r>
            <w:r w:rsidR="005B667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5B667A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promedio y los SRM de NIST*</w:t>
            </w:r>
          </w:p>
        </w:tc>
      </w:tr>
      <w:tr w:rsidR="00EB0D08" w14:paraId="1C2CE1D9" w14:textId="77777777" w:rsidTr="00C3047E"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57173" w14:textId="77777777" w:rsidR="00C3047E" w:rsidRPr="00DB1794" w:rsidRDefault="00647124" w:rsidP="005B667A">
            <w:pPr>
              <w:spacing w:after="36"/>
              <w:ind w:left="-43" w:right="-43"/>
              <w:jc w:val="center"/>
              <w:rPr>
                <w:rFonts w:ascii="Arial" w:hAnsi="Arial" w:cs="Arial"/>
                <w:b/>
                <w:bCs/>
                <w:spacing w:val="-10"/>
                <w:sz w:val="19"/>
                <w:szCs w:val="19"/>
              </w:rPr>
            </w:pPr>
            <w:r w:rsidRPr="00DB1794">
              <w:rPr>
                <w:rFonts w:ascii="Arial" w:hAnsi="Arial" w:cs="Arial"/>
                <w:b/>
                <w:bCs/>
                <w:spacing w:val="-10"/>
                <w:sz w:val="19"/>
                <w:szCs w:val="19"/>
                <w:lang w:val="es-ES"/>
              </w:rPr>
              <w:t>Primera lectura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E0E28" w14:textId="77777777" w:rsidR="00C3047E" w:rsidRPr="00DB1794" w:rsidRDefault="00647124" w:rsidP="005B667A">
            <w:pPr>
              <w:spacing w:before="36"/>
              <w:ind w:left="-43" w:right="-43"/>
              <w:jc w:val="center"/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</w:pPr>
            <w:r w:rsidRPr="00DB1794">
              <w:rPr>
                <w:rFonts w:ascii="Arial" w:hAnsi="Arial" w:cs="Arial"/>
                <w:b/>
                <w:bCs/>
                <w:spacing w:val="-9"/>
                <w:sz w:val="19"/>
                <w:szCs w:val="19"/>
                <w:lang w:val="es-ES"/>
              </w:rPr>
              <w:t>Segunda lectura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21C61" w14:textId="77777777" w:rsidR="00C3047E" w:rsidRPr="00DB1794" w:rsidRDefault="00647124" w:rsidP="005B667A">
            <w:pPr>
              <w:spacing w:after="36"/>
              <w:ind w:left="-43" w:right="-43"/>
              <w:jc w:val="center"/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</w:pPr>
            <w:r w:rsidRPr="00DB1794">
              <w:rPr>
                <w:rFonts w:ascii="Arial" w:hAnsi="Arial" w:cs="Arial"/>
                <w:b/>
                <w:bCs/>
                <w:spacing w:val="-9"/>
                <w:sz w:val="19"/>
                <w:szCs w:val="19"/>
                <w:lang w:val="es-ES"/>
              </w:rPr>
              <w:t>Tercera lectura</w:t>
            </w:r>
          </w:p>
        </w:tc>
        <w:tc>
          <w:tcPr>
            <w:tcW w:w="2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774D9" w14:textId="77777777" w:rsidR="00C3047E" w:rsidRPr="00DB1794" w:rsidRDefault="00C3047E" w:rsidP="005B667A">
            <w:pPr>
              <w:spacing w:after="36"/>
              <w:ind w:left="-43" w:right="-43"/>
              <w:jc w:val="right"/>
              <w:rPr>
                <w:rFonts w:ascii="Arial" w:hAnsi="Arial" w:cs="Arial"/>
                <w:b/>
                <w:bCs/>
                <w:spacing w:val="-10"/>
                <w:sz w:val="19"/>
                <w:szCs w:val="19"/>
              </w:rPr>
            </w:pPr>
          </w:p>
        </w:tc>
        <w:tc>
          <w:tcPr>
            <w:tcW w:w="22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AB134" w14:textId="77777777" w:rsidR="00C3047E" w:rsidRPr="00DB1794" w:rsidRDefault="00C3047E" w:rsidP="005B667A">
            <w:pPr>
              <w:spacing w:before="36" w:line="213" w:lineRule="auto"/>
              <w:ind w:left="-43" w:right="-43"/>
              <w:jc w:val="center"/>
              <w:rPr>
                <w:rFonts w:ascii="Arial" w:hAnsi="Arial" w:cs="Arial"/>
                <w:b/>
                <w:bCs/>
                <w:spacing w:val="-15"/>
                <w:sz w:val="19"/>
                <w:szCs w:val="19"/>
              </w:rPr>
            </w:pPr>
          </w:p>
        </w:tc>
      </w:tr>
      <w:tr w:rsidR="00EB0D08" w14:paraId="05ABBC0A" w14:textId="77777777" w:rsidTr="00C3047E">
        <w:trPr>
          <w:trHeight w:val="432"/>
        </w:trPr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10007" w14:textId="77777777" w:rsidR="00C3047E" w:rsidRPr="00DB1794" w:rsidRDefault="00C3047E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  <w:spacing w:val="-12"/>
              </w:rPr>
            </w:pP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AB6E0" w14:textId="77777777" w:rsidR="00C3047E" w:rsidRPr="00DB1794" w:rsidRDefault="00C3047E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  <w:spacing w:val="-12"/>
              </w:rPr>
            </w:pP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6A144" w14:textId="77777777" w:rsidR="00C3047E" w:rsidRPr="00DB1794" w:rsidRDefault="00C3047E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  <w:spacing w:val="-12"/>
              </w:rPr>
            </w:pP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5969A" w14:textId="77777777" w:rsidR="00C3047E" w:rsidRPr="00DB1794" w:rsidRDefault="00C3047E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  <w:spacing w:val="-12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F772C" w14:textId="77777777" w:rsidR="00C3047E" w:rsidRPr="00DB1794" w:rsidRDefault="00C3047E" w:rsidP="005B667A">
            <w:pPr>
              <w:tabs>
                <w:tab w:val="left" w:pos="3600"/>
              </w:tabs>
              <w:spacing w:after="36" w:line="209" w:lineRule="auto"/>
              <w:ind w:left="-43" w:right="-43"/>
              <w:rPr>
                <w:rFonts w:ascii="Arial" w:hAnsi="Arial" w:cs="Arial"/>
                <w:b/>
                <w:bCs/>
                <w:spacing w:val="-12"/>
              </w:rPr>
            </w:pPr>
          </w:p>
        </w:tc>
      </w:tr>
    </w:tbl>
    <w:p w14:paraId="28597213" w14:textId="77777777" w:rsidR="00BC4552" w:rsidRDefault="00BC4552" w:rsidP="00810583">
      <w:pPr>
        <w:tabs>
          <w:tab w:val="left" w:pos="9360"/>
        </w:tabs>
      </w:pPr>
    </w:p>
    <w:p w14:paraId="0A79FD5A" w14:textId="77777777" w:rsidR="00BC4552" w:rsidRPr="004D1410" w:rsidRDefault="00BC4552" w:rsidP="00810583">
      <w:pPr>
        <w:tabs>
          <w:tab w:val="left" w:pos="9360"/>
        </w:tabs>
        <w:rPr>
          <w:sz w:val="16"/>
          <w:szCs w:val="16"/>
        </w:rPr>
      </w:pPr>
    </w:p>
    <w:p w14:paraId="617013DD" w14:textId="31BC5C80" w:rsidR="00BC4552" w:rsidRPr="005B667A" w:rsidRDefault="00647124" w:rsidP="004D1410">
      <w:pPr>
        <w:spacing w:before="36" w:line="260" w:lineRule="exact"/>
        <w:rPr>
          <w:lang w:val="es-VE"/>
        </w:rPr>
      </w:pPr>
      <w:r>
        <w:rPr>
          <w:rFonts w:ascii="Arial" w:hAnsi="Arial" w:cs="Arial"/>
          <w:b/>
          <w:bCs/>
          <w:spacing w:val="-11"/>
          <w:sz w:val="22"/>
          <w:szCs w:val="22"/>
          <w:lang w:val="es-ES"/>
        </w:rPr>
        <w:t xml:space="preserve">* Si la diferencia del promedio de comprobación de calibración respecto del valor para películas de los SRM de NIST es mayor que la tolerancia de comprobación de calibración especificada para este </w:t>
      </w:r>
      <w:r w:rsidR="00EA72FD">
        <w:rPr>
          <w:rFonts w:ascii="Arial" w:hAnsi="Arial" w:cs="Arial"/>
          <w:b/>
          <w:bCs/>
          <w:spacing w:val="-11"/>
          <w:sz w:val="22"/>
          <w:szCs w:val="22"/>
          <w:lang w:val="es-ES"/>
        </w:rPr>
        <w:t>dispositivo</w:t>
      </w:r>
      <w:r>
        <w:rPr>
          <w:rFonts w:ascii="Arial" w:hAnsi="Arial" w:cs="Arial"/>
          <w:b/>
          <w:bCs/>
          <w:spacing w:val="-11"/>
          <w:sz w:val="22"/>
          <w:szCs w:val="22"/>
          <w:lang w:val="es-ES"/>
        </w:rPr>
        <w:t xml:space="preserve"> consulte las recomendaciones del fabricante para volver a poner el instrumento bajo control. Vuelva a probar todas las combinaciones de pruebas realizadas desde la última prueba de comprobación de calibración exitosa.</w:t>
      </w:r>
    </w:p>
    <w:sectPr w:rsidR="00BC4552" w:rsidRPr="005B667A" w:rsidSect="00327F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144" w:gutter="0"/>
      <w:pgBorders w:offsetFrom="page">
        <w:top w:val="single" w:sz="12" w:space="31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EFE31" w14:textId="77777777" w:rsidR="005A24BC" w:rsidRDefault="005A24BC">
      <w:r>
        <w:separator/>
      </w:r>
    </w:p>
  </w:endnote>
  <w:endnote w:type="continuationSeparator" w:id="0">
    <w:p w14:paraId="461CDC50" w14:textId="77777777" w:rsidR="005A24BC" w:rsidRDefault="005A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9ACD" w14:textId="77777777" w:rsidR="00047A5E" w:rsidRDefault="00047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1F466" w14:textId="77777777" w:rsidR="00C3047E" w:rsidRPr="007736F1" w:rsidRDefault="00647124" w:rsidP="007736F1">
    <w:pPr>
      <w:spacing w:line="202" w:lineRule="auto"/>
      <w:rPr>
        <w:rFonts w:ascii="Arial" w:hAnsi="Arial" w:cs="Arial"/>
        <w:b/>
        <w:bCs/>
        <w:spacing w:val="-14"/>
      </w:rPr>
    </w:pPr>
    <w:r>
      <w:rPr>
        <w:rFonts w:ascii="Arial" w:hAnsi="Arial" w:cs="Arial"/>
        <w:b/>
        <w:bCs/>
        <w:spacing w:val="-16"/>
        <w:lang w:val="es-ES"/>
      </w:rPr>
      <w:t>Revisión de 2012</w:t>
    </w:r>
    <w:r>
      <w:rPr>
        <w:rFonts w:ascii="Arial" w:hAnsi="Arial" w:cs="Arial"/>
        <w:b/>
        <w:bCs/>
        <w:spacing w:val="-16"/>
        <w:lang w:val="es-ES"/>
      </w:rPr>
      <w:tab/>
    </w:r>
    <w:r>
      <w:rPr>
        <w:rFonts w:ascii="Arial" w:hAnsi="Arial" w:cs="Arial"/>
        <w:b/>
        <w:bCs/>
        <w:spacing w:val="-16"/>
        <w:lang w:val="es-ES"/>
      </w:rPr>
      <w:tab/>
    </w:r>
    <w:r>
      <w:rPr>
        <w:rFonts w:ascii="Arial" w:hAnsi="Arial" w:cs="Arial"/>
        <w:b/>
        <w:bCs/>
        <w:spacing w:val="-16"/>
        <w:lang w:val="es-ES"/>
      </w:rPr>
      <w:tab/>
    </w:r>
    <w:r>
      <w:rPr>
        <w:rFonts w:ascii="Arial" w:hAnsi="Arial" w:cs="Arial"/>
        <w:b/>
        <w:bCs/>
        <w:spacing w:val="-16"/>
        <w:lang w:val="es-ES"/>
      </w:rPr>
      <w:tab/>
    </w:r>
    <w:r>
      <w:rPr>
        <w:rFonts w:ascii="Arial" w:hAnsi="Arial" w:cs="Arial"/>
        <w:b/>
        <w:bCs/>
        <w:spacing w:val="-16"/>
        <w:lang w:val="es-ES"/>
      </w:rPr>
      <w:tab/>
    </w:r>
    <w:r>
      <w:rPr>
        <w:rFonts w:ascii="Arial" w:hAnsi="Arial" w:cs="Arial"/>
        <w:b/>
        <w:bCs/>
        <w:spacing w:val="-16"/>
        <w:lang w:val="es-ES"/>
      </w:rPr>
      <w:tab/>
      <w:t>Formulario 7.2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67765" w14:textId="77777777" w:rsidR="00047A5E" w:rsidRDefault="00047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FFE45" w14:textId="77777777" w:rsidR="005A24BC" w:rsidRDefault="005A24BC">
      <w:r>
        <w:separator/>
      </w:r>
    </w:p>
  </w:footnote>
  <w:footnote w:type="continuationSeparator" w:id="0">
    <w:p w14:paraId="716016C7" w14:textId="77777777" w:rsidR="005A24BC" w:rsidRDefault="005A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DE2AE" w14:textId="77777777" w:rsidR="00047A5E" w:rsidRDefault="00047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46B55" w14:textId="77777777" w:rsidR="00047A5E" w:rsidRDefault="00047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4C30B" w14:textId="77777777" w:rsidR="00047A5E" w:rsidRDefault="00047A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83"/>
    <w:rsid w:val="00002BAC"/>
    <w:rsid w:val="00040620"/>
    <w:rsid w:val="00047A5E"/>
    <w:rsid w:val="000F03B9"/>
    <w:rsid w:val="00120901"/>
    <w:rsid w:val="001842FB"/>
    <w:rsid w:val="001A0A44"/>
    <w:rsid w:val="001C1B5B"/>
    <w:rsid w:val="001E4BF8"/>
    <w:rsid w:val="0021178F"/>
    <w:rsid w:val="0024423E"/>
    <w:rsid w:val="00291AF4"/>
    <w:rsid w:val="002B785C"/>
    <w:rsid w:val="002F650E"/>
    <w:rsid w:val="00306534"/>
    <w:rsid w:val="00327FAA"/>
    <w:rsid w:val="00334062"/>
    <w:rsid w:val="003372F2"/>
    <w:rsid w:val="0038711C"/>
    <w:rsid w:val="003F4F9F"/>
    <w:rsid w:val="004D1410"/>
    <w:rsid w:val="00524164"/>
    <w:rsid w:val="00530872"/>
    <w:rsid w:val="00543CB1"/>
    <w:rsid w:val="005948E8"/>
    <w:rsid w:val="005A24BC"/>
    <w:rsid w:val="005B667A"/>
    <w:rsid w:val="00604961"/>
    <w:rsid w:val="00612A7A"/>
    <w:rsid w:val="00647124"/>
    <w:rsid w:val="00664641"/>
    <w:rsid w:val="00670281"/>
    <w:rsid w:val="00682BDA"/>
    <w:rsid w:val="006B464D"/>
    <w:rsid w:val="006C1ED3"/>
    <w:rsid w:val="006F2EA8"/>
    <w:rsid w:val="00770B3D"/>
    <w:rsid w:val="007736F1"/>
    <w:rsid w:val="00773A3D"/>
    <w:rsid w:val="007D042F"/>
    <w:rsid w:val="007E7B5A"/>
    <w:rsid w:val="008039F1"/>
    <w:rsid w:val="00810583"/>
    <w:rsid w:val="008179F1"/>
    <w:rsid w:val="0084530D"/>
    <w:rsid w:val="00854D0E"/>
    <w:rsid w:val="00880E5E"/>
    <w:rsid w:val="00896DDB"/>
    <w:rsid w:val="008B6F34"/>
    <w:rsid w:val="008C1605"/>
    <w:rsid w:val="00923DF1"/>
    <w:rsid w:val="00956754"/>
    <w:rsid w:val="009877C0"/>
    <w:rsid w:val="009A5CB2"/>
    <w:rsid w:val="009F2664"/>
    <w:rsid w:val="00A053F6"/>
    <w:rsid w:val="00A25609"/>
    <w:rsid w:val="00AE5572"/>
    <w:rsid w:val="00B10683"/>
    <w:rsid w:val="00B25E88"/>
    <w:rsid w:val="00B521A1"/>
    <w:rsid w:val="00B73604"/>
    <w:rsid w:val="00B9070A"/>
    <w:rsid w:val="00BB03AB"/>
    <w:rsid w:val="00BC4552"/>
    <w:rsid w:val="00C25689"/>
    <w:rsid w:val="00C3047E"/>
    <w:rsid w:val="00C95C93"/>
    <w:rsid w:val="00CA1E39"/>
    <w:rsid w:val="00D45E88"/>
    <w:rsid w:val="00D90B87"/>
    <w:rsid w:val="00D90BF8"/>
    <w:rsid w:val="00D915B4"/>
    <w:rsid w:val="00DB1794"/>
    <w:rsid w:val="00EA72FD"/>
    <w:rsid w:val="00EB0D08"/>
    <w:rsid w:val="00EE6641"/>
    <w:rsid w:val="00F020C8"/>
    <w:rsid w:val="00F6682C"/>
    <w:rsid w:val="00F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27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8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3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6F1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3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6F1"/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6F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2020-12-16T02:42:00Z</dcterms:created>
  <dcterms:modified xsi:type="dcterms:W3CDTF">2020-12-16T02:43:00Z</dcterms:modified>
</cp:coreProperties>
</file>