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34E67" w14:textId="77777777" w:rsidR="00754EA1" w:rsidRDefault="00EC0F5F">
      <w:pPr>
        <w:pStyle w:val="Heading1"/>
        <w:ind w:left="1" w:hanging="3"/>
        <w:jc w:val="center"/>
      </w:pPr>
      <w:r>
        <w:t xml:space="preserve">Historic Preservation for Idaho </w:t>
      </w:r>
    </w:p>
    <w:p w14:paraId="0A634E68" w14:textId="77777777" w:rsidR="00754EA1" w:rsidRDefault="00EC0F5F">
      <w:pPr>
        <w:pStyle w:val="Heading2"/>
        <w:ind w:left="0" w:hanging="2"/>
        <w:rPr>
          <w:sz w:val="22"/>
          <w:szCs w:val="22"/>
        </w:rPr>
      </w:pPr>
      <w:r>
        <w:rPr>
          <w:sz w:val="22"/>
          <w:szCs w:val="22"/>
        </w:rPr>
        <w:t>24 CFR Part 58</w:t>
      </w:r>
    </w:p>
    <w:tbl>
      <w:tblPr>
        <w:tblStyle w:val="a"/>
        <w:tblW w:w="1044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040"/>
        <w:gridCol w:w="3060"/>
        <w:gridCol w:w="2340"/>
      </w:tblGrid>
      <w:tr w:rsidR="00754EA1" w14:paraId="0A634E6C" w14:textId="77777777" w:rsidTr="00A10AFE">
        <w:tc>
          <w:tcPr>
            <w:tcW w:w="5040" w:type="dxa"/>
            <w:tcBorders>
              <w:bottom w:val="single" w:sz="4" w:space="0" w:color="000000"/>
            </w:tcBorders>
          </w:tcPr>
          <w:p w14:paraId="0A634E69" w14:textId="77777777" w:rsidR="00754EA1" w:rsidRDefault="00EC0F5F">
            <w:pPr>
              <w:ind w:left="0" w:hanging="2"/>
              <w:rPr>
                <w:sz w:val="22"/>
                <w:szCs w:val="22"/>
              </w:rPr>
            </w:pPr>
            <w:r>
              <w:rPr>
                <w:b/>
                <w:sz w:val="22"/>
                <w:szCs w:val="22"/>
              </w:rPr>
              <w:t>General requirements</w:t>
            </w:r>
          </w:p>
        </w:tc>
        <w:tc>
          <w:tcPr>
            <w:tcW w:w="3060" w:type="dxa"/>
            <w:tcBorders>
              <w:bottom w:val="single" w:sz="4" w:space="0" w:color="000000"/>
            </w:tcBorders>
          </w:tcPr>
          <w:p w14:paraId="0A634E6A" w14:textId="77777777" w:rsidR="00754EA1" w:rsidRDefault="00EC0F5F">
            <w:pPr>
              <w:ind w:left="0" w:hanging="2"/>
              <w:rPr>
                <w:sz w:val="22"/>
                <w:szCs w:val="22"/>
              </w:rPr>
            </w:pPr>
            <w:r>
              <w:rPr>
                <w:b/>
                <w:sz w:val="22"/>
                <w:szCs w:val="22"/>
              </w:rPr>
              <w:t>Legislation</w:t>
            </w:r>
          </w:p>
        </w:tc>
        <w:tc>
          <w:tcPr>
            <w:tcW w:w="2340" w:type="dxa"/>
            <w:tcBorders>
              <w:bottom w:val="single" w:sz="4" w:space="0" w:color="000000"/>
            </w:tcBorders>
          </w:tcPr>
          <w:p w14:paraId="0A634E6B" w14:textId="77777777" w:rsidR="00754EA1" w:rsidRDefault="00EC0F5F">
            <w:pPr>
              <w:ind w:left="0" w:hanging="2"/>
              <w:rPr>
                <w:sz w:val="22"/>
                <w:szCs w:val="22"/>
              </w:rPr>
            </w:pPr>
            <w:r>
              <w:rPr>
                <w:b/>
                <w:sz w:val="22"/>
                <w:szCs w:val="22"/>
              </w:rPr>
              <w:t>Regulation</w:t>
            </w:r>
          </w:p>
        </w:tc>
      </w:tr>
      <w:tr w:rsidR="00754EA1" w14:paraId="0A634E71" w14:textId="77777777" w:rsidTr="00A10AFE">
        <w:tc>
          <w:tcPr>
            <w:tcW w:w="5040" w:type="dxa"/>
            <w:tcBorders>
              <w:left w:val="single" w:sz="4" w:space="0" w:color="000000"/>
              <w:bottom w:val="single" w:sz="4" w:space="0" w:color="000000"/>
            </w:tcBorders>
          </w:tcPr>
          <w:p w14:paraId="0A634E6D" w14:textId="77777777" w:rsidR="00754EA1" w:rsidRDefault="00EC0F5F">
            <w:pPr>
              <w:ind w:left="0" w:hanging="2"/>
              <w:rPr>
                <w:sz w:val="22"/>
                <w:szCs w:val="22"/>
              </w:rPr>
            </w:pPr>
            <w:r>
              <w:rPr>
                <w:sz w:val="22"/>
                <w:szCs w:val="22"/>
              </w:rPr>
              <w:t>Protect sites, buildings, objects, structures, and districts with national, state or local historic, cultural and/or archeological significance.  Identify effects of project on historic properties</w:t>
            </w:r>
          </w:p>
        </w:tc>
        <w:tc>
          <w:tcPr>
            <w:tcW w:w="3060" w:type="dxa"/>
            <w:tcBorders>
              <w:bottom w:val="single" w:sz="4" w:space="0" w:color="000000"/>
            </w:tcBorders>
          </w:tcPr>
          <w:p w14:paraId="0A634E6E" w14:textId="77777777" w:rsidR="00754EA1" w:rsidRDefault="00EC0F5F">
            <w:pPr>
              <w:ind w:left="0" w:hanging="2"/>
              <w:rPr>
                <w:sz w:val="22"/>
                <w:szCs w:val="22"/>
              </w:rPr>
            </w:pPr>
            <w:r>
              <w:rPr>
                <w:sz w:val="22"/>
                <w:szCs w:val="22"/>
              </w:rPr>
              <w:t>National Historic Preservation Act, 16 U.S.C. 470(f), section 106</w:t>
            </w:r>
          </w:p>
        </w:tc>
        <w:tc>
          <w:tcPr>
            <w:tcW w:w="2340" w:type="dxa"/>
            <w:tcBorders>
              <w:bottom w:val="single" w:sz="4" w:space="0" w:color="000000"/>
              <w:right w:val="single" w:sz="4" w:space="0" w:color="000000"/>
            </w:tcBorders>
          </w:tcPr>
          <w:p w14:paraId="0A634E6F" w14:textId="77777777" w:rsidR="00754EA1" w:rsidRDefault="00EC0F5F">
            <w:pPr>
              <w:ind w:left="0" w:hanging="2"/>
              <w:rPr>
                <w:sz w:val="22"/>
                <w:szCs w:val="22"/>
              </w:rPr>
            </w:pPr>
            <w:r>
              <w:rPr>
                <w:sz w:val="22"/>
                <w:szCs w:val="22"/>
              </w:rPr>
              <w:t>36 CFR Part 800</w:t>
            </w:r>
          </w:p>
          <w:p w14:paraId="0A634E70" w14:textId="77777777" w:rsidR="00754EA1" w:rsidRDefault="00EC0F5F">
            <w:pPr>
              <w:ind w:left="0" w:hanging="2"/>
              <w:rPr>
                <w:sz w:val="22"/>
                <w:szCs w:val="22"/>
              </w:rPr>
            </w:pPr>
            <w:r>
              <w:rPr>
                <w:sz w:val="22"/>
                <w:szCs w:val="22"/>
              </w:rPr>
              <w:t>24 CFR Part 58.5(a)</w:t>
            </w:r>
          </w:p>
        </w:tc>
      </w:tr>
    </w:tbl>
    <w:p w14:paraId="0A634E72" w14:textId="77777777" w:rsidR="00754EA1" w:rsidRDefault="00EC0F5F">
      <w:pPr>
        <w:numPr>
          <w:ilvl w:val="0"/>
          <w:numId w:val="1"/>
        </w:numPr>
        <w:ind w:left="0" w:hanging="2"/>
        <w:rPr>
          <w:sz w:val="22"/>
          <w:szCs w:val="22"/>
        </w:rPr>
      </w:pPr>
      <w:r>
        <w:rPr>
          <w:b/>
          <w:sz w:val="22"/>
          <w:szCs w:val="22"/>
        </w:rPr>
        <w:t xml:space="preserve">Does the project include repair, rehabilitation or conversion of existing properties; new construction; the acquisition of undeveloped land; or any activity that requires ground disturbance (defined as one cubic foot of disturbed soil)?  </w:t>
      </w:r>
    </w:p>
    <w:p w14:paraId="0A634E73" w14:textId="77777777" w:rsidR="00754EA1" w:rsidRDefault="00EC0F5F">
      <w:pPr>
        <w:ind w:left="0" w:hanging="2"/>
        <w:rPr>
          <w:sz w:val="22"/>
          <w:szCs w:val="22"/>
        </w:rPr>
      </w:pPr>
      <w:r>
        <w:rPr>
          <w:sz w:val="22"/>
          <w:szCs w:val="22"/>
        </w:rPr>
        <w:t xml:space="preserve">☐ No:   STOP here.  The Section 106 Historic Preservation review is complete. </w:t>
      </w:r>
    </w:p>
    <w:p w14:paraId="0A634E74" w14:textId="77777777" w:rsidR="00754EA1" w:rsidRDefault="00EC0F5F">
      <w:pPr>
        <w:ind w:left="0" w:hanging="2"/>
        <w:rPr>
          <w:sz w:val="22"/>
          <w:szCs w:val="22"/>
        </w:rPr>
      </w:pPr>
      <w:r>
        <w:rPr>
          <w:sz w:val="22"/>
          <w:szCs w:val="22"/>
          <w:highlight w:val="yellow"/>
        </w:rPr>
        <w:t>Record your determination on the Statutory Worksheet or Environmental Assessment.</w:t>
      </w:r>
    </w:p>
    <w:p w14:paraId="0A634E75" w14:textId="77777777" w:rsidR="00754EA1" w:rsidRDefault="00EC0F5F">
      <w:pPr>
        <w:ind w:left="0" w:hanging="2"/>
        <w:rPr>
          <w:sz w:val="22"/>
          <w:szCs w:val="22"/>
        </w:rPr>
      </w:pPr>
      <w:r>
        <w:rPr>
          <w:sz w:val="22"/>
          <w:szCs w:val="22"/>
        </w:rPr>
        <w:t>☐ Yes:  PROCEED to #</w:t>
      </w:r>
      <w:r>
        <w:rPr>
          <w:b/>
          <w:sz w:val="22"/>
          <w:szCs w:val="22"/>
        </w:rPr>
        <w:t>2</w:t>
      </w:r>
    </w:p>
    <w:p w14:paraId="0A634E76" w14:textId="77777777" w:rsidR="00754EA1" w:rsidRPr="003D4F72" w:rsidRDefault="00754EA1">
      <w:pPr>
        <w:ind w:left="0" w:hanging="2"/>
        <w:rPr>
          <w:sz w:val="18"/>
          <w:szCs w:val="18"/>
        </w:rPr>
      </w:pPr>
    </w:p>
    <w:p w14:paraId="0A634E77" w14:textId="77777777" w:rsidR="00754EA1" w:rsidRDefault="00EC0F5F">
      <w:pPr>
        <w:numPr>
          <w:ilvl w:val="0"/>
          <w:numId w:val="1"/>
        </w:numPr>
        <w:ind w:left="0" w:hanging="2"/>
        <w:rPr>
          <w:sz w:val="22"/>
          <w:szCs w:val="22"/>
        </w:rPr>
      </w:pPr>
      <w:r>
        <w:rPr>
          <w:b/>
          <w:sz w:val="22"/>
          <w:szCs w:val="22"/>
        </w:rPr>
        <w:t xml:space="preserve">Does the project involve a structure that is less than 50 years old, is not in a historic district and has no ground disturbing activities? View previously recorded historic properties in the </w:t>
      </w:r>
      <w:hyperlink r:id="rId8">
        <w:r>
          <w:rPr>
            <w:b/>
            <w:color w:val="0000FF"/>
            <w:sz w:val="22"/>
            <w:szCs w:val="22"/>
            <w:u w:val="single"/>
          </w:rPr>
          <w:t>Idaho Cultural Resource Information System (ICRIS).</w:t>
        </w:r>
      </w:hyperlink>
    </w:p>
    <w:p w14:paraId="0A634E78" w14:textId="77777777" w:rsidR="00754EA1" w:rsidRDefault="00EC0F5F">
      <w:pPr>
        <w:ind w:left="0" w:hanging="2"/>
        <w:rPr>
          <w:sz w:val="22"/>
          <w:szCs w:val="22"/>
        </w:rPr>
      </w:pPr>
      <w:r>
        <w:rPr>
          <w:sz w:val="22"/>
          <w:szCs w:val="22"/>
        </w:rPr>
        <w:t xml:space="preserve">☐ Yes:   STOP here.  The Section 106 Historic Preservation review is complete. </w:t>
      </w:r>
    </w:p>
    <w:p w14:paraId="0A634E79" w14:textId="77777777" w:rsidR="00754EA1" w:rsidRDefault="00EC0F5F">
      <w:pPr>
        <w:ind w:left="0" w:hanging="2"/>
        <w:rPr>
          <w:sz w:val="22"/>
          <w:szCs w:val="22"/>
        </w:rPr>
      </w:pPr>
      <w:r>
        <w:rPr>
          <w:sz w:val="22"/>
          <w:szCs w:val="22"/>
          <w:highlight w:val="yellow"/>
        </w:rPr>
        <w:t>Record your determination that there is no potential to cause effect, including the age of the existing building and information from the National Register to show that the activity is not in a historic district, on the Statutory Worksheet or Environmental Assessment.</w:t>
      </w:r>
    </w:p>
    <w:p w14:paraId="0A634E7A" w14:textId="77777777" w:rsidR="00754EA1" w:rsidRDefault="00EC0F5F">
      <w:pPr>
        <w:ind w:left="0" w:hanging="2"/>
        <w:rPr>
          <w:sz w:val="22"/>
          <w:szCs w:val="22"/>
        </w:rPr>
      </w:pPr>
      <w:r>
        <w:rPr>
          <w:sz w:val="22"/>
          <w:szCs w:val="22"/>
        </w:rPr>
        <w:t>☐ No:  PROCEED to #</w:t>
      </w:r>
      <w:r>
        <w:rPr>
          <w:b/>
          <w:sz w:val="22"/>
          <w:szCs w:val="22"/>
        </w:rPr>
        <w:t>3</w:t>
      </w:r>
    </w:p>
    <w:p w14:paraId="0A634E7B" w14:textId="77777777" w:rsidR="00754EA1" w:rsidRPr="003D4F72" w:rsidRDefault="00754EA1">
      <w:pPr>
        <w:ind w:left="0" w:hanging="2"/>
        <w:rPr>
          <w:sz w:val="18"/>
          <w:szCs w:val="18"/>
        </w:rPr>
      </w:pPr>
    </w:p>
    <w:p w14:paraId="0A634E7C" w14:textId="77777777" w:rsidR="00754EA1" w:rsidRDefault="00EC0F5F">
      <w:pPr>
        <w:numPr>
          <w:ilvl w:val="0"/>
          <w:numId w:val="1"/>
        </w:numPr>
        <w:ind w:left="0" w:hanging="2"/>
        <w:rPr>
          <w:sz w:val="22"/>
          <w:szCs w:val="22"/>
        </w:rPr>
      </w:pPr>
      <w:r>
        <w:rPr>
          <w:b/>
          <w:sz w:val="22"/>
          <w:szCs w:val="22"/>
        </w:rPr>
        <w:t xml:space="preserve">Has the Responsible Entity signed the </w:t>
      </w:r>
      <w:hyperlink r:id="rId9">
        <w:r>
          <w:rPr>
            <w:b/>
            <w:color w:val="0000FF"/>
            <w:sz w:val="22"/>
            <w:szCs w:val="22"/>
            <w:u w:val="single"/>
          </w:rPr>
          <w:t>Idaho Programmatic Agreement?</w:t>
        </w:r>
      </w:hyperlink>
    </w:p>
    <w:p w14:paraId="0A634E7D" w14:textId="77777777" w:rsidR="00754EA1" w:rsidRDefault="00EC0F5F">
      <w:pPr>
        <w:ind w:left="0" w:hanging="2"/>
        <w:rPr>
          <w:sz w:val="22"/>
          <w:szCs w:val="22"/>
        </w:rPr>
      </w:pPr>
      <w:r>
        <w:rPr>
          <w:sz w:val="22"/>
          <w:szCs w:val="22"/>
        </w:rPr>
        <w:t xml:space="preserve">☐ Yes, my jurisdiction has signed the PA:   Use the PA to determine if the project activity is excluded. </w:t>
      </w:r>
    </w:p>
    <w:p w14:paraId="0A634E7E" w14:textId="77777777" w:rsidR="00754EA1" w:rsidRDefault="00EC0F5F">
      <w:pPr>
        <w:ind w:left="0" w:hanging="2"/>
        <w:rPr>
          <w:sz w:val="22"/>
          <w:szCs w:val="22"/>
        </w:rPr>
      </w:pPr>
      <w:r>
        <w:rPr>
          <w:sz w:val="22"/>
          <w:szCs w:val="22"/>
          <w:highlight w:val="yellow"/>
        </w:rPr>
        <w:t>If excluded, document for annual reporting requirements in HEROs and ICRIS. Consultation with SHPO is complete (Tribal consultation is still required).</w:t>
      </w:r>
      <w:r>
        <w:rPr>
          <w:sz w:val="22"/>
          <w:szCs w:val="22"/>
        </w:rPr>
        <w:t xml:space="preserve"> If not excluded, PROCEED to #</w:t>
      </w:r>
      <w:r>
        <w:rPr>
          <w:b/>
          <w:sz w:val="22"/>
          <w:szCs w:val="22"/>
        </w:rPr>
        <w:t>4.</w:t>
      </w:r>
    </w:p>
    <w:p w14:paraId="0A634E7F" w14:textId="77777777" w:rsidR="00754EA1" w:rsidRDefault="00EC0F5F">
      <w:pPr>
        <w:ind w:left="0" w:hanging="2"/>
        <w:rPr>
          <w:sz w:val="22"/>
          <w:szCs w:val="22"/>
        </w:rPr>
      </w:pPr>
      <w:r>
        <w:rPr>
          <w:sz w:val="22"/>
          <w:szCs w:val="22"/>
        </w:rPr>
        <w:t>☐ No:  PROCEED to #</w:t>
      </w:r>
      <w:r>
        <w:rPr>
          <w:b/>
          <w:sz w:val="22"/>
          <w:szCs w:val="22"/>
        </w:rPr>
        <w:t>4</w:t>
      </w:r>
    </w:p>
    <w:p w14:paraId="0A634E80" w14:textId="77777777" w:rsidR="00754EA1" w:rsidRPr="003D4F72" w:rsidRDefault="00754EA1">
      <w:pPr>
        <w:ind w:left="0" w:hanging="2"/>
        <w:rPr>
          <w:sz w:val="18"/>
          <w:szCs w:val="18"/>
        </w:rPr>
      </w:pPr>
    </w:p>
    <w:p w14:paraId="0A634E81" w14:textId="77777777" w:rsidR="00754EA1" w:rsidRDefault="00EC0F5F">
      <w:pPr>
        <w:numPr>
          <w:ilvl w:val="0"/>
          <w:numId w:val="1"/>
        </w:numPr>
        <w:ind w:left="0" w:hanging="2"/>
        <w:rPr>
          <w:sz w:val="22"/>
          <w:szCs w:val="22"/>
        </w:rPr>
      </w:pPr>
      <w:r>
        <w:rPr>
          <w:b/>
          <w:sz w:val="22"/>
          <w:szCs w:val="22"/>
        </w:rPr>
        <w:t xml:space="preserve">Consult with SHPO or THPO and any tribes or groups that may have an interest in the project to determine if the project will </w:t>
      </w:r>
      <w:proofErr w:type="gramStart"/>
      <w:r>
        <w:rPr>
          <w:b/>
          <w:sz w:val="22"/>
          <w:szCs w:val="22"/>
        </w:rPr>
        <w:t>affect to</w:t>
      </w:r>
      <w:proofErr w:type="gramEnd"/>
      <w:r>
        <w:rPr>
          <w:b/>
          <w:sz w:val="22"/>
          <w:szCs w:val="22"/>
        </w:rPr>
        <w:t xml:space="preserve"> properties with cultural significance or that are eligible for listed in the National Register of Historic Places.  </w:t>
      </w:r>
      <w:proofErr w:type="gramStart"/>
      <w:r>
        <w:rPr>
          <w:b/>
          <w:sz w:val="22"/>
          <w:szCs w:val="22"/>
        </w:rPr>
        <w:t>Submittal</w:t>
      </w:r>
      <w:proofErr w:type="gramEnd"/>
      <w:r>
        <w:rPr>
          <w:b/>
          <w:sz w:val="22"/>
          <w:szCs w:val="22"/>
        </w:rPr>
        <w:t xml:space="preserve"> process is below.</w:t>
      </w:r>
    </w:p>
    <w:tbl>
      <w:tblPr>
        <w:tblStyle w:val="a0"/>
        <w:tblW w:w="10368"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10368"/>
      </w:tblGrid>
      <w:tr w:rsidR="00754EA1" w14:paraId="0A634E87" w14:textId="77777777">
        <w:tc>
          <w:tcPr>
            <w:tcW w:w="10368" w:type="dxa"/>
          </w:tcPr>
          <w:p w14:paraId="0A634E82" w14:textId="77777777" w:rsidR="00754EA1" w:rsidRDefault="00EC0F5F" w:rsidP="00814F7C">
            <w:pPr>
              <w:numPr>
                <w:ilvl w:val="0"/>
                <w:numId w:val="2"/>
              </w:numPr>
              <w:spacing w:after="120"/>
              <w:ind w:left="0" w:hanging="2"/>
              <w:rPr>
                <w:sz w:val="22"/>
                <w:szCs w:val="22"/>
              </w:rPr>
            </w:pPr>
            <w:r>
              <w:rPr>
                <w:sz w:val="22"/>
                <w:szCs w:val="22"/>
              </w:rPr>
              <w:t>You must define and consider the Area of Potential Effect (APE).  The APE is the geographic area within which an undertaking may directly or indirectly cause changes in the character or use of historic properties.  The APE is influenced by the scale and nature of an undertaking. (36 CFR Part 800.16).</w:t>
            </w:r>
          </w:p>
          <w:p w14:paraId="0A634E83" w14:textId="77777777" w:rsidR="00754EA1" w:rsidRDefault="00EC0F5F" w:rsidP="00814F7C">
            <w:pPr>
              <w:numPr>
                <w:ilvl w:val="0"/>
                <w:numId w:val="2"/>
              </w:numPr>
              <w:spacing w:after="120"/>
              <w:ind w:left="0" w:hanging="2"/>
              <w:rPr>
                <w:sz w:val="22"/>
                <w:szCs w:val="22"/>
              </w:rPr>
            </w:pPr>
            <w:bookmarkStart w:id="0" w:name="_heading=h.2u2i3fd7fttn" w:colFirst="0" w:colLast="0"/>
            <w:bookmarkEnd w:id="0"/>
            <w:r>
              <w:rPr>
                <w:sz w:val="22"/>
                <w:szCs w:val="22"/>
              </w:rPr>
              <w:t xml:space="preserve">Determine if there are tribes or groups that have an interest in the historic aspects of the project and invite them to participate in the consultation.  For ground disturbing activities, you must make a reasonable and good faith effort to identify Indian tribes that may have an interest.  HUD’s website lists interested tribes by county: </w:t>
            </w:r>
            <w:hyperlink r:id="rId10">
              <w:r>
                <w:rPr>
                  <w:color w:val="0000FF"/>
                  <w:sz w:val="22"/>
                  <w:szCs w:val="22"/>
                  <w:u w:val="single"/>
                </w:rPr>
                <w:t>https://egis.hud.gov/tdat/</w:t>
              </w:r>
            </w:hyperlink>
            <w:r>
              <w:rPr>
                <w:sz w:val="22"/>
                <w:szCs w:val="22"/>
              </w:rPr>
              <w:t>.</w:t>
            </w:r>
            <w:r>
              <w:rPr>
                <w:color w:val="1F497D"/>
                <w:sz w:val="22"/>
                <w:szCs w:val="22"/>
              </w:rPr>
              <w:t xml:space="preserve"> </w:t>
            </w:r>
            <w:r>
              <w:rPr>
                <w:sz w:val="22"/>
                <w:szCs w:val="22"/>
              </w:rPr>
              <w:t>It is suggested that you go to Tribal websites or contact the SHPO to make sure contact information is current.</w:t>
            </w:r>
          </w:p>
          <w:p w14:paraId="0A634E84" w14:textId="343A8AAF" w:rsidR="00754EA1" w:rsidRDefault="009D5DB7" w:rsidP="00814F7C">
            <w:pPr>
              <w:numPr>
                <w:ilvl w:val="0"/>
                <w:numId w:val="2"/>
              </w:numPr>
              <w:spacing w:after="120"/>
              <w:ind w:left="0" w:hanging="2"/>
              <w:rPr>
                <w:sz w:val="22"/>
                <w:szCs w:val="22"/>
              </w:rPr>
            </w:pPr>
            <w:r>
              <w:rPr>
                <w:sz w:val="22"/>
                <w:szCs w:val="22"/>
              </w:rPr>
              <w:t xml:space="preserve">Use the </w:t>
            </w:r>
            <w:r w:rsidR="007566C6">
              <w:rPr>
                <w:sz w:val="22"/>
                <w:szCs w:val="22"/>
              </w:rPr>
              <w:t xml:space="preserve">Idaho </w:t>
            </w:r>
            <w:hyperlink r:id="rId11" w:history="1">
              <w:r w:rsidR="007566C6" w:rsidRPr="00FB4A36">
                <w:rPr>
                  <w:rStyle w:val="Hyperlink"/>
                  <w:color w:val="1257D4"/>
                  <w:sz w:val="22"/>
                  <w:szCs w:val="22"/>
                </w:rPr>
                <w:t>SHPO Consultation Request</w:t>
              </w:r>
            </w:hyperlink>
            <w:r w:rsidR="007566C6">
              <w:rPr>
                <w:sz w:val="22"/>
                <w:szCs w:val="22"/>
              </w:rPr>
              <w:t xml:space="preserve"> form and </w:t>
            </w:r>
            <w:r w:rsidR="00EC0F5F">
              <w:rPr>
                <w:sz w:val="22"/>
                <w:szCs w:val="22"/>
              </w:rPr>
              <w:t xml:space="preserve">Follow Idaho State Historic Preservation Office guidance </w:t>
            </w:r>
            <w:r w:rsidR="00FB4A36">
              <w:rPr>
                <w:sz w:val="22"/>
                <w:szCs w:val="22"/>
              </w:rPr>
              <w:t xml:space="preserve">to </w:t>
            </w:r>
            <w:r w:rsidR="00EC0F5F">
              <w:rPr>
                <w:sz w:val="22"/>
                <w:szCs w:val="22"/>
              </w:rPr>
              <w:t>“</w:t>
            </w:r>
            <w:hyperlink r:id="rId12" w:history="1">
              <w:r w:rsidR="00EC0F5F" w:rsidRPr="00D4593C">
                <w:rPr>
                  <w:rStyle w:val="Hyperlink"/>
                  <w:color w:val="1257D4"/>
                  <w:sz w:val="22"/>
                  <w:szCs w:val="22"/>
                </w:rPr>
                <w:t>Create and Submit a Project Review in ICRIS</w:t>
              </w:r>
            </w:hyperlink>
            <w:r w:rsidR="00EC0F5F">
              <w:rPr>
                <w:sz w:val="22"/>
                <w:szCs w:val="22"/>
              </w:rPr>
              <w:t xml:space="preserve">” with details of the project and project site and your determination if it is eligible for the National Register of Historic Places. </w:t>
            </w:r>
            <w:r w:rsidR="006A4E51">
              <w:rPr>
                <w:sz w:val="22"/>
                <w:szCs w:val="22"/>
              </w:rPr>
              <w:br/>
            </w:r>
            <w:r w:rsidR="00EC0F5F">
              <w:rPr>
                <w:sz w:val="22"/>
                <w:szCs w:val="22"/>
              </w:rPr>
              <w:t xml:space="preserve">Follow HUD guidance linked below to reach out to interested tribes.  SHPO and THPO have 30 calendar days from receipt of adequate documentation to review and concur or comment on your determination of eligibility and finding of effect. If SHPO does not respond within the timeframe or provide a description of additional information needed, you may proceed with the next step of the process based on your finding or consult with the Advisory Council on Historic Preservation (ACHP).  </w:t>
            </w:r>
          </w:p>
          <w:p w14:paraId="0A634E85" w14:textId="77777777" w:rsidR="00754EA1" w:rsidRDefault="00EC0F5F" w:rsidP="00FC6AEF">
            <w:pPr>
              <w:pStyle w:val="ListParagraph"/>
              <w:numPr>
                <w:ilvl w:val="0"/>
                <w:numId w:val="6"/>
              </w:numPr>
              <w:ind w:leftChars="0" w:firstLineChars="0"/>
            </w:pPr>
            <w:r w:rsidRPr="00FC6AEF">
              <w:rPr>
                <w:b/>
                <w:bCs/>
                <w:sz w:val="22"/>
                <w:szCs w:val="22"/>
              </w:rPr>
              <w:t>State Historic Preservation Office Guidance</w:t>
            </w:r>
            <w:r w:rsidRPr="00FC6AEF">
              <w:rPr>
                <w:sz w:val="22"/>
                <w:szCs w:val="22"/>
              </w:rPr>
              <w:t>:</w:t>
            </w:r>
            <w:r>
              <w:t xml:space="preserve"> </w:t>
            </w:r>
            <w:hyperlink r:id="rId13">
              <w:r w:rsidRPr="00FC6AEF">
                <w:rPr>
                  <w:color w:val="1155CC"/>
                  <w:sz w:val="22"/>
                  <w:szCs w:val="22"/>
                  <w:u w:val="single"/>
                </w:rPr>
                <w:t>https://history.idaho.gov/shpo/icris/guida</w:t>
              </w:r>
              <w:r w:rsidRPr="00FC6AEF">
                <w:rPr>
                  <w:color w:val="1257D4"/>
                  <w:sz w:val="22"/>
                  <w:szCs w:val="22"/>
                  <w:u w:val="single"/>
                </w:rPr>
                <w:t>nce/</w:t>
              </w:r>
            </w:hyperlink>
          </w:p>
          <w:p w14:paraId="466DB245" w14:textId="00AA87AE" w:rsidR="00814F7C" w:rsidRPr="00FC6AEF" w:rsidRDefault="00814F7C" w:rsidP="00FC6AEF">
            <w:pPr>
              <w:pStyle w:val="ListParagraph"/>
              <w:numPr>
                <w:ilvl w:val="0"/>
                <w:numId w:val="6"/>
              </w:numPr>
              <w:ind w:leftChars="0" w:firstLineChars="0"/>
              <w:rPr>
                <w:sz w:val="22"/>
                <w:szCs w:val="22"/>
              </w:rPr>
            </w:pPr>
            <w:r w:rsidRPr="00FC6AEF">
              <w:rPr>
                <w:b/>
                <w:bCs/>
                <w:sz w:val="22"/>
                <w:szCs w:val="22"/>
              </w:rPr>
              <w:t xml:space="preserve">HUD </w:t>
            </w:r>
            <w:r w:rsidR="00FF7193" w:rsidRPr="00FC6AEF">
              <w:rPr>
                <w:b/>
                <w:bCs/>
                <w:sz w:val="22"/>
                <w:szCs w:val="22"/>
              </w:rPr>
              <w:t>Tribal Consultation Guidance</w:t>
            </w:r>
            <w:r w:rsidR="00FF7193" w:rsidRPr="00FC6AEF">
              <w:rPr>
                <w:sz w:val="22"/>
                <w:szCs w:val="22"/>
              </w:rPr>
              <w:t xml:space="preserve">: </w:t>
            </w:r>
            <w:hyperlink r:id="rId14" w:history="1">
              <w:r w:rsidR="003D4F72" w:rsidRPr="00FC6AEF">
                <w:rPr>
                  <w:rStyle w:val="Hyperlink"/>
                  <w:color w:val="1852F4"/>
                  <w:sz w:val="22"/>
                  <w:szCs w:val="22"/>
                </w:rPr>
                <w:t>https://www.hudexchange.info/environmental-review/historic-preservation/tribal-consultation/</w:t>
              </w:r>
            </w:hyperlink>
          </w:p>
          <w:p w14:paraId="0A634E86" w14:textId="77777777" w:rsidR="00754EA1" w:rsidRPr="00FC6AEF" w:rsidRDefault="00EC0F5F" w:rsidP="00FC6AEF">
            <w:pPr>
              <w:pStyle w:val="ListParagraph"/>
              <w:numPr>
                <w:ilvl w:val="0"/>
                <w:numId w:val="6"/>
              </w:numPr>
              <w:ind w:leftChars="0" w:firstLineChars="0"/>
              <w:rPr>
                <w:sz w:val="22"/>
                <w:szCs w:val="22"/>
              </w:rPr>
            </w:pPr>
            <w:bookmarkStart w:id="1" w:name="_heading=h.j0wht46zyjj5" w:colFirst="0" w:colLast="0"/>
            <w:bookmarkEnd w:id="1"/>
            <w:r w:rsidRPr="00FC6AEF">
              <w:rPr>
                <w:b/>
                <w:bCs/>
                <w:sz w:val="22"/>
                <w:szCs w:val="22"/>
              </w:rPr>
              <w:t>Tribal Directory Assistance Tool (TDAT)</w:t>
            </w:r>
            <w:r w:rsidRPr="00FC6AEF">
              <w:rPr>
                <w:sz w:val="22"/>
                <w:szCs w:val="22"/>
              </w:rPr>
              <w:t xml:space="preserve">: </w:t>
            </w:r>
            <w:hyperlink r:id="rId15">
              <w:r w:rsidRPr="00FC6AEF">
                <w:rPr>
                  <w:color w:val="1155CC"/>
                  <w:sz w:val="22"/>
                  <w:szCs w:val="22"/>
                  <w:u w:val="single"/>
                </w:rPr>
                <w:t>https://egis.hud.gov/tdat/</w:t>
              </w:r>
            </w:hyperlink>
          </w:p>
        </w:tc>
      </w:tr>
    </w:tbl>
    <w:p w14:paraId="0A634E88" w14:textId="77777777" w:rsidR="00754EA1" w:rsidRDefault="00EC0F5F">
      <w:pPr>
        <w:ind w:left="0" w:hanging="2"/>
        <w:rPr>
          <w:sz w:val="22"/>
          <w:szCs w:val="22"/>
        </w:rPr>
      </w:pPr>
      <w:r>
        <w:rPr>
          <w:sz w:val="22"/>
          <w:szCs w:val="22"/>
        </w:rPr>
        <w:lastRenderedPageBreak/>
        <w:t>Proceed as appropriate based on the Finding:</w:t>
      </w:r>
    </w:p>
    <w:p w14:paraId="0A634E89" w14:textId="77777777" w:rsidR="00754EA1" w:rsidRDefault="00754EA1">
      <w:pPr>
        <w:ind w:left="0" w:hanging="2"/>
        <w:rPr>
          <w:sz w:val="22"/>
          <w:szCs w:val="22"/>
        </w:rPr>
      </w:pPr>
    </w:p>
    <w:p w14:paraId="0A634E8A" w14:textId="77777777" w:rsidR="00754EA1" w:rsidRDefault="00EC0F5F">
      <w:pPr>
        <w:ind w:left="0" w:hanging="2"/>
        <w:rPr>
          <w:sz w:val="22"/>
          <w:szCs w:val="22"/>
        </w:rPr>
      </w:pPr>
      <w:r>
        <w:rPr>
          <w:sz w:val="22"/>
          <w:szCs w:val="22"/>
        </w:rPr>
        <w:t xml:space="preserve">☐ </w:t>
      </w:r>
      <w:r>
        <w:rPr>
          <w:b/>
          <w:sz w:val="22"/>
          <w:szCs w:val="22"/>
        </w:rPr>
        <w:t>No Historic Properties Affected:</w:t>
      </w:r>
      <w:r>
        <w:rPr>
          <w:sz w:val="22"/>
          <w:szCs w:val="22"/>
        </w:rPr>
        <w:t xml:space="preserve">   STOP here. The Section 106 Historic Preservation review is complete. </w:t>
      </w:r>
    </w:p>
    <w:p w14:paraId="0A634E8B" w14:textId="77777777" w:rsidR="00754EA1" w:rsidRDefault="00EC0F5F">
      <w:pPr>
        <w:ind w:left="0" w:hanging="2"/>
        <w:rPr>
          <w:sz w:val="22"/>
          <w:szCs w:val="22"/>
        </w:rPr>
      </w:pPr>
      <w:r>
        <w:rPr>
          <w:sz w:val="22"/>
          <w:szCs w:val="22"/>
          <w:highlight w:val="yellow"/>
        </w:rPr>
        <w:t>Attach SHPO/THPO concurrence, copies of letters to and from other interested parties and the tribes, and your response to the ERR. If SHPO/THPO did not respond within 30 days, your dated letter documents compliance. Record your determination of no historic properties affected on the Statutory Worksheet or Environmental Assessment.</w:t>
      </w:r>
    </w:p>
    <w:p w14:paraId="0A634E8C" w14:textId="77777777" w:rsidR="00754EA1" w:rsidRDefault="00EC0F5F">
      <w:pPr>
        <w:tabs>
          <w:tab w:val="left" w:pos="8625"/>
        </w:tabs>
        <w:ind w:left="0" w:hanging="2"/>
        <w:rPr>
          <w:sz w:val="22"/>
          <w:szCs w:val="22"/>
        </w:rPr>
      </w:pPr>
      <w:r>
        <w:rPr>
          <w:sz w:val="22"/>
          <w:szCs w:val="22"/>
        </w:rPr>
        <w:tab/>
      </w:r>
    </w:p>
    <w:p w14:paraId="0A634E8D" w14:textId="5CC53F43" w:rsidR="00754EA1" w:rsidRDefault="00EC0F5F">
      <w:pPr>
        <w:pBdr>
          <w:top w:val="nil"/>
          <w:left w:val="nil"/>
          <w:bottom w:val="nil"/>
          <w:right w:val="nil"/>
          <w:between w:val="nil"/>
        </w:pBdr>
        <w:spacing w:line="240" w:lineRule="auto"/>
        <w:ind w:left="0" w:hanging="2"/>
        <w:rPr>
          <w:color w:val="000000"/>
          <w:sz w:val="22"/>
          <w:szCs w:val="22"/>
        </w:rPr>
      </w:pPr>
      <w:r>
        <w:rPr>
          <w:b/>
          <w:color w:val="000000"/>
          <w:sz w:val="22"/>
          <w:szCs w:val="22"/>
        </w:rPr>
        <w:t>☐ No Adverse Effect on Historic Property</w:t>
      </w:r>
      <w:r>
        <w:rPr>
          <w:color w:val="000000"/>
          <w:sz w:val="22"/>
          <w:szCs w:val="22"/>
        </w:rPr>
        <w:t>:</w:t>
      </w:r>
      <w:r>
        <w:rPr>
          <w:b/>
          <w:color w:val="000000"/>
          <w:sz w:val="22"/>
          <w:szCs w:val="22"/>
        </w:rPr>
        <w:t xml:space="preserve"> </w:t>
      </w:r>
      <w:r>
        <w:rPr>
          <w:color w:val="000000"/>
          <w:sz w:val="22"/>
          <w:szCs w:val="22"/>
        </w:rPr>
        <w:t xml:space="preserve">STOP here.  The Section 106 Historic Preservation review is complete. </w:t>
      </w:r>
      <w:r>
        <w:rPr>
          <w:b/>
          <w:color w:val="000000"/>
          <w:sz w:val="22"/>
          <w:szCs w:val="22"/>
        </w:rPr>
        <w:t xml:space="preserve"> </w:t>
      </w:r>
      <w:r>
        <w:rPr>
          <w:color w:val="000000"/>
          <w:sz w:val="22"/>
          <w:szCs w:val="22"/>
        </w:rPr>
        <w:t xml:space="preserve"> </w:t>
      </w:r>
      <w:r>
        <w:rPr>
          <w:b/>
          <w:color w:val="000000"/>
          <w:sz w:val="22"/>
          <w:szCs w:val="22"/>
        </w:rPr>
        <w:t>Categorically Excluded projects (24 CFR Part 58.35(a)) CANNOT convert to exempt with this determination</w:t>
      </w:r>
      <w:r>
        <w:rPr>
          <w:color w:val="000000"/>
          <w:sz w:val="22"/>
          <w:szCs w:val="22"/>
        </w:rPr>
        <w:t xml:space="preserve">.  </w:t>
      </w:r>
    </w:p>
    <w:p w14:paraId="0A634E8E" w14:textId="77777777" w:rsidR="00754EA1" w:rsidRDefault="00EC0F5F">
      <w:pPr>
        <w:ind w:left="0" w:hanging="2"/>
        <w:rPr>
          <w:sz w:val="22"/>
          <w:szCs w:val="22"/>
        </w:rPr>
      </w:pPr>
      <w:r>
        <w:rPr>
          <w:sz w:val="22"/>
          <w:szCs w:val="22"/>
          <w:highlight w:val="yellow"/>
        </w:rPr>
        <w:t xml:space="preserve">Attach SHPO/THPO concurrence, copies of letters to and from other interested parties and the tribes, and your response to the ERR. Record your determination of no </w:t>
      </w:r>
      <w:proofErr w:type="spellStart"/>
      <w:r>
        <w:rPr>
          <w:sz w:val="22"/>
          <w:szCs w:val="22"/>
          <w:highlight w:val="yellow"/>
        </w:rPr>
        <w:t xml:space="preserve">adverse </w:t>
      </w:r>
      <w:proofErr w:type="gramStart"/>
      <w:r>
        <w:rPr>
          <w:sz w:val="22"/>
          <w:szCs w:val="22"/>
          <w:highlight w:val="yellow"/>
        </w:rPr>
        <w:t>affect</w:t>
      </w:r>
      <w:proofErr w:type="spellEnd"/>
      <w:proofErr w:type="gramEnd"/>
      <w:r>
        <w:rPr>
          <w:sz w:val="22"/>
          <w:szCs w:val="22"/>
          <w:highlight w:val="yellow"/>
        </w:rPr>
        <w:t xml:space="preserve"> on historic properties on the Statutory Worksheet or Environmental Assessment.</w:t>
      </w:r>
    </w:p>
    <w:p w14:paraId="0A634E8F" w14:textId="77777777" w:rsidR="00754EA1" w:rsidRDefault="00754EA1">
      <w:pPr>
        <w:pBdr>
          <w:top w:val="nil"/>
          <w:left w:val="nil"/>
          <w:bottom w:val="nil"/>
          <w:right w:val="nil"/>
          <w:between w:val="nil"/>
        </w:pBdr>
        <w:spacing w:line="240" w:lineRule="auto"/>
        <w:ind w:left="0" w:hanging="2"/>
        <w:rPr>
          <w:b/>
          <w:color w:val="000000"/>
          <w:sz w:val="22"/>
          <w:szCs w:val="22"/>
        </w:rPr>
      </w:pPr>
    </w:p>
    <w:p w14:paraId="0A634E90" w14:textId="77777777" w:rsidR="00754EA1" w:rsidRDefault="00754EA1">
      <w:pPr>
        <w:pBdr>
          <w:top w:val="nil"/>
          <w:left w:val="nil"/>
          <w:bottom w:val="nil"/>
          <w:right w:val="nil"/>
          <w:between w:val="nil"/>
        </w:pBdr>
        <w:spacing w:line="240" w:lineRule="auto"/>
        <w:ind w:left="0" w:hanging="2"/>
        <w:rPr>
          <w:b/>
          <w:color w:val="000000"/>
          <w:sz w:val="22"/>
          <w:szCs w:val="22"/>
        </w:rPr>
      </w:pPr>
    </w:p>
    <w:p w14:paraId="0A634E91" w14:textId="77777777" w:rsidR="00754EA1" w:rsidRDefault="00EC0F5F">
      <w:pPr>
        <w:pBdr>
          <w:top w:val="nil"/>
          <w:left w:val="nil"/>
          <w:bottom w:val="nil"/>
          <w:right w:val="nil"/>
          <w:between w:val="nil"/>
        </w:pBdr>
        <w:spacing w:line="240" w:lineRule="auto"/>
        <w:ind w:left="0" w:hanging="2"/>
        <w:rPr>
          <w:b/>
          <w:color w:val="000000"/>
        </w:rPr>
      </w:pPr>
      <w:r>
        <w:rPr>
          <w:b/>
          <w:color w:val="000000"/>
        </w:rPr>
        <w:t xml:space="preserve"> ☐ Adverse Effect on Historic Property   </w:t>
      </w:r>
      <w:r>
        <w:rPr>
          <w:color w:val="000000"/>
        </w:rPr>
        <w:t xml:space="preserve">Resolve Adverse Effects per 800.6 in consultation with SHPO/THPO, the ACHP if participating, and any consulting parties.   The loan or grant may not be approved until adverse effects are resolved according to 800.6 or you have </w:t>
      </w:r>
      <w:r>
        <w:rPr>
          <w:color w:val="000000"/>
          <w:sz w:val="22"/>
          <w:szCs w:val="22"/>
        </w:rPr>
        <w:t xml:space="preserve">complied with 36 CFR Part 800.  </w:t>
      </w:r>
      <w:r>
        <w:rPr>
          <w:b/>
          <w:color w:val="000000"/>
          <w:sz w:val="22"/>
          <w:szCs w:val="22"/>
        </w:rPr>
        <w:t>Categorically Excluded projects (24 CFR Part 58.35(a)) CANNOT convert to exempt with this determination</w:t>
      </w:r>
      <w:r>
        <w:rPr>
          <w:color w:val="000000"/>
          <w:sz w:val="22"/>
          <w:szCs w:val="22"/>
        </w:rPr>
        <w:t xml:space="preserve">.  </w:t>
      </w:r>
    </w:p>
    <w:p w14:paraId="0A634E92" w14:textId="77777777" w:rsidR="00754EA1" w:rsidRDefault="00EC0F5F">
      <w:pPr>
        <w:ind w:left="0" w:hanging="2"/>
        <w:rPr>
          <w:sz w:val="22"/>
          <w:szCs w:val="22"/>
        </w:rPr>
      </w:pPr>
      <w:r>
        <w:rPr>
          <w:sz w:val="22"/>
          <w:szCs w:val="22"/>
          <w:highlight w:val="yellow"/>
        </w:rPr>
        <w:t xml:space="preserve">Make sure that the resolution is fully documented in your ERR with all SHPO/THPO correspondence, copies of letters to and from other interested parties and the tribes, surveys, MOAs etc.  </w:t>
      </w:r>
    </w:p>
    <w:p w14:paraId="0A634E93" w14:textId="77777777" w:rsidR="00754EA1" w:rsidRDefault="00754EA1">
      <w:pPr>
        <w:pBdr>
          <w:top w:val="nil"/>
          <w:left w:val="nil"/>
          <w:bottom w:val="nil"/>
          <w:right w:val="nil"/>
          <w:between w:val="nil"/>
        </w:pBdr>
        <w:spacing w:line="240" w:lineRule="auto"/>
        <w:ind w:left="0" w:hanging="2"/>
        <w:rPr>
          <w:b/>
          <w:color w:val="000000"/>
          <w:sz w:val="22"/>
          <w:szCs w:val="22"/>
        </w:rPr>
      </w:pPr>
    </w:p>
    <w:p w14:paraId="3D11CDDA" w14:textId="77777777" w:rsidR="00832BB0" w:rsidRDefault="00832BB0">
      <w:pPr>
        <w:pBdr>
          <w:top w:val="nil"/>
          <w:left w:val="nil"/>
          <w:bottom w:val="nil"/>
          <w:right w:val="nil"/>
          <w:between w:val="nil"/>
        </w:pBdr>
        <w:spacing w:line="240" w:lineRule="auto"/>
        <w:ind w:left="0" w:hanging="2"/>
        <w:rPr>
          <w:b/>
          <w:color w:val="000000"/>
          <w:sz w:val="22"/>
          <w:szCs w:val="22"/>
        </w:rPr>
      </w:pPr>
    </w:p>
    <w:p w14:paraId="46DF0E7C" w14:textId="77777777" w:rsidR="00832BB0" w:rsidRDefault="00832BB0">
      <w:pPr>
        <w:pBdr>
          <w:top w:val="nil"/>
          <w:left w:val="nil"/>
          <w:bottom w:val="nil"/>
          <w:right w:val="nil"/>
          <w:between w:val="nil"/>
        </w:pBdr>
        <w:spacing w:line="240" w:lineRule="auto"/>
        <w:ind w:left="0" w:hanging="2"/>
        <w:rPr>
          <w:b/>
          <w:color w:val="000000"/>
          <w:sz w:val="22"/>
          <w:szCs w:val="22"/>
        </w:rPr>
      </w:pPr>
    </w:p>
    <w:p w14:paraId="0A634E94" w14:textId="77777777" w:rsidR="00754EA1" w:rsidRDefault="00EC0F5F">
      <w:pPr>
        <w:ind w:left="0" w:hanging="2"/>
        <w:rPr>
          <w:u w:val="single"/>
        </w:rPr>
      </w:pPr>
      <w:r>
        <w:rPr>
          <w:b/>
          <w:u w:val="single"/>
        </w:rPr>
        <w:t>Submittal Processes for the Idaho SHPO:</w:t>
      </w:r>
    </w:p>
    <w:p w14:paraId="0A634E95" w14:textId="5C4C3F80" w:rsidR="00754EA1" w:rsidRDefault="00EC0F5F">
      <w:pPr>
        <w:ind w:left="0" w:hanging="2"/>
      </w:pPr>
      <w:r>
        <w:rPr>
          <w:b/>
          <w:sz w:val="22"/>
          <w:szCs w:val="22"/>
        </w:rPr>
        <w:t xml:space="preserve">Register and/or log in to the </w:t>
      </w:r>
      <w:hyperlink r:id="rId16">
        <w:r w:rsidRPr="00AA2D9C">
          <w:rPr>
            <w:b/>
            <w:color w:val="1257D4"/>
            <w:sz w:val="22"/>
            <w:szCs w:val="22"/>
            <w:u w:val="single"/>
          </w:rPr>
          <w:t>Idaho Cultural Resource Information System (ICRIS) to submit a Section 106 review</w:t>
        </w:r>
        <w:r>
          <w:rPr>
            <w:b/>
            <w:color w:val="0000FF"/>
            <w:sz w:val="22"/>
            <w:szCs w:val="22"/>
            <w:u w:val="single"/>
          </w:rPr>
          <w:t>.</w:t>
        </w:r>
      </w:hyperlink>
      <w:r w:rsidR="00984BC9">
        <w:t xml:space="preserve"> Follow guidance </w:t>
      </w:r>
      <w:r w:rsidR="00B56529">
        <w:t>to “</w:t>
      </w:r>
      <w:hyperlink r:id="rId17" w:history="1">
        <w:r w:rsidR="00B56529" w:rsidRPr="00AA2D9C">
          <w:rPr>
            <w:rStyle w:val="Hyperlink"/>
            <w:color w:val="1257D4"/>
          </w:rPr>
          <w:t>Create and Submit a Project for Review in ICRIS</w:t>
        </w:r>
      </w:hyperlink>
      <w:r w:rsidR="00B56529">
        <w:t>”</w:t>
      </w:r>
      <w:r w:rsidR="007E73C1">
        <w:t xml:space="preserve">. </w:t>
      </w:r>
    </w:p>
    <w:p w14:paraId="79C3407B" w14:textId="77777777" w:rsidR="007E73C1" w:rsidRDefault="007E73C1">
      <w:pPr>
        <w:ind w:left="0" w:hanging="2"/>
      </w:pPr>
    </w:p>
    <w:p w14:paraId="21558263" w14:textId="7FE22D1C" w:rsidR="007E73C1" w:rsidRDefault="00291B6A">
      <w:pPr>
        <w:ind w:left="0" w:hanging="2"/>
      </w:pPr>
      <w:r w:rsidRPr="0054591D">
        <w:rPr>
          <w:b/>
          <w:bCs/>
          <w:u w:val="single"/>
        </w:rPr>
        <w:t>Reporting Process for Idaho Programmatic Agreement</w:t>
      </w:r>
      <w:r w:rsidR="008D7CAE" w:rsidRPr="0054591D">
        <w:rPr>
          <w:b/>
          <w:bCs/>
          <w:u w:val="single"/>
        </w:rPr>
        <w:t xml:space="preserve"> signatories</w:t>
      </w:r>
      <w:r w:rsidR="008D7CAE">
        <w:t xml:space="preserve">: </w:t>
      </w:r>
    </w:p>
    <w:p w14:paraId="4D31A982" w14:textId="037AB45D" w:rsidR="00832BB0" w:rsidRDefault="00832BB0">
      <w:pPr>
        <w:ind w:left="0" w:hanging="2"/>
      </w:pPr>
      <w:r>
        <w:t xml:space="preserve">Idaho Section 106 PA Reporting </w:t>
      </w:r>
      <w:r w:rsidR="00B526CD">
        <w:t xml:space="preserve">Process: </w:t>
      </w:r>
      <w:hyperlink r:id="rId18" w:history="1">
        <w:r w:rsidR="009D5DB7" w:rsidRPr="00AA2D9C">
          <w:rPr>
            <w:rStyle w:val="Hyperlink"/>
            <w:color w:val="1257D4"/>
          </w:rPr>
          <w:t>https://history.idaho.gov/wp-content/uploads/HUD-Annual-Report-Guide.pdf</w:t>
        </w:r>
      </w:hyperlink>
      <w:r w:rsidR="009D5DB7" w:rsidRPr="00AA2D9C">
        <w:rPr>
          <w:color w:val="1257D4"/>
        </w:rPr>
        <w:t xml:space="preserve"> </w:t>
      </w:r>
      <w:r w:rsidR="00B526CD">
        <w:t xml:space="preserve"> </w:t>
      </w:r>
      <w:r w:rsidR="009D5DB7">
        <w:t xml:space="preserve"> </w:t>
      </w:r>
    </w:p>
    <w:p w14:paraId="7516DF4D" w14:textId="323598BF" w:rsidR="0054591D" w:rsidRDefault="00CC1B45">
      <w:pPr>
        <w:ind w:left="0" w:hanging="2"/>
      </w:pPr>
      <w:r>
        <w:t xml:space="preserve">Idaho Section 106 PA </w:t>
      </w:r>
      <w:hyperlink r:id="rId19" w:anchor="gid=342548162" w:history="1">
        <w:r w:rsidR="00DB2137" w:rsidRPr="00AA2D9C">
          <w:rPr>
            <w:rStyle w:val="Hyperlink"/>
            <w:color w:val="1257D4"/>
          </w:rPr>
          <w:t>Reporting template</w:t>
        </w:r>
      </w:hyperlink>
    </w:p>
    <w:sectPr w:rsidR="0054591D">
      <w:headerReference w:type="even" r:id="rId20"/>
      <w:headerReference w:type="default" r:id="rId21"/>
      <w:footerReference w:type="even" r:id="rId22"/>
      <w:footerReference w:type="default" r:id="rId23"/>
      <w:headerReference w:type="first" r:id="rId24"/>
      <w:footerReference w:type="first" r:id="rId25"/>
      <w:pgSz w:w="12240" w:h="15840"/>
      <w:pgMar w:top="720" w:right="1152" w:bottom="720" w:left="1152" w:header="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34EB4" w14:textId="77777777" w:rsidR="00EC0F5F" w:rsidRDefault="00EC0F5F">
      <w:pPr>
        <w:spacing w:line="240" w:lineRule="auto"/>
        <w:ind w:left="0" w:hanging="2"/>
      </w:pPr>
      <w:r>
        <w:separator/>
      </w:r>
    </w:p>
  </w:endnote>
  <w:endnote w:type="continuationSeparator" w:id="0">
    <w:p w14:paraId="0A634EB6" w14:textId="77777777" w:rsidR="00EC0F5F" w:rsidRDefault="00EC0F5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B1B1B2D-4D03-45D3-8E64-6DCB67F0E2A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1311E74-F7BE-400E-9D24-99B45A8B299A}"/>
  </w:font>
  <w:font w:name="Calibri">
    <w:panose1 w:val="020F0502020204030204"/>
    <w:charset w:val="00"/>
    <w:family w:val="swiss"/>
    <w:pitch w:val="variable"/>
    <w:sig w:usb0="E4002EFF" w:usb1="C000247B" w:usb2="00000009" w:usb3="00000000" w:csb0="000001FF" w:csb1="00000000"/>
    <w:embedRegular r:id="rId3" w:fontKey="{5C5121E1-6090-4B30-A5D0-D7586410B7F3}"/>
  </w:font>
  <w:font w:name="Cambria">
    <w:panose1 w:val="02040503050406030204"/>
    <w:charset w:val="00"/>
    <w:family w:val="roman"/>
    <w:pitch w:val="variable"/>
    <w:sig w:usb0="E00006FF" w:usb1="420024FF" w:usb2="02000000" w:usb3="00000000" w:csb0="0000019F" w:csb1="00000000"/>
    <w:embedRegular r:id="rId4" w:fontKey="{D420A1E4-C076-4416-9738-88196BF200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A929A" w14:textId="77777777" w:rsidR="002D4650" w:rsidRDefault="002D4650">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34EAE" w14:textId="7E23E5A1" w:rsidR="00754EA1" w:rsidRDefault="00EC0F5F">
    <w:pPr>
      <w:pBdr>
        <w:top w:val="nil"/>
        <w:left w:val="nil"/>
        <w:bottom w:val="nil"/>
        <w:right w:val="nil"/>
        <w:between w:val="nil"/>
      </w:pBdr>
      <w:tabs>
        <w:tab w:val="center" w:pos="4320"/>
        <w:tab w:val="right" w:pos="8640"/>
      </w:tabs>
      <w:spacing w:line="240" w:lineRule="auto"/>
      <w:ind w:left="0" w:hanging="2"/>
      <w:rPr>
        <w:color w:val="000000"/>
        <w:sz w:val="20"/>
        <w:szCs w:val="20"/>
      </w:rPr>
    </w:pPr>
    <w:r>
      <w:rPr>
        <w:color w:val="000000"/>
        <w:sz w:val="20"/>
        <w:szCs w:val="20"/>
      </w:rPr>
      <w:t xml:space="preserve">  </w:t>
    </w:r>
    <w:r>
      <w:rPr>
        <w:color w:val="000000"/>
        <w:sz w:val="20"/>
        <w:szCs w:val="20"/>
      </w:rPr>
      <w:fldChar w:fldCharType="begin"/>
    </w:r>
    <w:r>
      <w:rPr>
        <w:color w:val="000000"/>
        <w:sz w:val="20"/>
        <w:szCs w:val="20"/>
      </w:rPr>
      <w:instrText>PAGE</w:instrText>
    </w:r>
    <w:r>
      <w:rPr>
        <w:color w:val="000000"/>
        <w:sz w:val="20"/>
        <w:szCs w:val="20"/>
      </w:rPr>
      <w:fldChar w:fldCharType="separate"/>
    </w:r>
    <w:r w:rsidR="00814F7C">
      <w:rPr>
        <w:noProof/>
        <w:color w:val="000000"/>
        <w:sz w:val="20"/>
        <w:szCs w:val="20"/>
      </w:rPr>
      <w:t>1</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814F7C">
      <w:rPr>
        <w:noProof/>
        <w:color w:val="000000"/>
        <w:sz w:val="20"/>
        <w:szCs w:val="20"/>
      </w:rPr>
      <w:t>2</w:t>
    </w:r>
    <w:r>
      <w:rPr>
        <w:color w:val="000000"/>
        <w:sz w:val="20"/>
        <w:szCs w:val="20"/>
      </w:rPr>
      <w:fldChar w:fldCharType="end"/>
    </w:r>
    <w:r>
      <w:rPr>
        <w:color w:val="000000"/>
      </w:rPr>
      <w:t xml:space="preserve"> </w:t>
    </w:r>
    <w:r>
      <w:rPr>
        <w:color w:val="000000"/>
      </w:rPr>
      <w:tab/>
    </w:r>
    <w:r>
      <w:rPr>
        <w:color w:val="000000"/>
      </w:rPr>
      <w:tab/>
      <w:t xml:space="preserve">   </w:t>
    </w:r>
    <w:r>
      <w:rPr>
        <w:color w:val="000000"/>
        <w:sz w:val="20"/>
        <w:szCs w:val="20"/>
      </w:rPr>
      <w:t xml:space="preserve">HUD Region X Environmental Office – REV </w:t>
    </w:r>
    <w:r w:rsidR="002D4650">
      <w:rPr>
        <w:color w:val="000000"/>
        <w:sz w:val="20"/>
        <w:szCs w:val="20"/>
      </w:rPr>
      <w:t>Mar</w:t>
    </w:r>
    <w:r>
      <w:rPr>
        <w:color w:val="000000"/>
        <w:sz w:val="20"/>
        <w:szCs w:val="20"/>
      </w:rPr>
      <w:t xml:space="preserve"> 202</w:t>
    </w:r>
    <w:r w:rsidR="002D4650">
      <w:rPr>
        <w:color w:val="000000"/>
        <w:sz w:val="20"/>
        <w:szCs w:val="20"/>
      </w:rPr>
      <w:t>5</w:t>
    </w:r>
  </w:p>
  <w:p w14:paraId="0A634EAF" w14:textId="77777777" w:rsidR="00754EA1" w:rsidRDefault="00754EA1">
    <w:pPr>
      <w:pBdr>
        <w:top w:val="nil"/>
        <w:left w:val="nil"/>
        <w:bottom w:val="nil"/>
        <w:right w:val="nil"/>
        <w:between w:val="nil"/>
      </w:pBdr>
      <w:tabs>
        <w:tab w:val="center" w:pos="4320"/>
        <w:tab w:val="right" w:pos="8640"/>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C32D2" w14:textId="77777777" w:rsidR="002D4650" w:rsidRDefault="002D4650">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34EB0" w14:textId="77777777" w:rsidR="00EC0F5F" w:rsidRDefault="00EC0F5F">
      <w:pPr>
        <w:spacing w:line="240" w:lineRule="auto"/>
        <w:ind w:left="0" w:hanging="2"/>
      </w:pPr>
      <w:r>
        <w:separator/>
      </w:r>
    </w:p>
  </w:footnote>
  <w:footnote w:type="continuationSeparator" w:id="0">
    <w:p w14:paraId="0A634EB2" w14:textId="77777777" w:rsidR="00EC0F5F" w:rsidRDefault="00EC0F5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E8A07" w14:textId="77777777" w:rsidR="002D4650" w:rsidRDefault="002D4650">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3D3F4" w14:textId="77777777" w:rsidR="002D4650" w:rsidRDefault="002D4650">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F709B" w14:textId="77777777" w:rsidR="002D4650" w:rsidRDefault="002D4650">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14B69"/>
    <w:multiLevelType w:val="multilevel"/>
    <w:tmpl w:val="71F401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7ED4B19"/>
    <w:multiLevelType w:val="multilevel"/>
    <w:tmpl w:val="773235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EC34D09"/>
    <w:multiLevelType w:val="multilevel"/>
    <w:tmpl w:val="35706D38"/>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2108665A"/>
    <w:multiLevelType w:val="multilevel"/>
    <w:tmpl w:val="4FA4C9A6"/>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4B52738"/>
    <w:multiLevelType w:val="multilevel"/>
    <w:tmpl w:val="B8CAC6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47EF65DB"/>
    <w:multiLevelType w:val="multilevel"/>
    <w:tmpl w:val="C1B6F2B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333412390">
    <w:abstractNumId w:val="2"/>
  </w:num>
  <w:num w:numId="2" w16cid:durableId="1205020026">
    <w:abstractNumId w:val="0"/>
  </w:num>
  <w:num w:numId="3" w16cid:durableId="1464303351">
    <w:abstractNumId w:val="5"/>
  </w:num>
  <w:num w:numId="4" w16cid:durableId="139929414">
    <w:abstractNumId w:val="1"/>
  </w:num>
  <w:num w:numId="5" w16cid:durableId="1122460001">
    <w:abstractNumId w:val="4"/>
  </w:num>
  <w:num w:numId="6" w16cid:durableId="12836104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EA1"/>
    <w:rsid w:val="00072018"/>
    <w:rsid w:val="00291B6A"/>
    <w:rsid w:val="002D4650"/>
    <w:rsid w:val="002D5CEA"/>
    <w:rsid w:val="003D4F72"/>
    <w:rsid w:val="0054591D"/>
    <w:rsid w:val="006A4E51"/>
    <w:rsid w:val="006D392F"/>
    <w:rsid w:val="007204EC"/>
    <w:rsid w:val="00754EA1"/>
    <w:rsid w:val="007566C6"/>
    <w:rsid w:val="007E73C1"/>
    <w:rsid w:val="00814F7C"/>
    <w:rsid w:val="00832BB0"/>
    <w:rsid w:val="008D7CAE"/>
    <w:rsid w:val="00984BC9"/>
    <w:rsid w:val="009D5DB7"/>
    <w:rsid w:val="00A10AFE"/>
    <w:rsid w:val="00A302C3"/>
    <w:rsid w:val="00AA18A2"/>
    <w:rsid w:val="00AA2D9C"/>
    <w:rsid w:val="00B526CD"/>
    <w:rsid w:val="00B56529"/>
    <w:rsid w:val="00B95668"/>
    <w:rsid w:val="00CC1B45"/>
    <w:rsid w:val="00D4593C"/>
    <w:rsid w:val="00DB2137"/>
    <w:rsid w:val="00E02D20"/>
    <w:rsid w:val="00EC0F5F"/>
    <w:rsid w:val="00FB4A36"/>
    <w:rsid w:val="00FC6AEF"/>
    <w:rsid w:val="00FF7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34E67"/>
  <w15:docId w15:val="{CEA49971-B367-4686-8673-9D875939A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spacing w:before="240" w:after="60"/>
    </w:pPr>
    <w:rPr>
      <w:rFonts w:ascii="Arial" w:hAnsi="Arial" w:cs="Arial"/>
      <w:b/>
      <w:bCs/>
      <w:kern w:val="32"/>
      <w:sz w:val="32"/>
      <w:szCs w:val="32"/>
    </w:rPr>
  </w:style>
  <w:style w:type="paragraph" w:styleId="Heading2">
    <w:name w:val="heading 2"/>
    <w:basedOn w:val="Normal"/>
    <w:next w:val="Normal"/>
    <w:uiPriority w:val="9"/>
    <w:unhideWhenUsed/>
    <w:qFormat/>
    <w:pPr>
      <w:keepNext/>
      <w:jc w:val="center"/>
      <w:outlineLvl w:val="1"/>
    </w:pPr>
    <w:rPr>
      <w:b/>
      <w:bCs/>
      <w:sz w:val="18"/>
    </w:rPr>
  </w:style>
  <w:style w:type="paragraph" w:styleId="Heading3">
    <w:name w:val="heading 3"/>
    <w:basedOn w:val="Normal"/>
    <w:next w:val="Normal"/>
    <w:uiPriority w:val="9"/>
    <w:semiHidden/>
    <w:unhideWhenUsed/>
    <w:qFormat/>
    <w:pPr>
      <w:keepNext/>
      <w:jc w:val="center"/>
      <w:outlineLvl w:val="2"/>
    </w:pPr>
    <w:rPr>
      <w:b/>
      <w:bCs/>
    </w:rPr>
  </w:style>
  <w:style w:type="paragraph" w:styleId="Heading4">
    <w:name w:val="heading 4"/>
    <w:basedOn w:val="Normal"/>
    <w:next w:val="Normal"/>
    <w:uiPriority w:val="9"/>
    <w:semiHidden/>
    <w:unhideWhenUsed/>
    <w:qFormat/>
    <w:pPr>
      <w:keepNext/>
      <w:jc w:val="center"/>
      <w:outlineLvl w:val="3"/>
    </w:pPr>
    <w:rPr>
      <w:b/>
      <w:bCs/>
      <w:sz w:val="22"/>
    </w:rPr>
  </w:style>
  <w:style w:type="paragraph" w:styleId="Heading5">
    <w:name w:val="heading 5"/>
    <w:basedOn w:val="Normal"/>
    <w:next w:val="Normal"/>
    <w:uiPriority w:val="9"/>
    <w:semiHidden/>
    <w:unhideWhenUsed/>
    <w:qFormat/>
    <w:pPr>
      <w:keepNext/>
      <w:outlineLvl w:val="4"/>
    </w:pPr>
    <w:rPr>
      <w:b/>
      <w:bCs/>
      <w:sz w:val="22"/>
    </w:rPr>
  </w:style>
  <w:style w:type="paragraph" w:styleId="Heading6">
    <w:name w:val="heading 6"/>
    <w:basedOn w:val="Normal"/>
    <w:next w:val="Normal"/>
    <w:uiPriority w:val="9"/>
    <w:semiHidden/>
    <w:unhideWhenUsed/>
    <w:qFormat/>
    <w:pPr>
      <w:keepNext/>
      <w:outlineLvl w:val="5"/>
    </w:pPr>
    <w:rPr>
      <w:b/>
      <w:bCs/>
    </w:rPr>
  </w:style>
  <w:style w:type="paragraph" w:styleId="Heading7">
    <w:name w:val="heading 7"/>
    <w:basedOn w:val="Normal"/>
    <w:next w:val="Normal"/>
    <w:pPr>
      <w:keepNext/>
      <w:outlineLvl w:val="6"/>
    </w:pPr>
    <w:rPr>
      <w:b/>
      <w:bCs/>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bCs/>
    </w:rPr>
  </w:style>
  <w:style w:type="character" w:styleId="Hyperlink">
    <w:name w:val="Hyperlink"/>
    <w:rPr>
      <w:color w:val="0000FF"/>
      <w:w w:val="100"/>
      <w:position w:val="-1"/>
      <w:u w:val="single"/>
      <w:effect w:val="none"/>
      <w:vertAlign w:val="baseline"/>
      <w:cs w:val="0"/>
      <w:em w:val="none"/>
    </w:rPr>
  </w:style>
  <w:style w:type="paragraph" w:styleId="BodyTextIndent">
    <w:name w:val="Body Text Indent"/>
    <w:basedOn w:val="Normal"/>
    <w:pPr>
      <w:ind w:left="360" w:hanging="360"/>
    </w:pPr>
    <w:rPr>
      <w:b/>
      <w:bCs/>
    </w:rPr>
  </w:style>
  <w:style w:type="character" w:styleId="FollowedHyperlink">
    <w:name w:val="FollowedHyperlink"/>
    <w:rPr>
      <w:color w:val="800080"/>
      <w:w w:val="100"/>
      <w:position w:val="-1"/>
      <w:u w:val="single"/>
      <w:effect w:val="none"/>
      <w:vertAlign w:val="baseline"/>
      <w:cs w:val="0"/>
      <w:em w:val="none"/>
    </w:rPr>
  </w:style>
  <w:style w:type="paragraph" w:styleId="BodyTextIndent2">
    <w:name w:val="Body Text Indent 2"/>
    <w:basedOn w:val="Normal"/>
    <w:pPr>
      <w:ind w:left="360" w:hanging="360"/>
    </w:pPr>
    <w:rPr>
      <w:b/>
      <w:bCs/>
      <w:sz w:val="22"/>
    </w:rPr>
  </w:style>
  <w:style w:type="character" w:styleId="Strong">
    <w:name w:val="Strong"/>
    <w:rPr>
      <w:b/>
      <w:bCs/>
      <w:w w:val="100"/>
      <w:position w:val="-1"/>
      <w:effect w:val="none"/>
      <w:vertAlign w:val="baseline"/>
      <w:cs w:val="0"/>
      <w:em w:val="none"/>
    </w:rPr>
  </w:style>
  <w:style w:type="paragraph" w:styleId="NormalWeb">
    <w:name w:val="Normal (Web)"/>
    <w:basedOn w:val="Normal"/>
    <w:pPr>
      <w:spacing w:before="100" w:beforeAutospacing="1" w:after="100" w:afterAutospacing="1"/>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Subtitle">
    <w:name w:val="Subtitle"/>
    <w:basedOn w:val="Normal"/>
    <w:uiPriority w:val="11"/>
    <w:qFormat/>
    <w:rPr>
      <w:b/>
    </w:rPr>
  </w:style>
  <w:style w:type="paragraph" w:styleId="ListParagraph">
    <w:name w:val="List Paragraph"/>
    <w:basedOn w:val="Normal"/>
    <w:pPr>
      <w:ind w:left="720"/>
    </w:p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UnresolvedMention">
    <w:name w:val="Unresolved Mention"/>
    <w:qFormat/>
    <w:rPr>
      <w:color w:val="808080"/>
      <w:w w:val="100"/>
      <w:position w:val="-1"/>
      <w:effect w:val="none"/>
      <w:shd w:val="clear" w:color="auto" w:fill="E6E6E6"/>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cris-history.idaho.gov/" TargetMode="External"/><Relationship Id="rId13" Type="http://schemas.openxmlformats.org/officeDocument/2006/relationships/hyperlink" Target="https://history.idaho.gov/shpo/icris/guidance/" TargetMode="External"/><Relationship Id="rId18" Type="http://schemas.openxmlformats.org/officeDocument/2006/relationships/hyperlink" Target="https://history.idaho.gov/wp-content/uploads/HUD-Annual-Report-Guide.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history.idaho.gov/shpo/icris/guidance/" TargetMode="External"/><Relationship Id="rId17" Type="http://schemas.openxmlformats.org/officeDocument/2006/relationships/hyperlink" Target="https://history.idaho.gov/shpo/icris/guidance/"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icris-history.idaho.gov/"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istory.idaho.gov/wp-content/uploads/HUD_CAP_106f.pdf"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egis.hud.gov/tdat/" TargetMode="External"/><Relationship Id="rId23" Type="http://schemas.openxmlformats.org/officeDocument/2006/relationships/footer" Target="footer2.xml"/><Relationship Id="rId10" Type="http://schemas.openxmlformats.org/officeDocument/2006/relationships/hyperlink" Target="https://egis.hud.gov/tdat/" TargetMode="External"/><Relationship Id="rId19" Type="http://schemas.openxmlformats.org/officeDocument/2006/relationships/hyperlink" Target="https://docs.google.com/spreadsheets/d/1EgKEc82bT7Ne8vDfhuZlc21DEdO7CcVn/edit?gid=342548162" TargetMode="External"/><Relationship Id="rId4" Type="http://schemas.openxmlformats.org/officeDocument/2006/relationships/settings" Target="settings.xml"/><Relationship Id="rId9" Type="http://schemas.openxmlformats.org/officeDocument/2006/relationships/hyperlink" Target="https://www.hud.gov/sites/dfiles/State/documents/HUDIdahoSection106ProgrammaticAgreement-signatures.pdf" TargetMode="External"/><Relationship Id="rId14" Type="http://schemas.openxmlformats.org/officeDocument/2006/relationships/hyperlink" Target="https://www.hudexchange.info/environmental-review/historic-preservation/tribal-consultation/"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Tv1Nez26PyDE4zYaPPfVB+a65A==">CgMxLjAyDmguMnUyaTNmZDdmdHRuMg5oLmowd2h0NDZ6eWpqNTgAciExb2t0RGxLUy1peTRfYU5uemc2Z2I0YzEzb0NzT2tSMnE=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Metadata/LabelInfo.xml><?xml version="1.0" encoding="utf-8"?>
<clbl:labelList xmlns:clbl="http://schemas.microsoft.com/office/2020/mipLabelMetadata">
  <clbl:label id="{615524c5-22e9-4bcd-a893-1180a53fc7b2}" enabled="0" method="" siteId="{615524c5-22e9-4bcd-a893-1180a53fc7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1022</Words>
  <Characters>5826</Characters>
  <Application>Microsoft Office Word</Application>
  <DocSecurity>0</DocSecurity>
  <Lines>48</Lines>
  <Paragraphs>13</Paragraphs>
  <ScaleCrop>false</ScaleCrop>
  <Company/>
  <LinksUpToDate>false</LinksUpToDate>
  <CharactersWithSpaces>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 User</dc:creator>
  <cp:lastModifiedBy>Kim, Paul</cp:lastModifiedBy>
  <cp:revision>3</cp:revision>
  <dcterms:created xsi:type="dcterms:W3CDTF">2025-04-01T20:46:00Z</dcterms:created>
  <dcterms:modified xsi:type="dcterms:W3CDTF">2025-07-01T16:51:00Z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axCatchAll">
    <vt:lpwstr/>
  </property>
  <property fmtid="{D5CDD505-2E9C-101B-9397-08002B2CF9AE}" pid="4" name="lcf76f155ced4ddcb4097134ff3c332f">
    <vt:lpwstr/>
  </property>
</Properties>
</file>