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3B50" w14:textId="77777777" w:rsidR="00C52015" w:rsidRDefault="00DA349E">
      <w:pPr>
        <w:pStyle w:val="Heading2"/>
        <w:ind w:left="0" w:hanging="2"/>
      </w:pPr>
      <w:bookmarkStart w:id="0" w:name="_heading=h.gp0za0pkpbxd" w:colFirst="0" w:colLast="0"/>
      <w:bookmarkEnd w:id="0"/>
      <w:r>
        <w:t>Historic Preservation Checklist-Alaska</w:t>
      </w:r>
    </w:p>
    <w:p w14:paraId="1A173B51" w14:textId="77777777" w:rsidR="00C52015" w:rsidRDefault="00DA349E">
      <w:pPr>
        <w:ind w:left="0" w:hanging="2"/>
        <w:jc w:val="center"/>
        <w:rPr>
          <w:sz w:val="20"/>
          <w:szCs w:val="20"/>
        </w:rPr>
      </w:pPr>
      <w:r>
        <w:rPr>
          <w:sz w:val="20"/>
          <w:szCs w:val="20"/>
        </w:rPr>
        <w:t>24CFR Part 58</w:t>
      </w:r>
    </w:p>
    <w:tbl>
      <w:tblPr>
        <w:tblStyle w:val="a1"/>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80"/>
        <w:gridCol w:w="3420"/>
        <w:gridCol w:w="1800"/>
      </w:tblGrid>
      <w:tr w:rsidR="00C52015" w14:paraId="1A173B55" w14:textId="77777777" w:rsidTr="00DA349E">
        <w:tc>
          <w:tcPr>
            <w:tcW w:w="4680" w:type="dxa"/>
            <w:tcBorders>
              <w:bottom w:val="single" w:sz="4" w:space="0" w:color="000000"/>
            </w:tcBorders>
          </w:tcPr>
          <w:p w14:paraId="1A173B52" w14:textId="77777777" w:rsidR="00C52015" w:rsidRDefault="00DA349E">
            <w:pPr>
              <w:ind w:left="0" w:hanging="2"/>
            </w:pPr>
            <w:r>
              <w:rPr>
                <w:b/>
                <w:sz w:val="22"/>
                <w:szCs w:val="22"/>
              </w:rPr>
              <w:t>General requirements</w:t>
            </w:r>
          </w:p>
        </w:tc>
        <w:tc>
          <w:tcPr>
            <w:tcW w:w="3420" w:type="dxa"/>
            <w:tcBorders>
              <w:bottom w:val="single" w:sz="4" w:space="0" w:color="000000"/>
            </w:tcBorders>
          </w:tcPr>
          <w:p w14:paraId="1A173B53" w14:textId="77777777" w:rsidR="00C52015" w:rsidRDefault="00DA349E">
            <w:pPr>
              <w:ind w:left="0" w:hanging="2"/>
            </w:pPr>
            <w:r>
              <w:rPr>
                <w:b/>
                <w:sz w:val="22"/>
                <w:szCs w:val="22"/>
              </w:rPr>
              <w:t>Legislation</w:t>
            </w:r>
          </w:p>
        </w:tc>
        <w:tc>
          <w:tcPr>
            <w:tcW w:w="1800" w:type="dxa"/>
            <w:tcBorders>
              <w:bottom w:val="single" w:sz="4" w:space="0" w:color="000000"/>
            </w:tcBorders>
          </w:tcPr>
          <w:p w14:paraId="1A173B54" w14:textId="77777777" w:rsidR="00C52015" w:rsidRDefault="00DA349E">
            <w:pPr>
              <w:ind w:left="0" w:hanging="2"/>
            </w:pPr>
            <w:r>
              <w:rPr>
                <w:b/>
                <w:sz w:val="22"/>
                <w:szCs w:val="22"/>
              </w:rPr>
              <w:t>Regulation</w:t>
            </w:r>
          </w:p>
        </w:tc>
      </w:tr>
      <w:tr w:rsidR="00C52015" w14:paraId="1A173B5A" w14:textId="77777777" w:rsidTr="00DA349E">
        <w:trPr>
          <w:trHeight w:val="854"/>
        </w:trPr>
        <w:tc>
          <w:tcPr>
            <w:tcW w:w="4680" w:type="dxa"/>
            <w:tcBorders>
              <w:left w:val="single" w:sz="4" w:space="0" w:color="000000"/>
              <w:bottom w:val="single" w:sz="4" w:space="0" w:color="000000"/>
            </w:tcBorders>
          </w:tcPr>
          <w:p w14:paraId="1A173B56" w14:textId="77777777" w:rsidR="00C52015" w:rsidRDefault="00DA349E">
            <w:pPr>
              <w:ind w:left="0" w:hanging="2"/>
            </w:pPr>
            <w:r>
              <w:rPr>
                <w:sz w:val="22"/>
                <w:szCs w:val="22"/>
              </w:rPr>
              <w:t>Protect sites, buildings, and objects listed on or eligible for the National Register of Historic Places.  Identify effects of project on properties</w:t>
            </w:r>
          </w:p>
        </w:tc>
        <w:tc>
          <w:tcPr>
            <w:tcW w:w="3420" w:type="dxa"/>
            <w:tcBorders>
              <w:bottom w:val="single" w:sz="4" w:space="0" w:color="000000"/>
            </w:tcBorders>
          </w:tcPr>
          <w:p w14:paraId="1A173B57" w14:textId="77777777" w:rsidR="00C52015" w:rsidRDefault="00DA349E">
            <w:pPr>
              <w:ind w:left="0" w:hanging="2"/>
            </w:pPr>
            <w:r>
              <w:rPr>
                <w:sz w:val="22"/>
                <w:szCs w:val="22"/>
              </w:rPr>
              <w:t>National Historic Preservation Act, 16 U.S.C. 470(f), section 106</w:t>
            </w:r>
          </w:p>
        </w:tc>
        <w:tc>
          <w:tcPr>
            <w:tcW w:w="1800" w:type="dxa"/>
            <w:tcBorders>
              <w:bottom w:val="single" w:sz="4" w:space="0" w:color="000000"/>
              <w:right w:val="single" w:sz="4" w:space="0" w:color="000000"/>
            </w:tcBorders>
          </w:tcPr>
          <w:p w14:paraId="1A173B58" w14:textId="77777777" w:rsidR="00C52015" w:rsidRDefault="00DA349E">
            <w:pPr>
              <w:ind w:left="0" w:hanging="2"/>
            </w:pPr>
            <w:r>
              <w:rPr>
                <w:sz w:val="22"/>
                <w:szCs w:val="22"/>
              </w:rPr>
              <w:t>36 CFR part 1294</w:t>
            </w:r>
          </w:p>
          <w:p w14:paraId="1A173B59" w14:textId="77777777" w:rsidR="00C52015" w:rsidRDefault="00DA349E">
            <w:pPr>
              <w:ind w:left="0" w:hanging="2"/>
            </w:pPr>
            <w:r>
              <w:rPr>
                <w:sz w:val="22"/>
                <w:szCs w:val="22"/>
              </w:rPr>
              <w:t>36 CFR Part 800</w:t>
            </w:r>
          </w:p>
        </w:tc>
      </w:tr>
    </w:tbl>
    <w:p w14:paraId="1A173B5B" w14:textId="77777777" w:rsidR="00C52015" w:rsidRDefault="00C52015">
      <w:pPr>
        <w:ind w:left="0" w:hanging="2"/>
        <w:rPr>
          <w:sz w:val="22"/>
          <w:szCs w:val="22"/>
        </w:rPr>
      </w:pPr>
    </w:p>
    <w:p w14:paraId="1A173B5C" w14:textId="77777777" w:rsidR="00C52015" w:rsidRDefault="00DA349E">
      <w:pPr>
        <w:ind w:left="0" w:hanging="2"/>
        <w:rPr>
          <w:sz w:val="22"/>
          <w:szCs w:val="22"/>
        </w:rPr>
      </w:pPr>
      <w:r>
        <w:rPr>
          <w:b/>
          <w:sz w:val="22"/>
          <w:szCs w:val="22"/>
        </w:rPr>
        <w:t>1</w:t>
      </w:r>
      <w:proofErr w:type="gramStart"/>
      <w:r>
        <w:rPr>
          <w:b/>
          <w:sz w:val="22"/>
          <w:szCs w:val="22"/>
        </w:rPr>
        <w:t>.  Does</w:t>
      </w:r>
      <w:proofErr w:type="gramEnd"/>
      <w:r>
        <w:rPr>
          <w:b/>
          <w:sz w:val="22"/>
          <w:szCs w:val="22"/>
        </w:rPr>
        <w:t xml:space="preserve"> the project include repair, rehabilitation or conversion of existing properties, new construction, the acquisition of undeveloped land, or any construction that requires ground disturbance?  </w:t>
      </w:r>
    </w:p>
    <w:p w14:paraId="1A173B5D" w14:textId="77777777" w:rsidR="00C52015" w:rsidRDefault="00DA349E">
      <w:pPr>
        <w:ind w:left="0" w:hanging="2"/>
        <w:rPr>
          <w:sz w:val="22"/>
          <w:szCs w:val="22"/>
        </w:rPr>
      </w:pPr>
      <w:bookmarkStart w:id="1" w:name="bookmark=id.21fjx12i00rp" w:colFirst="0" w:colLast="0"/>
      <w:bookmarkEnd w:id="1"/>
      <w:proofErr w:type="gramStart"/>
      <w:r>
        <w:rPr>
          <w:b/>
          <w:sz w:val="22"/>
          <w:szCs w:val="22"/>
        </w:rPr>
        <w:t xml:space="preserve">☐ </w:t>
      </w:r>
      <w:r>
        <w:rPr>
          <w:sz w:val="22"/>
          <w:szCs w:val="22"/>
        </w:rPr>
        <w:t xml:space="preserve"> No</w:t>
      </w:r>
      <w:proofErr w:type="gramEnd"/>
      <w:r>
        <w:rPr>
          <w:sz w:val="22"/>
          <w:szCs w:val="22"/>
        </w:rPr>
        <w:t xml:space="preserve">:   STOP here.  The Section 106 Historic Preservation review is complete. </w:t>
      </w:r>
      <w:r>
        <w:rPr>
          <w:sz w:val="22"/>
          <w:szCs w:val="22"/>
          <w:highlight w:val="yellow"/>
        </w:rPr>
        <w:t>Record your determination on the Statutory Worksheet or Environmental Assessment.</w:t>
      </w:r>
    </w:p>
    <w:p w14:paraId="1A173B5E" w14:textId="77777777" w:rsidR="00C52015" w:rsidRDefault="00DA349E">
      <w:pPr>
        <w:ind w:left="0" w:hanging="2"/>
        <w:rPr>
          <w:sz w:val="22"/>
          <w:szCs w:val="22"/>
        </w:rPr>
      </w:pPr>
      <w:bookmarkStart w:id="2" w:name="bookmark=id.kv9h5f335yyd" w:colFirst="0" w:colLast="0"/>
      <w:bookmarkEnd w:id="2"/>
      <w:proofErr w:type="gramStart"/>
      <w:r>
        <w:rPr>
          <w:b/>
          <w:sz w:val="22"/>
          <w:szCs w:val="22"/>
        </w:rPr>
        <w:t xml:space="preserve">☐  </w:t>
      </w:r>
      <w:r>
        <w:rPr>
          <w:sz w:val="22"/>
          <w:szCs w:val="22"/>
        </w:rPr>
        <w:t>Yes</w:t>
      </w:r>
      <w:proofErr w:type="gramEnd"/>
      <w:r>
        <w:rPr>
          <w:sz w:val="22"/>
          <w:szCs w:val="22"/>
        </w:rPr>
        <w:t>:  PROCEED to #</w:t>
      </w:r>
      <w:r>
        <w:rPr>
          <w:b/>
          <w:sz w:val="22"/>
          <w:szCs w:val="22"/>
        </w:rPr>
        <w:t>2</w:t>
      </w:r>
    </w:p>
    <w:p w14:paraId="1A173B5F" w14:textId="77777777" w:rsidR="00C52015" w:rsidRDefault="00C52015">
      <w:pPr>
        <w:ind w:left="0" w:hanging="2"/>
        <w:rPr>
          <w:sz w:val="22"/>
          <w:szCs w:val="22"/>
        </w:rPr>
      </w:pPr>
    </w:p>
    <w:p w14:paraId="1A173B60" w14:textId="77777777" w:rsidR="00C52015" w:rsidRDefault="00DA349E">
      <w:pPr>
        <w:ind w:left="0" w:hanging="2"/>
      </w:pPr>
      <w:r>
        <w:rPr>
          <w:b/>
          <w:sz w:val="22"/>
          <w:szCs w:val="22"/>
        </w:rPr>
        <w:t xml:space="preserve">2.    </w:t>
      </w:r>
      <w:r>
        <w:rPr>
          <w:b/>
        </w:rPr>
        <w:t xml:space="preserve">Does the project involve </w:t>
      </w:r>
      <w:r>
        <w:rPr>
          <w:b/>
          <w:u w:val="single"/>
        </w:rPr>
        <w:t>only</w:t>
      </w:r>
      <w:r>
        <w:rPr>
          <w:b/>
        </w:rPr>
        <w:t xml:space="preserve"> those activities permitted without further consultation under the programmatic agreement between the City/Tribe and the State Historic Preservation Officer (SHPO)/Advisory Council on Historic Preservation</w:t>
      </w:r>
      <w:r>
        <w:t xml:space="preserve"> (The City/Tribe must be a party to this agreement, if you are unsure contact your HUD Representative, i.e. Grants Management Specialist or CPD Representative.)</w:t>
      </w:r>
    </w:p>
    <w:p w14:paraId="1A173B61" w14:textId="77777777" w:rsidR="00C52015" w:rsidRDefault="00DA349E">
      <w:pPr>
        <w:ind w:left="0" w:hanging="2"/>
        <w:rPr>
          <w:sz w:val="22"/>
          <w:szCs w:val="22"/>
        </w:rPr>
      </w:pPr>
      <w:bookmarkStart w:id="3" w:name="bookmark=id.cb17jn68gnov" w:colFirst="0" w:colLast="0"/>
      <w:bookmarkEnd w:id="3"/>
      <w:proofErr w:type="gramStart"/>
      <w:r>
        <w:rPr>
          <w:b/>
          <w:sz w:val="22"/>
          <w:szCs w:val="22"/>
        </w:rPr>
        <w:t xml:space="preserve">☐ </w:t>
      </w:r>
      <w:r>
        <w:rPr>
          <w:sz w:val="22"/>
          <w:szCs w:val="22"/>
        </w:rPr>
        <w:t xml:space="preserve"> Yes</w:t>
      </w:r>
      <w:proofErr w:type="gramEnd"/>
      <w:r>
        <w:rPr>
          <w:sz w:val="22"/>
          <w:szCs w:val="22"/>
        </w:rPr>
        <w:t xml:space="preserve">:   STOP here.  The Section 106 Historic Preservation review is complete. </w:t>
      </w:r>
      <w:r>
        <w:rPr>
          <w:sz w:val="22"/>
          <w:szCs w:val="22"/>
          <w:highlight w:val="yellow"/>
        </w:rPr>
        <w:t>Record the date of the programmatic agreement, the section of the Programmatic Agreement that identifies your specific project and your determination on the Statutory Worksheet or Environmental Assessment.</w:t>
      </w:r>
    </w:p>
    <w:p w14:paraId="1A173B62" w14:textId="77777777" w:rsidR="00C52015" w:rsidRDefault="00DA349E">
      <w:pPr>
        <w:ind w:left="0" w:hanging="2"/>
        <w:rPr>
          <w:sz w:val="22"/>
          <w:szCs w:val="22"/>
        </w:rPr>
      </w:pPr>
      <w:bookmarkStart w:id="4" w:name="bookmark=id.gqsjsgb6x3ab" w:colFirst="0" w:colLast="0"/>
      <w:bookmarkEnd w:id="4"/>
      <w:proofErr w:type="gramStart"/>
      <w:r>
        <w:rPr>
          <w:b/>
          <w:sz w:val="22"/>
          <w:szCs w:val="22"/>
        </w:rPr>
        <w:t xml:space="preserve">☐  </w:t>
      </w:r>
      <w:r>
        <w:rPr>
          <w:sz w:val="22"/>
          <w:szCs w:val="22"/>
        </w:rPr>
        <w:t>No</w:t>
      </w:r>
      <w:proofErr w:type="gramEnd"/>
      <w:r>
        <w:rPr>
          <w:sz w:val="22"/>
          <w:szCs w:val="22"/>
        </w:rPr>
        <w:t>:  PROCEED to #</w:t>
      </w:r>
      <w:r>
        <w:rPr>
          <w:b/>
          <w:sz w:val="22"/>
          <w:szCs w:val="22"/>
        </w:rPr>
        <w:t>3</w:t>
      </w:r>
    </w:p>
    <w:p w14:paraId="1A173B63" w14:textId="77777777" w:rsidR="00C52015" w:rsidRDefault="00C52015">
      <w:pPr>
        <w:ind w:left="0" w:hanging="2"/>
        <w:rPr>
          <w:sz w:val="22"/>
          <w:szCs w:val="22"/>
        </w:rPr>
      </w:pPr>
    </w:p>
    <w:p w14:paraId="1A173B64" w14:textId="77777777" w:rsidR="00C52015" w:rsidRDefault="00DA349E">
      <w:pPr>
        <w:ind w:left="0" w:hanging="2"/>
        <w:rPr>
          <w:sz w:val="22"/>
          <w:szCs w:val="22"/>
        </w:rPr>
      </w:pPr>
      <w:r>
        <w:rPr>
          <w:b/>
          <w:sz w:val="22"/>
          <w:szCs w:val="22"/>
        </w:rPr>
        <w:t>3</w:t>
      </w:r>
      <w:proofErr w:type="gramStart"/>
      <w:r>
        <w:rPr>
          <w:b/>
          <w:sz w:val="22"/>
          <w:szCs w:val="22"/>
        </w:rPr>
        <w:t>.  Consult</w:t>
      </w:r>
      <w:proofErr w:type="gramEnd"/>
      <w:r>
        <w:rPr>
          <w:b/>
          <w:sz w:val="22"/>
          <w:szCs w:val="22"/>
        </w:rPr>
        <w:t xml:space="preserve"> with SHPO or THPO and any tribes or groups that may have an interest in the project to determine if the project is eligible for the National Historic Register.  </w:t>
      </w:r>
    </w:p>
    <w:tbl>
      <w:tblPr>
        <w:tblStyle w:val="a2"/>
        <w:tblW w:w="10368"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368"/>
      </w:tblGrid>
      <w:tr w:rsidR="00C52015" w14:paraId="1A173B78" w14:textId="77777777">
        <w:tc>
          <w:tcPr>
            <w:tcW w:w="10368" w:type="dxa"/>
          </w:tcPr>
          <w:p w14:paraId="1A173B65" w14:textId="77777777" w:rsidR="00C52015" w:rsidRDefault="00DA349E">
            <w:pPr>
              <w:numPr>
                <w:ilvl w:val="0"/>
                <w:numId w:val="3"/>
              </w:numPr>
              <w:ind w:left="0" w:hanging="2"/>
              <w:rPr>
                <w:sz w:val="22"/>
                <w:szCs w:val="22"/>
              </w:rPr>
            </w:pPr>
            <w:r>
              <w:rPr>
                <w:sz w:val="22"/>
                <w:szCs w:val="22"/>
              </w:rPr>
              <w:t>You must define and consider the Area of Potential Effect (APE).  The APE is the geographic area within which an undertaking may directly or indirectly cause changes in the character or use of historic properties.  The APE is influenced by the scale and nature of an undertaking. (36 CFR Part 800.16).</w:t>
            </w:r>
          </w:p>
          <w:p w14:paraId="1A173B66" w14:textId="77777777" w:rsidR="00C52015" w:rsidRDefault="00DA349E">
            <w:pPr>
              <w:numPr>
                <w:ilvl w:val="0"/>
                <w:numId w:val="2"/>
              </w:numPr>
              <w:ind w:left="0" w:hanging="2"/>
              <w:rPr>
                <w:sz w:val="22"/>
                <w:szCs w:val="22"/>
              </w:rPr>
            </w:pPr>
            <w:r>
              <w:rPr>
                <w:sz w:val="22"/>
                <w:szCs w:val="22"/>
              </w:rPr>
              <w:t xml:space="preserve">In Alaska, for ground‑disturbing activities, you must make a reasonable and good faith effort to identify Indian tribes &amp; Native Villages that may have an interest in the historic aspects of the project. Use of the State of Alaska’s </w:t>
            </w:r>
            <w:hyperlink r:id="rId8">
              <w:r>
                <w:rPr>
                  <w:color w:val="1155CC"/>
                  <w:sz w:val="22"/>
                  <w:szCs w:val="22"/>
                  <w:u w:val="single"/>
                </w:rPr>
                <w:t>Community Database</w:t>
              </w:r>
            </w:hyperlink>
            <w:r>
              <w:rPr>
                <w:sz w:val="22"/>
                <w:szCs w:val="22"/>
              </w:rPr>
              <w:t xml:space="preserve">— which provides mapping capabilities and directories related to tribes and Alaska Native Corporations (ANCs)— and HUD’s </w:t>
            </w:r>
            <w:hyperlink r:id="rId9">
              <w:r>
                <w:rPr>
                  <w:color w:val="1155CC"/>
                  <w:sz w:val="22"/>
                  <w:szCs w:val="22"/>
                  <w:u w:val="single"/>
                </w:rPr>
                <w:t xml:space="preserve">Tribal Directory Assessment Tool </w:t>
              </w:r>
            </w:hyperlink>
            <w:r>
              <w:rPr>
                <w:sz w:val="22"/>
                <w:szCs w:val="22"/>
              </w:rPr>
              <w:t>(TDAT) is highly recommended to locate and contact the appropriate tribes.</w:t>
            </w:r>
          </w:p>
          <w:p w14:paraId="1A173B67" w14:textId="77777777" w:rsidR="00C52015" w:rsidRDefault="00DA349E">
            <w:pPr>
              <w:numPr>
                <w:ilvl w:val="0"/>
                <w:numId w:val="1"/>
              </w:numPr>
              <w:ind w:left="0" w:hanging="2"/>
              <w:rPr>
                <w:sz w:val="22"/>
                <w:szCs w:val="22"/>
              </w:rPr>
            </w:pPr>
            <w:r>
              <w:rPr>
                <w:b/>
                <w:sz w:val="22"/>
                <w:szCs w:val="22"/>
              </w:rPr>
              <w:t>Do not</w:t>
            </w:r>
            <w:r>
              <w:rPr>
                <w:sz w:val="22"/>
                <w:szCs w:val="22"/>
              </w:rPr>
              <w:t xml:space="preserve"> use the Address Information box in TDAT when working on Alaska projects.</w:t>
            </w:r>
            <w:r>
              <w:rPr>
                <w:sz w:val="22"/>
                <w:szCs w:val="22"/>
              </w:rPr>
              <w:br/>
            </w:r>
          </w:p>
          <w:p w14:paraId="1A173B68" w14:textId="77777777" w:rsidR="00C52015" w:rsidRDefault="00DA349E">
            <w:pPr>
              <w:numPr>
                <w:ilvl w:val="0"/>
                <w:numId w:val="1"/>
              </w:numPr>
              <w:ind w:left="0" w:hanging="2"/>
              <w:rPr>
                <w:sz w:val="22"/>
                <w:szCs w:val="22"/>
              </w:rPr>
            </w:pPr>
            <w:r>
              <w:rPr>
                <w:b/>
                <w:sz w:val="22"/>
                <w:szCs w:val="22"/>
              </w:rPr>
              <w:t>For Anchorage, Juneau, Sitka, Skagway, and Wrangell:</w:t>
            </w:r>
            <w:r>
              <w:rPr>
                <w:b/>
                <w:sz w:val="22"/>
                <w:szCs w:val="22"/>
              </w:rPr>
              <w:br/>
            </w:r>
          </w:p>
          <w:p w14:paraId="1A173B69" w14:textId="77777777" w:rsidR="00C52015" w:rsidRDefault="00DA349E">
            <w:pPr>
              <w:numPr>
                <w:ilvl w:val="1"/>
                <w:numId w:val="1"/>
              </w:numPr>
              <w:ind w:left="0" w:hanging="2"/>
              <w:rPr>
                <w:sz w:val="22"/>
                <w:szCs w:val="22"/>
              </w:rPr>
            </w:pPr>
            <w:r>
              <w:rPr>
                <w:sz w:val="22"/>
                <w:szCs w:val="22"/>
              </w:rPr>
              <w:t>On the TDAT homepage, select “Alaska.”</w:t>
            </w:r>
            <w:r>
              <w:rPr>
                <w:sz w:val="22"/>
                <w:szCs w:val="22"/>
              </w:rPr>
              <w:br/>
            </w:r>
          </w:p>
          <w:p w14:paraId="1A173B6A" w14:textId="77777777" w:rsidR="00C52015" w:rsidRDefault="00DA349E">
            <w:pPr>
              <w:numPr>
                <w:ilvl w:val="1"/>
                <w:numId w:val="1"/>
              </w:numPr>
              <w:ind w:left="0" w:hanging="2"/>
              <w:rPr>
                <w:sz w:val="22"/>
                <w:szCs w:val="22"/>
              </w:rPr>
            </w:pPr>
            <w:r>
              <w:rPr>
                <w:sz w:val="22"/>
                <w:szCs w:val="22"/>
              </w:rPr>
              <w:t>Use the County drop‑down list to choose the city or municipality where the project is located.</w:t>
            </w:r>
            <w:r>
              <w:rPr>
                <w:sz w:val="22"/>
                <w:szCs w:val="22"/>
              </w:rPr>
              <w:br/>
            </w:r>
          </w:p>
          <w:p w14:paraId="1A173B6B" w14:textId="77777777" w:rsidR="00C52015" w:rsidRDefault="00DA349E">
            <w:pPr>
              <w:numPr>
                <w:ilvl w:val="0"/>
                <w:numId w:val="1"/>
              </w:numPr>
              <w:ind w:left="0" w:hanging="2"/>
              <w:rPr>
                <w:sz w:val="22"/>
                <w:szCs w:val="22"/>
              </w:rPr>
            </w:pPr>
            <w:r>
              <w:rPr>
                <w:sz w:val="22"/>
                <w:szCs w:val="22"/>
              </w:rPr>
              <w:t>For boroughs and census areas outside those five municipalities:</w:t>
            </w:r>
            <w:r>
              <w:rPr>
                <w:sz w:val="22"/>
                <w:szCs w:val="22"/>
              </w:rPr>
              <w:br/>
            </w:r>
          </w:p>
          <w:p w14:paraId="1A173B6C" w14:textId="77777777" w:rsidR="00C52015" w:rsidRDefault="00DA349E">
            <w:pPr>
              <w:numPr>
                <w:ilvl w:val="1"/>
                <w:numId w:val="1"/>
              </w:numPr>
              <w:ind w:left="0" w:hanging="2"/>
              <w:rPr>
                <w:sz w:val="22"/>
                <w:szCs w:val="22"/>
              </w:rPr>
            </w:pPr>
            <w:r>
              <w:rPr>
                <w:sz w:val="22"/>
                <w:szCs w:val="22"/>
              </w:rPr>
              <w:t>Do not use TDAT*</w:t>
            </w:r>
            <w:r>
              <w:rPr>
                <w:sz w:val="22"/>
                <w:szCs w:val="22"/>
              </w:rPr>
              <w:br/>
            </w:r>
          </w:p>
          <w:p w14:paraId="1A173B6D" w14:textId="77777777" w:rsidR="00C52015" w:rsidRDefault="00DA349E">
            <w:pPr>
              <w:numPr>
                <w:ilvl w:val="1"/>
                <w:numId w:val="1"/>
              </w:numPr>
              <w:ind w:left="0" w:hanging="2"/>
              <w:rPr>
                <w:sz w:val="22"/>
                <w:szCs w:val="22"/>
              </w:rPr>
            </w:pPr>
            <w:r>
              <w:rPr>
                <w:sz w:val="22"/>
                <w:szCs w:val="22"/>
              </w:rPr>
              <w:t xml:space="preserve">Look up the community where the project </w:t>
            </w:r>
            <w:proofErr w:type="gramStart"/>
            <w:r>
              <w:rPr>
                <w:sz w:val="22"/>
                <w:szCs w:val="22"/>
              </w:rPr>
              <w:t>is located in</w:t>
            </w:r>
            <w:proofErr w:type="gramEnd"/>
            <w:r>
              <w:rPr>
                <w:sz w:val="22"/>
                <w:szCs w:val="22"/>
              </w:rPr>
              <w:t xml:space="preserve"> the Alaska Community Database Online.</w:t>
            </w:r>
            <w:r>
              <w:rPr>
                <w:sz w:val="22"/>
                <w:szCs w:val="22"/>
              </w:rPr>
              <w:br/>
            </w:r>
          </w:p>
          <w:p w14:paraId="1A173B6E" w14:textId="77777777" w:rsidR="00C52015" w:rsidRDefault="00DA349E">
            <w:pPr>
              <w:numPr>
                <w:ilvl w:val="1"/>
                <w:numId w:val="1"/>
              </w:numPr>
              <w:ind w:left="0" w:hanging="2"/>
              <w:rPr>
                <w:sz w:val="22"/>
                <w:szCs w:val="22"/>
              </w:rPr>
            </w:pPr>
            <w:r>
              <w:rPr>
                <w:sz w:val="22"/>
                <w:szCs w:val="22"/>
              </w:rPr>
              <w:lastRenderedPageBreak/>
              <w:t xml:space="preserve">From the dropdown menu, select the appropriate </w:t>
            </w:r>
            <w:proofErr w:type="gramStart"/>
            <w:r>
              <w:rPr>
                <w:sz w:val="22"/>
                <w:szCs w:val="22"/>
              </w:rPr>
              <w:t>community</w:t>
            </w:r>
            <w:proofErr w:type="gramEnd"/>
            <w:r>
              <w:rPr>
                <w:sz w:val="22"/>
                <w:szCs w:val="22"/>
              </w:rPr>
              <w:t xml:space="preserve"> name.</w:t>
            </w:r>
            <w:r>
              <w:rPr>
                <w:sz w:val="22"/>
                <w:szCs w:val="22"/>
              </w:rPr>
              <w:br/>
            </w:r>
          </w:p>
          <w:p w14:paraId="1A173B6F" w14:textId="77777777" w:rsidR="00C52015" w:rsidRDefault="00DA349E">
            <w:pPr>
              <w:numPr>
                <w:ilvl w:val="1"/>
                <w:numId w:val="1"/>
              </w:numPr>
              <w:ind w:left="0" w:hanging="2"/>
              <w:rPr>
                <w:sz w:val="22"/>
                <w:szCs w:val="22"/>
              </w:rPr>
            </w:pPr>
            <w:r>
              <w:rPr>
                <w:sz w:val="22"/>
                <w:szCs w:val="22"/>
              </w:rPr>
              <w:t>Under “Community Details,” choose “ANCSA.”</w:t>
            </w:r>
            <w:r>
              <w:rPr>
                <w:sz w:val="22"/>
                <w:szCs w:val="22"/>
              </w:rPr>
              <w:br/>
            </w:r>
          </w:p>
          <w:p w14:paraId="1A173B70" w14:textId="77777777" w:rsidR="00C52015" w:rsidRDefault="00DA349E">
            <w:pPr>
              <w:numPr>
                <w:ilvl w:val="1"/>
                <w:numId w:val="1"/>
              </w:numPr>
              <w:ind w:left="0" w:hanging="2"/>
              <w:rPr>
                <w:sz w:val="22"/>
                <w:szCs w:val="22"/>
              </w:rPr>
            </w:pPr>
            <w:r>
              <w:rPr>
                <w:sz w:val="22"/>
                <w:szCs w:val="22"/>
              </w:rPr>
              <w:t>Note the federally recognized tribes and Alaska Native Corporations (ANCs) associated with that community, as well as any tribes mentioned under the “Culture and History” section.</w:t>
            </w:r>
            <w:r>
              <w:rPr>
                <w:sz w:val="22"/>
                <w:szCs w:val="22"/>
              </w:rPr>
              <w:br/>
            </w:r>
          </w:p>
          <w:p w14:paraId="1A173B71" w14:textId="77777777" w:rsidR="00C52015" w:rsidRDefault="00DA349E">
            <w:pPr>
              <w:numPr>
                <w:ilvl w:val="1"/>
                <w:numId w:val="1"/>
              </w:numPr>
              <w:ind w:left="0" w:hanging="2"/>
              <w:rPr>
                <w:sz w:val="22"/>
                <w:szCs w:val="22"/>
              </w:rPr>
            </w:pPr>
            <w:r>
              <w:rPr>
                <w:sz w:val="22"/>
                <w:szCs w:val="22"/>
              </w:rPr>
              <w:t>Return to the TDAT homepage and, for each tribe identified, select “Option 2: Select a Tribe” to obtain current contact information.</w:t>
            </w:r>
            <w:r>
              <w:rPr>
                <w:sz w:val="22"/>
                <w:szCs w:val="22"/>
              </w:rPr>
              <w:br/>
            </w:r>
          </w:p>
          <w:p w14:paraId="1A173B72" w14:textId="77777777" w:rsidR="00C52015" w:rsidRDefault="00DA349E">
            <w:pPr>
              <w:numPr>
                <w:ilvl w:val="1"/>
                <w:numId w:val="1"/>
              </w:numPr>
              <w:ind w:left="0" w:hanging="2"/>
              <w:rPr>
                <w:sz w:val="22"/>
                <w:szCs w:val="22"/>
              </w:rPr>
            </w:pPr>
            <w:r>
              <w:rPr>
                <w:sz w:val="22"/>
                <w:szCs w:val="22"/>
              </w:rPr>
              <w:t>Consult with the ANCs you identified as well as the tribes.</w:t>
            </w:r>
            <w:r>
              <w:rPr>
                <w:sz w:val="22"/>
                <w:szCs w:val="22"/>
              </w:rPr>
              <w:br/>
            </w:r>
          </w:p>
          <w:p w14:paraId="1A173B73" w14:textId="77777777" w:rsidR="00C52015" w:rsidRDefault="00DA349E">
            <w:pPr>
              <w:numPr>
                <w:ilvl w:val="0"/>
                <w:numId w:val="1"/>
              </w:numPr>
              <w:spacing w:after="240"/>
              <w:ind w:left="0" w:hanging="2"/>
              <w:rPr>
                <w:sz w:val="22"/>
                <w:szCs w:val="22"/>
              </w:rPr>
            </w:pPr>
            <w:r>
              <w:rPr>
                <w:sz w:val="22"/>
                <w:szCs w:val="22"/>
              </w:rPr>
              <w:t xml:space="preserve">The Alaska Community Database can help you verify and locate tribe or ANC </w:t>
            </w:r>
            <w:proofErr w:type="gramStart"/>
            <w:r>
              <w:rPr>
                <w:sz w:val="22"/>
                <w:szCs w:val="22"/>
              </w:rPr>
              <w:t>information, and</w:t>
            </w:r>
            <w:proofErr w:type="gramEnd"/>
            <w:r>
              <w:rPr>
                <w:sz w:val="22"/>
                <w:szCs w:val="22"/>
              </w:rPr>
              <w:t xml:space="preserve"> offers mapping capabilities and directories for additional research.</w:t>
            </w:r>
          </w:p>
          <w:p w14:paraId="1A173B74" w14:textId="77777777" w:rsidR="00C52015" w:rsidRDefault="00DA349E">
            <w:pPr>
              <w:spacing w:before="240" w:after="240"/>
              <w:ind w:left="0" w:hanging="2"/>
              <w:rPr>
                <w:sz w:val="18"/>
                <w:szCs w:val="18"/>
              </w:rPr>
            </w:pPr>
            <w:r>
              <w:rPr>
                <w:sz w:val="18"/>
                <w:szCs w:val="18"/>
              </w:rPr>
              <w:t xml:space="preserve">*The boroughs and census areas listed in the County drop‑down for Alaska cover too broad a geographic area and are not accurate for identifying the specific tribes that may need to be consulted </w:t>
            </w:r>
            <w:proofErr w:type="gramStart"/>
            <w:r>
              <w:rPr>
                <w:sz w:val="18"/>
                <w:szCs w:val="18"/>
              </w:rPr>
              <w:t>in a given</w:t>
            </w:r>
            <w:proofErr w:type="gramEnd"/>
            <w:r>
              <w:rPr>
                <w:sz w:val="18"/>
                <w:szCs w:val="18"/>
              </w:rPr>
              <w:t xml:space="preserve"> community.</w:t>
            </w:r>
          </w:p>
          <w:p w14:paraId="1A173B75" w14:textId="77777777" w:rsidR="00C52015" w:rsidRDefault="00DA349E">
            <w:pPr>
              <w:numPr>
                <w:ilvl w:val="0"/>
                <w:numId w:val="3"/>
              </w:numPr>
              <w:ind w:left="0" w:hanging="2"/>
              <w:rPr>
                <w:sz w:val="22"/>
                <w:szCs w:val="22"/>
              </w:rPr>
            </w:pPr>
            <w:r>
              <w:rPr>
                <w:sz w:val="22"/>
                <w:szCs w:val="22"/>
              </w:rPr>
              <w:t xml:space="preserve">Consult the State Historic Preservation Officer (SHPO), or if the project is on certain tribal lands, the Tribal Historic Preservation Officer (THPO), with details of the project and project site and your determination if it is eligible for the National Historic Register.  SHPO or THPO has 30 days from </w:t>
            </w:r>
            <w:proofErr w:type="gramStart"/>
            <w:r>
              <w:rPr>
                <w:sz w:val="22"/>
                <w:szCs w:val="22"/>
              </w:rPr>
              <w:t>receipt of</w:t>
            </w:r>
            <w:proofErr w:type="gramEnd"/>
            <w:r>
              <w:rPr>
                <w:sz w:val="22"/>
                <w:szCs w:val="22"/>
              </w:rPr>
              <w:t xml:space="preserve"> a well-documented request of review of your determination. We recommend sending the letter with a return receipt form to document the contact.  If they do not respond within the timeframe, or provide a description of additional information needed, you may proceed with the next step of the process based on your </w:t>
            </w:r>
            <w:proofErr w:type="gramStart"/>
            <w:r>
              <w:rPr>
                <w:sz w:val="22"/>
                <w:szCs w:val="22"/>
              </w:rPr>
              <w:t>finding</w:t>
            </w:r>
            <w:proofErr w:type="gramEnd"/>
            <w:r>
              <w:rPr>
                <w:sz w:val="22"/>
                <w:szCs w:val="22"/>
              </w:rPr>
              <w:t xml:space="preserve"> or </w:t>
            </w:r>
            <w:proofErr w:type="gramStart"/>
            <w:r>
              <w:rPr>
                <w:sz w:val="22"/>
                <w:szCs w:val="22"/>
              </w:rPr>
              <w:t>consult</w:t>
            </w:r>
            <w:proofErr w:type="gramEnd"/>
            <w:r>
              <w:rPr>
                <w:sz w:val="22"/>
                <w:szCs w:val="22"/>
              </w:rPr>
              <w:t xml:space="preserve"> with the Advisory Council on Historic Preservation (ACHP).  </w:t>
            </w:r>
          </w:p>
          <w:p w14:paraId="1A173B76" w14:textId="77777777" w:rsidR="00C52015" w:rsidRDefault="00C52015">
            <w:pPr>
              <w:ind w:left="0" w:hanging="2"/>
              <w:rPr>
                <w:sz w:val="22"/>
                <w:szCs w:val="22"/>
              </w:rPr>
            </w:pPr>
          </w:p>
          <w:p w14:paraId="1A173B77" w14:textId="77777777" w:rsidR="00C52015" w:rsidRDefault="00C52015">
            <w:pPr>
              <w:ind w:left="0" w:hanging="2"/>
              <w:rPr>
                <w:sz w:val="22"/>
                <w:szCs w:val="22"/>
              </w:rPr>
            </w:pPr>
          </w:p>
        </w:tc>
      </w:tr>
    </w:tbl>
    <w:p w14:paraId="1A173B79" w14:textId="77777777" w:rsidR="00C52015" w:rsidRDefault="00C52015">
      <w:pPr>
        <w:ind w:left="0" w:hanging="2"/>
        <w:rPr>
          <w:sz w:val="22"/>
          <w:szCs w:val="22"/>
        </w:rPr>
      </w:pPr>
    </w:p>
    <w:p w14:paraId="1A173B7A" w14:textId="77777777" w:rsidR="00C52015" w:rsidRDefault="00C52015">
      <w:pPr>
        <w:ind w:left="0" w:hanging="2"/>
        <w:rPr>
          <w:sz w:val="22"/>
          <w:szCs w:val="22"/>
        </w:rPr>
      </w:pPr>
    </w:p>
    <w:p w14:paraId="1A173B7B" w14:textId="77777777" w:rsidR="00C52015" w:rsidRDefault="00DA349E">
      <w:pPr>
        <w:ind w:left="0" w:hanging="2"/>
        <w:rPr>
          <w:sz w:val="22"/>
          <w:szCs w:val="22"/>
        </w:rPr>
      </w:pPr>
      <w:r>
        <w:rPr>
          <w:sz w:val="22"/>
          <w:szCs w:val="22"/>
        </w:rPr>
        <w:t>Proceed as appropriate based on the Finding:</w:t>
      </w:r>
    </w:p>
    <w:p w14:paraId="1A173B7C" w14:textId="77777777" w:rsidR="00C52015" w:rsidRDefault="00C52015">
      <w:pPr>
        <w:ind w:left="0" w:hanging="2"/>
        <w:rPr>
          <w:sz w:val="22"/>
          <w:szCs w:val="22"/>
        </w:rPr>
      </w:pPr>
    </w:p>
    <w:p w14:paraId="1A173B7D" w14:textId="77777777" w:rsidR="00C52015" w:rsidRDefault="00DA349E">
      <w:pPr>
        <w:ind w:left="0" w:hanging="2"/>
        <w:rPr>
          <w:sz w:val="22"/>
          <w:szCs w:val="22"/>
        </w:rPr>
      </w:pPr>
      <w:r>
        <w:rPr>
          <w:sz w:val="22"/>
          <w:szCs w:val="22"/>
        </w:rPr>
        <w:t xml:space="preserve">☐ </w:t>
      </w:r>
      <w:r>
        <w:rPr>
          <w:b/>
          <w:sz w:val="22"/>
          <w:szCs w:val="22"/>
        </w:rPr>
        <w:t>No Historic Properties Affected:</w:t>
      </w:r>
      <w:r>
        <w:rPr>
          <w:sz w:val="22"/>
          <w:szCs w:val="22"/>
        </w:rPr>
        <w:t xml:space="preserve">   STOP here. The Section 106 Historic Preservation review is complete. </w:t>
      </w:r>
    </w:p>
    <w:p w14:paraId="1A173B7E" w14:textId="77777777" w:rsidR="00C52015" w:rsidRDefault="00DA349E">
      <w:pPr>
        <w:ind w:left="0" w:hanging="2"/>
        <w:rPr>
          <w:sz w:val="22"/>
          <w:szCs w:val="22"/>
        </w:rPr>
      </w:pPr>
      <w:r>
        <w:rPr>
          <w:sz w:val="22"/>
          <w:szCs w:val="22"/>
          <w:highlight w:val="yellow"/>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p>
    <w:p w14:paraId="1A173B7F" w14:textId="77777777" w:rsidR="00C52015" w:rsidRDefault="00C52015">
      <w:pPr>
        <w:ind w:left="0" w:hanging="2"/>
        <w:rPr>
          <w:sz w:val="22"/>
          <w:szCs w:val="22"/>
        </w:rPr>
      </w:pPr>
    </w:p>
    <w:p w14:paraId="1A173B80" w14:textId="77777777" w:rsidR="00C52015" w:rsidRDefault="00DA349E">
      <w:pPr>
        <w:ind w:left="0" w:hanging="2"/>
        <w:rPr>
          <w:sz w:val="22"/>
          <w:szCs w:val="22"/>
        </w:rPr>
      </w:pPr>
      <w:r>
        <w:rPr>
          <w:b/>
          <w:sz w:val="22"/>
          <w:szCs w:val="22"/>
        </w:rPr>
        <w:t>☐ No Adverse Effect on Historic Property</w:t>
      </w:r>
      <w:proofErr w:type="gramStart"/>
      <w:r>
        <w:rPr>
          <w:sz w:val="22"/>
          <w:szCs w:val="22"/>
        </w:rPr>
        <w:t>:</w:t>
      </w:r>
      <w:r>
        <w:rPr>
          <w:b/>
          <w:sz w:val="22"/>
          <w:szCs w:val="22"/>
        </w:rPr>
        <w:t xml:space="preserve">  </w:t>
      </w:r>
      <w:r>
        <w:rPr>
          <w:sz w:val="22"/>
          <w:szCs w:val="22"/>
        </w:rPr>
        <w:t>STOP</w:t>
      </w:r>
      <w:proofErr w:type="gramEnd"/>
      <w:r>
        <w:rPr>
          <w:sz w:val="22"/>
          <w:szCs w:val="22"/>
        </w:rPr>
        <w:t xml:space="preserve"> here.  The Section 106 Historic Preservation review is complete. </w:t>
      </w:r>
      <w:r>
        <w:rPr>
          <w:b/>
          <w:sz w:val="22"/>
          <w:szCs w:val="22"/>
        </w:rPr>
        <w:t xml:space="preserve"> </w:t>
      </w:r>
      <w:r>
        <w:rPr>
          <w:sz w:val="22"/>
          <w:szCs w:val="22"/>
        </w:rPr>
        <w:t xml:space="preserve"> </w:t>
      </w:r>
      <w:r>
        <w:rPr>
          <w:b/>
          <w:sz w:val="22"/>
          <w:szCs w:val="22"/>
        </w:rPr>
        <w:t>Categorically Excluded projects (24 CFR Part 58.35(a)) CANNOT convert to exempt with this determination</w:t>
      </w:r>
      <w:r>
        <w:rPr>
          <w:sz w:val="22"/>
          <w:szCs w:val="22"/>
        </w:rPr>
        <w:t xml:space="preserve">.  </w:t>
      </w:r>
    </w:p>
    <w:p w14:paraId="1A173B81" w14:textId="77777777" w:rsidR="00C52015" w:rsidRDefault="00DA349E">
      <w:pPr>
        <w:ind w:left="0" w:hanging="2"/>
        <w:rPr>
          <w:sz w:val="22"/>
          <w:szCs w:val="22"/>
        </w:rPr>
      </w:pPr>
      <w:r>
        <w:rPr>
          <w:sz w:val="22"/>
          <w:szCs w:val="22"/>
          <w:highlight w:val="yellow"/>
        </w:rPr>
        <w:t xml:space="preserve">Attach SHPO/THPO concurrence, copies of letters to and from other interested parties and the tribes, and your response to the ERR. Record your determination of no </w:t>
      </w:r>
      <w:proofErr w:type="spellStart"/>
      <w:r>
        <w:rPr>
          <w:sz w:val="22"/>
          <w:szCs w:val="22"/>
          <w:highlight w:val="yellow"/>
        </w:rPr>
        <w:t xml:space="preserve">adverse </w:t>
      </w:r>
      <w:proofErr w:type="gramStart"/>
      <w:r>
        <w:rPr>
          <w:sz w:val="22"/>
          <w:szCs w:val="22"/>
          <w:highlight w:val="yellow"/>
        </w:rPr>
        <w:t>affect</w:t>
      </w:r>
      <w:proofErr w:type="spellEnd"/>
      <w:proofErr w:type="gramEnd"/>
      <w:r>
        <w:rPr>
          <w:sz w:val="22"/>
          <w:szCs w:val="22"/>
          <w:highlight w:val="yellow"/>
        </w:rPr>
        <w:t xml:space="preserve"> on historic properties on the Statutory Worksheet or Environmental Assessment.</w:t>
      </w:r>
    </w:p>
    <w:p w14:paraId="1A173B82" w14:textId="77777777" w:rsidR="00C52015" w:rsidRDefault="00C52015">
      <w:pPr>
        <w:ind w:left="0" w:hanging="2"/>
        <w:rPr>
          <w:sz w:val="22"/>
          <w:szCs w:val="22"/>
        </w:rPr>
      </w:pPr>
    </w:p>
    <w:p w14:paraId="1A173B83" w14:textId="77777777" w:rsidR="00C52015" w:rsidRDefault="00C52015">
      <w:pPr>
        <w:ind w:left="0" w:hanging="2"/>
        <w:rPr>
          <w:sz w:val="22"/>
          <w:szCs w:val="22"/>
        </w:rPr>
      </w:pPr>
    </w:p>
    <w:p w14:paraId="1A173B84" w14:textId="77777777" w:rsidR="00C52015" w:rsidRDefault="00DA349E">
      <w:pPr>
        <w:ind w:left="0" w:hanging="2"/>
      </w:pPr>
      <w:r>
        <w:rPr>
          <w:b/>
        </w:rPr>
        <w:t xml:space="preserve"> ☐ Adverse Effect on Historic Property   </w:t>
      </w:r>
      <w:r>
        <w:t xml:space="preserve">Resolve Adverse Effects per 800.6 in consultation with SHPO/THPO, the ACHP if participating, and any consulting parties.   The loan or grant may not be approved until adverse effects are resolved according to 800.6 or you have </w:t>
      </w:r>
      <w:r>
        <w:rPr>
          <w:sz w:val="22"/>
          <w:szCs w:val="22"/>
        </w:rPr>
        <w:t xml:space="preserve">complied </w:t>
      </w:r>
      <w:r>
        <w:rPr>
          <w:sz w:val="22"/>
          <w:szCs w:val="22"/>
        </w:rPr>
        <w:lastRenderedPageBreak/>
        <w:t xml:space="preserve">with 36 CFR Part 800.  </w:t>
      </w:r>
      <w:r>
        <w:rPr>
          <w:b/>
          <w:sz w:val="22"/>
          <w:szCs w:val="22"/>
        </w:rPr>
        <w:t>Categorically Excluded projects (24 CFR Part 58.35(a)) CANNOT convert to exempt with this determination</w:t>
      </w:r>
      <w:r>
        <w:rPr>
          <w:sz w:val="22"/>
          <w:szCs w:val="22"/>
        </w:rPr>
        <w:t xml:space="preserve">.  </w:t>
      </w:r>
    </w:p>
    <w:p w14:paraId="1A173B85" w14:textId="77777777" w:rsidR="00C52015" w:rsidRDefault="00DA349E">
      <w:pPr>
        <w:ind w:left="0" w:hanging="2"/>
        <w:rPr>
          <w:sz w:val="22"/>
          <w:szCs w:val="22"/>
        </w:rPr>
      </w:pPr>
      <w:r>
        <w:rPr>
          <w:sz w:val="22"/>
          <w:szCs w:val="22"/>
          <w:highlight w:val="yellow"/>
        </w:rPr>
        <w:t xml:space="preserve">Make sure that the resolution is fully documented in your ERR with all SHPO/THPO correspondence, copies of letters to and from other interested parties and the tribes, surveys, MOAs etc.  </w:t>
      </w:r>
    </w:p>
    <w:p w14:paraId="1A173B86" w14:textId="77777777" w:rsidR="00C52015" w:rsidRDefault="00C52015">
      <w:pPr>
        <w:ind w:left="0" w:hanging="2"/>
        <w:rPr>
          <w:sz w:val="22"/>
          <w:szCs w:val="22"/>
        </w:rPr>
      </w:pPr>
    </w:p>
    <w:p w14:paraId="1A173B87" w14:textId="77777777" w:rsidR="00C52015" w:rsidRDefault="00C52015">
      <w:pPr>
        <w:ind w:left="0" w:hanging="2"/>
        <w:rPr>
          <w:sz w:val="22"/>
          <w:szCs w:val="22"/>
        </w:rPr>
      </w:pPr>
    </w:p>
    <w:p w14:paraId="1A173B88" w14:textId="77777777" w:rsidR="00C52015" w:rsidRDefault="00C52015">
      <w:pPr>
        <w:ind w:left="0" w:hanging="2"/>
        <w:rPr>
          <w:sz w:val="22"/>
          <w:szCs w:val="22"/>
        </w:rPr>
      </w:pPr>
    </w:p>
    <w:p w14:paraId="1A173B89" w14:textId="77777777" w:rsidR="00C52015" w:rsidRDefault="00C52015">
      <w:pPr>
        <w:ind w:left="0" w:hanging="2"/>
        <w:rPr>
          <w:sz w:val="22"/>
          <w:szCs w:val="22"/>
        </w:rPr>
      </w:pPr>
    </w:p>
    <w:p w14:paraId="1A173B8A" w14:textId="77777777" w:rsidR="00C52015" w:rsidRDefault="00C52015">
      <w:pPr>
        <w:ind w:left="0" w:hanging="2"/>
        <w:rPr>
          <w:sz w:val="22"/>
          <w:szCs w:val="22"/>
        </w:rPr>
      </w:pPr>
    </w:p>
    <w:p w14:paraId="1A173B8B" w14:textId="77777777" w:rsidR="00C52015" w:rsidRDefault="00C52015">
      <w:pPr>
        <w:ind w:left="0" w:hanging="2"/>
        <w:rPr>
          <w:sz w:val="22"/>
          <w:szCs w:val="22"/>
        </w:rPr>
      </w:pPr>
    </w:p>
    <w:p w14:paraId="1A173B8C" w14:textId="77777777" w:rsidR="00C52015" w:rsidRDefault="00C52015">
      <w:pPr>
        <w:ind w:left="0" w:hanging="2"/>
        <w:rPr>
          <w:sz w:val="22"/>
          <w:szCs w:val="22"/>
        </w:rPr>
      </w:pPr>
    </w:p>
    <w:p w14:paraId="1A173B8D" w14:textId="77777777" w:rsidR="00C52015" w:rsidRDefault="00C52015">
      <w:pPr>
        <w:ind w:left="0" w:hanging="2"/>
        <w:rPr>
          <w:sz w:val="22"/>
          <w:szCs w:val="22"/>
        </w:rPr>
      </w:pPr>
      <w:bookmarkStart w:id="5" w:name="_heading=h.6sau48te2s29" w:colFirst="0" w:colLast="0"/>
      <w:bookmarkEnd w:id="5"/>
    </w:p>
    <w:p w14:paraId="1A173B8E" w14:textId="77777777" w:rsidR="00C52015" w:rsidRDefault="00DA349E">
      <w:pPr>
        <w:pStyle w:val="Heading1"/>
        <w:spacing w:before="0" w:after="0"/>
        <w:ind w:left="1" w:hanging="3"/>
      </w:pPr>
      <w:r>
        <w:rPr>
          <w:noProof/>
        </w:rPr>
        <mc:AlternateContent>
          <mc:Choice Requires="wps">
            <w:drawing>
              <wp:anchor distT="0" distB="0" distL="114300" distR="114300" simplePos="0" relativeHeight="251658240" behindDoc="0" locked="0" layoutInCell="1" hidden="0" allowOverlap="1" wp14:anchorId="1A173B8F" wp14:editId="1A173B90">
                <wp:simplePos x="0" y="0"/>
                <wp:positionH relativeFrom="column">
                  <wp:posOffset>-76199</wp:posOffset>
                </wp:positionH>
                <wp:positionV relativeFrom="paragraph">
                  <wp:posOffset>76200</wp:posOffset>
                </wp:positionV>
                <wp:extent cx="5734050" cy="1047750"/>
                <wp:effectExtent l="0" t="0" r="0" b="0"/>
                <wp:wrapNone/>
                <wp:docPr id="2" name="Rectangle 2"/>
                <wp:cNvGraphicFramePr/>
                <a:graphic xmlns:a="http://schemas.openxmlformats.org/drawingml/2006/main">
                  <a:graphicData uri="http://schemas.microsoft.com/office/word/2010/wordprocessingShape">
                    <wps:wsp>
                      <wps:cNvSpPr/>
                      <wps:spPr>
                        <a:xfrm>
                          <a:off x="2488500" y="3265650"/>
                          <a:ext cx="571500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173B92" w14:textId="77777777" w:rsidR="00C52015" w:rsidRDefault="00C52015">
                            <w:pPr>
                              <w:spacing w:line="240" w:lineRule="auto"/>
                              <w:ind w:left="0" w:hanging="2"/>
                            </w:pPr>
                          </w:p>
                          <w:p w14:paraId="1A173B93" w14:textId="77777777" w:rsidR="00C52015" w:rsidRDefault="00DA349E">
                            <w:pPr>
                              <w:spacing w:line="240" w:lineRule="auto"/>
                              <w:ind w:left="0" w:right="240" w:hanging="2"/>
                              <w:jc w:val="both"/>
                            </w:pPr>
                            <w:r>
                              <w:rPr>
                                <w:b/>
                                <w:color w:val="000000"/>
                                <w:sz w:val="22"/>
                              </w:rPr>
                              <w:t>DISCLAIMER</w:t>
                            </w:r>
                            <w:r>
                              <w:rPr>
                                <w:color w:val="000000"/>
                                <w:sz w:val="22"/>
                              </w:rPr>
                              <w:t xml:space="preserve">: This document is intended as a tool to help grantees and HUD staff complete NEPA requirements.  This document is subject to change.  This is not a policy statement.  Legislation and Regulations take precedence over any information found in this document. </w:t>
                            </w:r>
                          </w:p>
                          <w:p w14:paraId="1A173B94" w14:textId="77777777" w:rsidR="00C52015" w:rsidRDefault="00C52015">
                            <w:pPr>
                              <w:spacing w:line="240" w:lineRule="auto"/>
                              <w:ind w:left="0" w:hanging="2"/>
                            </w:pPr>
                          </w:p>
                          <w:p w14:paraId="1A173B95" w14:textId="77777777" w:rsidR="00C52015" w:rsidRDefault="00C52015">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A173B8F" id="Rectangle 2" o:spid="_x0000_s1026" style="position:absolute;left:0;text-align:left;margin-left:-6pt;margin-top:6pt;width:451.5pt;height:8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">
                <v:stroke startarrowwidth="narrow" startarrowlength="short" endarrowwidth="narrow" endarrowlength="short"/>
                <v:textbox inset="2.53958mm,1.2694mm,2.53958mm,1.2694mm">
                  <w:txbxContent>
                    <w:p w14:paraId="1A173B92" w14:textId="77777777" w:rsidR="00C52015" w:rsidRDefault="00C52015">
                      <w:pPr>
                        <w:spacing w:line="240" w:lineRule="auto"/>
                        <w:ind w:left="0" w:hanging="2"/>
                      </w:pPr>
                    </w:p>
                    <w:p w14:paraId="1A173B93" w14:textId="77777777" w:rsidR="00C52015" w:rsidRDefault="00DA349E">
                      <w:pPr>
                        <w:spacing w:line="240" w:lineRule="auto"/>
                        <w:ind w:left="0" w:right="240" w:hanging="2"/>
                        <w:jc w:val="both"/>
                      </w:pPr>
                      <w:r>
                        <w:rPr>
                          <w:b/>
                          <w:color w:val="000000"/>
                          <w:sz w:val="22"/>
                        </w:rPr>
                        <w:t>DISCLAIMER</w:t>
                      </w:r>
                      <w:r>
                        <w:rPr>
                          <w:color w:val="000000"/>
                          <w:sz w:val="22"/>
                        </w:rPr>
                        <w:t xml:space="preserve">: This document is intended as a tool to help grantees and HUD staff complete NEPA requirements.  This document is subject to change.  This is not a policy statement.  Legislation and Regulations take precedence over any information found in this document. </w:t>
                      </w:r>
                    </w:p>
                    <w:p w14:paraId="1A173B94" w14:textId="77777777" w:rsidR="00C52015" w:rsidRDefault="00C52015">
                      <w:pPr>
                        <w:spacing w:line="240" w:lineRule="auto"/>
                        <w:ind w:left="0" w:hanging="2"/>
                      </w:pPr>
                    </w:p>
                    <w:p w14:paraId="1A173B95" w14:textId="77777777" w:rsidR="00C52015" w:rsidRDefault="00C52015">
                      <w:pPr>
                        <w:spacing w:line="240" w:lineRule="auto"/>
                        <w:ind w:left="0" w:hanging="2"/>
                      </w:pPr>
                    </w:p>
                  </w:txbxContent>
                </v:textbox>
              </v:rect>
            </w:pict>
          </mc:Fallback>
        </mc:AlternateContent>
      </w:r>
    </w:p>
    <w:sectPr w:rsidR="00C52015">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73B96" w14:textId="77777777" w:rsidR="00DA349E" w:rsidRDefault="00DA349E">
      <w:pPr>
        <w:spacing w:line="240" w:lineRule="auto"/>
        <w:ind w:left="0" w:hanging="2"/>
      </w:pPr>
      <w:r>
        <w:separator/>
      </w:r>
    </w:p>
  </w:endnote>
  <w:endnote w:type="continuationSeparator" w:id="0">
    <w:p w14:paraId="1A173B98" w14:textId="77777777" w:rsidR="00DA349E" w:rsidRDefault="00DA349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1BD91F3-6089-460F-8EE2-223CC5D5ACC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0942F1A-3467-43CB-9D04-2D852159753C}"/>
  </w:font>
  <w:font w:name="Georgia">
    <w:panose1 w:val="02040502050405020303"/>
    <w:charset w:val="00"/>
    <w:family w:val="auto"/>
    <w:pitch w:val="default"/>
    <w:embedRegular r:id="rId3" w:fontKey="{81563A14-ECE3-438A-BA6B-27BDBCE804A8}"/>
    <w:embedItalic r:id="rId4" w:fontKey="{D6958725-C17E-4CBA-9EB6-1587051BE8E7}"/>
  </w:font>
  <w:font w:name="Calibri">
    <w:panose1 w:val="020F0502020204030204"/>
    <w:charset w:val="00"/>
    <w:family w:val="swiss"/>
    <w:pitch w:val="variable"/>
    <w:sig w:usb0="E4002EFF" w:usb1="C000247B" w:usb2="00000009" w:usb3="00000000" w:csb0="000001FF" w:csb1="00000000"/>
    <w:embedRegular r:id="rId5" w:fontKey="{DD62521D-44EB-477F-B226-A58A56A28B59}"/>
  </w:font>
  <w:font w:name="Cambria">
    <w:panose1 w:val="02040503050406030204"/>
    <w:charset w:val="00"/>
    <w:family w:val="roman"/>
    <w:pitch w:val="variable"/>
    <w:sig w:usb0="E00006FF" w:usb1="420024FF" w:usb2="02000000" w:usb3="00000000" w:csb0="0000019F" w:csb1="00000000"/>
    <w:embedRegular r:id="rId6" w:fontKey="{ACF43E39-0CAE-42C2-AD53-C3FE75344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3B91" w14:textId="77777777" w:rsidR="00C52015" w:rsidRDefault="00DA349E">
    <w:pPr>
      <w:pBdr>
        <w:top w:val="single" w:sz="18" w:space="1" w:color="000000"/>
        <w:left w:val="nil"/>
        <w:bottom w:val="nil"/>
        <w:right w:val="nil"/>
        <w:between w:val="nil"/>
      </w:pBdr>
      <w:tabs>
        <w:tab w:val="right" w:pos="9350"/>
      </w:tabs>
      <w:spacing w:line="240" w:lineRule="auto"/>
      <w:ind w:left="0" w:right="-1385" w:hanging="2"/>
      <w:rPr>
        <w:color w:val="000000"/>
      </w:rPr>
    </w:pP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73B92" w14:textId="77777777" w:rsidR="00DA349E" w:rsidRDefault="00DA349E">
      <w:pPr>
        <w:spacing w:line="240" w:lineRule="auto"/>
        <w:ind w:left="0" w:hanging="2"/>
      </w:pPr>
      <w:r>
        <w:separator/>
      </w:r>
    </w:p>
  </w:footnote>
  <w:footnote w:type="continuationSeparator" w:id="0">
    <w:p w14:paraId="1A173B94" w14:textId="77777777" w:rsidR="00DA349E" w:rsidRDefault="00DA349E">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48D0"/>
    <w:multiLevelType w:val="multilevel"/>
    <w:tmpl w:val="440C0390"/>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 w15:restartNumberingAfterBreak="0">
    <w:nsid w:val="60E033F9"/>
    <w:multiLevelType w:val="multilevel"/>
    <w:tmpl w:val="205CC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C20567"/>
    <w:multiLevelType w:val="multilevel"/>
    <w:tmpl w:val="03925A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9952288">
    <w:abstractNumId w:val="0"/>
  </w:num>
  <w:num w:numId="2" w16cid:durableId="764805199">
    <w:abstractNumId w:val="1"/>
  </w:num>
  <w:num w:numId="3" w16cid:durableId="1746491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015"/>
    <w:rsid w:val="001B0928"/>
    <w:rsid w:val="00C0264E"/>
    <w:rsid w:val="00C52015"/>
    <w:rsid w:val="00DA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73B50"/>
  <w15:docId w15:val="{8612FEE1-A5C4-4FB4-8A4C-8EEA1BE8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b/>
      <w:kern w:val="32"/>
      <w:sz w:val="32"/>
      <w:szCs w:val="32"/>
    </w:rPr>
  </w:style>
  <w:style w:type="paragraph" w:styleId="Heading2">
    <w:name w:val="heading 2"/>
    <w:basedOn w:val="Normal"/>
    <w:next w:val="Normal"/>
    <w:uiPriority w:val="9"/>
    <w:unhideWhenUsed/>
    <w:qFormat/>
    <w:pPr>
      <w:keepNext/>
      <w:ind w:left="-900"/>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w w:val="100"/>
      <w:kern w:val="32"/>
      <w:position w:val="-1"/>
      <w:sz w:val="32"/>
      <w:szCs w:val="32"/>
      <w:effect w:val="none"/>
      <w:vertAlign w:val="baseline"/>
      <w:cs w:val="0"/>
      <w:em w:val="none"/>
    </w:rPr>
  </w:style>
  <w:style w:type="character" w:customStyle="1" w:styleId="Heading2Char">
    <w:name w:val="Heading 2 Char"/>
    <w:rPr>
      <w:rFonts w:ascii="Times New Roman" w:eastAsia="Times New Roman" w:hAnsi="Times New Roman" w:cs="Times New Roman"/>
      <w:b/>
      <w:bCs/>
      <w:w w:val="100"/>
      <w:position w:val="-1"/>
      <w:sz w:val="24"/>
      <w:szCs w:val="24"/>
      <w:effect w:val="none"/>
      <w:vertAlign w:val="baseline"/>
      <w:cs w:val="0"/>
      <w:em w:val="none"/>
    </w:rPr>
  </w:style>
  <w:style w:type="paragraph" w:styleId="BodyTextIndent2">
    <w:name w:val="Body Text Indent 2"/>
    <w:basedOn w:val="Normal"/>
    <w:pPr>
      <w:ind w:left="360" w:hanging="360"/>
    </w:pPr>
    <w:rPr>
      <w:b/>
      <w:bCs/>
      <w:sz w:val="22"/>
    </w:rPr>
  </w:style>
  <w:style w:type="character" w:customStyle="1" w:styleId="BodyTextIndent2Char">
    <w:name w:val="Body Text Indent 2 Char"/>
    <w:rPr>
      <w:rFonts w:ascii="Times New Roman" w:eastAsia="Times New Roman" w:hAnsi="Times New Roman" w:cs="Times New Roman"/>
      <w:b/>
      <w:bCs/>
      <w:w w:val="100"/>
      <w:position w:val="-1"/>
      <w:szCs w:val="24"/>
      <w:effect w:val="none"/>
      <w:vertAlign w:val="baseline"/>
      <w:cs w:val="0"/>
      <w:em w:val="none"/>
    </w:rPr>
  </w:style>
  <w:style w:type="paragraph" w:styleId="BodyTextIndent">
    <w:name w:val="Body Text Indent"/>
    <w:basedOn w:val="Normal"/>
    <w:pPr>
      <w:ind w:left="720" w:hanging="720"/>
    </w:p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rPr>
  </w:style>
  <w:style w:type="paragraph" w:styleId="Footer">
    <w:name w:val="footer"/>
    <w:basedOn w:val="Normal"/>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2F16ED"/>
    <w:rPr>
      <w:color w:val="605E5C"/>
      <w:shd w:val="clear" w:color="auto" w:fill="E1DFD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cra-cdo-dcced.opendata.arcgi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gis.hud.gov/td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VkAdAdniPMY2bSECuJQ6Zz2RQ==">CgMxLjAyDmguZ3AwemEwcGtwYnhkMg9pZC4yMWZqeDEyaTAwcnAyD2lkLmt2OWg1ZjMzNXl5ZDIPaWQuY2IxN2puNjhnbm92Mg9pZC5ncXNqc2diNngzYWIyDmguNnNhdTQ4dGUyczI5OAByITFQWEFQMHNKTEVMbkt2WXBybDB4elhZU0ltX0lJWGNDbg==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910</Words>
  <Characters>5191</Characters>
  <Application>Microsoft Office Word</Application>
  <DocSecurity>0</DocSecurity>
  <Lines>43</Lines>
  <Paragraphs>12</Paragraphs>
  <ScaleCrop>false</ScaleCrop>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H18432</dc:creator>
  <cp:lastModifiedBy>Kim, Paul</cp:lastModifiedBy>
  <cp:revision>3</cp:revision>
  <dcterms:created xsi:type="dcterms:W3CDTF">2025-04-01T20:22:00Z</dcterms:created>
  <dcterms:modified xsi:type="dcterms:W3CDTF">2025-06-27T19:37:00Z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